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ink/ink1.xml" ContentType="application/inkml+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footer21.xml" ContentType="application/vnd.openxmlformats-officedocument.wordprocessingml.footer+xml"/>
  <Override PartName="/word/header26.xml" ContentType="application/vnd.openxmlformats-officedocument.wordprocessingml.header+xml"/>
  <Override PartName="/word/footer22.xml" ContentType="application/vnd.openxmlformats-officedocument.wordprocessingml.footer+xml"/>
  <Override PartName="/word/header27.xml" ContentType="application/vnd.openxmlformats-officedocument.wordprocessingml.header+xml"/>
  <Override PartName="/word/footer23.xml" ContentType="application/vnd.openxmlformats-officedocument.wordprocessingml.footer+xml"/>
  <Override PartName="/word/header28.xml" ContentType="application/vnd.openxmlformats-officedocument.wordprocessingml.header+xml"/>
  <Override PartName="/word/footer2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1.xml" ContentType="application/vnd.openxmlformats-officedocument.wordprocessingml.header+xml"/>
  <Override PartName="/word/footer27.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header36.xml" ContentType="application/vnd.openxmlformats-officedocument.wordprocessingml.header+xml"/>
  <Override PartName="/word/footer32.xml" ContentType="application/vnd.openxmlformats-officedocument.wordprocessingml.footer+xml"/>
  <Override PartName="/word/header37.xml" ContentType="application/vnd.openxmlformats-officedocument.wordprocessingml.header+xml"/>
  <Override PartName="/word/footer33.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3B821" w14:textId="539C35DD" w:rsidR="006C6C61" w:rsidRPr="00EA7081" w:rsidRDefault="006C6C61" w:rsidP="00EA7081">
      <w:pPr>
        <w:pStyle w:val="Title"/>
      </w:pPr>
      <w:bookmarkStart w:id="1" w:name="_Hlk145933152"/>
      <w:r w:rsidRPr="00EA7081">
        <w:t>Au</w:t>
      </w:r>
      <w:r w:rsidR="006734BC">
        <w:t>S</w:t>
      </w:r>
      <w:r w:rsidRPr="00EA7081">
        <w:t xml:space="preserve">tralian </w:t>
      </w:r>
      <w:r w:rsidR="00980196">
        <w:t>O</w:t>
      </w:r>
      <w:r w:rsidRPr="00EA7081">
        <w:t>ffice of Financial Management</w:t>
      </w:r>
    </w:p>
    <w:p w14:paraId="243BAD32" w14:textId="51370E91" w:rsidR="006C6C61" w:rsidRPr="006534F5" w:rsidRDefault="006C6C61" w:rsidP="006C6C61">
      <w:pPr>
        <w:pStyle w:val="Subtitle"/>
        <w:keepLines/>
      </w:pPr>
      <w:r w:rsidRPr="006534F5">
        <w:t>Annual Report 20</w:t>
      </w:r>
      <w:r>
        <w:t>2</w:t>
      </w:r>
      <w:r w:rsidR="001B1C98">
        <w:t>4</w:t>
      </w:r>
      <w:r w:rsidRPr="006534F5">
        <w:t>–2</w:t>
      </w:r>
      <w:r w:rsidR="001B1C98">
        <w:t>5</w:t>
      </w:r>
    </w:p>
    <w:p w14:paraId="20701D86" w14:textId="77777777" w:rsidR="006C6C61" w:rsidRPr="006534F5" w:rsidRDefault="006C6C61" w:rsidP="006C6C61">
      <w:pPr>
        <w:keepLines/>
      </w:pPr>
    </w:p>
    <w:p w14:paraId="082966AA" w14:textId="77777777" w:rsidR="005F5E93" w:rsidRDefault="005F5E93" w:rsidP="00CE0BF9">
      <w:pPr>
        <w:pStyle w:val="Heading1"/>
        <w:sectPr w:rsidR="005F5E93" w:rsidSect="001E2AEB">
          <w:headerReference w:type="even" r:id="rId11"/>
          <w:footerReference w:type="even" r:id="rId12"/>
          <w:headerReference w:type="first" r:id="rId13"/>
          <w:footerReference w:type="first" r:id="rId14"/>
          <w:type w:val="oddPage"/>
          <w:pgSz w:w="11907" w:h="16840" w:code="9"/>
          <w:pgMar w:top="2835" w:right="2098" w:bottom="2466" w:left="2098" w:header="1814" w:footer="1814" w:gutter="0"/>
          <w:pgNumType w:fmt="lowerRoman"/>
          <w:cols w:space="708"/>
          <w:docGrid w:linePitch="360"/>
        </w:sectPr>
      </w:pPr>
      <w:bookmarkStart w:id="2" w:name="_Toc103678454"/>
      <w:bookmarkStart w:id="3" w:name="_Toc107329191"/>
      <w:bookmarkStart w:id="4" w:name="_Toc107329313"/>
      <w:bookmarkStart w:id="5" w:name="_Toc107329460"/>
      <w:bookmarkStart w:id="6" w:name="_Toc107329582"/>
      <w:bookmarkStart w:id="7" w:name="_Toc107329698"/>
      <w:bookmarkStart w:id="8" w:name="_Toc107344470"/>
      <w:bookmarkStart w:id="9" w:name="_Toc107404530"/>
      <w:bookmarkStart w:id="10" w:name="_Toc145684441"/>
      <w:bookmarkStart w:id="11" w:name="_Toc145685041"/>
      <w:bookmarkStart w:id="12" w:name="_Toc145685805"/>
      <w:bookmarkStart w:id="13" w:name="_Toc145685994"/>
      <w:bookmarkStart w:id="14" w:name="_Toc145686193"/>
      <w:bookmarkStart w:id="15" w:name="_Toc145686392"/>
      <w:bookmarkStart w:id="16" w:name="_Toc145686693"/>
      <w:bookmarkStart w:id="17" w:name="_Toc146104012"/>
    </w:p>
    <w:p w14:paraId="37543816" w14:textId="77777777" w:rsidR="006C6C61" w:rsidRPr="006534F5" w:rsidRDefault="006C6C61" w:rsidP="00CE0BF9">
      <w:pPr>
        <w:pStyle w:val="Heading1"/>
      </w:pPr>
      <w:bookmarkStart w:id="18" w:name="_Toc169700776"/>
      <w:bookmarkStart w:id="19" w:name="_Toc169704781"/>
      <w:bookmarkStart w:id="20" w:name="_Toc169707270"/>
      <w:bookmarkStart w:id="21" w:name="_Toc169708358"/>
      <w:bookmarkStart w:id="22" w:name="_Toc169708429"/>
      <w:bookmarkStart w:id="23" w:name="_Toc170206678"/>
      <w:bookmarkStart w:id="24" w:name="_Toc170206963"/>
      <w:bookmarkStart w:id="25" w:name="_Toc170207100"/>
      <w:bookmarkStart w:id="26" w:name="_Toc170215527"/>
      <w:bookmarkStart w:id="27" w:name="_Toc170216459"/>
      <w:bookmarkStart w:id="28" w:name="_Toc170216947"/>
      <w:bookmarkStart w:id="29" w:name="_Toc170217115"/>
      <w:bookmarkStart w:id="30" w:name="_Toc170286075"/>
      <w:bookmarkStart w:id="31" w:name="_Toc202192243"/>
      <w:bookmarkStart w:id="32" w:name="_Toc202192956"/>
      <w:bookmarkStart w:id="33" w:name="_Toc205474279"/>
      <w:bookmarkStart w:id="34" w:name="_Toc207792866"/>
      <w:bookmarkStart w:id="35" w:name="_Toc207793898"/>
      <w:bookmarkStart w:id="36" w:name="_Toc207795633"/>
      <w:bookmarkStart w:id="37" w:name="_Toc207796024"/>
      <w:bookmarkStart w:id="38" w:name="_Toc207796906"/>
      <w:bookmarkStart w:id="39" w:name="_Toc207797283"/>
      <w:bookmarkStart w:id="40" w:name="_Toc207800205"/>
      <w:bookmarkStart w:id="41" w:name="_Toc207810783"/>
      <w:bookmarkStart w:id="42" w:name="_Toc208913958"/>
      <w:bookmarkStart w:id="43" w:name="_Toc208914062"/>
      <w:bookmarkStart w:id="44" w:name="_Toc209424459"/>
      <w:bookmarkStart w:id="45" w:name="_Toc209424576"/>
      <w:r w:rsidRPr="006534F5">
        <w:lastRenderedPageBreak/>
        <w:t>About this report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4F883E7" w14:textId="1C848207" w:rsidR="006C6C61" w:rsidRPr="006534F5" w:rsidRDefault="006C6C61" w:rsidP="008E310A">
      <w:pPr>
        <w:pStyle w:val="Subtext"/>
      </w:pPr>
      <w:r w:rsidRPr="006534F5">
        <w:t xml:space="preserve">This report outlines the operations and performance of the Australian Office of Financial Management (AOFM) for the financial year ending 30 June </w:t>
      </w:r>
      <w:r w:rsidR="00FC299B" w:rsidRPr="006534F5">
        <w:t>202</w:t>
      </w:r>
      <w:r w:rsidR="00FA68AE">
        <w:t>5</w:t>
      </w:r>
      <w:r w:rsidRPr="006534F5">
        <w:t xml:space="preserve">. It has been prepared in accordance with the provisions of section 46 of the </w:t>
      </w:r>
      <w:r w:rsidRPr="006534F5">
        <w:rPr>
          <w:i/>
          <w:iCs/>
        </w:rPr>
        <w:t>Public Governance, Performance and Accountability Act 2013</w:t>
      </w:r>
      <w:r w:rsidRPr="006534F5">
        <w:t xml:space="preserve">, the </w:t>
      </w:r>
      <w:r w:rsidRPr="005E794A">
        <w:t>Public Governance, Performance and Accountability Rule 201</w:t>
      </w:r>
      <w:r w:rsidR="00FA3912">
        <w:t>5</w:t>
      </w:r>
      <w:r w:rsidRPr="00FC299B">
        <w:t xml:space="preserve"> and the </w:t>
      </w:r>
      <w:r w:rsidRPr="005E794A">
        <w:t>Department of Finance Resource Management Guide No.</w:t>
      </w:r>
      <w:r w:rsidR="00BA17FC">
        <w:t xml:space="preserve"> </w:t>
      </w:r>
      <w:r w:rsidRPr="005E794A">
        <w:t>135</w:t>
      </w:r>
      <w:r w:rsidRPr="006534F5">
        <w:t>.</w:t>
      </w:r>
    </w:p>
    <w:p w14:paraId="3CE8FB93" w14:textId="77777777" w:rsidR="006C6C61" w:rsidRPr="006534F5" w:rsidRDefault="006C6C61" w:rsidP="008E310A">
      <w:pPr>
        <w:pStyle w:val="Subtext"/>
      </w:pPr>
      <w:r w:rsidRPr="006534F5">
        <w:t>The AOFM is an administrative entity within the Commonwealth of Australia.</w:t>
      </w:r>
    </w:p>
    <w:p w14:paraId="51081B41" w14:textId="21775D81" w:rsidR="006C6C61" w:rsidRPr="006534F5" w:rsidRDefault="006C6C61" w:rsidP="008E310A">
      <w:pPr>
        <w:pStyle w:val="Subtext"/>
      </w:pPr>
      <w:r w:rsidRPr="006534F5">
        <w:t xml:space="preserve">This annual report can be found on the AOFM website </w:t>
      </w:r>
      <w:hyperlink r:id="rId15" w:history="1">
        <w:r w:rsidRPr="006534F5">
          <w:rPr>
            <w:rStyle w:val="Hyperlink"/>
            <w:sz w:val="18"/>
          </w:rPr>
          <w:t>aofm.gov.au</w:t>
        </w:r>
      </w:hyperlink>
    </w:p>
    <w:p w14:paraId="3F0A792F" w14:textId="6AC211FE" w:rsidR="006C6C61" w:rsidRPr="00AF7510" w:rsidRDefault="006C6C61" w:rsidP="008E310A">
      <w:pPr>
        <w:pStyle w:val="Subtext"/>
      </w:pPr>
      <w:r w:rsidRPr="00AF7510">
        <w:t>© Commonwealth of Australia 202</w:t>
      </w:r>
      <w:r w:rsidR="006C2740" w:rsidRPr="00AF7510">
        <w:t>5</w:t>
      </w:r>
    </w:p>
    <w:p w14:paraId="0FD7E17C" w14:textId="0C70F177" w:rsidR="006C6C61" w:rsidRPr="006534F5" w:rsidRDefault="006C6C61" w:rsidP="008E310A">
      <w:pPr>
        <w:pStyle w:val="Subtext"/>
      </w:pPr>
      <w:r w:rsidRPr="00AF7510">
        <w:rPr>
          <w:noProof/>
        </w:rPr>
        <w:drawing>
          <wp:anchor distT="71755" distB="71755" distL="114300" distR="114300" simplePos="0" relativeHeight="251658240" behindDoc="0" locked="0" layoutInCell="1" allowOverlap="1" wp14:anchorId="00C1604D" wp14:editId="15981522">
            <wp:simplePos x="0" y="0"/>
            <wp:positionH relativeFrom="column">
              <wp:posOffset>-6985</wp:posOffset>
            </wp:positionH>
            <wp:positionV relativeFrom="paragraph">
              <wp:posOffset>230159</wp:posOffset>
            </wp:positionV>
            <wp:extent cx="945000" cy="32328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a:ext>
                      </a:extLst>
                    </a:blip>
                    <a:stretch>
                      <a:fillRect/>
                    </a:stretch>
                  </pic:blipFill>
                  <pic:spPr>
                    <a:xfrm>
                      <a:off x="0" y="0"/>
                      <a:ext cx="945000" cy="323280"/>
                    </a:xfrm>
                    <a:prstGeom prst="rect">
                      <a:avLst/>
                    </a:prstGeom>
                  </pic:spPr>
                </pic:pic>
              </a:graphicData>
            </a:graphic>
            <wp14:sizeRelH relativeFrom="margin">
              <wp14:pctWidth>0</wp14:pctWidth>
            </wp14:sizeRelH>
            <wp14:sizeRelV relativeFrom="margin">
              <wp14:pctHeight>0</wp14:pctHeight>
            </wp14:sizeRelV>
          </wp:anchor>
        </w:drawing>
      </w:r>
      <w:r w:rsidRPr="00AF7510">
        <w:t>ISSN 2204</w:t>
      </w:r>
      <w:r w:rsidR="00B84FF2">
        <w:noBreakHyphen/>
      </w:r>
      <w:r w:rsidRPr="00AF7510">
        <w:t>0838 (print) | ISSN 2204</w:t>
      </w:r>
      <w:r w:rsidR="00B84FF2">
        <w:noBreakHyphen/>
      </w:r>
      <w:r w:rsidRPr="00AF7510">
        <w:t>0846 (online)</w:t>
      </w:r>
    </w:p>
    <w:p w14:paraId="67F20A9E" w14:textId="7A287375" w:rsidR="006C6C61" w:rsidRPr="006534F5" w:rsidRDefault="006C6C61" w:rsidP="008E310A">
      <w:pPr>
        <w:pStyle w:val="Subtext"/>
      </w:pPr>
      <w:r w:rsidRPr="006534F5">
        <w:t xml:space="preserve">Use of AOFM material under a Creative Commons BY Attribution </w:t>
      </w:r>
      <w:r w:rsidR="00C50103">
        <w:t>4</w:t>
      </w:r>
      <w:r w:rsidRPr="006534F5">
        <w:t>.0 Australia licence</w:t>
      </w:r>
      <w:r>
        <w:t xml:space="preserve"> </w:t>
      </w:r>
      <w:r w:rsidRPr="006534F5">
        <w:t>requires you to attribute the work</w:t>
      </w:r>
      <w:r w:rsidR="00001CFE">
        <w:t xml:space="preserve">, </w:t>
      </w:r>
      <w:r w:rsidRPr="006534F5">
        <w:t>but not in any way that suggests that the AOFM endorses you or your use of the work.</w:t>
      </w:r>
    </w:p>
    <w:p w14:paraId="4B8E2E8F" w14:textId="49639871" w:rsidR="006C6C61" w:rsidRPr="008E310A" w:rsidRDefault="006C6C61" w:rsidP="008E310A">
      <w:pPr>
        <w:pStyle w:val="Subtext"/>
        <w:rPr>
          <w:rStyle w:val="Strong"/>
        </w:rPr>
      </w:pPr>
      <w:r w:rsidRPr="008E310A">
        <w:rPr>
          <w:rStyle w:val="Strong"/>
        </w:rPr>
        <w:t xml:space="preserve">Australian Office of Financial Management material used </w:t>
      </w:r>
      <w:r w:rsidR="00B84FF2">
        <w:rPr>
          <w:rStyle w:val="Strong"/>
        </w:rPr>
        <w:t>‘</w:t>
      </w:r>
      <w:r w:rsidRPr="008E310A">
        <w:rPr>
          <w:rStyle w:val="Strong"/>
        </w:rPr>
        <w:t xml:space="preserve">as </w:t>
      </w:r>
      <w:r w:rsidR="00C32C7D" w:rsidRPr="008E310A">
        <w:rPr>
          <w:rStyle w:val="Strong"/>
        </w:rPr>
        <w:t>supplied</w:t>
      </w:r>
      <w:r w:rsidR="00B84FF2">
        <w:rPr>
          <w:rStyle w:val="Strong"/>
        </w:rPr>
        <w:t>’</w:t>
      </w:r>
      <w:r w:rsidR="00C32C7D" w:rsidRPr="008E310A">
        <w:rPr>
          <w:rStyle w:val="Strong"/>
        </w:rPr>
        <w:t>.</w:t>
      </w:r>
    </w:p>
    <w:p w14:paraId="289CF1A7" w14:textId="38FA9E1D" w:rsidR="006C6C61" w:rsidRPr="006534F5" w:rsidRDefault="006C6C61" w:rsidP="008E310A">
      <w:pPr>
        <w:pStyle w:val="Subtext"/>
      </w:pPr>
      <w:r>
        <w:t>If you are using AOFM material</w:t>
      </w:r>
      <w:r w:rsidR="00001CFE">
        <w:t xml:space="preserve">, </w:t>
      </w:r>
      <w:r>
        <w:t>and p</w:t>
      </w:r>
      <w:r w:rsidRPr="006534F5">
        <w:t xml:space="preserve">rovided you have not modified or transformed material in any way </w:t>
      </w:r>
      <w:r w:rsidR="00001CFE">
        <w:t>(</w:t>
      </w:r>
      <w:r w:rsidRPr="006534F5">
        <w:t>including</w:t>
      </w:r>
      <w:r w:rsidR="00001CFE">
        <w:t xml:space="preserve">, </w:t>
      </w:r>
      <w:r w:rsidRPr="006534F5">
        <w:t>for example, by changing AOFM text</w:t>
      </w:r>
      <w:r w:rsidR="00001CFE">
        <w:t>,</w:t>
      </w:r>
      <w:r w:rsidRPr="006534F5">
        <w:t xml:space="preserve"> calculating percentage changes</w:t>
      </w:r>
      <w:r w:rsidR="00001CFE">
        <w:t>,</w:t>
      </w:r>
      <w:r w:rsidRPr="006534F5">
        <w:t xml:space="preserve"> graphing or charting data</w:t>
      </w:r>
      <w:r w:rsidR="00001CFE">
        <w:t>,</w:t>
      </w:r>
      <w:r w:rsidRPr="006534F5">
        <w:t xml:space="preserve"> or deriving new statistics from published AOFM statistics</w:t>
      </w:r>
      <w:r w:rsidR="00001CFE">
        <w:t>)</w:t>
      </w:r>
      <w:r w:rsidR="00BA17FC">
        <w:t>,</w:t>
      </w:r>
      <w:r w:rsidRPr="006534F5">
        <w:t xml:space="preserve"> </w:t>
      </w:r>
      <w:r>
        <w:t xml:space="preserve">we </w:t>
      </w:r>
      <w:r w:rsidRPr="006534F5">
        <w:t>prefer the following attribution:</w:t>
      </w:r>
    </w:p>
    <w:p w14:paraId="27EF5502" w14:textId="77777777" w:rsidR="006C6C61" w:rsidRPr="006534F5" w:rsidRDefault="006C6C61" w:rsidP="008E310A">
      <w:pPr>
        <w:pStyle w:val="Subtext"/>
      </w:pPr>
      <w:r w:rsidRPr="006534F5">
        <w:t>Source: The Australian Office of Financial Management</w:t>
      </w:r>
    </w:p>
    <w:p w14:paraId="239CF031" w14:textId="77777777" w:rsidR="006C6C61" w:rsidRPr="008E310A" w:rsidRDefault="006C6C61" w:rsidP="008E310A">
      <w:pPr>
        <w:pStyle w:val="Subtext"/>
        <w:rPr>
          <w:rStyle w:val="Strong"/>
        </w:rPr>
      </w:pPr>
      <w:r w:rsidRPr="008E310A">
        <w:rPr>
          <w:rStyle w:val="Strong"/>
        </w:rPr>
        <w:t>Derivative material</w:t>
      </w:r>
    </w:p>
    <w:p w14:paraId="56B73FB2" w14:textId="019084BF" w:rsidR="006C6C61" w:rsidRPr="006534F5" w:rsidRDefault="006C6C61" w:rsidP="008E310A">
      <w:pPr>
        <w:pStyle w:val="Subtext"/>
      </w:pPr>
      <w:r w:rsidRPr="006534F5">
        <w:t>If you have modified or transformed AOFM material, or derived new material</w:t>
      </w:r>
      <w:r>
        <w:t xml:space="preserve">s in any way based on </w:t>
      </w:r>
      <w:r w:rsidRPr="006534F5">
        <w:t xml:space="preserve">those </w:t>
      </w:r>
      <w:r>
        <w:t xml:space="preserve">provided by </w:t>
      </w:r>
      <w:r w:rsidRPr="006534F5">
        <w:t xml:space="preserve">the AOFM, </w:t>
      </w:r>
      <w:r>
        <w:t>we prefer</w:t>
      </w:r>
      <w:r w:rsidRPr="006534F5">
        <w:t xml:space="preserve"> </w:t>
      </w:r>
      <w:r>
        <w:t>this</w:t>
      </w:r>
      <w:r w:rsidRPr="006534F5">
        <w:t xml:space="preserve"> attribution:</w:t>
      </w:r>
    </w:p>
    <w:p w14:paraId="4F137CD6" w14:textId="77777777" w:rsidR="006C6C61" w:rsidRPr="006534F5" w:rsidRDefault="006C6C61" w:rsidP="008E310A">
      <w:pPr>
        <w:pStyle w:val="Subtext"/>
      </w:pPr>
      <w:r w:rsidRPr="006534F5">
        <w:t>Based on Australian Office of Financial Management data</w:t>
      </w:r>
    </w:p>
    <w:p w14:paraId="39A8EA2B" w14:textId="77777777" w:rsidR="006C6C61" w:rsidRPr="008E310A" w:rsidRDefault="006C6C61" w:rsidP="008E310A">
      <w:pPr>
        <w:pStyle w:val="Subtext"/>
        <w:rPr>
          <w:rStyle w:val="Strong"/>
        </w:rPr>
      </w:pPr>
      <w:r w:rsidRPr="008E310A">
        <w:rPr>
          <w:rStyle w:val="Strong"/>
        </w:rPr>
        <w:t>Use of the Coat of Arms</w:t>
      </w:r>
    </w:p>
    <w:p w14:paraId="202C57F4" w14:textId="21C41E19" w:rsidR="006C6C61" w:rsidRPr="006534F5" w:rsidRDefault="006C6C61" w:rsidP="008E310A">
      <w:pPr>
        <w:pStyle w:val="Subtext"/>
      </w:pPr>
      <w:r w:rsidRPr="006534F5">
        <w:t>The terms under which the Coat of Arms can be used are set out on the Department of Prime Minister and Cabinet website</w:t>
      </w:r>
      <w:r w:rsidR="008E310A">
        <w:t xml:space="preserve"> </w:t>
      </w:r>
      <w:hyperlink r:id="rId17" w:history="1">
        <w:r w:rsidRPr="006534F5">
          <w:rPr>
            <w:rStyle w:val="Hyperlink"/>
            <w:sz w:val="18"/>
          </w:rPr>
          <w:t>pmc.gov.au/government/commonwealth</w:t>
        </w:r>
        <w:r w:rsidR="00B84FF2">
          <w:rPr>
            <w:rStyle w:val="Hyperlink"/>
            <w:sz w:val="18"/>
          </w:rPr>
          <w:noBreakHyphen/>
        </w:r>
        <w:r w:rsidRPr="006534F5">
          <w:rPr>
            <w:rStyle w:val="Hyperlink"/>
            <w:sz w:val="18"/>
          </w:rPr>
          <w:t>coat</w:t>
        </w:r>
        <w:r w:rsidR="00B84FF2">
          <w:rPr>
            <w:rStyle w:val="Hyperlink"/>
            <w:sz w:val="18"/>
          </w:rPr>
          <w:noBreakHyphen/>
        </w:r>
        <w:r w:rsidRPr="006534F5">
          <w:rPr>
            <w:rStyle w:val="Hyperlink"/>
            <w:sz w:val="18"/>
          </w:rPr>
          <w:t>arms</w:t>
        </w:r>
      </w:hyperlink>
    </w:p>
    <w:p w14:paraId="6036E76F" w14:textId="77777777" w:rsidR="006C6C61" w:rsidRPr="008E310A" w:rsidRDefault="006C6C61" w:rsidP="008E310A">
      <w:pPr>
        <w:pStyle w:val="Subtext"/>
        <w:rPr>
          <w:rStyle w:val="Strong"/>
        </w:rPr>
      </w:pPr>
      <w:r w:rsidRPr="008E310A">
        <w:rPr>
          <w:rStyle w:val="Strong"/>
        </w:rPr>
        <w:t>Other uses</w:t>
      </w:r>
    </w:p>
    <w:p w14:paraId="35596537" w14:textId="77777777" w:rsidR="006C6C61" w:rsidRPr="006534F5" w:rsidRDefault="006C6C61" w:rsidP="008E310A">
      <w:pPr>
        <w:pStyle w:val="Subtext"/>
      </w:pPr>
      <w:r w:rsidRPr="006534F5">
        <w:t>Enquiries regarding this licence and any other use of this document are welcome at:</w:t>
      </w:r>
    </w:p>
    <w:p w14:paraId="418CCB4B" w14:textId="09CC268C" w:rsidR="006C6C61" w:rsidRPr="006534F5" w:rsidRDefault="006C6C61" w:rsidP="00B2238F">
      <w:pPr>
        <w:pStyle w:val="Subtext"/>
      </w:pPr>
      <w:r>
        <w:t>Manager</w:t>
      </w:r>
      <w:r w:rsidR="0083045B">
        <w:t xml:space="preserve"> </w:t>
      </w:r>
      <w:r w:rsidR="00DB7CAE">
        <w:t>–</w:t>
      </w:r>
      <w:r w:rsidR="0083045B">
        <w:t xml:space="preserve"> Communications</w:t>
      </w:r>
      <w:r w:rsidR="008E310A">
        <w:br/>
      </w:r>
      <w:r w:rsidRPr="006534F5">
        <w:t>Australian Office of Financial Management</w:t>
      </w:r>
      <w:r w:rsidR="008E310A">
        <w:br/>
      </w:r>
      <w:r w:rsidRPr="006534F5">
        <w:t>Treasury Building, Newlands Street</w:t>
      </w:r>
      <w:r>
        <w:t>,</w:t>
      </w:r>
      <w:r w:rsidRPr="006534F5">
        <w:t xml:space="preserve"> Parkes ACT 2600</w:t>
      </w:r>
      <w:r w:rsidR="008E310A">
        <w:br/>
      </w:r>
      <w:r w:rsidRPr="006534F5">
        <w:t xml:space="preserve">Email: </w:t>
      </w:r>
      <w:hyperlink r:id="rId18" w:history="1">
        <w:r w:rsidR="002F3F33" w:rsidRPr="00AB4F14">
          <w:rPr>
            <w:rStyle w:val="Hyperlink"/>
            <w:sz w:val="18"/>
          </w:rPr>
          <w:t>enquiries@aofm.gov.au</w:t>
        </w:r>
      </w:hyperlink>
      <w:r>
        <w:t xml:space="preserve"> </w:t>
      </w:r>
      <w:r w:rsidRPr="006534F5">
        <w:br w:type="page"/>
      </w:r>
    </w:p>
    <w:p w14:paraId="515FCDB1" w14:textId="77777777" w:rsidR="006C6C61" w:rsidRPr="006534F5" w:rsidRDefault="006C6C61" w:rsidP="00CE0BF9">
      <w:pPr>
        <w:pStyle w:val="Heading1"/>
      </w:pPr>
      <w:bookmarkStart w:id="46" w:name="_Toc103678455"/>
      <w:bookmarkStart w:id="47" w:name="_Toc107329192"/>
      <w:bookmarkStart w:id="48" w:name="_Toc107329314"/>
      <w:bookmarkStart w:id="49" w:name="_Toc107329461"/>
      <w:bookmarkStart w:id="50" w:name="_Toc107329583"/>
      <w:bookmarkStart w:id="51" w:name="_Toc107329699"/>
      <w:bookmarkStart w:id="52" w:name="_Toc107344471"/>
      <w:bookmarkStart w:id="53" w:name="_Toc107404531"/>
      <w:bookmarkStart w:id="54" w:name="_Toc145684442"/>
      <w:bookmarkStart w:id="55" w:name="_Toc145685042"/>
      <w:bookmarkStart w:id="56" w:name="_Toc145685806"/>
      <w:bookmarkStart w:id="57" w:name="_Toc145685995"/>
      <w:bookmarkStart w:id="58" w:name="_Toc145686194"/>
      <w:bookmarkStart w:id="59" w:name="_Toc145686393"/>
      <w:bookmarkStart w:id="60" w:name="_Toc145686694"/>
      <w:bookmarkStart w:id="61" w:name="_Toc146104013"/>
      <w:bookmarkStart w:id="62" w:name="_Toc169700777"/>
      <w:bookmarkStart w:id="63" w:name="_Toc169704782"/>
      <w:bookmarkStart w:id="64" w:name="_Toc169707271"/>
      <w:bookmarkStart w:id="65" w:name="_Toc169708359"/>
      <w:bookmarkStart w:id="66" w:name="_Toc169708430"/>
      <w:bookmarkStart w:id="67" w:name="_Toc170206679"/>
      <w:bookmarkStart w:id="68" w:name="_Toc170206964"/>
      <w:bookmarkStart w:id="69" w:name="_Toc170207101"/>
      <w:bookmarkStart w:id="70" w:name="_Toc170216460"/>
      <w:bookmarkStart w:id="71" w:name="_Toc170216948"/>
      <w:bookmarkStart w:id="72" w:name="_Toc170217116"/>
      <w:bookmarkStart w:id="73" w:name="_Toc170286076"/>
      <w:bookmarkStart w:id="74" w:name="_Toc202192244"/>
      <w:bookmarkStart w:id="75" w:name="_Toc202192957"/>
      <w:bookmarkStart w:id="76" w:name="_Toc205474280"/>
      <w:bookmarkStart w:id="77" w:name="_Toc207792867"/>
      <w:bookmarkStart w:id="78" w:name="_Toc207793899"/>
      <w:bookmarkStart w:id="79" w:name="_Toc207795634"/>
      <w:bookmarkStart w:id="80" w:name="_Toc207796025"/>
      <w:bookmarkStart w:id="81" w:name="_Toc207796907"/>
      <w:bookmarkStart w:id="82" w:name="_Toc207797284"/>
      <w:bookmarkStart w:id="83" w:name="_Toc207800206"/>
      <w:bookmarkStart w:id="84" w:name="_Toc207810784"/>
      <w:bookmarkStart w:id="85" w:name="_Toc208913959"/>
      <w:bookmarkStart w:id="86" w:name="_Toc208914063"/>
      <w:bookmarkStart w:id="87" w:name="_Toc209424460"/>
      <w:bookmarkStart w:id="88" w:name="_Toc209424577"/>
      <w:r w:rsidRPr="006534F5">
        <w:lastRenderedPageBreak/>
        <w:t>Letter of transmittal</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362EA26" w14:textId="1940CBB8" w:rsidR="006C6C61" w:rsidRDefault="000D7B21" w:rsidP="006C6C61">
      <w:pPr>
        <w:keepLines/>
      </w:pPr>
      <w:r w:rsidRPr="000D7B21">
        <w:t>29 August</w:t>
      </w:r>
      <w:r w:rsidR="006C6C61" w:rsidRPr="000D7B21">
        <w:t xml:space="preserve"> 202</w:t>
      </w:r>
      <w:r w:rsidR="006C2740" w:rsidRPr="000D7B21">
        <w:t>5</w:t>
      </w:r>
    </w:p>
    <w:p w14:paraId="64BD8E64" w14:textId="77777777" w:rsidR="006C6C61" w:rsidRDefault="006C6C61" w:rsidP="006C6C61">
      <w:pPr>
        <w:keepLines/>
      </w:pPr>
      <w:r>
        <w:t xml:space="preserve">The Hon Dr Jim Chalmers MP </w:t>
      </w:r>
      <w:r>
        <w:br/>
        <w:t xml:space="preserve">Treasurer </w:t>
      </w:r>
      <w:r>
        <w:br/>
        <w:t xml:space="preserve">Parliament House </w:t>
      </w:r>
      <w:r>
        <w:br/>
        <w:t xml:space="preserve">CANBERRA, ACT 2600 </w:t>
      </w:r>
    </w:p>
    <w:p w14:paraId="570C8352" w14:textId="77777777" w:rsidR="006C6C61" w:rsidRDefault="006C6C61" w:rsidP="006C6C61">
      <w:pPr>
        <w:keepLines/>
        <w:spacing w:after="0"/>
      </w:pPr>
    </w:p>
    <w:p w14:paraId="1616B756" w14:textId="77777777" w:rsidR="00A82355" w:rsidRDefault="006C6C61" w:rsidP="006C6C61">
      <w:pPr>
        <w:keepLines/>
      </w:pPr>
      <w:r>
        <w:t xml:space="preserve">Dear Treasurer </w:t>
      </w:r>
    </w:p>
    <w:p w14:paraId="14654F97" w14:textId="3D05B456" w:rsidR="004F65B0" w:rsidRDefault="004F65B0" w:rsidP="004F65B0">
      <w:pPr>
        <w:keepLines/>
      </w:pPr>
      <w:r>
        <w:t xml:space="preserve">I am pleased to present the annual report of the Australian Office of Financial Management (AOFM) for the year ended 30 June </w:t>
      </w:r>
      <w:r w:rsidR="00FA68AE">
        <w:t>2025</w:t>
      </w:r>
      <w:r>
        <w:t xml:space="preserve">. </w:t>
      </w:r>
    </w:p>
    <w:p w14:paraId="0DAB07DC" w14:textId="77777777" w:rsidR="004F65B0" w:rsidRDefault="004F65B0" w:rsidP="004F65B0">
      <w:pPr>
        <w:keepLines/>
      </w:pPr>
      <w:r>
        <w:t xml:space="preserve">The report has been prepared in accordance with all applicable obligations of </w:t>
      </w:r>
      <w:r w:rsidRPr="00BA17FC">
        <w:t>the</w:t>
      </w:r>
      <w:r w:rsidRPr="00784B73">
        <w:rPr>
          <w:i/>
        </w:rPr>
        <w:t xml:space="preserve"> Public Governance, Performance and Accountability Act 2013</w:t>
      </w:r>
      <w:r>
        <w:t xml:space="preserve"> (PGPA Act) including section 46, which requires that you, as the relevant Minister, table the report in Parliament. </w:t>
      </w:r>
    </w:p>
    <w:p w14:paraId="755938A4" w14:textId="72065ADF" w:rsidR="004F65B0" w:rsidRDefault="004F65B0" w:rsidP="008A6FE3">
      <w:r>
        <w:t>The annual performance statement in Part 2 of this report is prepared in accordance with section 39 of the PGPA Act and accurately reflects the AOFM</w:t>
      </w:r>
      <w:r w:rsidR="00B84FF2">
        <w:t>’</w:t>
      </w:r>
      <w:r>
        <w:t xml:space="preserve">s performance for </w:t>
      </w:r>
      <w:r w:rsidR="00FA68AE">
        <w:t>2024</w:t>
      </w:r>
      <w:r>
        <w:t>–</w:t>
      </w:r>
      <w:r w:rsidR="00FA68AE">
        <w:t>25</w:t>
      </w:r>
      <w:r>
        <w:t>.</w:t>
      </w:r>
    </w:p>
    <w:p w14:paraId="7ADEF4D8" w14:textId="18E9216C" w:rsidR="004F65B0" w:rsidRDefault="004F65B0" w:rsidP="004F65B0">
      <w:pPr>
        <w:keepLines/>
      </w:pPr>
      <w:r>
        <w:t>The report includes the AOFM</w:t>
      </w:r>
      <w:r w:rsidR="00B84FF2">
        <w:t>’</w:t>
      </w:r>
      <w:r>
        <w:t>s audited financial statements, prepared in accordance with the Public Governance, Performance and Accountability (Financial Reporting) Rule</w:t>
      </w:r>
      <w:r w:rsidR="001061E0">
        <w:t> </w:t>
      </w:r>
      <w:r>
        <w:t xml:space="preserve">2015. </w:t>
      </w:r>
    </w:p>
    <w:p w14:paraId="5663F9AE" w14:textId="77777777" w:rsidR="004F65B0" w:rsidRDefault="004F65B0" w:rsidP="004F65B0">
      <w:pPr>
        <w:keepLines/>
      </w:pPr>
      <w:r>
        <w:t xml:space="preserve">I confirm the AOFM has in place appropriate fraud prevention, detection, investigation and reporting mechanisms, including fraud risk assessments and a fraud control plan. The AOFM has taken all reasonable measures to appropriately deal with fraud. </w:t>
      </w:r>
    </w:p>
    <w:p w14:paraId="1E8E6155" w14:textId="546E61C0" w:rsidR="004F65B0" w:rsidRDefault="004F65B0" w:rsidP="004F65B0">
      <w:pPr>
        <w:keepLines/>
      </w:pPr>
      <w:r>
        <w:t>Yours sincerely</w:t>
      </w:r>
    </w:p>
    <w:p w14:paraId="312D489C" w14:textId="380E60E8" w:rsidR="005F5E93" w:rsidRDefault="00F02C17">
      <w:pPr>
        <w:spacing w:after="0" w:line="240" w:lineRule="auto"/>
      </w:pPr>
      <w:r>
        <w:rPr>
          <w:noProof/>
        </w:rPr>
        <w:drawing>
          <wp:inline distT="0" distB="0" distL="0" distR="0" wp14:anchorId="1AA8822B" wp14:editId="4D9675F3">
            <wp:extent cx="1414130" cy="448450"/>
            <wp:effectExtent l="0" t="0" r="0" b="889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1170" cy="453854"/>
                    </a:xfrm>
                    <a:prstGeom prst="rect">
                      <a:avLst/>
                    </a:prstGeom>
                  </pic:spPr>
                </pic:pic>
              </a:graphicData>
            </a:graphic>
          </wp:inline>
        </w:drawing>
      </w:r>
    </w:p>
    <w:p w14:paraId="568233F1" w14:textId="2E592B9C" w:rsidR="0079046F" w:rsidRDefault="007A0BEE" w:rsidP="008A6FE3">
      <w:r>
        <w:t>Anna Hughes</w:t>
      </w:r>
    </w:p>
    <w:p w14:paraId="0BE4CA88" w14:textId="0F1FB487" w:rsidR="007A0BEE" w:rsidRDefault="007A0BEE" w:rsidP="008A6FE3">
      <w:r>
        <w:t>Chief Executive Officer</w:t>
      </w:r>
    </w:p>
    <w:p w14:paraId="59C11061" w14:textId="77777777" w:rsidR="0079046F" w:rsidRDefault="0079046F" w:rsidP="008A6FE3"/>
    <w:p w14:paraId="008409DB" w14:textId="77777777" w:rsidR="0079046F" w:rsidRDefault="0079046F">
      <w:pPr>
        <w:spacing w:after="0" w:line="240" w:lineRule="auto"/>
        <w:sectPr w:rsidR="0079046F" w:rsidSect="001E2AEB">
          <w:headerReference w:type="even" r:id="rId20"/>
          <w:headerReference w:type="default" r:id="rId21"/>
          <w:footerReference w:type="even" r:id="rId22"/>
          <w:footerReference w:type="default" r:id="rId23"/>
          <w:pgSz w:w="11907" w:h="16840" w:code="9"/>
          <w:pgMar w:top="2835" w:right="2098" w:bottom="2466" w:left="2098" w:header="1814" w:footer="1814" w:gutter="0"/>
          <w:pgNumType w:fmt="lowerRoman" w:start="1"/>
          <w:cols w:space="708"/>
          <w:docGrid w:linePitch="360"/>
        </w:sectPr>
      </w:pPr>
    </w:p>
    <w:p w14:paraId="2D891C11" w14:textId="7E465F23" w:rsidR="00095BF0" w:rsidRDefault="00095BF0" w:rsidP="00CE0BF9">
      <w:pPr>
        <w:pStyle w:val="Heading1"/>
        <w:rPr>
          <w:rStyle w:val="Hyperlink"/>
          <w:rFonts w:eastAsiaTheme="minorHAnsi" w:cs="Open Sans"/>
          <w:b w:val="0"/>
          <w:caps w:val="0"/>
          <w:sz w:val="50"/>
          <w:szCs w:val="20"/>
          <w:u w:val="none"/>
        </w:rPr>
      </w:pPr>
      <w:bookmarkStart w:id="89" w:name="_Toc205474281"/>
      <w:bookmarkStart w:id="90" w:name="_Toc207792868"/>
      <w:bookmarkStart w:id="91" w:name="_Toc207793900"/>
      <w:bookmarkStart w:id="92" w:name="_Toc207795635"/>
      <w:bookmarkStart w:id="93" w:name="_Toc207796026"/>
      <w:bookmarkStart w:id="94" w:name="_Toc207796908"/>
      <w:bookmarkStart w:id="95" w:name="_Toc207797285"/>
      <w:bookmarkStart w:id="96" w:name="_Toc207800207"/>
      <w:bookmarkStart w:id="97" w:name="_Toc207810785"/>
      <w:bookmarkStart w:id="98" w:name="_Toc208913960"/>
      <w:bookmarkStart w:id="99" w:name="_Toc208914064"/>
      <w:bookmarkStart w:id="100" w:name="_Toc209424461"/>
      <w:bookmarkStart w:id="101" w:name="_Toc209424578"/>
      <w:r>
        <w:lastRenderedPageBreak/>
        <w:t>C</w:t>
      </w:r>
      <w:bookmarkEnd w:id="89"/>
      <w:bookmarkEnd w:id="90"/>
      <w:bookmarkEnd w:id="91"/>
      <w:r w:rsidR="00F02C17">
        <w:t>ontents</w:t>
      </w:r>
      <w:bookmarkEnd w:id="92"/>
      <w:bookmarkEnd w:id="93"/>
      <w:bookmarkEnd w:id="94"/>
      <w:bookmarkEnd w:id="95"/>
      <w:bookmarkEnd w:id="96"/>
      <w:bookmarkEnd w:id="97"/>
      <w:bookmarkEnd w:id="98"/>
      <w:bookmarkEnd w:id="99"/>
      <w:bookmarkEnd w:id="100"/>
      <w:bookmarkEnd w:id="101"/>
    </w:p>
    <w:p w14:paraId="65DB9B51" w14:textId="7B3FE407" w:rsidR="00AE2DD7" w:rsidRDefault="00F42AE8">
      <w:pPr>
        <w:pStyle w:val="TOC1"/>
        <w:rPr>
          <w:rFonts w:asciiTheme="minorHAnsi" w:hAnsiTheme="minorHAnsi" w:cstheme="minorBidi"/>
          <w:b w:val="0"/>
          <w:color w:val="auto"/>
          <w:kern w:val="2"/>
          <w:sz w:val="24"/>
          <w:szCs w:val="24"/>
          <w14:ligatures w14:val="standardContextual"/>
        </w:rPr>
      </w:pPr>
      <w:r w:rsidRPr="00DF323E">
        <w:rPr>
          <w:rStyle w:val="Hyperlink"/>
          <w:sz w:val="22"/>
          <w:u w:val="none"/>
        </w:rPr>
        <w:fldChar w:fldCharType="begin"/>
      </w:r>
      <w:r w:rsidRPr="00DF323E">
        <w:rPr>
          <w:rStyle w:val="Hyperlink"/>
          <w:sz w:val="22"/>
          <w:u w:val="none"/>
        </w:rPr>
        <w:instrText xml:space="preserve"> TOC \o "1-2" \h \z \t "Part Title,1" </w:instrText>
      </w:r>
      <w:r w:rsidRPr="00DF323E">
        <w:rPr>
          <w:rStyle w:val="Hyperlink"/>
          <w:sz w:val="22"/>
          <w:u w:val="none"/>
        </w:rPr>
        <w:fldChar w:fldCharType="separate"/>
      </w:r>
      <w:hyperlink w:anchor="_Toc209424462" w:history="1">
        <w:r w:rsidR="00AE2DD7" w:rsidRPr="006127F7">
          <w:rPr>
            <w:rStyle w:val="Hyperlink"/>
          </w:rPr>
          <w:t>2024–25 Activities</w:t>
        </w:r>
        <w:r w:rsidR="00AE2DD7">
          <w:rPr>
            <w:webHidden/>
          </w:rPr>
          <w:tab/>
        </w:r>
        <w:r w:rsidR="00AE2DD7">
          <w:rPr>
            <w:webHidden/>
          </w:rPr>
          <w:fldChar w:fldCharType="begin"/>
        </w:r>
        <w:r w:rsidR="00AE2DD7">
          <w:rPr>
            <w:webHidden/>
          </w:rPr>
          <w:instrText xml:space="preserve"> PAGEREF _Toc209424462 \h </w:instrText>
        </w:r>
        <w:r w:rsidR="00AE2DD7">
          <w:rPr>
            <w:webHidden/>
          </w:rPr>
        </w:r>
        <w:r w:rsidR="00AE2DD7">
          <w:rPr>
            <w:webHidden/>
          </w:rPr>
          <w:fldChar w:fldCharType="separate"/>
        </w:r>
        <w:r w:rsidR="00F60EAA">
          <w:rPr>
            <w:webHidden/>
          </w:rPr>
          <w:t>iv</w:t>
        </w:r>
        <w:r w:rsidR="00AE2DD7">
          <w:rPr>
            <w:webHidden/>
          </w:rPr>
          <w:fldChar w:fldCharType="end"/>
        </w:r>
      </w:hyperlink>
    </w:p>
    <w:p w14:paraId="34E271E1" w14:textId="3E8AA93F" w:rsidR="00AE2DD7" w:rsidRDefault="00AE2DD7">
      <w:pPr>
        <w:pStyle w:val="TOC1"/>
        <w:rPr>
          <w:rFonts w:asciiTheme="minorHAnsi" w:hAnsiTheme="minorHAnsi" w:cstheme="minorBidi"/>
          <w:b w:val="0"/>
          <w:color w:val="auto"/>
          <w:kern w:val="2"/>
          <w:sz w:val="24"/>
          <w:szCs w:val="24"/>
          <w14:ligatures w14:val="standardContextual"/>
        </w:rPr>
      </w:pPr>
      <w:hyperlink w:anchor="_Toc209424463" w:history="1">
        <w:r w:rsidRPr="006127F7">
          <w:rPr>
            <w:rStyle w:val="Hyperlink"/>
          </w:rPr>
          <w:t>Our Portfolio</w:t>
        </w:r>
        <w:r>
          <w:rPr>
            <w:webHidden/>
          </w:rPr>
          <w:tab/>
        </w:r>
        <w:r>
          <w:rPr>
            <w:webHidden/>
          </w:rPr>
          <w:fldChar w:fldCharType="begin"/>
        </w:r>
        <w:r>
          <w:rPr>
            <w:webHidden/>
          </w:rPr>
          <w:instrText xml:space="preserve"> PAGEREF _Toc209424463 \h </w:instrText>
        </w:r>
        <w:r>
          <w:rPr>
            <w:webHidden/>
          </w:rPr>
        </w:r>
        <w:r>
          <w:rPr>
            <w:webHidden/>
          </w:rPr>
          <w:fldChar w:fldCharType="separate"/>
        </w:r>
        <w:r w:rsidR="00F60EAA">
          <w:rPr>
            <w:webHidden/>
          </w:rPr>
          <w:t>v</w:t>
        </w:r>
        <w:r>
          <w:rPr>
            <w:webHidden/>
          </w:rPr>
          <w:fldChar w:fldCharType="end"/>
        </w:r>
      </w:hyperlink>
    </w:p>
    <w:p w14:paraId="6E379D73" w14:textId="4F51E1BA" w:rsidR="00AE2DD7" w:rsidRDefault="00AE2DD7">
      <w:pPr>
        <w:pStyle w:val="TOC1"/>
        <w:rPr>
          <w:rFonts w:asciiTheme="minorHAnsi" w:hAnsiTheme="minorHAnsi" w:cstheme="minorBidi"/>
          <w:b w:val="0"/>
          <w:color w:val="auto"/>
          <w:kern w:val="2"/>
          <w:sz w:val="24"/>
          <w:szCs w:val="24"/>
          <w14:ligatures w14:val="standardContextual"/>
        </w:rPr>
      </w:pPr>
      <w:hyperlink w:anchor="_Toc209424464" w:history="1">
        <w:r w:rsidRPr="006127F7">
          <w:rPr>
            <w:rStyle w:val="Hyperlink"/>
          </w:rPr>
          <w:t>Part 1: Overview</w:t>
        </w:r>
        <w:r>
          <w:rPr>
            <w:webHidden/>
          </w:rPr>
          <w:tab/>
        </w:r>
        <w:r>
          <w:rPr>
            <w:webHidden/>
          </w:rPr>
          <w:fldChar w:fldCharType="begin"/>
        </w:r>
        <w:r>
          <w:rPr>
            <w:webHidden/>
          </w:rPr>
          <w:instrText xml:space="preserve"> PAGEREF _Toc209424464 \h </w:instrText>
        </w:r>
        <w:r>
          <w:rPr>
            <w:webHidden/>
          </w:rPr>
        </w:r>
        <w:r>
          <w:rPr>
            <w:webHidden/>
          </w:rPr>
          <w:fldChar w:fldCharType="separate"/>
        </w:r>
        <w:r w:rsidR="00F60EAA">
          <w:rPr>
            <w:webHidden/>
          </w:rPr>
          <w:t>1</w:t>
        </w:r>
        <w:r>
          <w:rPr>
            <w:webHidden/>
          </w:rPr>
          <w:fldChar w:fldCharType="end"/>
        </w:r>
      </w:hyperlink>
    </w:p>
    <w:p w14:paraId="706F2D59" w14:textId="20878C01" w:rsidR="00AE2DD7" w:rsidRDefault="00AE2DD7">
      <w:pPr>
        <w:pStyle w:val="TOC1"/>
        <w:rPr>
          <w:rFonts w:asciiTheme="minorHAnsi" w:hAnsiTheme="minorHAnsi" w:cstheme="minorBidi"/>
          <w:b w:val="0"/>
          <w:color w:val="auto"/>
          <w:kern w:val="2"/>
          <w:sz w:val="24"/>
          <w:szCs w:val="24"/>
          <w14:ligatures w14:val="standardContextual"/>
        </w:rPr>
      </w:pPr>
      <w:hyperlink w:anchor="_Toc209424475" w:history="1">
        <w:r w:rsidRPr="006127F7">
          <w:rPr>
            <w:rStyle w:val="Hyperlink"/>
          </w:rPr>
          <w:t>Part 2: Performance statement</w:t>
        </w:r>
        <w:r>
          <w:rPr>
            <w:webHidden/>
          </w:rPr>
          <w:tab/>
        </w:r>
        <w:r>
          <w:rPr>
            <w:webHidden/>
          </w:rPr>
          <w:fldChar w:fldCharType="begin"/>
        </w:r>
        <w:r>
          <w:rPr>
            <w:webHidden/>
          </w:rPr>
          <w:instrText xml:space="preserve"> PAGEREF _Toc209424475 \h </w:instrText>
        </w:r>
        <w:r>
          <w:rPr>
            <w:webHidden/>
          </w:rPr>
        </w:r>
        <w:r>
          <w:rPr>
            <w:webHidden/>
          </w:rPr>
          <w:fldChar w:fldCharType="separate"/>
        </w:r>
        <w:r w:rsidR="00F60EAA">
          <w:rPr>
            <w:webHidden/>
          </w:rPr>
          <w:t>13</w:t>
        </w:r>
        <w:r>
          <w:rPr>
            <w:webHidden/>
          </w:rPr>
          <w:fldChar w:fldCharType="end"/>
        </w:r>
      </w:hyperlink>
    </w:p>
    <w:p w14:paraId="0F30D8C9" w14:textId="6B12A587" w:rsidR="00AE2DD7" w:rsidRDefault="00AE2DD7">
      <w:pPr>
        <w:pStyle w:val="TOC1"/>
        <w:rPr>
          <w:rFonts w:asciiTheme="minorHAnsi" w:hAnsiTheme="minorHAnsi" w:cstheme="minorBidi"/>
          <w:b w:val="0"/>
          <w:color w:val="auto"/>
          <w:kern w:val="2"/>
          <w:sz w:val="24"/>
          <w:szCs w:val="24"/>
          <w14:ligatures w14:val="standardContextual"/>
        </w:rPr>
      </w:pPr>
      <w:hyperlink w:anchor="_Toc209424482" w:history="1">
        <w:r w:rsidRPr="006127F7">
          <w:rPr>
            <w:rStyle w:val="Hyperlink"/>
          </w:rPr>
          <w:t>Performance Assessment: Purpose 1</w:t>
        </w:r>
        <w:r>
          <w:rPr>
            <w:webHidden/>
          </w:rPr>
          <w:tab/>
        </w:r>
        <w:r>
          <w:rPr>
            <w:webHidden/>
          </w:rPr>
          <w:fldChar w:fldCharType="begin"/>
        </w:r>
        <w:r>
          <w:rPr>
            <w:webHidden/>
          </w:rPr>
          <w:instrText xml:space="preserve"> PAGEREF _Toc209424482 \h </w:instrText>
        </w:r>
        <w:r>
          <w:rPr>
            <w:webHidden/>
          </w:rPr>
        </w:r>
        <w:r>
          <w:rPr>
            <w:webHidden/>
          </w:rPr>
          <w:fldChar w:fldCharType="separate"/>
        </w:r>
        <w:r w:rsidR="00F60EAA">
          <w:rPr>
            <w:webHidden/>
          </w:rPr>
          <w:t>23</w:t>
        </w:r>
        <w:r>
          <w:rPr>
            <w:webHidden/>
          </w:rPr>
          <w:fldChar w:fldCharType="end"/>
        </w:r>
      </w:hyperlink>
    </w:p>
    <w:p w14:paraId="0B287432" w14:textId="55A9FB45" w:rsidR="00AE2DD7" w:rsidRDefault="00AE2DD7">
      <w:pPr>
        <w:pStyle w:val="TOC1"/>
        <w:rPr>
          <w:rFonts w:asciiTheme="minorHAnsi" w:hAnsiTheme="minorHAnsi" w:cstheme="minorBidi"/>
          <w:b w:val="0"/>
          <w:color w:val="auto"/>
          <w:kern w:val="2"/>
          <w:sz w:val="24"/>
          <w:szCs w:val="24"/>
          <w14:ligatures w14:val="standardContextual"/>
        </w:rPr>
      </w:pPr>
      <w:hyperlink w:anchor="_Toc209424486" w:history="1">
        <w:r w:rsidRPr="006127F7">
          <w:rPr>
            <w:rStyle w:val="Hyperlink"/>
          </w:rPr>
          <w:t>Performance Assessment: Purpose 2</w:t>
        </w:r>
        <w:r>
          <w:rPr>
            <w:webHidden/>
          </w:rPr>
          <w:tab/>
        </w:r>
        <w:r>
          <w:rPr>
            <w:webHidden/>
          </w:rPr>
          <w:fldChar w:fldCharType="begin"/>
        </w:r>
        <w:r>
          <w:rPr>
            <w:webHidden/>
          </w:rPr>
          <w:instrText xml:space="preserve"> PAGEREF _Toc209424486 \h </w:instrText>
        </w:r>
        <w:r>
          <w:rPr>
            <w:webHidden/>
          </w:rPr>
        </w:r>
        <w:r>
          <w:rPr>
            <w:webHidden/>
          </w:rPr>
          <w:fldChar w:fldCharType="separate"/>
        </w:r>
        <w:r w:rsidR="00F60EAA">
          <w:rPr>
            <w:webHidden/>
          </w:rPr>
          <w:t>41</w:t>
        </w:r>
        <w:r>
          <w:rPr>
            <w:webHidden/>
          </w:rPr>
          <w:fldChar w:fldCharType="end"/>
        </w:r>
      </w:hyperlink>
    </w:p>
    <w:p w14:paraId="6654A34F" w14:textId="6BABDFFE" w:rsidR="00AE2DD7" w:rsidRDefault="00AE2DD7">
      <w:pPr>
        <w:pStyle w:val="TOC1"/>
        <w:rPr>
          <w:rFonts w:asciiTheme="minorHAnsi" w:hAnsiTheme="minorHAnsi" w:cstheme="minorBidi"/>
          <w:b w:val="0"/>
          <w:color w:val="auto"/>
          <w:kern w:val="2"/>
          <w:sz w:val="24"/>
          <w:szCs w:val="24"/>
          <w14:ligatures w14:val="standardContextual"/>
        </w:rPr>
      </w:pPr>
      <w:hyperlink w:anchor="_Toc209424489" w:history="1">
        <w:r w:rsidRPr="006127F7">
          <w:rPr>
            <w:rStyle w:val="Hyperlink"/>
          </w:rPr>
          <w:t>Performance Assessment: Purpose 3</w:t>
        </w:r>
        <w:r>
          <w:rPr>
            <w:webHidden/>
          </w:rPr>
          <w:tab/>
        </w:r>
        <w:r>
          <w:rPr>
            <w:webHidden/>
          </w:rPr>
          <w:fldChar w:fldCharType="begin"/>
        </w:r>
        <w:r>
          <w:rPr>
            <w:webHidden/>
          </w:rPr>
          <w:instrText xml:space="preserve"> PAGEREF _Toc209424489 \h </w:instrText>
        </w:r>
        <w:r>
          <w:rPr>
            <w:webHidden/>
          </w:rPr>
        </w:r>
        <w:r>
          <w:rPr>
            <w:webHidden/>
          </w:rPr>
          <w:fldChar w:fldCharType="separate"/>
        </w:r>
        <w:r w:rsidR="00F60EAA">
          <w:rPr>
            <w:webHidden/>
          </w:rPr>
          <w:t>47</w:t>
        </w:r>
        <w:r>
          <w:rPr>
            <w:webHidden/>
          </w:rPr>
          <w:fldChar w:fldCharType="end"/>
        </w:r>
      </w:hyperlink>
    </w:p>
    <w:p w14:paraId="4580DBD7" w14:textId="5B5CB236" w:rsidR="00AE2DD7" w:rsidRDefault="00AE2DD7">
      <w:pPr>
        <w:pStyle w:val="TOC1"/>
        <w:rPr>
          <w:rFonts w:asciiTheme="minorHAnsi" w:hAnsiTheme="minorHAnsi" w:cstheme="minorBidi"/>
          <w:b w:val="0"/>
          <w:color w:val="auto"/>
          <w:kern w:val="2"/>
          <w:sz w:val="24"/>
          <w:szCs w:val="24"/>
          <w14:ligatures w14:val="standardContextual"/>
        </w:rPr>
      </w:pPr>
      <w:hyperlink w:anchor="_Toc209424493" w:history="1">
        <w:r w:rsidRPr="006127F7">
          <w:rPr>
            <w:rStyle w:val="Hyperlink"/>
          </w:rPr>
          <w:t>Performance Assessment: Purpose 4</w:t>
        </w:r>
        <w:r>
          <w:rPr>
            <w:webHidden/>
          </w:rPr>
          <w:tab/>
        </w:r>
        <w:r>
          <w:rPr>
            <w:webHidden/>
          </w:rPr>
          <w:fldChar w:fldCharType="begin"/>
        </w:r>
        <w:r>
          <w:rPr>
            <w:webHidden/>
          </w:rPr>
          <w:instrText xml:space="preserve"> PAGEREF _Toc209424493 \h </w:instrText>
        </w:r>
        <w:r>
          <w:rPr>
            <w:webHidden/>
          </w:rPr>
        </w:r>
        <w:r>
          <w:rPr>
            <w:webHidden/>
          </w:rPr>
          <w:fldChar w:fldCharType="separate"/>
        </w:r>
        <w:r w:rsidR="00F60EAA">
          <w:rPr>
            <w:webHidden/>
          </w:rPr>
          <w:t>57</w:t>
        </w:r>
        <w:r>
          <w:rPr>
            <w:webHidden/>
          </w:rPr>
          <w:fldChar w:fldCharType="end"/>
        </w:r>
      </w:hyperlink>
    </w:p>
    <w:p w14:paraId="301A7C30" w14:textId="06A349D4" w:rsidR="00AE2DD7" w:rsidRDefault="00AE2DD7">
      <w:pPr>
        <w:pStyle w:val="TOC1"/>
        <w:rPr>
          <w:rFonts w:asciiTheme="minorHAnsi" w:hAnsiTheme="minorHAnsi" w:cstheme="minorBidi"/>
          <w:b w:val="0"/>
          <w:color w:val="auto"/>
          <w:kern w:val="2"/>
          <w:sz w:val="24"/>
          <w:szCs w:val="24"/>
          <w14:ligatures w14:val="standardContextual"/>
        </w:rPr>
      </w:pPr>
      <w:hyperlink w:anchor="_Toc209424499" w:history="1">
        <w:r w:rsidRPr="006127F7">
          <w:rPr>
            <w:rStyle w:val="Hyperlink"/>
          </w:rPr>
          <w:t>Part 3: Management and accountability</w:t>
        </w:r>
        <w:r>
          <w:rPr>
            <w:webHidden/>
          </w:rPr>
          <w:tab/>
        </w:r>
        <w:r>
          <w:rPr>
            <w:webHidden/>
          </w:rPr>
          <w:fldChar w:fldCharType="begin"/>
        </w:r>
        <w:r>
          <w:rPr>
            <w:webHidden/>
          </w:rPr>
          <w:instrText xml:space="preserve"> PAGEREF _Toc209424499 \h </w:instrText>
        </w:r>
        <w:r>
          <w:rPr>
            <w:webHidden/>
          </w:rPr>
        </w:r>
        <w:r>
          <w:rPr>
            <w:webHidden/>
          </w:rPr>
          <w:fldChar w:fldCharType="separate"/>
        </w:r>
        <w:r w:rsidR="00F60EAA">
          <w:rPr>
            <w:webHidden/>
          </w:rPr>
          <w:t>65</w:t>
        </w:r>
        <w:r>
          <w:rPr>
            <w:webHidden/>
          </w:rPr>
          <w:fldChar w:fldCharType="end"/>
        </w:r>
      </w:hyperlink>
    </w:p>
    <w:p w14:paraId="088BC5E4" w14:textId="4B761BDF" w:rsidR="00AE2DD7" w:rsidRDefault="00AE2DD7">
      <w:pPr>
        <w:pStyle w:val="TOC1"/>
        <w:rPr>
          <w:rFonts w:asciiTheme="minorHAnsi" w:hAnsiTheme="minorHAnsi" w:cstheme="minorBidi"/>
          <w:b w:val="0"/>
          <w:color w:val="auto"/>
          <w:kern w:val="2"/>
          <w:sz w:val="24"/>
          <w:szCs w:val="24"/>
          <w14:ligatures w14:val="standardContextual"/>
        </w:rPr>
      </w:pPr>
      <w:hyperlink w:anchor="_Toc209424524" w:history="1">
        <w:r w:rsidRPr="006127F7">
          <w:rPr>
            <w:rStyle w:val="Hyperlink"/>
          </w:rPr>
          <w:t>Part 4: Annual financial statements</w:t>
        </w:r>
        <w:r>
          <w:rPr>
            <w:webHidden/>
          </w:rPr>
          <w:tab/>
        </w:r>
        <w:r>
          <w:rPr>
            <w:webHidden/>
          </w:rPr>
          <w:fldChar w:fldCharType="begin"/>
        </w:r>
        <w:r>
          <w:rPr>
            <w:webHidden/>
          </w:rPr>
          <w:instrText xml:space="preserve"> PAGEREF _Toc209424524 \h </w:instrText>
        </w:r>
        <w:r>
          <w:rPr>
            <w:webHidden/>
          </w:rPr>
        </w:r>
        <w:r>
          <w:rPr>
            <w:webHidden/>
          </w:rPr>
          <w:fldChar w:fldCharType="separate"/>
        </w:r>
        <w:r w:rsidR="00F60EAA">
          <w:rPr>
            <w:webHidden/>
          </w:rPr>
          <w:t>109</w:t>
        </w:r>
        <w:r>
          <w:rPr>
            <w:webHidden/>
          </w:rPr>
          <w:fldChar w:fldCharType="end"/>
        </w:r>
      </w:hyperlink>
    </w:p>
    <w:p w14:paraId="3BB16696" w14:textId="70457DC9" w:rsidR="00AE2DD7" w:rsidRDefault="00AE2DD7">
      <w:pPr>
        <w:pStyle w:val="TOC1"/>
        <w:rPr>
          <w:rFonts w:asciiTheme="minorHAnsi" w:hAnsiTheme="minorHAnsi" w:cstheme="minorBidi"/>
          <w:b w:val="0"/>
          <w:color w:val="auto"/>
          <w:kern w:val="2"/>
          <w:sz w:val="24"/>
          <w:szCs w:val="24"/>
          <w14:ligatures w14:val="standardContextual"/>
        </w:rPr>
      </w:pPr>
      <w:hyperlink w:anchor="_Toc209424566" w:history="1">
        <w:r w:rsidRPr="006127F7">
          <w:rPr>
            <w:rStyle w:val="Hyperlink"/>
          </w:rPr>
          <w:t>Part 5: Aids to access</w:t>
        </w:r>
        <w:r>
          <w:rPr>
            <w:webHidden/>
          </w:rPr>
          <w:tab/>
        </w:r>
        <w:r>
          <w:rPr>
            <w:webHidden/>
          </w:rPr>
          <w:fldChar w:fldCharType="begin"/>
        </w:r>
        <w:r>
          <w:rPr>
            <w:webHidden/>
          </w:rPr>
          <w:instrText xml:space="preserve"> PAGEREF _Toc209424566 \h </w:instrText>
        </w:r>
        <w:r>
          <w:rPr>
            <w:webHidden/>
          </w:rPr>
        </w:r>
        <w:r>
          <w:rPr>
            <w:webHidden/>
          </w:rPr>
          <w:fldChar w:fldCharType="separate"/>
        </w:r>
        <w:r w:rsidR="00F60EAA">
          <w:rPr>
            <w:webHidden/>
          </w:rPr>
          <w:t>183</w:t>
        </w:r>
        <w:r>
          <w:rPr>
            <w:webHidden/>
          </w:rPr>
          <w:fldChar w:fldCharType="end"/>
        </w:r>
      </w:hyperlink>
    </w:p>
    <w:p w14:paraId="37E92B65" w14:textId="5C5DF070" w:rsidR="007B65D0" w:rsidRDefault="00F42AE8" w:rsidP="00DF323E">
      <w:pPr>
        <w:pStyle w:val="TOC1"/>
        <w:rPr>
          <w:rStyle w:val="Hyperlink"/>
          <w:sz w:val="22"/>
          <w:u w:val="none"/>
        </w:rPr>
        <w:sectPr w:rsidR="007B65D0" w:rsidSect="001E2AEB">
          <w:headerReference w:type="even" r:id="rId24"/>
          <w:headerReference w:type="default" r:id="rId25"/>
          <w:footerReference w:type="even" r:id="rId26"/>
          <w:type w:val="oddPage"/>
          <w:pgSz w:w="11907" w:h="16840" w:code="9"/>
          <w:pgMar w:top="2835" w:right="2098" w:bottom="2466" w:left="2098" w:header="1814" w:footer="1814" w:gutter="0"/>
          <w:pgNumType w:fmt="lowerRoman"/>
          <w:cols w:space="708"/>
          <w:docGrid w:linePitch="360"/>
        </w:sectPr>
      </w:pPr>
      <w:r w:rsidRPr="00DF323E">
        <w:rPr>
          <w:rStyle w:val="Hyperlink"/>
          <w:sz w:val="22"/>
          <w:u w:val="none"/>
        </w:rPr>
        <w:fldChar w:fldCharType="end"/>
      </w:r>
    </w:p>
    <w:p w14:paraId="69D8FD07" w14:textId="77777777" w:rsidR="00D94CC6" w:rsidRDefault="00E35A3A" w:rsidP="00CE0BF9">
      <w:pPr>
        <w:pStyle w:val="Heading1"/>
        <w:rPr>
          <w:noProof/>
        </w:rPr>
      </w:pPr>
      <w:bookmarkStart w:id="102" w:name="_Toc170216949"/>
      <w:bookmarkStart w:id="103" w:name="_Toc170217117"/>
      <w:bookmarkStart w:id="104" w:name="_Toc170286077"/>
      <w:bookmarkStart w:id="105" w:name="_Toc202192245"/>
      <w:bookmarkStart w:id="106" w:name="_Toc202192958"/>
      <w:bookmarkStart w:id="107" w:name="_Toc205474282"/>
      <w:bookmarkStart w:id="108" w:name="_Toc207792869"/>
      <w:bookmarkStart w:id="109" w:name="_Toc207795636"/>
      <w:bookmarkStart w:id="110" w:name="_Toc207796027"/>
      <w:bookmarkStart w:id="111" w:name="_Toc207796909"/>
      <w:bookmarkStart w:id="112" w:name="_Toc207797286"/>
      <w:bookmarkStart w:id="113" w:name="_Toc208913961"/>
      <w:bookmarkStart w:id="114" w:name="_Toc209424462"/>
      <w:bookmarkStart w:id="115" w:name="_Toc209424579"/>
      <w:r>
        <w:lastRenderedPageBreak/>
        <w:t>202</w:t>
      </w:r>
      <w:r w:rsidR="00932C26">
        <w:t>4</w:t>
      </w:r>
      <w:r>
        <w:t>–2</w:t>
      </w:r>
      <w:r w:rsidR="00932C26">
        <w:t>5</w:t>
      </w:r>
      <w:r>
        <w:t xml:space="preserve"> Activities</w:t>
      </w:r>
      <w:bookmarkStart w:id="116" w:name="_Toc170216951"/>
      <w:bookmarkStart w:id="117" w:name="_Toc170217119"/>
      <w:bookmarkStart w:id="118" w:name="_Toc170286079"/>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00506326">
        <w:rPr>
          <w:noProof/>
        </w:rPr>
        <w:t xml:space="preserve"> </w:t>
      </w:r>
    </w:p>
    <w:p w14:paraId="767AD443" w14:textId="446FD706" w:rsidR="005E4834" w:rsidRDefault="00D94CC6" w:rsidP="00CE0BF9">
      <w:pPr>
        <w:pStyle w:val="Heading1"/>
        <w:rPr>
          <w:noProof/>
        </w:rPr>
      </w:pPr>
      <w:r>
        <w:rPr>
          <w:noProof/>
        </w:rPr>
        <w:drawing>
          <wp:inline distT="0" distB="0" distL="0" distR="0" wp14:anchorId="310F98C1" wp14:editId="3E63FA22">
            <wp:extent cx="4893310" cy="5763895"/>
            <wp:effectExtent l="0" t="0" r="2540" b="8255"/>
            <wp:docPr id="1014636999" name="Graphic 3" descr="High level summary of AOFM's key activities: issuance program was achieved; tenders were well-received; yields were similar to last year; issued $2bil in green bonds; weighted average maturity was 9.1 years; overdraft facility was not used; all government expenditure was met; high cash liquidity maintained; 4 investments held by ABSF with 8% investment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36999" name="Graphic 3" descr="High level summary of AOFM's key activities: issuance program was achieved; tenders were well-received; yields were similar to last year; issued $2bil in green bonds; weighted average maturity was 9.1 years; overdraft facility was not used; all government expenditure was met; high cash liquidity maintained; 4 investments held by ABSF with 8% investment return."/>
                    <pic:cNvPicPr/>
                  </pic:nvPicPr>
                  <pic:blipFill>
                    <a:blip r:embed="rId27">
                      <a:extLst>
                        <a:ext uri="{96DAC541-7B7A-43D3-8B79-37D633B846F1}">
                          <asvg:svgBlip xmlns:asvg="http://schemas.microsoft.com/office/drawing/2016/SVG/main" r:embed="rId28"/>
                        </a:ext>
                      </a:extLst>
                    </a:blip>
                    <a:stretch>
                      <a:fillRect/>
                    </a:stretch>
                  </pic:blipFill>
                  <pic:spPr>
                    <a:xfrm>
                      <a:off x="0" y="0"/>
                      <a:ext cx="4893310" cy="5763895"/>
                    </a:xfrm>
                    <a:prstGeom prst="rect">
                      <a:avLst/>
                    </a:prstGeom>
                  </pic:spPr>
                </pic:pic>
              </a:graphicData>
            </a:graphic>
          </wp:inline>
        </w:drawing>
      </w:r>
    </w:p>
    <w:p w14:paraId="5457BD02" w14:textId="09C1387A" w:rsidR="00534A4A" w:rsidRDefault="00534A4A">
      <w:pPr>
        <w:spacing w:after="0" w:line="240" w:lineRule="auto"/>
        <w:rPr>
          <w:rFonts w:eastAsiaTheme="majorEastAsia" w:cs="Times New Roman (Headings CS)"/>
          <w:b/>
          <w:caps/>
          <w:color w:val="2A114C"/>
          <w:sz w:val="44"/>
          <w:szCs w:val="32"/>
        </w:rPr>
      </w:pPr>
      <w:bookmarkStart w:id="119" w:name="_Toc202192247"/>
      <w:bookmarkStart w:id="120" w:name="_Toc202192960"/>
      <w:bookmarkStart w:id="121" w:name="_Toc205474283"/>
      <w:bookmarkStart w:id="122" w:name="_Toc207792870"/>
      <w:bookmarkStart w:id="123" w:name="_Toc207795637"/>
      <w:bookmarkStart w:id="124" w:name="_Toc207796028"/>
      <w:bookmarkStart w:id="125" w:name="_Toc207796910"/>
      <w:bookmarkStart w:id="126" w:name="_Toc207797287"/>
      <w:bookmarkStart w:id="127" w:name="_Toc208913962"/>
      <w:bookmarkStart w:id="128" w:name="_Toc209424463"/>
      <w:bookmarkStart w:id="129" w:name="_Toc209424580"/>
      <w:r>
        <w:br w:type="page"/>
      </w:r>
    </w:p>
    <w:p w14:paraId="612E0ED7" w14:textId="727D84AC" w:rsidR="00AF0543" w:rsidRDefault="00FF018A" w:rsidP="00CE0BF9">
      <w:pPr>
        <w:pStyle w:val="Heading1"/>
      </w:pPr>
      <w:r>
        <w:lastRenderedPageBreak/>
        <w:t xml:space="preserve">Our </w:t>
      </w:r>
      <w:r w:rsidR="00E35A3A">
        <w:t>Portfolio</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7EC12D31" w14:textId="01C2112A" w:rsidR="005F5E93" w:rsidRDefault="00D94CC6" w:rsidP="005F5E93">
      <w:pPr>
        <w:rPr>
          <w:noProof/>
        </w:rPr>
        <w:sectPr w:rsidR="005F5E93" w:rsidSect="001E2AEB">
          <w:headerReference w:type="default" r:id="rId29"/>
          <w:type w:val="evenPage"/>
          <w:pgSz w:w="11907" w:h="16840" w:code="9"/>
          <w:pgMar w:top="2835" w:right="2098" w:bottom="2466" w:left="2098" w:header="1814" w:footer="1814" w:gutter="0"/>
          <w:pgNumType w:fmt="lowerRoman"/>
          <w:cols w:space="708"/>
          <w:docGrid w:linePitch="360"/>
        </w:sectPr>
      </w:pPr>
      <w:r>
        <w:rPr>
          <w:noProof/>
        </w:rPr>
        <w:drawing>
          <wp:inline distT="0" distB="0" distL="0" distR="0" wp14:anchorId="0D19170F" wp14:editId="28DD118E">
            <wp:extent cx="4896485" cy="6735570"/>
            <wp:effectExtent l="0" t="0" r="0" b="8255"/>
            <wp:docPr id="227811540" name="Graphic 3" descr="This is a snapshot of AOFM's portfolio showing the trend in a few indicators over the last 3 years notably: an increasing trend in outstanding value of Australian Government securities and debt servicing costs; cash balances and interest return in less than last year; ASBF investment has increased from last year and SFSF had no investments at 30 June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11540" name="Graphic 3" descr="This is a snapshot of AOFM's portfolio showing the trend in a few indicators over the last 3 years notably: an increasing trend in outstanding value of Australian Government securities and debt servicing costs; cash balances and interest return in less than last year; ASBF investment has increased from last year and SFSF had no investments at 30 June 2025.&#10;"/>
                    <pic:cNvPicPr/>
                  </pic:nvPicPr>
                  <pic:blipFill>
                    <a:blip r:embed="rId30">
                      <a:extLst>
                        <a:ext uri="{96DAC541-7B7A-43D3-8B79-37D633B846F1}">
                          <asvg:svgBlip xmlns:asvg="http://schemas.microsoft.com/office/drawing/2016/SVG/main" r:embed="rId31"/>
                        </a:ext>
                      </a:extLst>
                    </a:blip>
                    <a:stretch>
                      <a:fillRect/>
                    </a:stretch>
                  </pic:blipFill>
                  <pic:spPr>
                    <a:xfrm>
                      <a:off x="0" y="0"/>
                      <a:ext cx="4896485" cy="6735570"/>
                    </a:xfrm>
                    <a:prstGeom prst="rect">
                      <a:avLst/>
                    </a:prstGeom>
                  </pic:spPr>
                </pic:pic>
              </a:graphicData>
            </a:graphic>
          </wp:inline>
        </w:drawing>
      </w:r>
    </w:p>
    <w:p w14:paraId="033EA6AC" w14:textId="112C20D1" w:rsidR="009B74B3" w:rsidRDefault="00513543" w:rsidP="006B4C10">
      <w:pPr>
        <w:pStyle w:val="PartTitle"/>
      </w:pPr>
      <w:bookmarkStart w:id="130" w:name="_Toc145684446"/>
      <w:bookmarkStart w:id="131" w:name="_Toc145685046"/>
      <w:bookmarkStart w:id="132" w:name="_Toc145685999"/>
      <w:bookmarkStart w:id="133" w:name="_Toc145686198"/>
      <w:bookmarkStart w:id="134" w:name="_Toc145686397"/>
      <w:bookmarkStart w:id="135" w:name="_Toc145686698"/>
      <w:bookmarkStart w:id="136" w:name="_Toc146104017"/>
      <w:bookmarkStart w:id="137" w:name="_Toc209424464"/>
      <w:r>
        <w:lastRenderedPageBreak/>
        <w:t xml:space="preserve">Part </w:t>
      </w:r>
      <w:r w:rsidR="00D63B04">
        <w:t>1</w:t>
      </w:r>
      <w:r w:rsidR="006C6C61" w:rsidRPr="006534F5">
        <w:t>: Overview</w:t>
      </w:r>
      <w:bookmarkEnd w:id="130"/>
      <w:bookmarkEnd w:id="131"/>
      <w:bookmarkEnd w:id="132"/>
      <w:bookmarkEnd w:id="133"/>
      <w:bookmarkEnd w:id="134"/>
      <w:bookmarkEnd w:id="135"/>
      <w:bookmarkEnd w:id="136"/>
      <w:bookmarkEnd w:id="137"/>
      <w:r w:rsidR="006B4C10">
        <w:fldChar w:fldCharType="begin"/>
      </w:r>
      <w:r w:rsidR="006B4C10">
        <w:instrText xml:space="preserve"> TOC \o "1-2" \h \z </w:instrText>
      </w:r>
      <w:r w:rsidR="006B4C10">
        <w:fldChar w:fldCharType="separate"/>
      </w:r>
    </w:p>
    <w:p w14:paraId="03DE0418" w14:textId="79EAD3AC" w:rsidR="009B74B3" w:rsidRDefault="009B74B3">
      <w:pPr>
        <w:pStyle w:val="TOC1"/>
        <w:rPr>
          <w:rFonts w:asciiTheme="minorHAnsi" w:hAnsiTheme="minorHAnsi" w:cstheme="minorBidi"/>
          <w:b w:val="0"/>
          <w:color w:val="auto"/>
          <w:kern w:val="2"/>
          <w:sz w:val="24"/>
          <w:szCs w:val="24"/>
          <w14:ligatures w14:val="standardContextual"/>
        </w:rPr>
      </w:pPr>
      <w:hyperlink w:anchor="_Toc207796911" w:history="1">
        <w:r w:rsidRPr="003C0453">
          <w:rPr>
            <w:rStyle w:val="Hyperlink"/>
          </w:rPr>
          <w:t>A.</w:t>
        </w:r>
        <w:r>
          <w:rPr>
            <w:rFonts w:asciiTheme="minorHAnsi" w:hAnsiTheme="minorHAnsi" w:cstheme="minorBidi"/>
            <w:b w:val="0"/>
            <w:color w:val="auto"/>
            <w:kern w:val="2"/>
            <w:sz w:val="24"/>
            <w:szCs w:val="24"/>
            <w14:ligatures w14:val="standardContextual"/>
          </w:rPr>
          <w:t xml:space="preserve"> </w:t>
        </w:r>
        <w:r w:rsidRPr="003C0453">
          <w:rPr>
            <w:rStyle w:val="Hyperlink"/>
          </w:rPr>
          <w:t>Chief Executive Officer’s review</w:t>
        </w:r>
        <w:r>
          <w:rPr>
            <w:webHidden/>
          </w:rPr>
          <w:tab/>
        </w:r>
        <w:r>
          <w:rPr>
            <w:webHidden/>
          </w:rPr>
          <w:fldChar w:fldCharType="begin"/>
        </w:r>
        <w:r>
          <w:rPr>
            <w:webHidden/>
          </w:rPr>
          <w:instrText xml:space="preserve"> PAGEREF _Toc207796911 \h </w:instrText>
        </w:r>
        <w:r>
          <w:rPr>
            <w:webHidden/>
          </w:rPr>
        </w:r>
        <w:r>
          <w:rPr>
            <w:webHidden/>
          </w:rPr>
          <w:fldChar w:fldCharType="separate"/>
        </w:r>
        <w:r w:rsidR="00F60EAA">
          <w:rPr>
            <w:webHidden/>
          </w:rPr>
          <w:t>3</w:t>
        </w:r>
        <w:r>
          <w:rPr>
            <w:webHidden/>
          </w:rPr>
          <w:fldChar w:fldCharType="end"/>
        </w:r>
      </w:hyperlink>
    </w:p>
    <w:p w14:paraId="774FCFED" w14:textId="3BE2009E" w:rsidR="009B74B3" w:rsidRDefault="009B74B3">
      <w:pPr>
        <w:pStyle w:val="TOC1"/>
        <w:rPr>
          <w:rFonts w:asciiTheme="minorHAnsi" w:hAnsiTheme="minorHAnsi" w:cstheme="minorBidi"/>
          <w:b w:val="0"/>
          <w:color w:val="auto"/>
          <w:kern w:val="2"/>
          <w:sz w:val="24"/>
          <w:szCs w:val="24"/>
          <w14:ligatures w14:val="standardContextual"/>
        </w:rPr>
      </w:pPr>
      <w:hyperlink w:anchor="_Toc207796912" w:history="1">
        <w:r w:rsidRPr="003C0453">
          <w:rPr>
            <w:rStyle w:val="Hyperlink"/>
          </w:rPr>
          <w:t>B.</w:t>
        </w:r>
        <w:r w:rsidRPr="009B74B3">
          <w:rPr>
            <w:rFonts w:asciiTheme="minorHAnsi" w:hAnsiTheme="minorHAnsi" w:cstheme="minorBidi"/>
            <w:b w:val="0"/>
            <w:color w:val="auto"/>
            <w:kern w:val="2"/>
            <w:sz w:val="24"/>
            <w:szCs w:val="24"/>
            <w14:ligatures w14:val="standardContextual"/>
          </w:rPr>
          <w:t xml:space="preserve"> </w:t>
        </w:r>
        <w:r w:rsidRPr="003C0453">
          <w:rPr>
            <w:rStyle w:val="Hyperlink"/>
          </w:rPr>
          <w:t>Role and activities</w:t>
        </w:r>
        <w:r>
          <w:rPr>
            <w:webHidden/>
          </w:rPr>
          <w:tab/>
        </w:r>
        <w:r>
          <w:rPr>
            <w:webHidden/>
          </w:rPr>
          <w:fldChar w:fldCharType="begin"/>
        </w:r>
        <w:r>
          <w:rPr>
            <w:webHidden/>
          </w:rPr>
          <w:instrText xml:space="preserve"> PAGEREF _Toc207796912 \h </w:instrText>
        </w:r>
        <w:r>
          <w:rPr>
            <w:webHidden/>
          </w:rPr>
        </w:r>
        <w:r>
          <w:rPr>
            <w:webHidden/>
          </w:rPr>
          <w:fldChar w:fldCharType="separate"/>
        </w:r>
        <w:r w:rsidR="00F60EAA">
          <w:rPr>
            <w:webHidden/>
          </w:rPr>
          <w:t>6</w:t>
        </w:r>
        <w:r>
          <w:rPr>
            <w:webHidden/>
          </w:rPr>
          <w:fldChar w:fldCharType="end"/>
        </w:r>
      </w:hyperlink>
    </w:p>
    <w:p w14:paraId="5DF50101" w14:textId="3EFFC18D" w:rsidR="009B74B3" w:rsidRDefault="009B74B3">
      <w:pPr>
        <w:pStyle w:val="TOC1"/>
        <w:rPr>
          <w:rFonts w:asciiTheme="minorHAnsi" w:hAnsiTheme="minorHAnsi" w:cstheme="minorBidi"/>
          <w:b w:val="0"/>
          <w:color w:val="auto"/>
          <w:kern w:val="2"/>
          <w:sz w:val="24"/>
          <w:szCs w:val="24"/>
          <w14:ligatures w14:val="standardContextual"/>
        </w:rPr>
      </w:pPr>
      <w:hyperlink w:anchor="_Toc207796916" w:history="1">
        <w:r w:rsidRPr="003C0453">
          <w:rPr>
            <w:rStyle w:val="Hyperlink"/>
          </w:rPr>
          <w:t>C.</w:t>
        </w:r>
        <w:r w:rsidRPr="009B74B3">
          <w:rPr>
            <w:rFonts w:asciiTheme="minorHAnsi" w:hAnsiTheme="minorHAnsi" w:cstheme="minorBidi"/>
            <w:b w:val="0"/>
            <w:color w:val="auto"/>
            <w:kern w:val="2"/>
            <w:sz w:val="24"/>
            <w:szCs w:val="24"/>
            <w14:ligatures w14:val="standardContextual"/>
          </w:rPr>
          <w:t xml:space="preserve"> </w:t>
        </w:r>
        <w:r w:rsidRPr="003C0453">
          <w:rPr>
            <w:rStyle w:val="Hyperlink"/>
          </w:rPr>
          <w:t>Organisational structure</w:t>
        </w:r>
        <w:r>
          <w:rPr>
            <w:webHidden/>
          </w:rPr>
          <w:tab/>
        </w:r>
        <w:r>
          <w:rPr>
            <w:webHidden/>
          </w:rPr>
          <w:fldChar w:fldCharType="begin"/>
        </w:r>
        <w:r>
          <w:rPr>
            <w:webHidden/>
          </w:rPr>
          <w:instrText xml:space="preserve"> PAGEREF _Toc207796916 \h </w:instrText>
        </w:r>
        <w:r>
          <w:rPr>
            <w:webHidden/>
          </w:rPr>
        </w:r>
        <w:r>
          <w:rPr>
            <w:webHidden/>
          </w:rPr>
          <w:fldChar w:fldCharType="separate"/>
        </w:r>
        <w:r w:rsidR="00F60EAA">
          <w:rPr>
            <w:webHidden/>
          </w:rPr>
          <w:t>10</w:t>
        </w:r>
        <w:r>
          <w:rPr>
            <w:webHidden/>
          </w:rPr>
          <w:fldChar w:fldCharType="end"/>
        </w:r>
      </w:hyperlink>
    </w:p>
    <w:p w14:paraId="52B1CE6D" w14:textId="0C92271B" w:rsidR="009B74B3" w:rsidRDefault="009B74B3">
      <w:pPr>
        <w:pStyle w:val="TOC2"/>
        <w:rPr>
          <w:rFonts w:asciiTheme="minorHAnsi" w:eastAsiaTheme="minorEastAsia" w:hAnsiTheme="minorHAnsi" w:cstheme="minorBidi"/>
          <w:color w:val="auto"/>
          <w:kern w:val="2"/>
          <w:sz w:val="24"/>
          <w:szCs w:val="24"/>
          <w:lang w:eastAsia="en-AU"/>
          <w14:ligatures w14:val="standardContextual"/>
        </w:rPr>
      </w:pPr>
    </w:p>
    <w:p w14:paraId="12D0C044" w14:textId="08298630" w:rsidR="006C6C61" w:rsidRPr="00C609E0" w:rsidRDefault="006B4C10" w:rsidP="00C609E0">
      <w:pPr>
        <w:sectPr w:rsidR="006C6C61" w:rsidRPr="00C609E0" w:rsidSect="001E2AEB">
          <w:headerReference w:type="even" r:id="rId32"/>
          <w:headerReference w:type="default" r:id="rId33"/>
          <w:footerReference w:type="even" r:id="rId34"/>
          <w:footerReference w:type="default" r:id="rId35"/>
          <w:headerReference w:type="first" r:id="rId36"/>
          <w:footerReference w:type="first" r:id="rId37"/>
          <w:type w:val="oddPage"/>
          <w:pgSz w:w="11907" w:h="16840" w:code="9"/>
          <w:pgMar w:top="2835" w:right="2098" w:bottom="2466" w:left="2098" w:header="1814" w:footer="1814" w:gutter="0"/>
          <w:pgNumType w:start="1"/>
          <w:cols w:space="708"/>
          <w:docGrid w:linePitch="360"/>
        </w:sectPr>
      </w:pPr>
      <w:r>
        <w:rPr>
          <w:rFonts w:ascii="Open Sans" w:hAnsi="Open Sans"/>
        </w:rPr>
        <w:fldChar w:fldCharType="end"/>
      </w:r>
    </w:p>
    <w:p w14:paraId="6D6CB5B6" w14:textId="1155AD77" w:rsidR="00CF102D" w:rsidRDefault="009C586A" w:rsidP="00592520">
      <w:pPr>
        <w:pStyle w:val="Heading1-alpha"/>
      </w:pPr>
      <w:bookmarkStart w:id="138" w:name="_Toc205474285"/>
      <w:bookmarkStart w:id="139" w:name="_Toc207792871"/>
      <w:bookmarkStart w:id="140" w:name="_Toc207795638"/>
      <w:bookmarkStart w:id="141" w:name="_Toc207796029"/>
      <w:bookmarkStart w:id="142" w:name="_Toc207796911"/>
      <w:bookmarkStart w:id="143" w:name="_Toc207797288"/>
      <w:bookmarkStart w:id="144" w:name="_Toc207800211"/>
      <w:bookmarkStart w:id="145" w:name="_Toc207810789"/>
      <w:bookmarkStart w:id="146" w:name="_Toc208913963"/>
      <w:bookmarkStart w:id="147" w:name="_Toc208914068"/>
      <w:bookmarkStart w:id="148" w:name="_Toc209424465"/>
      <w:bookmarkStart w:id="149" w:name="_Toc209424581"/>
      <w:bookmarkStart w:id="150" w:name="_Toc145684463"/>
      <w:bookmarkStart w:id="151" w:name="_Toc145685063"/>
      <w:bookmarkStart w:id="152" w:name="_Toc145686016"/>
      <w:bookmarkStart w:id="153" w:name="_Toc145686215"/>
      <w:bookmarkStart w:id="154" w:name="_Toc145686414"/>
      <w:bookmarkStart w:id="155" w:name="_Toc145686715"/>
      <w:r>
        <w:lastRenderedPageBreak/>
        <w:t>C</w:t>
      </w:r>
      <w:r w:rsidR="00F12852">
        <w:t>hief</w:t>
      </w:r>
      <w:r>
        <w:t xml:space="preserve"> E</w:t>
      </w:r>
      <w:r w:rsidR="00126AFD">
        <w:t>xecutive</w:t>
      </w:r>
      <w:r>
        <w:t xml:space="preserve"> O</w:t>
      </w:r>
      <w:r w:rsidR="00126AFD">
        <w:t>fficer</w:t>
      </w:r>
      <w:r w:rsidR="00B84FF2">
        <w:t>’</w:t>
      </w:r>
      <w:r w:rsidR="00126AFD">
        <w:t>s</w:t>
      </w:r>
      <w:r>
        <w:t xml:space="preserve"> </w:t>
      </w:r>
      <w:r w:rsidR="00126AFD">
        <w:t>review</w:t>
      </w:r>
      <w:bookmarkEnd w:id="138"/>
      <w:bookmarkEnd w:id="139"/>
      <w:bookmarkEnd w:id="140"/>
      <w:bookmarkEnd w:id="141"/>
      <w:bookmarkEnd w:id="142"/>
      <w:bookmarkEnd w:id="143"/>
      <w:bookmarkEnd w:id="144"/>
      <w:bookmarkEnd w:id="145"/>
      <w:bookmarkEnd w:id="146"/>
      <w:bookmarkEnd w:id="147"/>
      <w:bookmarkEnd w:id="148"/>
      <w:bookmarkEnd w:id="149"/>
    </w:p>
    <w:bookmarkEnd w:id="150"/>
    <w:bookmarkEnd w:id="151"/>
    <w:bookmarkEnd w:id="152"/>
    <w:bookmarkEnd w:id="153"/>
    <w:bookmarkEnd w:id="154"/>
    <w:bookmarkEnd w:id="155"/>
    <w:p w14:paraId="6DD5081A" w14:textId="1EEC593E" w:rsidR="00FE1299" w:rsidRDefault="009F2675" w:rsidP="00C209A3">
      <w:r>
        <w:rPr>
          <w:noProof/>
        </w:rPr>
        <w:drawing>
          <wp:anchor distT="0" distB="36195" distL="0" distR="114300" simplePos="0" relativeHeight="251662339" behindDoc="0" locked="0" layoutInCell="1" allowOverlap="1" wp14:anchorId="4A8A2CDD" wp14:editId="6F978BB3">
            <wp:simplePos x="0" y="0"/>
            <wp:positionH relativeFrom="margin">
              <wp:align>left</wp:align>
            </wp:positionH>
            <wp:positionV relativeFrom="page">
              <wp:posOffset>2750985</wp:posOffset>
            </wp:positionV>
            <wp:extent cx="1384935" cy="1527175"/>
            <wp:effectExtent l="0" t="0" r="5715" b="0"/>
            <wp:wrapSquare wrapText="bothSides"/>
            <wp:docPr id="9648572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57239" name="Picture 1">
                      <a:extLst>
                        <a:ext uri="{C183D7F6-B498-43B3-948B-1728B52AA6E4}">
                          <adec:decorative xmlns:adec="http://schemas.microsoft.com/office/drawing/2017/decorative" val="1"/>
                        </a:ext>
                      </a:extLst>
                    </pic:cNvPr>
                    <pic:cNvPicPr/>
                  </pic:nvPicPr>
                  <pic:blipFill rotWithShape="1">
                    <a:blip r:embed="rId38" cstate="print">
                      <a:extLst>
                        <a:ext uri="{28A0092B-C50C-407E-A947-70E740481C1C}">
                          <a14:useLocalDpi xmlns:a14="http://schemas.microsoft.com/office/drawing/2010/main" val="0"/>
                        </a:ext>
                      </a:extLst>
                    </a:blip>
                    <a:srcRect l="28649" t="3988" r="28439" b="24929"/>
                    <a:stretch/>
                  </pic:blipFill>
                  <pic:spPr bwMode="auto">
                    <a:xfrm>
                      <a:off x="0" y="0"/>
                      <a:ext cx="1384935" cy="1527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8794E6D">
        <w:t>Global uncertainty remained a theme throughout 2024</w:t>
      </w:r>
      <w:r w:rsidR="00FA68AE">
        <w:t>–</w:t>
      </w:r>
      <w:r w:rsidR="08794E6D">
        <w:t>25</w:t>
      </w:r>
      <w:r w:rsidR="00EB6596">
        <w:t>,</w:t>
      </w:r>
      <w:r w:rsidR="08794E6D">
        <w:t xml:space="preserve"> with </w:t>
      </w:r>
      <w:r w:rsidR="08794E6D" w:rsidRPr="36245760">
        <w:t xml:space="preserve">events in April 2025 </w:t>
      </w:r>
      <w:r w:rsidR="00003E99">
        <w:t xml:space="preserve">widely regarded </w:t>
      </w:r>
      <w:r w:rsidR="00066B0D">
        <w:t xml:space="preserve">as marking the onset </w:t>
      </w:r>
      <w:r w:rsidR="08794E6D" w:rsidRPr="36245760">
        <w:t>of</w:t>
      </w:r>
      <w:r w:rsidR="21905456" w:rsidRPr="36245760">
        <w:t xml:space="preserve"> </w:t>
      </w:r>
      <w:r w:rsidR="08794E6D" w:rsidRPr="36245760">
        <w:t xml:space="preserve">the most uncertain times since the </w:t>
      </w:r>
      <w:r w:rsidR="00BE5949">
        <w:t>COVID</w:t>
      </w:r>
      <w:r w:rsidR="00B84FF2">
        <w:noBreakHyphen/>
      </w:r>
      <w:r w:rsidR="002F28EE">
        <w:t xml:space="preserve">19 </w:t>
      </w:r>
      <w:r w:rsidR="08794E6D" w:rsidRPr="36245760">
        <w:t>pandemic.</w:t>
      </w:r>
      <w:r w:rsidR="00E25931">
        <w:t xml:space="preserve"> </w:t>
      </w:r>
      <w:r w:rsidR="00642C7D">
        <w:t xml:space="preserve">Amid </w:t>
      </w:r>
      <w:r w:rsidR="00F811B5">
        <w:t>these challenging conditions</w:t>
      </w:r>
      <w:r w:rsidR="00E25931" w:rsidRPr="00E25931">
        <w:t>, the AOFM</w:t>
      </w:r>
      <w:r w:rsidR="00B84FF2">
        <w:t>’</w:t>
      </w:r>
      <w:r w:rsidR="00E25931" w:rsidRPr="00E25931">
        <w:t>s well</w:t>
      </w:r>
      <w:r w:rsidR="00B84FF2">
        <w:noBreakHyphen/>
      </w:r>
      <w:r w:rsidR="00E25931" w:rsidRPr="00E25931">
        <w:t xml:space="preserve">established bond issuance framework </w:t>
      </w:r>
      <w:r w:rsidR="001E10AC">
        <w:t>proved to be ro</w:t>
      </w:r>
      <w:r w:rsidR="00254028">
        <w:t>bust and effective</w:t>
      </w:r>
      <w:r w:rsidR="00FD5036">
        <w:t xml:space="preserve"> in maintaining market confidence and ensuring the continuity of funding operations</w:t>
      </w:r>
      <w:r w:rsidR="00E25931" w:rsidRPr="00E25931">
        <w:t>.</w:t>
      </w:r>
      <w:r w:rsidR="487358CE" w:rsidRPr="36245760">
        <w:t xml:space="preserve"> </w:t>
      </w:r>
      <w:r w:rsidR="00E25931">
        <w:t>Our</w:t>
      </w:r>
      <w:r w:rsidR="2710DB82" w:rsidRPr="36245760">
        <w:t xml:space="preserve"> </w:t>
      </w:r>
      <w:r w:rsidR="007C7D61">
        <w:t>F</w:t>
      </w:r>
      <w:r w:rsidR="00E25931">
        <w:t>unding, Strategy and Research (FSR)</w:t>
      </w:r>
      <w:r w:rsidR="007C7D61">
        <w:t xml:space="preserve"> </w:t>
      </w:r>
      <w:r w:rsidR="00F4086A" w:rsidRPr="00F4086A">
        <w:t>team demonstrated strong leadership and expertise in navigating the heightened market volatility, earning broad recognition and appreciation from market participants.</w:t>
      </w:r>
      <w:r w:rsidR="1ED0F4FF" w:rsidRPr="36245760">
        <w:t xml:space="preserve"> </w:t>
      </w:r>
    </w:p>
    <w:p w14:paraId="6D20FF4B" w14:textId="2DF861EE" w:rsidR="1231E16D" w:rsidRDefault="00CF1B97" w:rsidP="36245760">
      <w:r w:rsidRPr="00E67FE4">
        <w:t>Overall, 2024</w:t>
      </w:r>
      <w:r w:rsidR="00EB6596">
        <w:t>–</w:t>
      </w:r>
      <w:r w:rsidRPr="00E67FE4">
        <w:t xml:space="preserve">25 presented the AOFM with </w:t>
      </w:r>
      <w:r w:rsidR="006F586C" w:rsidRPr="00E67FE4">
        <w:t xml:space="preserve">its biggest </w:t>
      </w:r>
      <w:r w:rsidR="00EF7749" w:rsidRPr="00E67FE4">
        <w:t xml:space="preserve">refinancing task and our biggest </w:t>
      </w:r>
      <w:r w:rsidR="006F586C" w:rsidRPr="00E67FE4">
        <w:t>issuance task</w:t>
      </w:r>
      <w:r w:rsidR="00EF7749" w:rsidRPr="00E67FE4">
        <w:t xml:space="preserve"> since the high of 2020</w:t>
      </w:r>
      <w:r w:rsidR="006F586C" w:rsidRPr="00E67FE4">
        <w:t xml:space="preserve">. </w:t>
      </w:r>
      <w:r w:rsidR="00EF7749" w:rsidRPr="00E67FE4">
        <w:t>In summary</w:t>
      </w:r>
      <w:r w:rsidR="00EB6596">
        <w:t>,</w:t>
      </w:r>
      <w:r w:rsidR="00EF7749" w:rsidRPr="00E67FE4">
        <w:t xml:space="preserve"> we issued $98</w:t>
      </w:r>
      <w:r w:rsidR="00AB1D24" w:rsidRPr="00E67FE4">
        <w:t>.</w:t>
      </w:r>
      <w:r w:rsidR="00D6281D" w:rsidRPr="00E67FE4">
        <w:t>6</w:t>
      </w:r>
      <w:r w:rsidR="00AB1D24" w:rsidRPr="00E67FE4">
        <w:t xml:space="preserve"> billion in Treasury Bonds with an issuance weighted average maturity of 9.15 years</w:t>
      </w:r>
      <w:r w:rsidR="00EB6596">
        <w:t>,</w:t>
      </w:r>
      <w:r w:rsidR="00AB1D24" w:rsidRPr="00E67FE4">
        <w:t xml:space="preserve"> which was </w:t>
      </w:r>
      <w:r w:rsidR="00F2405A" w:rsidRPr="00E67FE4">
        <w:t xml:space="preserve">well within our target range. </w:t>
      </w:r>
      <w:r w:rsidR="003B6841" w:rsidRPr="00E67FE4">
        <w:t>We held two Treasury Bond syndications</w:t>
      </w:r>
      <w:r w:rsidR="00EB6596">
        <w:t>,</w:t>
      </w:r>
      <w:r w:rsidR="003B6841" w:rsidRPr="00E67FE4">
        <w:t xml:space="preserve"> establishing </w:t>
      </w:r>
      <w:r w:rsidR="00EB6596">
        <w:t>2</w:t>
      </w:r>
      <w:r w:rsidR="00EB6596" w:rsidRPr="00E67FE4">
        <w:t xml:space="preserve"> </w:t>
      </w:r>
      <w:r w:rsidR="003B6841" w:rsidRPr="00E67FE4">
        <w:t>new 11</w:t>
      </w:r>
      <w:r w:rsidR="00EB6596">
        <w:rPr>
          <w:rFonts w:ascii="Cambria Math" w:hAnsi="Cambria Math"/>
        </w:rPr>
        <w:t>‑</w:t>
      </w:r>
      <w:r w:rsidR="007966ED" w:rsidRPr="00E67FE4">
        <w:t>year bonds</w:t>
      </w:r>
      <w:r w:rsidR="00EB6596">
        <w:t xml:space="preserve"> and</w:t>
      </w:r>
      <w:r w:rsidR="00EB6596" w:rsidRPr="00E67FE4">
        <w:t xml:space="preserve"> </w:t>
      </w:r>
      <w:r w:rsidR="007966ED" w:rsidRPr="00E67FE4">
        <w:t xml:space="preserve">raising $26.5 billion. The syndication of the March </w:t>
      </w:r>
      <w:r w:rsidR="005F3D88" w:rsidRPr="00E67FE4">
        <w:t>2036</w:t>
      </w:r>
      <w:r w:rsidR="00152540" w:rsidRPr="00E67FE4">
        <w:t xml:space="preserve"> line</w:t>
      </w:r>
      <w:r w:rsidR="00534F32" w:rsidRPr="00E67FE4">
        <w:t xml:space="preserve"> </w:t>
      </w:r>
      <w:r w:rsidR="00B26F34" w:rsidRPr="00E67FE4">
        <w:t xml:space="preserve">saw the </w:t>
      </w:r>
      <w:r w:rsidR="00EB6598" w:rsidRPr="00E67FE4">
        <w:t xml:space="preserve">largest ever order book for an </w:t>
      </w:r>
      <w:r w:rsidR="00531E21">
        <w:t>Australian dollar–</w:t>
      </w:r>
      <w:r w:rsidR="00EB6598" w:rsidRPr="00E67FE4">
        <w:t>denominated bond.</w:t>
      </w:r>
      <w:r w:rsidR="00605E02" w:rsidRPr="00E67FE4">
        <w:t xml:space="preserve"> </w:t>
      </w:r>
      <w:r w:rsidR="00A75EE8" w:rsidRPr="00E67FE4">
        <w:t>With the A</w:t>
      </w:r>
      <w:r w:rsidR="00EF5D2D" w:rsidRPr="00E67FE4">
        <w:t xml:space="preserve">ustralian Bureau of Statistics </w:t>
      </w:r>
      <w:r w:rsidR="00A8271B" w:rsidRPr="00E67FE4">
        <w:t>announcing it will</w:t>
      </w:r>
      <w:r w:rsidR="00A75EE8" w:rsidRPr="00E67FE4">
        <w:t xml:space="preserve"> begin publishing a full monthly C</w:t>
      </w:r>
      <w:r w:rsidR="00AD5BDA" w:rsidRPr="00E67FE4">
        <w:t xml:space="preserve">onsumer </w:t>
      </w:r>
      <w:r w:rsidR="00A75EE8" w:rsidRPr="00E67FE4">
        <w:t>P</w:t>
      </w:r>
      <w:r w:rsidR="00AD5BDA" w:rsidRPr="00E67FE4">
        <w:t xml:space="preserve">rice </w:t>
      </w:r>
      <w:r w:rsidR="00A75EE8" w:rsidRPr="00E67FE4">
        <w:t>I</w:t>
      </w:r>
      <w:r w:rsidR="00AD5BDA" w:rsidRPr="00E67FE4">
        <w:t>ndex (CPI)</w:t>
      </w:r>
      <w:r w:rsidR="00A75EE8" w:rsidRPr="00E67FE4">
        <w:t xml:space="preserve"> series from late 2025, work commenced on developing a new inflation</w:t>
      </w:r>
      <w:r w:rsidR="00B84FF2">
        <w:noBreakHyphen/>
      </w:r>
      <w:r w:rsidR="00A75EE8" w:rsidRPr="00E67FE4">
        <w:t>linked security referencing monthly CPI. While first issuance isn</w:t>
      </w:r>
      <w:r w:rsidR="00B84FF2">
        <w:t>’</w:t>
      </w:r>
      <w:r w:rsidR="00A75EE8" w:rsidRPr="00E67FE4">
        <w:t>t expected until 2026</w:t>
      </w:r>
      <w:r w:rsidR="00EB6596">
        <w:t>–</w:t>
      </w:r>
      <w:r w:rsidR="00A75EE8" w:rsidRPr="00E67FE4">
        <w:t>27 (at</w:t>
      </w:r>
      <w:r w:rsidR="0017672B">
        <w:t> </w:t>
      </w:r>
      <w:r w:rsidR="00A75EE8" w:rsidRPr="00E67FE4">
        <w:t xml:space="preserve">the earliest), the AOFM worked closely with </w:t>
      </w:r>
      <w:r w:rsidR="00B473D6" w:rsidRPr="00E67FE4">
        <w:t xml:space="preserve">the </w:t>
      </w:r>
      <w:r w:rsidR="00A75EE8" w:rsidRPr="00E67FE4">
        <w:t>A</w:t>
      </w:r>
      <w:r w:rsidR="00B473D6" w:rsidRPr="00E67FE4">
        <w:t xml:space="preserve">ustralian Financial Markets Association </w:t>
      </w:r>
      <w:r w:rsidR="00A75EE8" w:rsidRPr="00E67FE4">
        <w:t>and market participants on the key design elements of the new security throughout the year</w:t>
      </w:r>
      <w:r w:rsidR="00B473D6" w:rsidRPr="00E67FE4">
        <w:t>.</w:t>
      </w:r>
    </w:p>
    <w:p w14:paraId="2DCBFAFF" w14:textId="2023789B" w:rsidR="00066195" w:rsidRPr="00C813DF" w:rsidRDefault="00066195" w:rsidP="00066195">
      <w:r w:rsidRPr="008A6FE3">
        <w:t xml:space="preserve">The first Australian Government Green Treasury Bond Allocation and Impact Report </w:t>
      </w:r>
      <w:r>
        <w:t xml:space="preserve">was released </w:t>
      </w:r>
      <w:r w:rsidRPr="008A6FE3">
        <w:t xml:space="preserve">in </w:t>
      </w:r>
      <w:r>
        <w:t>February</w:t>
      </w:r>
      <w:r w:rsidRPr="008A6FE3">
        <w:t xml:space="preserve"> 2025. </w:t>
      </w:r>
      <w:r>
        <w:t>Seventy</w:t>
      </w:r>
      <w:r w:rsidR="00B84FF2">
        <w:noBreakHyphen/>
      </w:r>
      <w:r>
        <w:t>eight</w:t>
      </w:r>
      <w:r w:rsidRPr="008A6FE3">
        <w:t xml:space="preserve"> per cent of proceeds were allocated toward</w:t>
      </w:r>
      <w:r w:rsidR="00355A93">
        <w:t>s</w:t>
      </w:r>
      <w:r w:rsidRPr="008A6FE3">
        <w:t xml:space="preserve"> climate change mitigation</w:t>
      </w:r>
      <w:r>
        <w:t xml:space="preserve"> projects</w:t>
      </w:r>
      <w:r w:rsidRPr="008A6FE3">
        <w:t>, with the balance allocated toward</w:t>
      </w:r>
      <w:r w:rsidR="00355A93">
        <w:t>s</w:t>
      </w:r>
      <w:r w:rsidRPr="008A6FE3">
        <w:t xml:space="preserve"> improved environmental outcomes and climate change adaptation projects. The report was well received by investors and other stakeholders, who appreciated the quality</w:t>
      </w:r>
      <w:r w:rsidRPr="49398AAC">
        <w:t xml:space="preserve">, </w:t>
      </w:r>
      <w:r w:rsidRPr="008A6FE3">
        <w:t xml:space="preserve">depth </w:t>
      </w:r>
      <w:r w:rsidRPr="49398AAC">
        <w:t xml:space="preserve">and </w:t>
      </w:r>
      <w:r w:rsidRPr="1B13289E">
        <w:t>timeliness of</w:t>
      </w:r>
      <w:r w:rsidRPr="008A6FE3">
        <w:t xml:space="preserve"> information provided.</w:t>
      </w:r>
      <w:r>
        <w:t xml:space="preserve"> </w:t>
      </w:r>
      <w:r w:rsidRPr="48DFE516">
        <w:t>The green bond continues to perform well in the market, with the AOFM issuing $2 billion in 2024</w:t>
      </w:r>
      <w:r w:rsidR="00BB34BE">
        <w:t>–</w:t>
      </w:r>
      <w:r w:rsidRPr="48DFE516">
        <w:t xml:space="preserve">25. This has seen the total size of the program grow to $9 billion. </w:t>
      </w:r>
    </w:p>
    <w:p w14:paraId="44574C2E" w14:textId="435EB60A" w:rsidR="5F764BA7" w:rsidRDefault="00C03719" w:rsidP="00C412D5">
      <w:pPr>
        <w:rPr>
          <w:rFonts w:ascii="Aptos" w:eastAsia="Aptos" w:hAnsi="Aptos" w:cs="Aptos"/>
          <w:sz w:val="22"/>
          <w:szCs w:val="22"/>
        </w:rPr>
      </w:pPr>
      <w:r>
        <w:t>In January, the AOFM exited the last of the investments made through the Structured Finance Support Fund</w:t>
      </w:r>
      <w:r w:rsidR="00595EA3">
        <w:t xml:space="preserve"> (SFSF)</w:t>
      </w:r>
      <w:r>
        <w:t>. The enabling legislation for the SFSF provided up to $</w:t>
      </w:r>
      <w:r w:rsidR="00BB34BE">
        <w:t>15 </w:t>
      </w:r>
      <w:r>
        <w:t>billion of investment</w:t>
      </w:r>
      <w:r w:rsidR="00BB34BE">
        <w:t>, and t</w:t>
      </w:r>
      <w:r>
        <w:t xml:space="preserve">otal investment and commitments peaked near $4 billion </w:t>
      </w:r>
      <w:r>
        <w:lastRenderedPageBreak/>
        <w:t xml:space="preserve">through early 2021. Investments by the AOFM covered public securities, private warehouses and the </w:t>
      </w:r>
      <w:r w:rsidR="00BE5949">
        <w:t>f</w:t>
      </w:r>
      <w:r>
        <w:t>orbearance S</w:t>
      </w:r>
      <w:r w:rsidR="00B42ABE">
        <w:t xml:space="preserve">pecial </w:t>
      </w:r>
      <w:r>
        <w:t>P</w:t>
      </w:r>
      <w:r w:rsidR="00B42ABE">
        <w:t xml:space="preserve">urpose </w:t>
      </w:r>
      <w:r>
        <w:t>V</w:t>
      </w:r>
      <w:r w:rsidR="00B42ABE">
        <w:t>ehicle</w:t>
      </w:r>
      <w:r>
        <w:t xml:space="preserve">. As financial market conditions improved following the </w:t>
      </w:r>
      <w:r w:rsidR="00BE5949">
        <w:t>COVID</w:t>
      </w:r>
      <w:r w:rsidR="00B84FF2">
        <w:noBreakHyphen/>
      </w:r>
      <w:r>
        <w:t>19 pandemic, the AOFM</w:t>
      </w:r>
      <w:r w:rsidR="00B84FF2">
        <w:t>’</w:t>
      </w:r>
      <w:r>
        <w:t>s SFSF investments were steadily repaid. This was through a mix of amortisation, redemption, replacement and asset sales</w:t>
      </w:r>
      <w:r w:rsidR="00BB34BE">
        <w:t xml:space="preserve">, the latter of </w:t>
      </w:r>
      <w:r>
        <w:t xml:space="preserve">which occurred in January 2025. Through the SFSF, the AOFM provided funding to a wide range of consumer and business lenders impacted by the </w:t>
      </w:r>
      <w:r w:rsidR="00BE5949">
        <w:t>COVID</w:t>
      </w:r>
      <w:r w:rsidR="00B84FF2">
        <w:noBreakHyphen/>
      </w:r>
      <w:r>
        <w:t>19 pandemic</w:t>
      </w:r>
      <w:r w:rsidR="009F17E4">
        <w:t xml:space="preserve">; </w:t>
      </w:r>
      <w:r>
        <w:t xml:space="preserve">met its core </w:t>
      </w:r>
      <w:r w:rsidR="009F17E4">
        <w:t xml:space="preserve">key performance indicator </w:t>
      </w:r>
      <w:r>
        <w:t>for the SFSF</w:t>
      </w:r>
      <w:r w:rsidR="009F17E4">
        <w:t xml:space="preserve">; </w:t>
      </w:r>
      <w:r>
        <w:t>delivered a positive return after expenses</w:t>
      </w:r>
      <w:r w:rsidR="009F17E4">
        <w:t>;</w:t>
      </w:r>
      <w:r>
        <w:t xml:space="preserve"> and exited investments in</w:t>
      </w:r>
      <w:r w:rsidR="009F17E4">
        <w:t xml:space="preserve"> an orderly manner that was not disruptive to</w:t>
      </w:r>
      <w:r>
        <w:t xml:space="preserve"> </w:t>
      </w:r>
      <w:r w:rsidR="009F17E4">
        <w:t xml:space="preserve">the </w:t>
      </w:r>
      <w:r>
        <w:t>market.</w:t>
      </w:r>
    </w:p>
    <w:p w14:paraId="10F178F2" w14:textId="01D873F0" w:rsidR="00023777" w:rsidRPr="00C813DF" w:rsidRDefault="00023777" w:rsidP="00BC2118">
      <w:r w:rsidRPr="00C813DF">
        <w:t>In June, the AOFM held its sixth Australian Government Fixed Income Forum</w:t>
      </w:r>
      <w:r w:rsidR="009F17E4">
        <w:t>,</w:t>
      </w:r>
      <w:r w:rsidRPr="00C813DF">
        <w:t xml:space="preserve"> in Tokyo. The</w:t>
      </w:r>
      <w:r w:rsidR="008F116F">
        <w:t xml:space="preserve"> forum </w:t>
      </w:r>
      <w:r w:rsidR="009D6DE8">
        <w:t xml:space="preserve">was a valuable opportunity </w:t>
      </w:r>
      <w:r w:rsidR="00056122">
        <w:t xml:space="preserve">for </w:t>
      </w:r>
      <w:r w:rsidR="009F6622">
        <w:t>the AOFM and s</w:t>
      </w:r>
      <w:r w:rsidR="00E2122A">
        <w:t>emi</w:t>
      </w:r>
      <w:r w:rsidR="00B84FF2">
        <w:noBreakHyphen/>
      </w:r>
      <w:r w:rsidR="00E2122A">
        <w:t xml:space="preserve">government issuers </w:t>
      </w:r>
      <w:r w:rsidR="00841581">
        <w:t xml:space="preserve">to </w:t>
      </w:r>
      <w:r w:rsidR="00E2122A">
        <w:t xml:space="preserve">engage </w:t>
      </w:r>
      <w:r w:rsidR="00841581">
        <w:t>with Japanese institutional investors</w:t>
      </w:r>
      <w:r w:rsidR="00423CC1">
        <w:t xml:space="preserve">. </w:t>
      </w:r>
      <w:r w:rsidR="00577034">
        <w:t>Discussions</w:t>
      </w:r>
      <w:r w:rsidRPr="00C813DF">
        <w:t xml:space="preserve"> focus</w:t>
      </w:r>
      <w:r w:rsidR="0066179D">
        <w:t>ed</w:t>
      </w:r>
      <w:r w:rsidRPr="00C813DF">
        <w:t xml:space="preserve"> on broader economic issues</w:t>
      </w:r>
      <w:r w:rsidR="009F17E4">
        <w:t>,</w:t>
      </w:r>
      <w:r w:rsidRPr="00C813DF">
        <w:t xml:space="preserve"> with</w:t>
      </w:r>
      <w:r w:rsidR="0064778E">
        <w:t xml:space="preserve"> a presentation from</w:t>
      </w:r>
      <w:r w:rsidRPr="00C813DF">
        <w:t xml:space="preserve"> former Reserve Bank of Australia Governor, Dr Philip Lowe</w:t>
      </w:r>
      <w:r w:rsidR="00B506F9">
        <w:t>. His insights were</w:t>
      </w:r>
      <w:r w:rsidRPr="00C813DF">
        <w:t xml:space="preserve"> well received by issuers and investors</w:t>
      </w:r>
      <w:r w:rsidR="009F17E4">
        <w:t xml:space="preserve"> alike</w:t>
      </w:r>
      <w:r w:rsidRPr="00C813DF">
        <w:t xml:space="preserve">. </w:t>
      </w:r>
    </w:p>
    <w:p w14:paraId="7D5153D4" w14:textId="2976B1A6" w:rsidR="006A6C6C" w:rsidRPr="003A15AE" w:rsidRDefault="00616EE0" w:rsidP="006A6C6C">
      <w:r>
        <w:t xml:space="preserve">This </w:t>
      </w:r>
      <w:r w:rsidR="003B4137">
        <w:t>financial year</w:t>
      </w:r>
      <w:r w:rsidR="00E41BF9">
        <w:t xml:space="preserve"> also s</w:t>
      </w:r>
      <w:r w:rsidR="00C70BFC">
        <w:t>aw</w:t>
      </w:r>
      <w:r w:rsidR="006A6C6C" w:rsidRPr="003A15AE">
        <w:t xml:space="preserve"> the first major organisational change to the AOFM since </w:t>
      </w:r>
      <w:r w:rsidR="00E41BF9">
        <w:t>the early 2000s</w:t>
      </w:r>
      <w:r w:rsidR="004E24CB">
        <w:t xml:space="preserve">, </w:t>
      </w:r>
      <w:r w:rsidR="00D655C5">
        <w:t>with the expansion</w:t>
      </w:r>
      <w:r w:rsidR="00D17418">
        <w:t xml:space="preserve"> of the </w:t>
      </w:r>
      <w:r w:rsidR="00E35AD0" w:rsidRPr="00E35AD0">
        <w:t>executive leadership team</w:t>
      </w:r>
      <w:r w:rsidR="00D162A9">
        <w:t xml:space="preserve"> through</w:t>
      </w:r>
      <w:r w:rsidR="00E41BF9">
        <w:t xml:space="preserve"> the c</w:t>
      </w:r>
      <w:r w:rsidR="006A6C6C" w:rsidRPr="003A15AE">
        <w:t>reat</w:t>
      </w:r>
      <w:r w:rsidR="00E41BF9">
        <w:t xml:space="preserve">ion of two new Senior Executive Service </w:t>
      </w:r>
      <w:r w:rsidR="00C70BFC">
        <w:t>positions</w:t>
      </w:r>
      <w:r w:rsidR="00E41BF9">
        <w:t>:</w:t>
      </w:r>
      <w:r w:rsidR="006A6C6C" w:rsidRPr="003A15AE">
        <w:t xml:space="preserve"> Chief Operating Officer and Deputy </w:t>
      </w:r>
      <w:r w:rsidR="00A66763">
        <w:t xml:space="preserve">Chief </w:t>
      </w:r>
      <w:r w:rsidR="006A6C6C" w:rsidRPr="003A15AE">
        <w:t>E</w:t>
      </w:r>
      <w:r w:rsidR="00A66763">
        <w:t xml:space="preserve">xecutive </w:t>
      </w:r>
      <w:r w:rsidR="006A6C6C" w:rsidRPr="003A15AE">
        <w:t>O</w:t>
      </w:r>
      <w:r w:rsidR="00A66763">
        <w:t>fficer</w:t>
      </w:r>
      <w:r w:rsidR="00E41BF9">
        <w:t xml:space="preserve">. </w:t>
      </w:r>
      <w:r w:rsidR="009F17E4">
        <w:t>These positions report</w:t>
      </w:r>
      <w:r w:rsidR="009F17E4" w:rsidRPr="003A15AE">
        <w:t xml:space="preserve"> </w:t>
      </w:r>
      <w:r w:rsidR="006A6C6C" w:rsidRPr="003A15AE">
        <w:t xml:space="preserve">directly to </w:t>
      </w:r>
      <w:r w:rsidR="00033397">
        <w:t>the C</w:t>
      </w:r>
      <w:r w:rsidR="00696F09">
        <w:t xml:space="preserve">hief </w:t>
      </w:r>
      <w:r w:rsidR="00033397">
        <w:t>E</w:t>
      </w:r>
      <w:r w:rsidR="00696F09">
        <w:t xml:space="preserve">xecutive </w:t>
      </w:r>
      <w:r w:rsidR="00033397">
        <w:t>O</w:t>
      </w:r>
      <w:r w:rsidR="00696F09">
        <w:t>fficer</w:t>
      </w:r>
      <w:r w:rsidR="00617FEE">
        <w:t>,</w:t>
      </w:r>
      <w:r w:rsidR="0043352A">
        <w:t xml:space="preserve"> </w:t>
      </w:r>
      <w:r w:rsidR="009F17E4">
        <w:t>enhancing</w:t>
      </w:r>
      <w:r w:rsidR="0043352A" w:rsidRPr="0043352A">
        <w:t xml:space="preserve"> strategic oversight, operational resilience and stakeholder engagement, </w:t>
      </w:r>
      <w:r w:rsidR="009F17E4">
        <w:t xml:space="preserve">and </w:t>
      </w:r>
      <w:r w:rsidR="0043352A" w:rsidRPr="0043352A">
        <w:t>ensuring the AOFM is well positioned to meet future challenges.</w:t>
      </w:r>
      <w:r w:rsidR="00617FEE">
        <w:t xml:space="preserve"> </w:t>
      </w:r>
    </w:p>
    <w:p w14:paraId="665E057D" w14:textId="158F790C" w:rsidR="006A6C6C" w:rsidRPr="003A15AE" w:rsidRDefault="0F74D2B8" w:rsidP="006A6C6C">
      <w:r>
        <w:t>In addition to enhanc</w:t>
      </w:r>
      <w:r w:rsidR="009F17E4">
        <w:t xml:space="preserve">ing </w:t>
      </w:r>
      <w:r>
        <w:t>our leadership profile,</w:t>
      </w:r>
      <w:r w:rsidR="63873D01">
        <w:t xml:space="preserve"> </w:t>
      </w:r>
      <w:r w:rsidR="7B6C8263">
        <w:t>the AOFM has</w:t>
      </w:r>
      <w:r w:rsidR="63873D01">
        <w:t xml:space="preserve"> made significant progress in strengthening our people and performance </w:t>
      </w:r>
      <w:r w:rsidR="009F17E4">
        <w:t>frameworks</w:t>
      </w:r>
      <w:r w:rsidR="63873D01">
        <w:t xml:space="preserve">. We undertook a comprehensive refresh of our performance framework </w:t>
      </w:r>
      <w:r w:rsidR="458D42C1">
        <w:t>with a focus on supporting</w:t>
      </w:r>
      <w:r w:rsidR="63873D01">
        <w:t xml:space="preserve"> </w:t>
      </w:r>
      <w:r w:rsidR="192D61C5">
        <w:t>a</w:t>
      </w:r>
      <w:r w:rsidR="63873D01">
        <w:t xml:space="preserve"> high</w:t>
      </w:r>
      <w:r w:rsidR="00B84FF2">
        <w:noBreakHyphen/>
      </w:r>
      <w:r w:rsidR="63873D01">
        <w:t>performance culture. We</w:t>
      </w:r>
      <w:r w:rsidR="6CC727E7">
        <w:t xml:space="preserve"> also</w:t>
      </w:r>
      <w:r w:rsidR="63873D01">
        <w:t xml:space="preserve"> introduced a Remuneration Committee to bring greater rigour and equity to pay decisions, reinforcing our commitment to fairness and transparency. </w:t>
      </w:r>
      <w:r w:rsidR="009F17E4">
        <w:t xml:space="preserve">There has also been a </w:t>
      </w:r>
      <w:r w:rsidR="63873D01">
        <w:t>major focus on uplifting the suite of employment</w:t>
      </w:r>
      <w:r w:rsidR="00B84FF2">
        <w:noBreakHyphen/>
      </w:r>
      <w:r w:rsidR="63873D01">
        <w:t xml:space="preserve">related policies under our Enterprise Agreement. This substantial </w:t>
      </w:r>
      <w:r w:rsidR="009F17E4">
        <w:t>effort</w:t>
      </w:r>
      <w:r w:rsidR="63873D01">
        <w:t xml:space="preserve"> has delivered a clearer, more coherent policy framework, providing staff with a well</w:t>
      </w:r>
      <w:r w:rsidR="00B84FF2">
        <w:noBreakHyphen/>
      </w:r>
      <w:r w:rsidR="63873D01">
        <w:t xml:space="preserve">defined understanding of their working conditions and entitlements. </w:t>
      </w:r>
    </w:p>
    <w:p w14:paraId="3DB2315B" w14:textId="21982367" w:rsidR="00EB0CC1" w:rsidRDefault="00EB7262" w:rsidP="006A6C6C">
      <w:r>
        <w:t>The AOFM</w:t>
      </w:r>
      <w:r w:rsidR="00B84FF2">
        <w:t>’</w:t>
      </w:r>
      <w:r>
        <w:t xml:space="preserve">s </w:t>
      </w:r>
      <w:r w:rsidR="00D92D22">
        <w:t xml:space="preserve">risk management </w:t>
      </w:r>
      <w:r w:rsidR="00FA0488">
        <w:t>and assurance</w:t>
      </w:r>
      <w:r w:rsidR="00D92D22">
        <w:t xml:space="preserve"> practices cont</w:t>
      </w:r>
      <w:r w:rsidR="00FE758F">
        <w:t xml:space="preserve">inue to </w:t>
      </w:r>
      <w:r w:rsidR="00315CB6">
        <w:t>mature</w:t>
      </w:r>
      <w:r w:rsidR="009F17E4">
        <w:t>,</w:t>
      </w:r>
      <w:r w:rsidR="006261C1">
        <w:t xml:space="preserve"> as highlighted by our </w:t>
      </w:r>
      <w:r w:rsidR="00F67C19">
        <w:t xml:space="preserve">results </w:t>
      </w:r>
      <w:r w:rsidR="005C17A4">
        <w:t>for</w:t>
      </w:r>
      <w:r w:rsidR="00F67C19">
        <w:t xml:space="preserve"> the </w:t>
      </w:r>
      <w:proofErr w:type="spellStart"/>
      <w:r w:rsidR="00F67C19">
        <w:t>Comcover</w:t>
      </w:r>
      <w:proofErr w:type="spellEnd"/>
      <w:r w:rsidR="00F67C19">
        <w:t xml:space="preserve"> Risk Management Benchmarking </w:t>
      </w:r>
      <w:r w:rsidR="00F753DA">
        <w:t xml:space="preserve">Program. </w:t>
      </w:r>
      <w:r w:rsidR="0057213A">
        <w:t>We</w:t>
      </w:r>
      <w:r w:rsidR="004B210C">
        <w:t xml:space="preserve"> </w:t>
      </w:r>
      <w:r w:rsidR="00255D83">
        <w:t>achieved al</w:t>
      </w:r>
      <w:r w:rsidR="0057213A">
        <w:t>l</w:t>
      </w:r>
      <w:r w:rsidR="00255D83">
        <w:t xml:space="preserve"> our maturity targets</w:t>
      </w:r>
      <w:r w:rsidR="0057213A">
        <w:t xml:space="preserve">, </w:t>
      </w:r>
      <w:r w:rsidR="004B210C">
        <w:t>attain</w:t>
      </w:r>
      <w:r w:rsidR="0057213A">
        <w:t>ing</w:t>
      </w:r>
      <w:r w:rsidR="004B210C">
        <w:t xml:space="preserve"> </w:t>
      </w:r>
      <w:r w:rsidR="000455BF">
        <w:t xml:space="preserve">an </w:t>
      </w:r>
      <w:r w:rsidR="00B84FF2">
        <w:t>‘</w:t>
      </w:r>
      <w:r w:rsidR="000455BF">
        <w:t>Advanced</w:t>
      </w:r>
      <w:r w:rsidR="00B84FF2">
        <w:t>’</w:t>
      </w:r>
      <w:r w:rsidR="000455BF">
        <w:t xml:space="preserve"> maturity rating across all 5 </w:t>
      </w:r>
      <w:r w:rsidR="00DE5657">
        <w:t>areas</w:t>
      </w:r>
      <w:r w:rsidR="000455BF">
        <w:t xml:space="preserve"> of </w:t>
      </w:r>
      <w:r w:rsidR="00DE5657">
        <w:t>focus</w:t>
      </w:r>
      <w:r w:rsidR="005D46E2">
        <w:t xml:space="preserve">. </w:t>
      </w:r>
      <w:r w:rsidR="009F17E4">
        <w:t xml:space="preserve">Throughout the year we also completed a </w:t>
      </w:r>
      <w:r w:rsidR="00D20141">
        <w:t xml:space="preserve">significant body of work to uplift our approach to </w:t>
      </w:r>
      <w:r w:rsidR="00866CB3">
        <w:t xml:space="preserve">risk </w:t>
      </w:r>
      <w:r w:rsidR="0081439D">
        <w:t xml:space="preserve">and </w:t>
      </w:r>
      <w:r w:rsidR="00D20141">
        <w:t>assurance</w:t>
      </w:r>
      <w:r w:rsidR="009F17E4">
        <w:t>,</w:t>
      </w:r>
      <w:r w:rsidR="00D20141">
        <w:t xml:space="preserve"> </w:t>
      </w:r>
      <w:r w:rsidR="00435F5E">
        <w:t>focus</w:t>
      </w:r>
      <w:r w:rsidR="009F17E4">
        <w:t>ed</w:t>
      </w:r>
      <w:r w:rsidR="00435F5E">
        <w:t xml:space="preserve"> on </w:t>
      </w:r>
      <w:r w:rsidR="00860020">
        <w:t>identif</w:t>
      </w:r>
      <w:r w:rsidR="009F17E4">
        <w:t xml:space="preserve">ying and designing </w:t>
      </w:r>
      <w:r w:rsidR="00860020">
        <w:t xml:space="preserve">critical controls and measuring </w:t>
      </w:r>
      <w:r w:rsidR="009F17E4">
        <w:t xml:space="preserve">their </w:t>
      </w:r>
      <w:r w:rsidR="00860020">
        <w:t>e</w:t>
      </w:r>
      <w:r w:rsidR="00FF4B4B">
        <w:t>ffectiven</w:t>
      </w:r>
      <w:r w:rsidR="0068064C">
        <w:t>ess</w:t>
      </w:r>
      <w:r w:rsidR="00EE1293">
        <w:t xml:space="preserve">. </w:t>
      </w:r>
    </w:p>
    <w:p w14:paraId="7DF8227A" w14:textId="6C0AC743" w:rsidR="00510185" w:rsidRPr="003A15AE" w:rsidRDefault="008D4849" w:rsidP="006A6C6C">
      <w:r>
        <w:t>Investment in technology continued to be a focus for the AO</w:t>
      </w:r>
      <w:r w:rsidR="00E47E71">
        <w:t>F</w:t>
      </w:r>
      <w:r>
        <w:t>M</w:t>
      </w:r>
      <w:r w:rsidR="009F17E4">
        <w:t>. During the year</w:t>
      </w:r>
      <w:r w:rsidR="00CD7518">
        <w:t>,</w:t>
      </w:r>
      <w:r w:rsidR="009F17E4">
        <w:t xml:space="preserve"> we</w:t>
      </w:r>
      <w:r w:rsidR="00B061FA">
        <w:t xml:space="preserve"> </w:t>
      </w:r>
      <w:r w:rsidR="008B2240">
        <w:t>upgrade</w:t>
      </w:r>
      <w:r w:rsidR="009F17E4">
        <w:t>d</w:t>
      </w:r>
      <w:r w:rsidR="008B2240">
        <w:t xml:space="preserve"> our Treasury Management </w:t>
      </w:r>
      <w:r w:rsidR="003A778E">
        <w:t>S</w:t>
      </w:r>
      <w:r w:rsidR="008B2240">
        <w:t>ystem</w:t>
      </w:r>
      <w:r w:rsidR="00840A7C">
        <w:t>,</w:t>
      </w:r>
      <w:r w:rsidR="003A778E">
        <w:t xml:space="preserve"> Quantum,</w:t>
      </w:r>
      <w:r w:rsidR="008B2240">
        <w:t xml:space="preserve"> </w:t>
      </w:r>
      <w:r w:rsidR="003605C1">
        <w:t>and</w:t>
      </w:r>
      <w:r w:rsidR="009F17E4">
        <w:t xml:space="preserve"> </w:t>
      </w:r>
      <w:r w:rsidR="00E23AB7">
        <w:t xml:space="preserve">implemented the </w:t>
      </w:r>
      <w:r w:rsidR="00E23AB7">
        <w:lastRenderedPageBreak/>
        <w:t>automated records management product</w:t>
      </w:r>
      <w:r w:rsidR="00CD7518">
        <w:t>,</w:t>
      </w:r>
      <w:r w:rsidR="003605C1">
        <w:t xml:space="preserve"> Castlepoint</w:t>
      </w:r>
      <w:r w:rsidR="00E23AB7">
        <w:t xml:space="preserve"> – both key steps in continuing to modernise </w:t>
      </w:r>
      <w:r w:rsidR="00D95F3E">
        <w:t xml:space="preserve">our </w:t>
      </w:r>
      <w:r w:rsidR="004B6002">
        <w:t>information management practices</w:t>
      </w:r>
      <w:r w:rsidR="004F055E">
        <w:t>.</w:t>
      </w:r>
      <w:r w:rsidR="00702690">
        <w:t xml:space="preserve"> </w:t>
      </w:r>
    </w:p>
    <w:p w14:paraId="2C8F69D5" w14:textId="0775CAC9" w:rsidR="009B74B3" w:rsidRDefault="00DC0A25" w:rsidP="00DC0A25">
      <w:r w:rsidRPr="00EC4149">
        <w:t xml:space="preserve">While </w:t>
      </w:r>
      <w:r w:rsidR="00BF696E">
        <w:t>we</w:t>
      </w:r>
      <w:r w:rsidR="00B84FF2">
        <w:t>’</w:t>
      </w:r>
      <w:r w:rsidR="00BF696E">
        <w:t>ve had a</w:t>
      </w:r>
      <w:r w:rsidR="004B2CD2">
        <w:t>nother successful year,</w:t>
      </w:r>
      <w:r w:rsidRPr="00EC4149">
        <w:t xml:space="preserve"> our issuance task for </w:t>
      </w:r>
      <w:r w:rsidR="00E23AB7">
        <w:t xml:space="preserve">the </w:t>
      </w:r>
      <w:r w:rsidRPr="00EC4149">
        <w:t>next financial year is significant</w:t>
      </w:r>
      <w:r w:rsidR="00E62D3E">
        <w:t>.</w:t>
      </w:r>
      <w:r w:rsidR="00E97319">
        <w:t xml:space="preserve"> </w:t>
      </w:r>
      <w:r w:rsidR="00CD25D5">
        <w:t>T</w:t>
      </w:r>
      <w:r w:rsidRPr="00EC4149">
        <w:t xml:space="preserve">he AOFM </w:t>
      </w:r>
      <w:r w:rsidR="004F2F5D">
        <w:t xml:space="preserve">will </w:t>
      </w:r>
      <w:r w:rsidR="00C7278A">
        <w:t>remain</w:t>
      </w:r>
      <w:r w:rsidR="004F2F5D">
        <w:t xml:space="preserve"> focused on preserving </w:t>
      </w:r>
      <w:r w:rsidRPr="00EC4149">
        <w:t>our strong fundamentals</w:t>
      </w:r>
      <w:r w:rsidR="00E23AB7">
        <w:t xml:space="preserve">: </w:t>
      </w:r>
      <w:r w:rsidR="00997112">
        <w:t>maintaining</w:t>
      </w:r>
      <w:r w:rsidR="00DB6B33">
        <w:t xml:space="preserve"> </w:t>
      </w:r>
      <w:r w:rsidR="004F2F5D">
        <w:t>a</w:t>
      </w:r>
      <w:r w:rsidRPr="00EC4149">
        <w:t xml:space="preserve"> deep and diverse investor base and </w:t>
      </w:r>
      <w:r w:rsidR="00A56F1C">
        <w:t xml:space="preserve">protecting </w:t>
      </w:r>
      <w:r w:rsidR="00BF46DA">
        <w:t xml:space="preserve">our </w:t>
      </w:r>
      <w:r w:rsidRPr="00EC4149">
        <w:t xml:space="preserve">strong relationships with market </w:t>
      </w:r>
      <w:r w:rsidR="00CD7E18">
        <w:t xml:space="preserve">participants. </w:t>
      </w:r>
      <w:r w:rsidR="006A1295">
        <w:t>In the face of</w:t>
      </w:r>
      <w:r w:rsidR="005D44C2">
        <w:t xml:space="preserve"> </w:t>
      </w:r>
      <w:r w:rsidR="00743EB4">
        <w:t xml:space="preserve">ongoing </w:t>
      </w:r>
      <w:r w:rsidR="005D44C2">
        <w:t>global uncertainty</w:t>
      </w:r>
      <w:r w:rsidR="00B52F27">
        <w:t>,</w:t>
      </w:r>
      <w:r w:rsidRPr="00EC4149">
        <w:t xml:space="preserve"> we </w:t>
      </w:r>
      <w:r w:rsidR="00EF6D98">
        <w:t>are</w:t>
      </w:r>
      <w:r w:rsidR="00CA7359">
        <w:t xml:space="preserve"> committed </w:t>
      </w:r>
      <w:r w:rsidR="00420D0C">
        <w:t>to</w:t>
      </w:r>
      <w:r w:rsidR="00DE4AC9">
        <w:t xml:space="preserve"> transparency and predictability</w:t>
      </w:r>
      <w:r w:rsidRPr="00EC4149">
        <w:t xml:space="preserve"> as we </w:t>
      </w:r>
      <w:r w:rsidR="009E1EF7">
        <w:t>continue</w:t>
      </w:r>
      <w:r w:rsidR="00981324">
        <w:t xml:space="preserve"> the</w:t>
      </w:r>
      <w:r w:rsidR="00EA4569">
        <w:t xml:space="preserve"> </w:t>
      </w:r>
      <w:r w:rsidRPr="00EC4149">
        <w:t>work to futureproof our organisation</w:t>
      </w:r>
      <w:r w:rsidR="00B84FF2">
        <w:t xml:space="preserve">. </w:t>
      </w:r>
    </w:p>
    <w:p w14:paraId="063A384C" w14:textId="77777777" w:rsidR="0011080E" w:rsidRDefault="0011080E">
      <w:pPr>
        <w:spacing w:after="0" w:line="240" w:lineRule="auto"/>
        <w:rPr>
          <w:b/>
          <w:bCs/>
        </w:rPr>
      </w:pPr>
    </w:p>
    <w:p w14:paraId="2F78F772" w14:textId="77777777" w:rsidR="0011080E" w:rsidRDefault="0011080E">
      <w:pPr>
        <w:spacing w:after="0" w:line="240" w:lineRule="auto"/>
        <w:rPr>
          <w:b/>
          <w:bCs/>
        </w:rPr>
      </w:pPr>
    </w:p>
    <w:p w14:paraId="4401C593" w14:textId="40AA2F29" w:rsidR="0011080E" w:rsidRDefault="00F732E6">
      <w:pPr>
        <w:spacing w:after="0" w:line="240" w:lineRule="auto"/>
        <w:rPr>
          <w:b/>
          <w:bCs/>
        </w:rPr>
      </w:pPr>
      <w:r>
        <w:rPr>
          <w:noProof/>
        </w:rPr>
        <w:drawing>
          <wp:inline distT="0" distB="0" distL="0" distR="0" wp14:anchorId="5BE01E2C" wp14:editId="3FF25580">
            <wp:extent cx="1414130" cy="448450"/>
            <wp:effectExtent l="0" t="0" r="0" b="8890"/>
            <wp:docPr id="1552843826" name="Picture 1552843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1170" cy="453854"/>
                    </a:xfrm>
                    <a:prstGeom prst="rect">
                      <a:avLst/>
                    </a:prstGeom>
                  </pic:spPr>
                </pic:pic>
              </a:graphicData>
            </a:graphic>
          </wp:inline>
        </w:drawing>
      </w:r>
    </w:p>
    <w:p w14:paraId="34BA1280" w14:textId="77777777" w:rsidR="0011080E" w:rsidRDefault="0011080E">
      <w:pPr>
        <w:spacing w:after="0" w:line="240" w:lineRule="auto"/>
        <w:rPr>
          <w:b/>
          <w:bCs/>
        </w:rPr>
      </w:pPr>
    </w:p>
    <w:p w14:paraId="356816D0" w14:textId="19BE4DC4" w:rsidR="003721FE" w:rsidRPr="0068163B" w:rsidRDefault="008E6117">
      <w:pPr>
        <w:spacing w:after="0" w:line="240" w:lineRule="auto"/>
        <w:rPr>
          <w:b/>
          <w:bCs/>
        </w:rPr>
      </w:pPr>
      <w:r w:rsidRPr="0068163B">
        <w:rPr>
          <w:b/>
          <w:bCs/>
        </w:rPr>
        <w:t>Anna H</w:t>
      </w:r>
      <w:r w:rsidR="00AE2C1F" w:rsidRPr="0068163B">
        <w:rPr>
          <w:b/>
          <w:bCs/>
        </w:rPr>
        <w:t>u</w:t>
      </w:r>
      <w:r w:rsidRPr="0068163B">
        <w:rPr>
          <w:b/>
          <w:bCs/>
        </w:rPr>
        <w:t>ghes</w:t>
      </w:r>
    </w:p>
    <w:p w14:paraId="4CF13099" w14:textId="21D3E4C4" w:rsidR="009B74B3" w:rsidRDefault="003721FE">
      <w:pPr>
        <w:spacing w:after="0" w:line="240" w:lineRule="auto"/>
      </w:pPr>
      <w:r>
        <w:t>Chief Executive Officer</w:t>
      </w:r>
      <w:r w:rsidR="009B74B3">
        <w:br w:type="page"/>
      </w:r>
    </w:p>
    <w:p w14:paraId="6270CB23" w14:textId="6D44BE58" w:rsidR="00A27D6B" w:rsidRDefault="004E5375" w:rsidP="00592520">
      <w:pPr>
        <w:pStyle w:val="Heading1-alpha"/>
      </w:pPr>
      <w:bookmarkStart w:id="156" w:name="_Toc205474286"/>
      <w:bookmarkStart w:id="157" w:name="_Toc207792872"/>
      <w:bookmarkStart w:id="158" w:name="_Toc207795639"/>
      <w:bookmarkStart w:id="159" w:name="_Toc207796030"/>
      <w:bookmarkStart w:id="160" w:name="_Toc207796912"/>
      <w:bookmarkStart w:id="161" w:name="_Toc207797289"/>
      <w:bookmarkStart w:id="162" w:name="_Toc207800212"/>
      <w:bookmarkStart w:id="163" w:name="_Toc207810790"/>
      <w:bookmarkStart w:id="164" w:name="_Toc208913964"/>
      <w:bookmarkStart w:id="165" w:name="_Toc208914069"/>
      <w:bookmarkStart w:id="166" w:name="_Toc209424466"/>
      <w:bookmarkStart w:id="167" w:name="_Toc209424582"/>
      <w:r>
        <w:lastRenderedPageBreak/>
        <w:t>R</w:t>
      </w:r>
      <w:r w:rsidR="00754BAE">
        <w:t>o</w:t>
      </w:r>
      <w:r>
        <w:t>le and activities</w:t>
      </w:r>
      <w:bookmarkEnd w:id="156"/>
      <w:bookmarkEnd w:id="157"/>
      <w:bookmarkEnd w:id="158"/>
      <w:bookmarkEnd w:id="159"/>
      <w:bookmarkEnd w:id="160"/>
      <w:bookmarkEnd w:id="161"/>
      <w:bookmarkEnd w:id="162"/>
      <w:bookmarkEnd w:id="163"/>
      <w:bookmarkEnd w:id="164"/>
      <w:bookmarkEnd w:id="165"/>
      <w:bookmarkEnd w:id="166"/>
      <w:bookmarkEnd w:id="167"/>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517AF6" w14:paraId="2135BD9E" w14:textId="77777777" w:rsidTr="007D2D28">
        <w:tc>
          <w:tcPr>
            <w:tcW w:w="7700" w:type="dxa"/>
            <w:shd w:val="clear" w:color="auto" w:fill="472978" w:themeFill="accent1"/>
            <w:tcMar>
              <w:top w:w="284" w:type="dxa"/>
              <w:bottom w:w="284" w:type="dxa"/>
            </w:tcMar>
          </w:tcPr>
          <w:p w14:paraId="66247F55" w14:textId="67E034A1" w:rsidR="006914C4" w:rsidRPr="006F7A5F" w:rsidRDefault="006914C4" w:rsidP="003A25F9">
            <w:pPr>
              <w:pStyle w:val="Pullquote"/>
            </w:pPr>
            <w:r w:rsidRPr="00503321">
              <w:t>The Australian Office of Financial Management (AOFM) is Australia</w:t>
            </w:r>
            <w:r w:rsidR="00B84FF2">
              <w:t>’</w:t>
            </w:r>
            <w:r w:rsidRPr="00503321">
              <w:t>s sovereign debt manager. Our role requires us to finance the operations of the Australian Government. To do this we issue debt securities on behalf of the government and manage its cash. The AOFM also implements government initiatives that relate to the Australian securitisation market.</w:t>
            </w:r>
          </w:p>
        </w:tc>
      </w:tr>
    </w:tbl>
    <w:p w14:paraId="5FE346D5" w14:textId="77777777" w:rsidR="00994093" w:rsidRDefault="00994093" w:rsidP="00994093">
      <w:pPr>
        <w:pStyle w:val="SingleReturn"/>
      </w:pPr>
    </w:p>
    <w:p w14:paraId="6FFB4C1F" w14:textId="2BD9DC40" w:rsidR="00186C43" w:rsidRDefault="00186C43" w:rsidP="00186C43">
      <w:r>
        <w:t xml:space="preserve">The AOFM borrows in wholesale funding markets by issuing Australian Government Securities (AGS). </w:t>
      </w:r>
      <w:r w:rsidR="00960B96">
        <w:t>We</w:t>
      </w:r>
      <w:r>
        <w:t xml:space="preserve"> ha</w:t>
      </w:r>
      <w:r w:rsidR="00960B96">
        <w:t>ve</w:t>
      </w:r>
      <w:r>
        <w:t xml:space="preserve"> 2 main responsibilities: ensuring the government can always meet its financial obligations (known as </w:t>
      </w:r>
      <w:r w:rsidR="00B84FF2">
        <w:t>‘</w:t>
      </w:r>
      <w:r>
        <w:t>cash management</w:t>
      </w:r>
      <w:r w:rsidR="00B84FF2">
        <w:t>’</w:t>
      </w:r>
      <w:proofErr w:type="gramStart"/>
      <w:r>
        <w:t>)</w:t>
      </w:r>
      <w:r w:rsidR="009C3311">
        <w:t>,</w:t>
      </w:r>
      <w:r>
        <w:t xml:space="preserve"> and</w:t>
      </w:r>
      <w:proofErr w:type="gramEnd"/>
      <w:r>
        <w:t xml:space="preserve"> managing the government</w:t>
      </w:r>
      <w:r w:rsidR="00B84FF2">
        <w:t>’</w:t>
      </w:r>
      <w:r>
        <w:t xml:space="preserve">s debt portfolio by prudently balancing risks and costs over time (known as </w:t>
      </w:r>
      <w:r w:rsidR="00B84FF2">
        <w:t>‘</w:t>
      </w:r>
      <w:r>
        <w:t>debt management</w:t>
      </w:r>
      <w:r w:rsidR="00B84FF2">
        <w:t>’</w:t>
      </w:r>
      <w:r>
        <w:t>).</w:t>
      </w:r>
    </w:p>
    <w:p w14:paraId="16A42C30" w14:textId="5D30C318" w:rsidR="00186C43" w:rsidRDefault="00186C43" w:rsidP="00186C43">
      <w:r>
        <w:t>We are aware of our potential to impact sectors of the capital markets through our actions as an issuer of government debt and as an investor on behalf of the government</w:t>
      </w:r>
      <w:r w:rsidR="009C3311">
        <w:t>,</w:t>
      </w:r>
      <w:r>
        <w:t xml:space="preserve"> specifically in the Australian securitisation market.</w:t>
      </w:r>
    </w:p>
    <w:p w14:paraId="333FE8B5" w14:textId="1C5B3EB3" w:rsidR="00186C43" w:rsidRDefault="00186C43" w:rsidP="00186C43">
      <w:r>
        <w:t>The AOFM</w:t>
      </w:r>
      <w:r w:rsidR="00B84FF2">
        <w:t>’</w:t>
      </w:r>
      <w:r>
        <w:t>s core responsibilities were unchanged during 202</w:t>
      </w:r>
      <w:r w:rsidR="00D0162B">
        <w:t>4</w:t>
      </w:r>
      <w:r>
        <w:t>–2</w:t>
      </w:r>
      <w:r w:rsidR="00D0162B">
        <w:t>5</w:t>
      </w:r>
      <w:r w:rsidR="009C3311">
        <w:t xml:space="preserve">. We remained focused on </w:t>
      </w:r>
      <w:r>
        <w:t>funding the government</w:t>
      </w:r>
      <w:r w:rsidR="00B84FF2">
        <w:t>’</w:t>
      </w:r>
      <w:r>
        <w:t>s expenditure needs, raising debt from financial markets, supporting the functioning of Australia</w:t>
      </w:r>
      <w:r w:rsidR="00B84FF2">
        <w:t>’</w:t>
      </w:r>
      <w:r>
        <w:t>s sovereign debt market, and fulfilling the Australian Business Securitisation Fund (ABSF) and the Structured Finance Support Fund (SFSF) mandates.</w:t>
      </w:r>
    </w:p>
    <w:p w14:paraId="5F6238B6" w14:textId="6553A92E" w:rsidR="00B84FF2" w:rsidRDefault="00186C43" w:rsidP="00217769">
      <w:r>
        <w:t>Our own operations are funded by Australian Government budget appropriations.</w:t>
      </w:r>
    </w:p>
    <w:p w14:paraId="558E3EF9" w14:textId="77777777" w:rsidR="00B84FF2" w:rsidRDefault="00B84FF2">
      <w:pPr>
        <w:spacing w:after="0" w:line="240" w:lineRule="auto"/>
      </w:pPr>
      <w:r>
        <w:br w:type="page"/>
      </w:r>
    </w:p>
    <w:p w14:paraId="1C2DDD40" w14:textId="49DB8211" w:rsidR="00A27D6B" w:rsidRDefault="007277A0" w:rsidP="00C67F81">
      <w:pPr>
        <w:pStyle w:val="Heading2"/>
      </w:pPr>
      <w:bookmarkStart w:id="168" w:name="_Toc205474287"/>
      <w:bookmarkStart w:id="169" w:name="_Toc207792873"/>
      <w:bookmarkStart w:id="170" w:name="_Toc207793906"/>
      <w:bookmarkStart w:id="171" w:name="_Toc207796031"/>
      <w:bookmarkStart w:id="172" w:name="_Toc207796913"/>
      <w:bookmarkStart w:id="173" w:name="_Toc207800213"/>
      <w:bookmarkStart w:id="174" w:name="_Toc207810791"/>
      <w:bookmarkStart w:id="175" w:name="_Toc208914070"/>
      <w:bookmarkStart w:id="176" w:name="_Toc209424467"/>
      <w:r>
        <w:lastRenderedPageBreak/>
        <w:t xml:space="preserve">Our </w:t>
      </w:r>
      <w:r w:rsidR="009732F2">
        <w:t>v</w:t>
      </w:r>
      <w:r>
        <w:t>alues</w:t>
      </w:r>
      <w:bookmarkEnd w:id="168"/>
      <w:bookmarkEnd w:id="169"/>
      <w:bookmarkEnd w:id="170"/>
      <w:bookmarkEnd w:id="171"/>
      <w:bookmarkEnd w:id="172"/>
      <w:bookmarkEnd w:id="173"/>
      <w:bookmarkEnd w:id="174"/>
      <w:bookmarkEnd w:id="175"/>
      <w:bookmarkEnd w:id="176"/>
      <w:r w:rsidR="00A27D6B">
        <w:t xml:space="preserve"> </w:t>
      </w:r>
    </w:p>
    <w:tbl>
      <w:tblPr>
        <w:tblW w:w="4877" w:type="pct"/>
        <w:tblLook w:val="04A0" w:firstRow="1" w:lastRow="0" w:firstColumn="1" w:lastColumn="0" w:noHBand="0" w:noVBand="1"/>
      </w:tblPr>
      <w:tblGrid>
        <w:gridCol w:w="1556"/>
        <w:gridCol w:w="5965"/>
      </w:tblGrid>
      <w:tr w:rsidR="00817D2A" w14:paraId="2E9E4AE5" w14:textId="77777777" w:rsidTr="000139AF">
        <w:trPr>
          <w:trHeight w:val="1451"/>
        </w:trPr>
        <w:tc>
          <w:tcPr>
            <w:tcW w:w="1560" w:type="dxa"/>
            <w:vAlign w:val="center"/>
          </w:tcPr>
          <w:p w14:paraId="3184461F" w14:textId="77777777" w:rsidR="006D196B" w:rsidRDefault="006D196B" w:rsidP="000139AF">
            <w:pPr>
              <w:pStyle w:val="TableGraphic"/>
            </w:pPr>
            <w:r>
              <w:rPr>
                <w:noProof/>
              </w:rPr>
              <w:drawing>
                <wp:inline distT="0" distB="0" distL="0" distR="0" wp14:anchorId="19D8553C" wp14:editId="05FCE4B5">
                  <wp:extent cx="648266" cy="795600"/>
                  <wp:effectExtent l="0" t="0" r="0" b="508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648266" cy="795600"/>
                          </a:xfrm>
                          <a:prstGeom prst="rect">
                            <a:avLst/>
                          </a:prstGeom>
                        </pic:spPr>
                      </pic:pic>
                    </a:graphicData>
                  </a:graphic>
                </wp:inline>
              </w:drawing>
            </w:r>
          </w:p>
        </w:tc>
        <w:tc>
          <w:tcPr>
            <w:tcW w:w="6181" w:type="dxa"/>
          </w:tcPr>
          <w:p w14:paraId="3A82E755" w14:textId="77777777" w:rsidR="006D196B" w:rsidRPr="003D100E" w:rsidRDefault="006D196B" w:rsidP="00713231">
            <w:pPr>
              <w:pStyle w:val="Tableheading-normaltext"/>
            </w:pPr>
            <w:bookmarkStart w:id="177" w:name="_Toc145684450"/>
            <w:bookmarkStart w:id="178" w:name="_Toc145685050"/>
            <w:bookmarkStart w:id="179" w:name="_Toc145686003"/>
            <w:bookmarkStart w:id="180" w:name="_Toc145686202"/>
            <w:bookmarkStart w:id="181" w:name="_Toc145686401"/>
            <w:bookmarkStart w:id="182" w:name="_Toc145686702"/>
            <w:bookmarkStart w:id="183" w:name="_Toc146108837"/>
            <w:bookmarkStart w:id="184" w:name="_Toc146108997"/>
            <w:bookmarkStart w:id="185" w:name="_Toc146109738"/>
            <w:bookmarkStart w:id="186" w:name="_Toc146110007"/>
            <w:bookmarkStart w:id="187" w:name="_Toc146110754"/>
            <w:bookmarkStart w:id="188" w:name="_Toc173397571"/>
            <w:bookmarkStart w:id="189" w:name="_Toc173408114"/>
            <w:bookmarkStart w:id="190" w:name="_Toc173411435"/>
            <w:bookmarkStart w:id="191" w:name="_Toc173479115"/>
            <w:bookmarkStart w:id="192" w:name="_Toc207796032"/>
            <w:r w:rsidRPr="003D100E">
              <w:t>Trust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4AF18594" w14:textId="0AB18B51" w:rsidR="006D196B" w:rsidRPr="00196EBD" w:rsidRDefault="006D196B" w:rsidP="00833494">
            <w:r w:rsidRPr="00196EBD">
              <w:t xml:space="preserve">To act reliably with integrity and transparency. </w:t>
            </w:r>
            <w:r w:rsidR="0006086F">
              <w:br/>
            </w:r>
            <w:r w:rsidRPr="00196EBD">
              <w:t>To work respectfully and collaboratively.</w:t>
            </w:r>
          </w:p>
        </w:tc>
      </w:tr>
      <w:tr w:rsidR="00817D2A" w14:paraId="11270DB8" w14:textId="77777777" w:rsidTr="000139AF">
        <w:trPr>
          <w:trHeight w:val="1547"/>
        </w:trPr>
        <w:tc>
          <w:tcPr>
            <w:tcW w:w="1560" w:type="dxa"/>
            <w:vAlign w:val="center"/>
          </w:tcPr>
          <w:p w14:paraId="09ABFBA7" w14:textId="77777777" w:rsidR="006D196B" w:rsidRDefault="006D196B" w:rsidP="000139AF">
            <w:pPr>
              <w:pStyle w:val="TableGraphic"/>
            </w:pPr>
            <w:r>
              <w:rPr>
                <w:noProof/>
              </w:rPr>
              <w:drawing>
                <wp:inline distT="0" distB="0" distL="0" distR="0" wp14:anchorId="19892C35" wp14:editId="5ED17A32">
                  <wp:extent cx="795600" cy="688500"/>
                  <wp:effectExtent l="0" t="0" r="508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41">
                            <a:extLst>
                              <a:ext uri="{96DAC541-7B7A-43D3-8B79-37D633B846F1}">
                                <asvg:svgBlip xmlns:asvg="http://schemas.microsoft.com/office/drawing/2016/SVG/main" r:embed="rId42"/>
                              </a:ext>
                            </a:extLst>
                          </a:blip>
                          <a:stretch>
                            <a:fillRect/>
                          </a:stretch>
                        </pic:blipFill>
                        <pic:spPr>
                          <a:xfrm>
                            <a:off x="0" y="0"/>
                            <a:ext cx="795600" cy="688500"/>
                          </a:xfrm>
                          <a:prstGeom prst="rect">
                            <a:avLst/>
                          </a:prstGeom>
                        </pic:spPr>
                      </pic:pic>
                    </a:graphicData>
                  </a:graphic>
                </wp:inline>
              </w:drawing>
            </w:r>
          </w:p>
        </w:tc>
        <w:tc>
          <w:tcPr>
            <w:tcW w:w="6181" w:type="dxa"/>
          </w:tcPr>
          <w:p w14:paraId="25E1DB95" w14:textId="77777777" w:rsidR="006D196B" w:rsidRPr="003D100E" w:rsidRDefault="006D196B" w:rsidP="00713231">
            <w:pPr>
              <w:pStyle w:val="Tableheading-normaltext"/>
            </w:pPr>
            <w:bookmarkStart w:id="193" w:name="_Toc145684451"/>
            <w:bookmarkStart w:id="194" w:name="_Toc145685051"/>
            <w:bookmarkStart w:id="195" w:name="_Toc145686004"/>
            <w:bookmarkStart w:id="196" w:name="_Toc145686203"/>
            <w:bookmarkStart w:id="197" w:name="_Toc145686402"/>
            <w:bookmarkStart w:id="198" w:name="_Toc145686703"/>
            <w:bookmarkStart w:id="199" w:name="_Toc146108838"/>
            <w:bookmarkStart w:id="200" w:name="_Toc146108998"/>
            <w:bookmarkStart w:id="201" w:name="_Toc146109739"/>
            <w:bookmarkStart w:id="202" w:name="_Toc146110008"/>
            <w:bookmarkStart w:id="203" w:name="_Toc146110755"/>
            <w:bookmarkStart w:id="204" w:name="_Toc173397572"/>
            <w:bookmarkStart w:id="205" w:name="_Toc173408115"/>
            <w:bookmarkStart w:id="206" w:name="_Toc173411436"/>
            <w:bookmarkStart w:id="207" w:name="_Toc173479116"/>
            <w:bookmarkStart w:id="208" w:name="_Toc207796033"/>
            <w:r w:rsidRPr="003D100E">
              <w:t>Excellence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64B1B985" w14:textId="77777777" w:rsidR="006D196B" w:rsidRPr="0075276F" w:rsidRDefault="006D196B">
            <w:r w:rsidRPr="009A2768">
              <w:t>To continuously improve through curiosity and innovation. To</w:t>
            </w:r>
            <w:r>
              <w:t> </w:t>
            </w:r>
            <w:r w:rsidRPr="009A2768">
              <w:t>adapt to changing circumstances and deliver as a prominent</w:t>
            </w:r>
            <w:r>
              <w:t>,</w:t>
            </w:r>
            <w:r w:rsidRPr="009A2768">
              <w:t xml:space="preserve"> respected authority.</w:t>
            </w:r>
          </w:p>
        </w:tc>
      </w:tr>
      <w:tr w:rsidR="00817D2A" w14:paraId="02DE00FB" w14:textId="77777777" w:rsidTr="000139AF">
        <w:tc>
          <w:tcPr>
            <w:tcW w:w="1560" w:type="dxa"/>
            <w:vAlign w:val="center"/>
          </w:tcPr>
          <w:p w14:paraId="2245FCA0" w14:textId="77777777" w:rsidR="006D196B" w:rsidRDefault="006D196B" w:rsidP="000139AF">
            <w:pPr>
              <w:pStyle w:val="TableGraphic"/>
            </w:pPr>
            <w:r>
              <w:rPr>
                <w:noProof/>
              </w:rPr>
              <w:drawing>
                <wp:inline distT="0" distB="0" distL="0" distR="0" wp14:anchorId="2B889111" wp14:editId="401DCFF1">
                  <wp:extent cx="756000" cy="756000"/>
                  <wp:effectExtent l="0" t="0" r="6350" b="635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a:off x="0" y="0"/>
                            <a:ext cx="756000" cy="756000"/>
                          </a:xfrm>
                          <a:prstGeom prst="rect">
                            <a:avLst/>
                          </a:prstGeom>
                        </pic:spPr>
                      </pic:pic>
                    </a:graphicData>
                  </a:graphic>
                </wp:inline>
              </w:drawing>
            </w:r>
          </w:p>
        </w:tc>
        <w:tc>
          <w:tcPr>
            <w:tcW w:w="6181" w:type="dxa"/>
          </w:tcPr>
          <w:p w14:paraId="71F9431D" w14:textId="77777777" w:rsidR="006D196B" w:rsidRPr="003D100E" w:rsidRDefault="006D196B" w:rsidP="00713231">
            <w:pPr>
              <w:pStyle w:val="Tableheading-normaltext"/>
            </w:pPr>
            <w:bookmarkStart w:id="209" w:name="_Toc145684452"/>
            <w:bookmarkStart w:id="210" w:name="_Toc145685052"/>
            <w:bookmarkStart w:id="211" w:name="_Toc145686005"/>
            <w:bookmarkStart w:id="212" w:name="_Toc145686204"/>
            <w:bookmarkStart w:id="213" w:name="_Toc145686403"/>
            <w:bookmarkStart w:id="214" w:name="_Toc145686704"/>
            <w:bookmarkStart w:id="215" w:name="_Toc146108839"/>
            <w:bookmarkStart w:id="216" w:name="_Toc146108999"/>
            <w:bookmarkStart w:id="217" w:name="_Toc146109740"/>
            <w:bookmarkStart w:id="218" w:name="_Toc146110009"/>
            <w:bookmarkStart w:id="219" w:name="_Toc146110756"/>
            <w:bookmarkStart w:id="220" w:name="_Toc173397573"/>
            <w:bookmarkStart w:id="221" w:name="_Toc173408116"/>
            <w:bookmarkStart w:id="222" w:name="_Toc173411437"/>
            <w:bookmarkStart w:id="223" w:name="_Toc173479117"/>
            <w:bookmarkStart w:id="224" w:name="_Toc207796034"/>
            <w:r w:rsidRPr="003D100E">
              <w:t>Diversity</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290AA32" w14:textId="77777777" w:rsidR="006D196B" w:rsidRPr="00196EBD" w:rsidRDefault="006D196B">
            <w:r w:rsidRPr="009A2768">
              <w:t>To welcome all perspectives and embrace different ideas. To</w:t>
            </w:r>
            <w:r>
              <w:t> </w:t>
            </w:r>
            <w:r w:rsidRPr="009A2768">
              <w:t>be</w:t>
            </w:r>
            <w:r>
              <w:t> </w:t>
            </w:r>
            <w:r w:rsidRPr="009A2768">
              <w:t>valued as our authentic selves, and to respect and include</w:t>
            </w:r>
            <w:r>
              <w:t> </w:t>
            </w:r>
            <w:r w:rsidRPr="009A2768">
              <w:t>everyone.</w:t>
            </w:r>
          </w:p>
        </w:tc>
      </w:tr>
    </w:tbl>
    <w:p w14:paraId="13E7C6F1" w14:textId="7943DD56" w:rsidR="00327483" w:rsidRDefault="00A07908" w:rsidP="00C67F81">
      <w:pPr>
        <w:pStyle w:val="Heading2"/>
      </w:pPr>
      <w:bookmarkStart w:id="225" w:name="_Toc205474288"/>
      <w:bookmarkStart w:id="226" w:name="_Toc207792874"/>
      <w:bookmarkStart w:id="227" w:name="_Toc207793907"/>
      <w:bookmarkStart w:id="228" w:name="_Toc207796035"/>
      <w:bookmarkStart w:id="229" w:name="_Toc207796914"/>
      <w:bookmarkStart w:id="230" w:name="_Toc207800214"/>
      <w:bookmarkStart w:id="231" w:name="_Toc207810792"/>
      <w:bookmarkStart w:id="232" w:name="_Toc208914071"/>
      <w:bookmarkStart w:id="233" w:name="_Toc209424468"/>
      <w:r>
        <w:t>O</w:t>
      </w:r>
      <w:r w:rsidR="009732F2">
        <w:t>ur purposes</w:t>
      </w:r>
      <w:bookmarkEnd w:id="225"/>
      <w:bookmarkEnd w:id="226"/>
      <w:bookmarkEnd w:id="227"/>
      <w:bookmarkEnd w:id="228"/>
      <w:bookmarkEnd w:id="229"/>
      <w:bookmarkEnd w:id="230"/>
      <w:bookmarkEnd w:id="231"/>
      <w:bookmarkEnd w:id="232"/>
      <w:bookmarkEnd w:id="233"/>
    </w:p>
    <w:tbl>
      <w:tblPr>
        <w:tblW w:w="4877" w:type="pct"/>
        <w:tblLook w:val="04A0" w:firstRow="1" w:lastRow="0" w:firstColumn="1" w:lastColumn="0" w:noHBand="0" w:noVBand="1"/>
      </w:tblPr>
      <w:tblGrid>
        <w:gridCol w:w="1558"/>
        <w:gridCol w:w="5963"/>
      </w:tblGrid>
      <w:tr w:rsidR="00B84FF2" w14:paraId="0BABFF25" w14:textId="77777777" w:rsidTr="00392697">
        <w:trPr>
          <w:trHeight w:val="1451"/>
        </w:trPr>
        <w:tc>
          <w:tcPr>
            <w:tcW w:w="1560" w:type="dxa"/>
          </w:tcPr>
          <w:p w14:paraId="3BDA6D56" w14:textId="77777777" w:rsidR="00B84FF2" w:rsidRDefault="00B84FF2" w:rsidP="00704704">
            <w:pPr>
              <w:pStyle w:val="TableGraphic"/>
            </w:pPr>
            <w:r>
              <w:rPr>
                <w:noProof/>
              </w:rPr>
              <w:drawing>
                <wp:inline distT="0" distB="0" distL="0" distR="0" wp14:anchorId="2EBF51B7" wp14:editId="4ECE37B8">
                  <wp:extent cx="828000" cy="828000"/>
                  <wp:effectExtent l="0" t="0" r="0" b="0"/>
                  <wp:docPr id="144068472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84723" name="Picture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828000" cy="828000"/>
                          </a:xfrm>
                          <a:prstGeom prst="rect">
                            <a:avLst/>
                          </a:prstGeom>
                        </pic:spPr>
                      </pic:pic>
                    </a:graphicData>
                  </a:graphic>
                </wp:inline>
              </w:drawing>
            </w:r>
          </w:p>
        </w:tc>
        <w:tc>
          <w:tcPr>
            <w:tcW w:w="6181" w:type="dxa"/>
          </w:tcPr>
          <w:p w14:paraId="16BD90F4" w14:textId="77777777" w:rsidR="00B84FF2" w:rsidRPr="003D100E" w:rsidRDefault="00B84FF2" w:rsidP="00B84FF2">
            <w:r w:rsidRPr="1F8D0D11">
              <w:t xml:space="preserve">The AOFM needs to fulfil </w:t>
            </w:r>
            <w:r w:rsidRPr="1F8D0D11" w:rsidDel="5714349E">
              <w:t>4</w:t>
            </w:r>
            <w:r w:rsidRPr="1F8D0D11">
              <w:t xml:space="preserve"> key purposes:</w:t>
            </w:r>
          </w:p>
          <w:p w14:paraId="016EA607" w14:textId="77777777" w:rsidR="00B84FF2" w:rsidRPr="00C13BF9" w:rsidRDefault="00B84FF2" w:rsidP="00B84FF2">
            <w:pPr>
              <w:pStyle w:val="Normal-numbered"/>
              <w:rPr>
                <w:lang w:eastAsia="en-AU"/>
              </w:rPr>
            </w:pPr>
            <w:r w:rsidRPr="00C13BF9">
              <w:rPr>
                <w:lang w:eastAsia="en-AU"/>
              </w:rPr>
              <w:t>Meet the government</w:t>
            </w:r>
            <w:r>
              <w:rPr>
                <w:lang w:eastAsia="en-AU"/>
              </w:rPr>
              <w:t>’</w:t>
            </w:r>
            <w:r w:rsidRPr="00C13BF9">
              <w:rPr>
                <w:lang w:eastAsia="en-AU"/>
              </w:rPr>
              <w:t>s annual financing task while considering costs and risks</w:t>
            </w:r>
            <w:r>
              <w:rPr>
                <w:lang w:eastAsia="en-AU"/>
              </w:rPr>
              <w:t>.</w:t>
            </w:r>
          </w:p>
          <w:p w14:paraId="0CE415AA" w14:textId="77777777" w:rsidR="00B84FF2" w:rsidRPr="00A53FF1" w:rsidRDefault="00B84FF2" w:rsidP="00B84FF2">
            <w:pPr>
              <w:pStyle w:val="Normal-numbered"/>
            </w:pPr>
            <w:r w:rsidRPr="00A53FF1">
              <w:t>Ensure the government can always meet its cash outlay requirements</w:t>
            </w:r>
            <w:r>
              <w:t>.</w:t>
            </w:r>
          </w:p>
          <w:p w14:paraId="251FDA4D" w14:textId="77777777" w:rsidR="00B84FF2" w:rsidRDefault="00B84FF2" w:rsidP="00B84FF2">
            <w:pPr>
              <w:pStyle w:val="Normal-numbered"/>
            </w:pPr>
            <w:r w:rsidRPr="00A53FF1">
              <w:t>Conduct market</w:t>
            </w:r>
            <w:r>
              <w:noBreakHyphen/>
            </w:r>
            <w:r w:rsidRPr="00A53FF1">
              <w:t xml:space="preserve">facing activities in a manner that supports a </w:t>
            </w:r>
            <w:r>
              <w:t>well</w:t>
            </w:r>
            <w:r>
              <w:noBreakHyphen/>
              <w:t>functioning</w:t>
            </w:r>
            <w:r w:rsidRPr="00A53FF1">
              <w:t xml:space="preserve"> AGS market</w:t>
            </w:r>
            <w:r>
              <w:t>.</w:t>
            </w:r>
          </w:p>
          <w:p w14:paraId="58BDFD51" w14:textId="0409ABDB" w:rsidR="00B84FF2" w:rsidRPr="00196EBD" w:rsidRDefault="00B84FF2" w:rsidP="00C06D17">
            <w:pPr>
              <w:pStyle w:val="Normal-numbered"/>
            </w:pPr>
            <w:r w:rsidRPr="00A53FF1">
              <w:t xml:space="preserve">Meet the priorities of the </w:t>
            </w:r>
            <w:r w:rsidRPr="00520B0E">
              <w:t xml:space="preserve">Australian Business Securitisation Fund </w:t>
            </w:r>
            <w:r>
              <w:t>(</w:t>
            </w:r>
            <w:r w:rsidRPr="00A53FF1">
              <w:t>ABSF</w:t>
            </w:r>
            <w:r>
              <w:t>)</w:t>
            </w:r>
            <w:r w:rsidRPr="00A53FF1">
              <w:t xml:space="preserve"> and </w:t>
            </w:r>
            <w:r w:rsidRPr="00AB1090">
              <w:t>Structured Finance Support Fund</w:t>
            </w:r>
            <w:r>
              <w:t xml:space="preserve"> (</w:t>
            </w:r>
            <w:r w:rsidRPr="00A53FF1">
              <w:t>SFSF</w:t>
            </w:r>
            <w:r>
              <w:t>)</w:t>
            </w:r>
            <w:r w:rsidRPr="00A53FF1">
              <w:t>.</w:t>
            </w:r>
          </w:p>
        </w:tc>
      </w:tr>
    </w:tbl>
    <w:p w14:paraId="314BD853" w14:textId="371618BC" w:rsidR="00B84FF2" w:rsidRDefault="00B84FF2">
      <w:pPr>
        <w:spacing w:after="0" w:line="240" w:lineRule="auto"/>
      </w:pPr>
      <w:bookmarkStart w:id="234" w:name="_Toc205474289"/>
      <w:r>
        <w:br w:type="page"/>
      </w:r>
    </w:p>
    <w:p w14:paraId="1BE2082C" w14:textId="11D4F1C5" w:rsidR="00A07908" w:rsidRPr="00110D45" w:rsidRDefault="008A4427" w:rsidP="00C67F81">
      <w:pPr>
        <w:pStyle w:val="Heading2"/>
      </w:pPr>
      <w:bookmarkStart w:id="235" w:name="_Toc207792875"/>
      <w:bookmarkStart w:id="236" w:name="_Toc207793908"/>
      <w:bookmarkStart w:id="237" w:name="_Toc207796036"/>
      <w:bookmarkStart w:id="238" w:name="_Toc207796915"/>
      <w:bookmarkStart w:id="239" w:name="_Toc207800215"/>
      <w:bookmarkStart w:id="240" w:name="_Toc207810793"/>
      <w:bookmarkStart w:id="241" w:name="_Toc208914072"/>
      <w:bookmarkStart w:id="242" w:name="_Toc209424469"/>
      <w:r w:rsidRPr="00110D45">
        <w:lastRenderedPageBreak/>
        <w:t>The AOFM outcome</w:t>
      </w:r>
      <w:bookmarkEnd w:id="234"/>
      <w:bookmarkEnd w:id="235"/>
      <w:bookmarkEnd w:id="236"/>
      <w:bookmarkEnd w:id="237"/>
      <w:bookmarkEnd w:id="238"/>
      <w:bookmarkEnd w:id="239"/>
      <w:bookmarkEnd w:id="240"/>
      <w:bookmarkEnd w:id="241"/>
      <w:bookmarkEnd w:id="242"/>
    </w:p>
    <w:p w14:paraId="78A34744" w14:textId="20BCFA5C" w:rsidR="001218BD" w:rsidRDefault="001218BD" w:rsidP="001218BD">
      <w:r w:rsidRPr="001218BD">
        <w:t>The AOFM has one outcome in the Treasury Portfolio Budget Statement: the advancement of macroeconomic growth and stability, and the effective operation of financial markets</w:t>
      </w:r>
      <w:r w:rsidR="109303C9">
        <w:t>,</w:t>
      </w:r>
      <w:r w:rsidRPr="001218BD">
        <w:t xml:space="preserve"> through issuing debt, </w:t>
      </w:r>
      <w:r w:rsidR="50C0DEF6">
        <w:t>and</w:t>
      </w:r>
      <w:r w:rsidR="00CF75B7">
        <w:t xml:space="preserve"> through</w:t>
      </w:r>
      <w:r w:rsidR="50C0DEF6">
        <w:t xml:space="preserve"> </w:t>
      </w:r>
      <w:r>
        <w:t>investing</w:t>
      </w:r>
      <w:r w:rsidRPr="001218BD">
        <w:t xml:space="preserve"> in financial assets and managing debt, investments and cash for the Australian Government.</w:t>
      </w:r>
    </w:p>
    <w:p w14:paraId="5A5F8F38" w14:textId="688C7355" w:rsidR="00A27D6B" w:rsidRDefault="004E0B08" w:rsidP="00713231">
      <w:pPr>
        <w:pStyle w:val="Heading3"/>
      </w:pPr>
      <w:bookmarkStart w:id="243" w:name="_Toc207796037"/>
      <w:r>
        <w:t>The AOFM</w:t>
      </w:r>
      <w:r w:rsidR="00B84FF2">
        <w:t>’</w:t>
      </w:r>
      <w:r>
        <w:t>s role in financing the Budget</w:t>
      </w:r>
      <w:bookmarkEnd w:id="243"/>
    </w:p>
    <w:p w14:paraId="100435F9" w14:textId="1A7D0541" w:rsidR="004956A6" w:rsidRDefault="004956A6" w:rsidP="004956A6">
      <w:r>
        <w:t xml:space="preserve">The Australian Government Budget is usually released in May each year for the financial year starting on 1 July and the 3 </w:t>
      </w:r>
      <w:r w:rsidR="00B656FA">
        <w:t>following</w:t>
      </w:r>
      <w:r>
        <w:t xml:space="preserve"> years</w:t>
      </w:r>
      <w:r w:rsidR="00B656FA">
        <w:t xml:space="preserve"> (the </w:t>
      </w:r>
      <w:r w:rsidR="00B84FF2">
        <w:t>‘</w:t>
      </w:r>
      <w:r w:rsidR="00B656FA">
        <w:t>forward</w:t>
      </w:r>
      <w:r w:rsidR="00B84FF2">
        <w:t>’</w:t>
      </w:r>
      <w:r w:rsidR="00B656FA">
        <w:t xml:space="preserve"> years)</w:t>
      </w:r>
      <w:r>
        <w:t>. The Budget sets out the government</w:t>
      </w:r>
      <w:r w:rsidR="00B84FF2">
        <w:t>’</w:t>
      </w:r>
      <w:r>
        <w:t>s fiscal outlook and budget position, reflecting government policy decisions and assumptions about the performance of the domestic and global economies.</w:t>
      </w:r>
    </w:p>
    <w:p w14:paraId="0C975C64" w14:textId="2913074C" w:rsidR="004956A6" w:rsidRDefault="004956A6" w:rsidP="004956A6">
      <w:r>
        <w:t xml:space="preserve">During the Budget process, the AOFM is given an estimate of the financing task for the forward years. The financing task for the </w:t>
      </w:r>
      <w:r w:rsidR="005E575C">
        <w:t>forward</w:t>
      </w:r>
      <w:r>
        <w:t xml:space="preserve"> year</w:t>
      </w:r>
      <w:r w:rsidR="005E575C">
        <w:t>s</w:t>
      </w:r>
      <w:r>
        <w:t>, together with an AOFM</w:t>
      </w:r>
      <w:r w:rsidR="00B84FF2">
        <w:noBreakHyphen/>
      </w:r>
      <w:r>
        <w:t>formulated annual debt management strategy, is central to determining the size and nature of the annual issuance program.</w:t>
      </w:r>
    </w:p>
    <w:p w14:paraId="1A375632" w14:textId="10DC380A" w:rsidR="004956A6" w:rsidRPr="004956A6" w:rsidRDefault="004956A6" w:rsidP="004956A6">
      <w:r>
        <w:t>The government typically publishes a Budget update around December each year, known as the Mid</w:t>
      </w:r>
      <w:r w:rsidR="00B84FF2">
        <w:noBreakHyphen/>
      </w:r>
      <w:r>
        <w:t xml:space="preserve">Year Economic and Fiscal Outlook. At this point, </w:t>
      </w:r>
      <w:r w:rsidR="00D039D5">
        <w:t>we update our</w:t>
      </w:r>
      <w:r>
        <w:t xml:space="preserve"> issuance program for the Budget year.</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A27D6B" w14:paraId="68674F99" w14:textId="77777777">
        <w:tc>
          <w:tcPr>
            <w:tcW w:w="7700" w:type="dxa"/>
            <w:tcBorders>
              <w:bottom w:val="single" w:sz="24" w:space="0" w:color="472978" w:themeColor="accent1"/>
            </w:tcBorders>
            <w:shd w:val="clear" w:color="auto" w:fill="E7DCF7" w:themeFill="text2" w:themeFillTint="1A"/>
          </w:tcPr>
          <w:p w14:paraId="64129E80" w14:textId="1D77DFC4" w:rsidR="00D06CDE" w:rsidRDefault="00D06CDE" w:rsidP="003A25F9">
            <w:pPr>
              <w:pStyle w:val="Boxheading"/>
            </w:pPr>
            <w:r>
              <w:t>The AOFM</w:t>
            </w:r>
            <w:r w:rsidR="00B84FF2">
              <w:t>’</w:t>
            </w:r>
            <w:r>
              <w:t>s debt management strategy</w:t>
            </w:r>
          </w:p>
          <w:p w14:paraId="395783C5" w14:textId="40C1CD7F" w:rsidR="00D06CDE" w:rsidRDefault="00D06CDE" w:rsidP="006B0A44">
            <w:pPr>
              <w:pStyle w:val="BoxText"/>
            </w:pPr>
            <w:r>
              <w:t xml:space="preserve">As part of the </w:t>
            </w:r>
            <w:r w:rsidR="008968F3">
              <w:t>AOFM</w:t>
            </w:r>
            <w:r w:rsidR="00B84FF2">
              <w:t>’</w:t>
            </w:r>
            <w:r w:rsidR="008968F3">
              <w:t>s annual planning</w:t>
            </w:r>
            <w:r w:rsidR="0073696B">
              <w:t>, we establish</w:t>
            </w:r>
            <w:r>
              <w:t xml:space="preserve"> a</w:t>
            </w:r>
            <w:r w:rsidR="008968F3">
              <w:t xml:space="preserve"> new</w:t>
            </w:r>
            <w:r>
              <w:t xml:space="preserve"> debt management strategy </w:t>
            </w:r>
            <w:r w:rsidR="00EC0DB7">
              <w:t>each</w:t>
            </w:r>
            <w:r>
              <w:t xml:space="preserve"> year. This </w:t>
            </w:r>
            <w:r w:rsidR="0073696B">
              <w:t xml:space="preserve">strategy </w:t>
            </w:r>
            <w:r>
              <w:t xml:space="preserve">sets out how we plan to achieve the financing task after </w:t>
            </w:r>
            <w:r w:rsidR="00D76B6E">
              <w:t>considering</w:t>
            </w:r>
            <w:r>
              <w:t xml:space="preserve"> market conditions, investor demand, costs and risks.</w:t>
            </w:r>
          </w:p>
          <w:p w14:paraId="6D66EC4A" w14:textId="4173632F" w:rsidR="00D06CDE" w:rsidRDefault="00D06CDE" w:rsidP="006B0A44">
            <w:pPr>
              <w:pStyle w:val="BoxText"/>
            </w:pPr>
            <w:r>
              <w:t>AGS play a key role in the domestic financial market</w:t>
            </w:r>
            <w:r w:rsidR="0073696B">
              <w:t>,</w:t>
            </w:r>
            <w:r>
              <w:t xml:space="preserve"> as they:</w:t>
            </w:r>
          </w:p>
          <w:p w14:paraId="2083B6EA" w14:textId="25D4B9CB" w:rsidR="00D06CDE" w:rsidRDefault="00D06CDE" w:rsidP="00986E84">
            <w:pPr>
              <w:pStyle w:val="Boxbullet0"/>
            </w:pPr>
            <w:r>
              <w:t xml:space="preserve">are a </w:t>
            </w:r>
            <w:r w:rsidR="004513F7">
              <w:t>low</w:t>
            </w:r>
            <w:r w:rsidR="00B84FF2">
              <w:noBreakHyphen/>
            </w:r>
            <w:r w:rsidR="004513F7">
              <w:t>risk asset with a regular income stream</w:t>
            </w:r>
          </w:p>
          <w:p w14:paraId="780CF55D" w14:textId="77777777" w:rsidR="00D06CDE" w:rsidRDefault="00D06CDE" w:rsidP="00986E84">
            <w:pPr>
              <w:pStyle w:val="Boxbullet0"/>
            </w:pPr>
            <w:r>
              <w:t>are used as collateral for certain financial market transactions</w:t>
            </w:r>
          </w:p>
          <w:p w14:paraId="242DE021" w14:textId="2AA5C158" w:rsidR="00D06CDE" w:rsidRDefault="00D06CDE" w:rsidP="00986E84">
            <w:pPr>
              <w:pStyle w:val="Boxbullet0"/>
            </w:pPr>
            <w:r>
              <w:t xml:space="preserve">provide a </w:t>
            </w:r>
            <w:r w:rsidR="00FD553C" w:rsidRPr="006837D6">
              <w:t>risk</w:t>
            </w:r>
            <w:r w:rsidR="00B84FF2">
              <w:noBreakHyphen/>
            </w:r>
            <w:r w:rsidR="00FD553C" w:rsidRPr="006837D6">
              <w:t xml:space="preserve">free pricing </w:t>
            </w:r>
            <w:r w:rsidR="00FD553C" w:rsidRPr="006B0A44">
              <w:t>benchmark</w:t>
            </w:r>
            <w:r w:rsidR="00A46297">
              <w:t>.</w:t>
            </w:r>
            <w:r w:rsidR="00FD553C">
              <w:t xml:space="preserve"> </w:t>
            </w:r>
          </w:p>
          <w:p w14:paraId="4D52467F" w14:textId="22EA6625" w:rsidR="00A27D6B" w:rsidRPr="00A8463F" w:rsidRDefault="00D06CDE" w:rsidP="00A8463F">
            <w:pPr>
              <w:pStyle w:val="BoxText"/>
            </w:pPr>
            <w:r w:rsidRPr="00A8463F">
              <w:t>Accordingly, our debt management strategy seeks to foster an efficient and liquid secondary market in AGS.</w:t>
            </w:r>
          </w:p>
        </w:tc>
      </w:tr>
    </w:tbl>
    <w:p w14:paraId="038A00ED" w14:textId="77777777" w:rsidR="00647E16" w:rsidRDefault="00647E16" w:rsidP="004D3D02">
      <w:pPr>
        <w:pStyle w:val="SingleReturn"/>
      </w:pPr>
    </w:p>
    <w:p w14:paraId="4C47BE4A" w14:textId="77777777" w:rsidR="00647E16" w:rsidRDefault="00647E16" w:rsidP="004D3D02">
      <w:r>
        <w:br w:type="page"/>
      </w:r>
    </w:p>
    <w:p w14:paraId="64E8883C" w14:textId="605231A7" w:rsidR="00D13DDE" w:rsidRDefault="00E07921" w:rsidP="009216A4">
      <w:pPr>
        <w:pStyle w:val="Heading3"/>
      </w:pPr>
      <w:bookmarkStart w:id="244" w:name="_Toc207796038"/>
      <w:r>
        <w:lastRenderedPageBreak/>
        <w:t>How the AOFM finances the Budget</w:t>
      </w:r>
      <w:bookmarkEnd w:id="244"/>
    </w:p>
    <w:p w14:paraId="3BB089CD" w14:textId="7D7CF1A9" w:rsidR="00801C8F" w:rsidRPr="0095171F" w:rsidRDefault="004D06A8" w:rsidP="0024023F">
      <w:r>
        <w:t>Most</w:t>
      </w:r>
      <w:r w:rsidR="00933502">
        <w:t xml:space="preserve"> </w:t>
      </w:r>
      <w:r w:rsidR="00801C8F" w:rsidRPr="0024023F">
        <w:t xml:space="preserve">issuance </w:t>
      </w:r>
      <w:r w:rsidR="00D13DDE">
        <w:t>occurs</w:t>
      </w:r>
      <w:r w:rsidR="00D13DDE" w:rsidRPr="0024023F">
        <w:t xml:space="preserve"> </w:t>
      </w:r>
      <w:r w:rsidR="00801C8F" w:rsidRPr="0024023F">
        <w:t>via </w:t>
      </w:r>
      <w:r w:rsidR="00E07921">
        <w:t xml:space="preserve">competitive </w:t>
      </w:r>
      <w:r w:rsidR="00801C8F" w:rsidRPr="0024023F">
        <w:rPr>
          <w:rStyle w:val="Strong"/>
          <w:b w:val="0"/>
          <w:bCs w:val="0"/>
        </w:rPr>
        <w:t>tender.</w:t>
      </w:r>
      <w:r w:rsidR="00801C8F" w:rsidRPr="0024023F">
        <w:rPr>
          <w:rStyle w:val="Strong"/>
        </w:rPr>
        <w:t xml:space="preserve"> </w:t>
      </w:r>
      <w:r w:rsidR="00801C8F" w:rsidRPr="0024023F">
        <w:t xml:space="preserve">Registered bidders can buy AGS </w:t>
      </w:r>
      <w:r w:rsidR="00801C8F" w:rsidRPr="0095171F">
        <w:t xml:space="preserve">directly from the AOFM at regular tenders (usually held several times a week). The cost of borrowing is driven by the interest rates </w:t>
      </w:r>
      <w:r w:rsidR="00FD513A" w:rsidRPr="0095171F">
        <w:t xml:space="preserve">(or yields) </w:t>
      </w:r>
      <w:r w:rsidR="00801C8F" w:rsidRPr="0095171F">
        <w:t>demanded at each tender.</w:t>
      </w:r>
    </w:p>
    <w:p w14:paraId="7EA34A0C" w14:textId="270F591F" w:rsidR="00801C8F" w:rsidRPr="0024023F" w:rsidRDefault="00FD513A" w:rsidP="0024023F">
      <w:r>
        <w:t>From time to time</w:t>
      </w:r>
      <w:r w:rsidR="00673023">
        <w:t>, the AOFM</w:t>
      </w:r>
      <w:r w:rsidR="005844C2">
        <w:t xml:space="preserve"> may issue bonds via syndication </w:t>
      </w:r>
      <w:proofErr w:type="gramStart"/>
      <w:r w:rsidR="005844C2">
        <w:t>as a way to</w:t>
      </w:r>
      <w:proofErr w:type="gramEnd"/>
      <w:r w:rsidR="005844C2">
        <w:t xml:space="preserve"> mitigate</w:t>
      </w:r>
      <w:r w:rsidR="00801C8F" w:rsidRPr="0024023F">
        <w:t xml:space="preserve"> increased execution risk</w:t>
      </w:r>
      <w:r w:rsidR="00DF0919">
        <w:t xml:space="preserve"> </w:t>
      </w:r>
      <w:r w:rsidR="007E4051">
        <w:t>for a high</w:t>
      </w:r>
      <w:r w:rsidR="00B84FF2">
        <w:noBreakHyphen/>
      </w:r>
      <w:r w:rsidR="007E4051">
        <w:t>volume transaction</w:t>
      </w:r>
      <w:r w:rsidR="00801C8F" w:rsidRPr="0024023F">
        <w:t xml:space="preserve">. In a syndication, we appoint a panel of banks to support and promote the transaction through their </w:t>
      </w:r>
      <w:r w:rsidR="00A46297">
        <w:t>investor</w:t>
      </w:r>
      <w:r w:rsidR="00A46297" w:rsidRPr="0024023F">
        <w:t xml:space="preserve"> </w:t>
      </w:r>
      <w:r w:rsidR="00801C8F" w:rsidRPr="0024023F">
        <w:t>networks. The bonds are</w:t>
      </w:r>
      <w:r w:rsidR="00D13DDE">
        <w:t xml:space="preserve"> then</w:t>
      </w:r>
      <w:r w:rsidR="00801C8F" w:rsidRPr="0024023F">
        <w:t xml:space="preserve"> placed directly with investors.</w:t>
      </w:r>
    </w:p>
    <w:p w14:paraId="1AA5A0C8" w14:textId="77777777" w:rsidR="00A27D6B" w:rsidRDefault="00A27D6B" w:rsidP="00713231">
      <w:pPr>
        <w:pStyle w:val="Heading4"/>
        <w:rPr>
          <w:lang w:eastAsia="en-AU"/>
        </w:rPr>
      </w:pPr>
      <w:r>
        <w:br w:type="page"/>
      </w:r>
    </w:p>
    <w:p w14:paraId="5F15D280" w14:textId="7C5A490A" w:rsidR="00A27D6B" w:rsidRDefault="004E5375" w:rsidP="00592520">
      <w:pPr>
        <w:pStyle w:val="Heading1-alpha"/>
      </w:pPr>
      <w:bookmarkStart w:id="245" w:name="_Toc205474290"/>
      <w:bookmarkStart w:id="246" w:name="_Toc207792876"/>
      <w:bookmarkStart w:id="247" w:name="_Toc207795640"/>
      <w:bookmarkStart w:id="248" w:name="_Toc207796039"/>
      <w:bookmarkStart w:id="249" w:name="_Toc207796916"/>
      <w:bookmarkStart w:id="250" w:name="_Toc207797290"/>
      <w:bookmarkStart w:id="251" w:name="_Toc207800216"/>
      <w:bookmarkStart w:id="252" w:name="_Toc207810794"/>
      <w:bookmarkStart w:id="253" w:name="_Toc208913965"/>
      <w:bookmarkStart w:id="254" w:name="_Toc208914073"/>
      <w:bookmarkStart w:id="255" w:name="_Toc209424470"/>
      <w:bookmarkStart w:id="256" w:name="_Toc209424583"/>
      <w:r>
        <w:lastRenderedPageBreak/>
        <w:t>Organisational structure</w:t>
      </w:r>
      <w:bookmarkEnd w:id="245"/>
      <w:bookmarkEnd w:id="246"/>
      <w:bookmarkEnd w:id="247"/>
      <w:bookmarkEnd w:id="248"/>
      <w:bookmarkEnd w:id="249"/>
      <w:bookmarkEnd w:id="250"/>
      <w:bookmarkEnd w:id="251"/>
      <w:bookmarkEnd w:id="252"/>
      <w:bookmarkEnd w:id="253"/>
      <w:bookmarkEnd w:id="254"/>
      <w:bookmarkEnd w:id="255"/>
      <w:bookmarkEnd w:id="256"/>
    </w:p>
    <w:p w14:paraId="16D7DE1F" w14:textId="11903068" w:rsidR="00460912" w:rsidRPr="00F81C7D" w:rsidRDefault="00A91D46" w:rsidP="00F81C7D">
      <w:r>
        <w:t xml:space="preserve">The accountable authority of the Australian Office of Financial Management (AOFM) </w:t>
      </w:r>
      <w:r w:rsidR="003F7B65">
        <w:t xml:space="preserve">is our </w:t>
      </w:r>
      <w:r>
        <w:t>Chief Executive Officer (</w:t>
      </w:r>
      <w:r w:rsidR="003F7B65">
        <w:t>CEO</w:t>
      </w:r>
      <w:r>
        <w:t>)</w:t>
      </w:r>
      <w:r w:rsidR="003F7B65">
        <w:t>, Anna Hughes, who occupied the position for the full 2024</w:t>
      </w:r>
      <w:r w:rsidR="00AB2A47">
        <w:t>–</w:t>
      </w:r>
      <w:r w:rsidR="003F7B65">
        <w:t>25 reporting period.</w:t>
      </w:r>
      <w:r w:rsidR="004E1242">
        <w:t xml:space="preserve"> </w:t>
      </w:r>
      <w:r w:rsidR="00F81C7D">
        <w:t>In 2024</w:t>
      </w:r>
      <w:r w:rsidR="00AB2A47">
        <w:t>–</w:t>
      </w:r>
      <w:r w:rsidR="00F81C7D">
        <w:t>25</w:t>
      </w:r>
      <w:r w:rsidR="00AB2A47">
        <w:t>,</w:t>
      </w:r>
      <w:r w:rsidR="00F81C7D">
        <w:t xml:space="preserve"> the AOFM senior leadership team was expanded to include the Deputy </w:t>
      </w:r>
      <w:r w:rsidR="00AB2A47">
        <w:t>CEO</w:t>
      </w:r>
      <w:r w:rsidR="00F81C7D">
        <w:t xml:space="preserve"> and Chief Operating Officer</w:t>
      </w:r>
      <w:r w:rsidR="00AB2A47">
        <w:t xml:space="preserve"> (COO)</w:t>
      </w:r>
      <w:r w:rsidR="00F81C7D">
        <w:t xml:space="preserve"> roles. This is the first major change to the AOFM leadership structure since </w:t>
      </w:r>
      <w:r w:rsidR="007E48BF">
        <w:t xml:space="preserve">the early </w:t>
      </w:r>
      <w:proofErr w:type="gramStart"/>
      <w:r w:rsidR="007E48BF">
        <w:t>2000s</w:t>
      </w:r>
      <w:r w:rsidR="00AB2A47">
        <w:t>,</w:t>
      </w:r>
      <w:r w:rsidR="007E48BF">
        <w:t xml:space="preserve"> </w:t>
      </w:r>
      <w:r w:rsidR="00F81C7D">
        <w:t>and</w:t>
      </w:r>
      <w:proofErr w:type="gramEnd"/>
      <w:r w:rsidR="00F81C7D">
        <w:t xml:space="preserve"> reflects the changing internal and external operating environment. </w:t>
      </w:r>
      <w:r w:rsidR="00AB2A47">
        <w:t>T</w:t>
      </w:r>
      <w:r w:rsidR="00F81C7D">
        <w:t>hese positions provide additional executive support to the CEO and managerial support to the broader organisation, increasing the AOFM</w:t>
      </w:r>
      <w:r w:rsidR="00B84FF2">
        <w:t>’</w:t>
      </w:r>
      <w:r w:rsidR="00F81C7D">
        <w:t>s capacity and capability.</w:t>
      </w:r>
    </w:p>
    <w:p w14:paraId="0E5F675A" w14:textId="490541CD" w:rsidR="009E69A6" w:rsidRPr="00F81C7D" w:rsidRDefault="009E69A6" w:rsidP="00F81C7D">
      <w:r w:rsidRPr="00660046">
        <w:t xml:space="preserve">The AOFM organisational structure is based on financial industry best practice, </w:t>
      </w:r>
      <w:r w:rsidR="00AB2A47">
        <w:t>and we</w:t>
      </w:r>
      <w:r w:rsidR="00AB2A47" w:rsidRPr="00660046">
        <w:t xml:space="preserve"> </w:t>
      </w:r>
      <w:r w:rsidRPr="00660046">
        <w:t>develop our teams to align with different stages of our business processes.</w:t>
      </w:r>
      <w:r>
        <w:t xml:space="preserve"> Our structure</w:t>
      </w:r>
      <w:r w:rsidRPr="00660046">
        <w:t xml:space="preserve"> specifically recognises </w:t>
      </w:r>
      <w:r w:rsidR="00841CDF">
        <w:t>the se</w:t>
      </w:r>
      <w:r w:rsidR="005E33CA">
        <w:t>paration of</w:t>
      </w:r>
      <w:r w:rsidR="00AB2A47">
        <w:t xml:space="preserve"> duties related to</w:t>
      </w:r>
      <w:r w:rsidRPr="00660046">
        <w:t xml:space="preserve"> financial transaction</w:t>
      </w:r>
      <w:r w:rsidR="00AB2A47">
        <w:t>s</w:t>
      </w:r>
      <w:r w:rsidRPr="00660046">
        <w:t>. Core operational activities form the following 3 broad areas</w:t>
      </w:r>
      <w:r>
        <w:t xml:space="preserve">, reporting to our Deputy </w:t>
      </w:r>
      <w:r w:rsidR="00AB2A47">
        <w:t>CEO</w:t>
      </w:r>
      <w:r>
        <w:t xml:space="preserve"> and </w:t>
      </w:r>
      <w:r w:rsidR="00AB2A47">
        <w:t>COO</w:t>
      </w:r>
      <w:r>
        <w:t xml:space="preserve"> as appropriate</w:t>
      </w:r>
      <w:r w:rsidRPr="00660046">
        <w:t xml:space="preserve">. </w:t>
      </w:r>
    </w:p>
    <w:p w14:paraId="63395B07" w14:textId="20E2BB02" w:rsidR="00A27D6B" w:rsidRDefault="00234D4E" w:rsidP="00C67F81">
      <w:pPr>
        <w:pStyle w:val="Heading2"/>
      </w:pPr>
      <w:bookmarkStart w:id="257" w:name="_Toc205474291"/>
      <w:bookmarkStart w:id="258" w:name="_Toc207792877"/>
      <w:bookmarkStart w:id="259" w:name="_Toc207793910"/>
      <w:bookmarkStart w:id="260" w:name="_Toc207796040"/>
      <w:bookmarkStart w:id="261" w:name="_Toc207796917"/>
      <w:bookmarkStart w:id="262" w:name="_Toc207800217"/>
      <w:bookmarkStart w:id="263" w:name="_Toc207810795"/>
      <w:bookmarkStart w:id="264" w:name="_Toc208914074"/>
      <w:bookmarkStart w:id="265" w:name="_Toc209424471"/>
      <w:r>
        <w:t xml:space="preserve">Front </w:t>
      </w:r>
      <w:r w:rsidR="000B4C2E">
        <w:t>o</w:t>
      </w:r>
      <w:r>
        <w:t>ffice</w:t>
      </w:r>
      <w:bookmarkEnd w:id="257"/>
      <w:bookmarkEnd w:id="258"/>
      <w:bookmarkEnd w:id="259"/>
      <w:bookmarkEnd w:id="260"/>
      <w:bookmarkEnd w:id="261"/>
      <w:bookmarkEnd w:id="262"/>
      <w:bookmarkEnd w:id="263"/>
      <w:bookmarkEnd w:id="264"/>
      <w:bookmarkEnd w:id="265"/>
    </w:p>
    <w:p w14:paraId="70B24B04" w14:textId="6C8123B9" w:rsidR="005C3236" w:rsidRPr="00660046" w:rsidRDefault="005C3236" w:rsidP="005C3236">
      <w:r w:rsidRPr="00660046">
        <w:t xml:space="preserve">The front office </w:t>
      </w:r>
      <w:r w:rsidR="004C2A9D">
        <w:t xml:space="preserve">is </w:t>
      </w:r>
      <w:r>
        <w:t>responsib</w:t>
      </w:r>
      <w:r w:rsidR="004C2A9D">
        <w:t>le</w:t>
      </w:r>
      <w:r>
        <w:t xml:space="preserve"> for funding operations, debt </w:t>
      </w:r>
      <w:r w:rsidRPr="00660046">
        <w:t xml:space="preserve">strategy, </w:t>
      </w:r>
      <w:r>
        <w:t>investor relations, policy</w:t>
      </w:r>
      <w:r w:rsidR="00B84FF2">
        <w:noBreakHyphen/>
      </w:r>
      <w:r>
        <w:t xml:space="preserve">driven investment and </w:t>
      </w:r>
      <w:r w:rsidRPr="00660046">
        <w:t xml:space="preserve">sustainable finance. </w:t>
      </w:r>
      <w:r>
        <w:t xml:space="preserve">Activities include </w:t>
      </w:r>
      <w:r w:rsidR="004C2A9D">
        <w:t>conducting</w:t>
      </w:r>
      <w:r>
        <w:t xml:space="preserve"> </w:t>
      </w:r>
      <w:r w:rsidRPr="00660046">
        <w:t xml:space="preserve">tenders and syndications for the issuance of AGS; </w:t>
      </w:r>
      <w:r w:rsidR="004C2A9D">
        <w:t xml:space="preserve">liaising </w:t>
      </w:r>
      <w:r>
        <w:t xml:space="preserve">and </w:t>
      </w:r>
      <w:r w:rsidR="004C2A9D">
        <w:t xml:space="preserve">engaging </w:t>
      </w:r>
      <w:r>
        <w:t>with AGS investors and other market participants</w:t>
      </w:r>
      <w:r w:rsidR="004C2A9D">
        <w:t>;</w:t>
      </w:r>
      <w:r>
        <w:t xml:space="preserve"> manag</w:t>
      </w:r>
      <w:r w:rsidR="004C2A9D">
        <w:t xml:space="preserve">ing </w:t>
      </w:r>
      <w:r>
        <w:t xml:space="preserve">government cash balances; </w:t>
      </w:r>
      <w:r w:rsidRPr="00660046">
        <w:t>administ</w:t>
      </w:r>
      <w:r w:rsidR="004C2A9D">
        <w:t>ering</w:t>
      </w:r>
      <w:r w:rsidRPr="00660046">
        <w:t xml:space="preserve"> and execut</w:t>
      </w:r>
      <w:r>
        <w:t>i</w:t>
      </w:r>
      <w:r w:rsidR="004C2A9D">
        <w:t xml:space="preserve">ng </w:t>
      </w:r>
      <w:r>
        <w:t>the</w:t>
      </w:r>
      <w:r w:rsidRPr="00660046">
        <w:t xml:space="preserve"> investment program for the Australian Business Securitisation Fund</w:t>
      </w:r>
      <w:r>
        <w:t>; and manag</w:t>
      </w:r>
      <w:r w:rsidR="004C2A9D">
        <w:t xml:space="preserve">ing </w:t>
      </w:r>
      <w:r w:rsidRPr="00660046">
        <w:t xml:space="preserve">the Green Treasury Bond program. </w:t>
      </w:r>
    </w:p>
    <w:p w14:paraId="4DCEA1CD" w14:textId="20EDF52E" w:rsidR="006701A9" w:rsidRDefault="006701A9" w:rsidP="00C67F81">
      <w:pPr>
        <w:pStyle w:val="Heading2"/>
      </w:pPr>
      <w:bookmarkStart w:id="266" w:name="_Toc205474292"/>
      <w:bookmarkStart w:id="267" w:name="_Toc207792878"/>
      <w:bookmarkStart w:id="268" w:name="_Toc207793911"/>
      <w:bookmarkStart w:id="269" w:name="_Toc207796041"/>
      <w:bookmarkStart w:id="270" w:name="_Toc207796918"/>
      <w:bookmarkStart w:id="271" w:name="_Toc207800218"/>
      <w:bookmarkStart w:id="272" w:name="_Toc207810796"/>
      <w:bookmarkStart w:id="273" w:name="_Toc208914075"/>
      <w:bookmarkStart w:id="274" w:name="_Toc209424472"/>
      <w:r>
        <w:t xml:space="preserve">Middle </w:t>
      </w:r>
      <w:r w:rsidR="000B4C2E">
        <w:t>o</w:t>
      </w:r>
      <w:r>
        <w:t>ffice</w:t>
      </w:r>
      <w:bookmarkEnd w:id="266"/>
      <w:bookmarkEnd w:id="267"/>
      <w:bookmarkEnd w:id="268"/>
      <w:bookmarkEnd w:id="269"/>
      <w:bookmarkEnd w:id="270"/>
      <w:bookmarkEnd w:id="271"/>
      <w:bookmarkEnd w:id="272"/>
      <w:bookmarkEnd w:id="273"/>
      <w:bookmarkEnd w:id="274"/>
    </w:p>
    <w:p w14:paraId="20D7704E" w14:textId="3346E97B" w:rsidR="0031524B" w:rsidRPr="00660046" w:rsidRDefault="0031524B" w:rsidP="0031524B">
      <w:r w:rsidRPr="00660046">
        <w:t>The middle office supports enterprise risk management;</w:t>
      </w:r>
      <w:r w:rsidR="009E6AC0">
        <w:t xml:space="preserve"> undertakes</w:t>
      </w:r>
      <w:r w:rsidRPr="00660046">
        <w:t xml:space="preserve"> second</w:t>
      </w:r>
      <w:r w:rsidR="00B84FF2">
        <w:noBreakHyphen/>
      </w:r>
      <w:r w:rsidRPr="00660046">
        <w:t>line risk assurance; manages business continuity, business systems and data; safeguards security and privacy; and measures portfolio performance. Risk and compliance monitoring facilitates the AOFM</w:t>
      </w:r>
      <w:r w:rsidR="00B84FF2">
        <w:t>’</w:t>
      </w:r>
      <w:r w:rsidRPr="00660046">
        <w:t>s management of risk, including adherence to the separation of back</w:t>
      </w:r>
      <w:r w:rsidR="008C5B3C">
        <w:t xml:space="preserve"> </w:t>
      </w:r>
      <w:r w:rsidR="0047007E">
        <w:t>office</w:t>
      </w:r>
      <w:r w:rsidRPr="00660046">
        <w:t xml:space="preserve"> and front</w:t>
      </w:r>
      <w:r w:rsidR="0047007E">
        <w:t xml:space="preserve"> </w:t>
      </w:r>
      <w:r w:rsidRPr="00660046">
        <w:t xml:space="preserve">office functions. The middle office maintains business databases that facilitate monitoring and reporting of our business activities. </w:t>
      </w:r>
      <w:r w:rsidR="00301557">
        <w:t>It</w:t>
      </w:r>
      <w:r w:rsidR="008C5B3C">
        <w:t> </w:t>
      </w:r>
      <w:r>
        <w:t xml:space="preserve">also </w:t>
      </w:r>
      <w:r w:rsidRPr="00660046">
        <w:t>manages information and communications technology projects and service delivery.</w:t>
      </w:r>
    </w:p>
    <w:p w14:paraId="21AA6B9C" w14:textId="631512BD" w:rsidR="006701A9" w:rsidRPr="006701A9" w:rsidRDefault="00DD1161" w:rsidP="00C67F81">
      <w:pPr>
        <w:pStyle w:val="Heading2"/>
      </w:pPr>
      <w:bookmarkStart w:id="275" w:name="_Toc205474293"/>
      <w:bookmarkStart w:id="276" w:name="_Toc207792879"/>
      <w:bookmarkStart w:id="277" w:name="_Toc207793912"/>
      <w:bookmarkStart w:id="278" w:name="_Toc207796042"/>
      <w:bookmarkStart w:id="279" w:name="_Toc207796919"/>
      <w:bookmarkStart w:id="280" w:name="_Toc207800219"/>
      <w:bookmarkStart w:id="281" w:name="_Toc207810797"/>
      <w:bookmarkStart w:id="282" w:name="_Toc208914076"/>
      <w:bookmarkStart w:id="283" w:name="_Toc209424473"/>
      <w:r>
        <w:lastRenderedPageBreak/>
        <w:t>O</w:t>
      </w:r>
      <w:r w:rsidR="006701A9">
        <w:t>perations group</w:t>
      </w:r>
      <w:bookmarkEnd w:id="275"/>
      <w:bookmarkEnd w:id="276"/>
      <w:bookmarkEnd w:id="277"/>
      <w:bookmarkEnd w:id="278"/>
      <w:bookmarkEnd w:id="279"/>
      <w:bookmarkEnd w:id="280"/>
      <w:bookmarkEnd w:id="281"/>
      <w:bookmarkEnd w:id="282"/>
      <w:bookmarkEnd w:id="283"/>
    </w:p>
    <w:p w14:paraId="02D3F693" w14:textId="152764F2" w:rsidR="00F57712" w:rsidRPr="00660046" w:rsidRDefault="00F57712" w:rsidP="00F57712">
      <w:r w:rsidRPr="00660046">
        <w:t xml:space="preserve">The Operations </w:t>
      </w:r>
      <w:r w:rsidR="0014587C">
        <w:t>g</w:t>
      </w:r>
      <w:r w:rsidRPr="00660046">
        <w:t xml:space="preserve">roup is responsible for accounting, budgeting and financial management services. </w:t>
      </w:r>
      <w:r>
        <w:t>This work area</w:t>
      </w:r>
      <w:r w:rsidRPr="00660046">
        <w:t xml:space="preserve"> </w:t>
      </w:r>
      <w:r w:rsidR="009E6AC0">
        <w:t xml:space="preserve">also </w:t>
      </w:r>
      <w:r w:rsidRPr="00660046">
        <w:t xml:space="preserve">manages debt financing and investment transaction settlements; ensures debt payment obligations are always met; and manages procurement and vendor risk and outsourced debt registry services. </w:t>
      </w:r>
    </w:p>
    <w:p w14:paraId="3F1D158F" w14:textId="6DFCB3E7" w:rsidR="00F57712" w:rsidRDefault="00F57712" w:rsidP="00C67F81">
      <w:pPr>
        <w:pStyle w:val="Heading2"/>
      </w:pPr>
      <w:bookmarkStart w:id="284" w:name="_Toc205474294"/>
      <w:bookmarkStart w:id="285" w:name="_Toc207792880"/>
      <w:bookmarkStart w:id="286" w:name="_Toc207793913"/>
      <w:bookmarkStart w:id="287" w:name="_Toc207796043"/>
      <w:bookmarkStart w:id="288" w:name="_Toc207796920"/>
      <w:bookmarkStart w:id="289" w:name="_Toc207800220"/>
      <w:bookmarkStart w:id="290" w:name="_Toc207810798"/>
      <w:bookmarkStart w:id="291" w:name="_Toc208914077"/>
      <w:bookmarkStart w:id="292" w:name="_Toc209424474"/>
      <w:r>
        <w:t>Other functions</w:t>
      </w:r>
      <w:bookmarkEnd w:id="284"/>
      <w:bookmarkEnd w:id="285"/>
      <w:bookmarkEnd w:id="286"/>
      <w:bookmarkEnd w:id="287"/>
      <w:bookmarkEnd w:id="288"/>
      <w:bookmarkEnd w:id="289"/>
      <w:bookmarkEnd w:id="290"/>
      <w:bookmarkEnd w:id="291"/>
      <w:bookmarkEnd w:id="292"/>
    </w:p>
    <w:p w14:paraId="3237D280" w14:textId="4F0E18E0" w:rsidR="0089721C" w:rsidRDefault="0089721C" w:rsidP="0089721C">
      <w:r>
        <w:t xml:space="preserve">Communications and human resources functions report directly to the </w:t>
      </w:r>
      <w:r w:rsidR="00301557">
        <w:t>COO</w:t>
      </w:r>
      <w:r>
        <w:t xml:space="preserve">. </w:t>
      </w:r>
    </w:p>
    <w:p w14:paraId="27296A7C" w14:textId="6ADD3BB7" w:rsidR="006D54FD" w:rsidRDefault="0089721C" w:rsidP="00D11ED2">
      <w:r>
        <w:t xml:space="preserve">Administrative and executive support functions for the broader agency report directly to the </w:t>
      </w:r>
      <w:r w:rsidR="00301557">
        <w:t>CEO</w:t>
      </w:r>
      <w:r>
        <w:t xml:space="preserve">. </w:t>
      </w:r>
    </w:p>
    <w:p w14:paraId="7BABF495" w14:textId="65A8DA15" w:rsidR="00390E16" w:rsidRDefault="00390E16" w:rsidP="00390E16">
      <w:pPr>
        <w:pStyle w:val="ChartMainHeading"/>
      </w:pPr>
      <w:r w:rsidRPr="00660046">
        <w:t xml:space="preserve">Figure </w:t>
      </w:r>
      <w:r w:rsidRPr="008E30C6">
        <w:t>1</w:t>
      </w:r>
      <w:r w:rsidRPr="00660046">
        <w:t xml:space="preserve">: AOFM organisational structure as </w:t>
      </w:r>
      <w:proofErr w:type="gramStart"/>
      <w:r w:rsidRPr="00660046">
        <w:t>at</w:t>
      </w:r>
      <w:proofErr w:type="gramEnd"/>
      <w:r w:rsidRPr="00660046">
        <w:t xml:space="preserve"> 30 June 202</w:t>
      </w:r>
      <w:r>
        <w:t>5</w:t>
      </w:r>
    </w:p>
    <w:p w14:paraId="4241B120" w14:textId="4B7F172C" w:rsidR="00D11ED2" w:rsidRDefault="00506326" w:rsidP="00592520">
      <w:pPr>
        <w:pStyle w:val="ChartMainHeading"/>
        <w:jc w:val="center"/>
      </w:pPr>
      <w:r>
        <w:rPr>
          <w:noProof/>
        </w:rPr>
        <w:drawing>
          <wp:inline distT="0" distB="0" distL="0" distR="0" wp14:anchorId="15645151" wp14:editId="139204FD">
            <wp:extent cx="4860000" cy="2934006"/>
            <wp:effectExtent l="0" t="0" r="0" b="0"/>
            <wp:docPr id="1661591816" name="Graphic 4" descr="Organisational structure: Front office reports to the Deputy CEO (DCEO). Communications, HR, middle office and Operations Group all report to the Chief Operations Officer (COO). Business Support, the COO and the DCEO report to the CE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91816" name="Graphic 4" descr="Organisational structure: Front office reports to the Deputy CEO (DCEO). Communications, HR, middle office and Operations Group all report to the Chief Operations Officer (COO). Business Support, the COO and the DCEO report to the CEO.&#10;"/>
                    <pic:cNvPicPr/>
                  </pic:nvPicPr>
                  <pic:blipFill>
                    <a:blip r:embed="rId47">
                      <a:extLst>
                        <a:ext uri="{96DAC541-7B7A-43D3-8B79-37D633B846F1}">
                          <asvg:svgBlip xmlns:asvg="http://schemas.microsoft.com/office/drawing/2016/SVG/main" r:embed="rId48"/>
                        </a:ext>
                      </a:extLst>
                    </a:blip>
                    <a:stretch>
                      <a:fillRect/>
                    </a:stretch>
                  </pic:blipFill>
                  <pic:spPr>
                    <a:xfrm>
                      <a:off x="0" y="0"/>
                      <a:ext cx="4860000" cy="2934006"/>
                    </a:xfrm>
                    <a:prstGeom prst="rect">
                      <a:avLst/>
                    </a:prstGeom>
                  </pic:spPr>
                </pic:pic>
              </a:graphicData>
            </a:graphic>
          </wp:inline>
        </w:drawing>
      </w:r>
    </w:p>
    <w:p w14:paraId="2F071CEC" w14:textId="77777777" w:rsidR="003C60BD" w:rsidRPr="003C60BD" w:rsidRDefault="003C60BD" w:rsidP="003C60BD">
      <w:pPr>
        <w:rPr>
          <w:lang w:eastAsia="en-AU"/>
        </w:rPr>
      </w:pPr>
    </w:p>
    <w:p w14:paraId="560AB242" w14:textId="77777777" w:rsidR="00390E16" w:rsidRDefault="00390E16" w:rsidP="00390E16">
      <w:pPr>
        <w:rPr>
          <w:lang w:eastAsia="en-AU"/>
        </w:rPr>
        <w:sectPr w:rsidR="00390E16" w:rsidSect="001E2AEB">
          <w:headerReference w:type="even" r:id="rId49"/>
          <w:headerReference w:type="default" r:id="rId50"/>
          <w:footerReference w:type="even" r:id="rId51"/>
          <w:footerReference w:type="default" r:id="rId52"/>
          <w:headerReference w:type="first" r:id="rId53"/>
          <w:footerReference w:type="first" r:id="rId54"/>
          <w:type w:val="oddPage"/>
          <w:pgSz w:w="11907" w:h="16840" w:code="9"/>
          <w:pgMar w:top="2835" w:right="2098" w:bottom="2466" w:left="2098" w:header="1814" w:footer="1814" w:gutter="0"/>
          <w:cols w:space="708"/>
          <w:titlePg/>
          <w:docGrid w:linePitch="360"/>
        </w:sectPr>
      </w:pPr>
    </w:p>
    <w:p w14:paraId="2BEA772F" w14:textId="77777777" w:rsidR="001740BA" w:rsidRDefault="00B33292" w:rsidP="00B33292">
      <w:pPr>
        <w:pStyle w:val="PartTitle"/>
      </w:pPr>
      <w:bookmarkStart w:id="295" w:name="_Toc209424475"/>
      <w:r>
        <w:lastRenderedPageBreak/>
        <w:t>Part</w:t>
      </w:r>
      <w:r w:rsidR="00D63B04">
        <w:t xml:space="preserve"> </w:t>
      </w:r>
      <w:r>
        <w:t>2</w:t>
      </w:r>
      <w:r w:rsidR="00774BBA" w:rsidRPr="006534F5">
        <w:t xml:space="preserve">: </w:t>
      </w:r>
      <w:r>
        <w:t>P</w:t>
      </w:r>
      <w:r w:rsidR="00774BBA">
        <w:t xml:space="preserve">erformance </w:t>
      </w:r>
      <w:r w:rsidR="00D63B04">
        <w:t>s</w:t>
      </w:r>
      <w:r w:rsidR="00774BBA">
        <w:t>tatement</w:t>
      </w:r>
      <w:bookmarkEnd w:id="295"/>
      <w:r>
        <w:rPr>
          <w:rFonts w:ascii="Open Sans" w:hAnsi="Open Sans"/>
        </w:rPr>
        <w:fldChar w:fldCharType="begin"/>
      </w:r>
      <w:r>
        <w:rPr>
          <w:rFonts w:ascii="Open Sans" w:hAnsi="Open Sans"/>
        </w:rPr>
        <w:instrText xml:space="preserve"> TOC \o "1-1" \h \z </w:instrText>
      </w:r>
      <w:r>
        <w:rPr>
          <w:rFonts w:ascii="Open Sans" w:hAnsi="Open Sans"/>
        </w:rPr>
        <w:fldChar w:fldCharType="separate"/>
      </w:r>
    </w:p>
    <w:p w14:paraId="1AD66E45" w14:textId="25F8B505" w:rsidR="001740BA" w:rsidRDefault="001740BA">
      <w:pPr>
        <w:pStyle w:val="TOC1"/>
        <w:rPr>
          <w:rFonts w:asciiTheme="minorHAnsi" w:hAnsiTheme="minorHAnsi" w:cstheme="minorBidi"/>
          <w:b w:val="0"/>
          <w:color w:val="auto"/>
          <w:kern w:val="2"/>
          <w:sz w:val="24"/>
          <w:szCs w:val="24"/>
          <w14:ligatures w14:val="standardContextual"/>
        </w:rPr>
      </w:pPr>
      <w:hyperlink w:anchor="_Toc208913966" w:history="1">
        <w:r w:rsidRPr="00941BA6">
          <w:rPr>
            <w:rStyle w:val="Hyperlink"/>
          </w:rPr>
          <w:t>A.</w:t>
        </w:r>
        <w:r>
          <w:rPr>
            <w:rFonts w:asciiTheme="minorHAnsi" w:hAnsiTheme="minorHAnsi" w:cstheme="minorBidi"/>
            <w:b w:val="0"/>
            <w:color w:val="auto"/>
            <w:kern w:val="2"/>
            <w:sz w:val="24"/>
            <w:szCs w:val="24"/>
            <w14:ligatures w14:val="standardContextual"/>
          </w:rPr>
          <w:t xml:space="preserve"> </w:t>
        </w:r>
        <w:r w:rsidRPr="00941BA6">
          <w:rPr>
            <w:rStyle w:val="Hyperlink"/>
          </w:rPr>
          <w:t>Statement of preparation</w:t>
        </w:r>
        <w:r>
          <w:rPr>
            <w:webHidden/>
          </w:rPr>
          <w:tab/>
        </w:r>
        <w:r>
          <w:rPr>
            <w:webHidden/>
          </w:rPr>
          <w:fldChar w:fldCharType="begin"/>
        </w:r>
        <w:r>
          <w:rPr>
            <w:webHidden/>
          </w:rPr>
          <w:instrText xml:space="preserve"> PAGEREF _Toc208913966 \h </w:instrText>
        </w:r>
        <w:r>
          <w:rPr>
            <w:webHidden/>
          </w:rPr>
        </w:r>
        <w:r>
          <w:rPr>
            <w:webHidden/>
          </w:rPr>
          <w:fldChar w:fldCharType="separate"/>
        </w:r>
        <w:r w:rsidR="00F60EAA">
          <w:rPr>
            <w:webHidden/>
          </w:rPr>
          <w:t>15</w:t>
        </w:r>
        <w:r>
          <w:rPr>
            <w:webHidden/>
          </w:rPr>
          <w:fldChar w:fldCharType="end"/>
        </w:r>
      </w:hyperlink>
    </w:p>
    <w:p w14:paraId="2F511380" w14:textId="6B1B8311" w:rsidR="001740BA" w:rsidRDefault="001740BA">
      <w:pPr>
        <w:pStyle w:val="TOC1"/>
        <w:rPr>
          <w:rFonts w:asciiTheme="minorHAnsi" w:hAnsiTheme="minorHAnsi" w:cstheme="minorBidi"/>
          <w:b w:val="0"/>
          <w:color w:val="auto"/>
          <w:kern w:val="2"/>
          <w:sz w:val="24"/>
          <w:szCs w:val="24"/>
          <w14:ligatures w14:val="standardContextual"/>
        </w:rPr>
      </w:pPr>
      <w:hyperlink w:anchor="_Toc208913967" w:history="1">
        <w:r w:rsidRPr="00941BA6">
          <w:rPr>
            <w:rStyle w:val="Hyperlink"/>
          </w:rPr>
          <w:t>B.</w:t>
        </w:r>
        <w:r>
          <w:rPr>
            <w:rFonts w:asciiTheme="minorHAnsi" w:hAnsiTheme="minorHAnsi" w:cstheme="minorBidi"/>
            <w:b w:val="0"/>
            <w:color w:val="auto"/>
            <w:kern w:val="2"/>
            <w:sz w:val="24"/>
            <w:szCs w:val="24"/>
            <w14:ligatures w14:val="standardContextual"/>
          </w:rPr>
          <w:t xml:space="preserve"> </w:t>
        </w:r>
        <w:r w:rsidRPr="00941BA6">
          <w:rPr>
            <w:rStyle w:val="Hyperlink"/>
          </w:rPr>
          <w:t>Financial risk management</w:t>
        </w:r>
        <w:r>
          <w:rPr>
            <w:webHidden/>
          </w:rPr>
          <w:tab/>
        </w:r>
        <w:r>
          <w:rPr>
            <w:webHidden/>
          </w:rPr>
          <w:fldChar w:fldCharType="begin"/>
        </w:r>
        <w:r>
          <w:rPr>
            <w:webHidden/>
          </w:rPr>
          <w:instrText xml:space="preserve"> PAGEREF _Toc208913967 \h </w:instrText>
        </w:r>
        <w:r>
          <w:rPr>
            <w:webHidden/>
          </w:rPr>
        </w:r>
        <w:r>
          <w:rPr>
            <w:webHidden/>
          </w:rPr>
          <w:fldChar w:fldCharType="separate"/>
        </w:r>
        <w:r w:rsidR="00F60EAA">
          <w:rPr>
            <w:webHidden/>
          </w:rPr>
          <w:t>16</w:t>
        </w:r>
        <w:r>
          <w:rPr>
            <w:webHidden/>
          </w:rPr>
          <w:fldChar w:fldCharType="end"/>
        </w:r>
      </w:hyperlink>
    </w:p>
    <w:p w14:paraId="5465E573" w14:textId="5F7EC429" w:rsidR="001740BA" w:rsidRDefault="001740BA">
      <w:pPr>
        <w:pStyle w:val="TOC1"/>
        <w:rPr>
          <w:rFonts w:asciiTheme="minorHAnsi" w:hAnsiTheme="minorHAnsi" w:cstheme="minorBidi"/>
          <w:b w:val="0"/>
          <w:color w:val="auto"/>
          <w:kern w:val="2"/>
          <w:sz w:val="24"/>
          <w:szCs w:val="24"/>
          <w14:ligatures w14:val="standardContextual"/>
        </w:rPr>
      </w:pPr>
      <w:hyperlink w:anchor="_Toc208913968" w:history="1">
        <w:r w:rsidRPr="00941BA6">
          <w:rPr>
            <w:rStyle w:val="Hyperlink"/>
          </w:rPr>
          <w:t>C.</w:t>
        </w:r>
        <w:r>
          <w:rPr>
            <w:rFonts w:asciiTheme="minorHAnsi" w:hAnsiTheme="minorHAnsi" w:cstheme="minorBidi"/>
            <w:b w:val="0"/>
            <w:color w:val="auto"/>
            <w:kern w:val="2"/>
            <w:sz w:val="24"/>
            <w:szCs w:val="24"/>
            <w14:ligatures w14:val="standardContextual"/>
          </w:rPr>
          <w:t xml:space="preserve"> </w:t>
        </w:r>
        <w:r w:rsidRPr="00941BA6">
          <w:rPr>
            <w:rStyle w:val="Hyperlink"/>
          </w:rPr>
          <w:t>Approach to assessing performance</w:t>
        </w:r>
        <w:r>
          <w:rPr>
            <w:webHidden/>
          </w:rPr>
          <w:tab/>
        </w:r>
        <w:r>
          <w:rPr>
            <w:webHidden/>
          </w:rPr>
          <w:fldChar w:fldCharType="begin"/>
        </w:r>
        <w:r>
          <w:rPr>
            <w:webHidden/>
          </w:rPr>
          <w:instrText xml:space="preserve"> PAGEREF _Toc208913968 \h </w:instrText>
        </w:r>
        <w:r>
          <w:rPr>
            <w:webHidden/>
          </w:rPr>
        </w:r>
        <w:r>
          <w:rPr>
            <w:webHidden/>
          </w:rPr>
          <w:fldChar w:fldCharType="separate"/>
        </w:r>
        <w:r w:rsidR="00F60EAA">
          <w:rPr>
            <w:webHidden/>
          </w:rPr>
          <w:t>20</w:t>
        </w:r>
        <w:r>
          <w:rPr>
            <w:webHidden/>
          </w:rPr>
          <w:fldChar w:fldCharType="end"/>
        </w:r>
      </w:hyperlink>
    </w:p>
    <w:p w14:paraId="64203F59" w14:textId="14E18FB7" w:rsidR="001740BA" w:rsidRDefault="001740BA">
      <w:pPr>
        <w:pStyle w:val="TOC1"/>
        <w:rPr>
          <w:rFonts w:asciiTheme="minorHAnsi" w:hAnsiTheme="minorHAnsi" w:cstheme="minorBidi"/>
          <w:b w:val="0"/>
          <w:color w:val="auto"/>
          <w:kern w:val="2"/>
          <w:sz w:val="24"/>
          <w:szCs w:val="24"/>
          <w14:ligatures w14:val="standardContextual"/>
        </w:rPr>
      </w:pPr>
      <w:hyperlink w:anchor="_Toc208913969" w:history="1">
        <w:r w:rsidRPr="00941BA6">
          <w:rPr>
            <w:rStyle w:val="Hyperlink"/>
          </w:rPr>
          <w:t>D.</w:t>
        </w:r>
        <w:r>
          <w:rPr>
            <w:rFonts w:asciiTheme="minorHAnsi" w:hAnsiTheme="minorHAnsi" w:cstheme="minorBidi"/>
            <w:b w:val="0"/>
            <w:color w:val="auto"/>
            <w:kern w:val="2"/>
            <w:sz w:val="24"/>
            <w:szCs w:val="24"/>
            <w14:ligatures w14:val="standardContextual"/>
          </w:rPr>
          <w:t xml:space="preserve"> </w:t>
        </w:r>
        <w:r w:rsidRPr="00941BA6">
          <w:rPr>
            <w:rStyle w:val="Hyperlink"/>
          </w:rPr>
          <w:t>The operating environment</w:t>
        </w:r>
        <w:r>
          <w:rPr>
            <w:webHidden/>
          </w:rPr>
          <w:tab/>
        </w:r>
        <w:r>
          <w:rPr>
            <w:webHidden/>
          </w:rPr>
          <w:fldChar w:fldCharType="begin"/>
        </w:r>
        <w:r>
          <w:rPr>
            <w:webHidden/>
          </w:rPr>
          <w:instrText xml:space="preserve"> PAGEREF _Toc208913969 \h </w:instrText>
        </w:r>
        <w:r>
          <w:rPr>
            <w:webHidden/>
          </w:rPr>
        </w:r>
        <w:r>
          <w:rPr>
            <w:webHidden/>
          </w:rPr>
          <w:fldChar w:fldCharType="separate"/>
        </w:r>
        <w:r w:rsidR="00F60EAA">
          <w:rPr>
            <w:webHidden/>
          </w:rPr>
          <w:t>22</w:t>
        </w:r>
        <w:r>
          <w:rPr>
            <w:webHidden/>
          </w:rPr>
          <w:fldChar w:fldCharType="end"/>
        </w:r>
      </w:hyperlink>
    </w:p>
    <w:p w14:paraId="442B199D" w14:textId="0B89617B" w:rsidR="001740BA" w:rsidRDefault="001740BA">
      <w:pPr>
        <w:pStyle w:val="TOC1"/>
        <w:rPr>
          <w:rFonts w:asciiTheme="minorHAnsi" w:hAnsiTheme="minorHAnsi" w:cstheme="minorBidi"/>
          <w:b w:val="0"/>
          <w:color w:val="auto"/>
          <w:kern w:val="2"/>
          <w:sz w:val="24"/>
          <w:szCs w:val="24"/>
          <w14:ligatures w14:val="standardContextual"/>
        </w:rPr>
      </w:pPr>
      <w:hyperlink w:anchor="_Toc208913970" w:history="1">
        <w:r w:rsidRPr="00941BA6">
          <w:rPr>
            <w:rStyle w:val="Hyperlink"/>
          </w:rPr>
          <w:t>Performance Assessment: Purpose 1</w:t>
        </w:r>
        <w:r>
          <w:rPr>
            <w:webHidden/>
          </w:rPr>
          <w:tab/>
        </w:r>
        <w:r>
          <w:rPr>
            <w:webHidden/>
          </w:rPr>
          <w:fldChar w:fldCharType="begin"/>
        </w:r>
        <w:r>
          <w:rPr>
            <w:webHidden/>
          </w:rPr>
          <w:instrText xml:space="preserve"> PAGEREF _Toc208913970 \h </w:instrText>
        </w:r>
        <w:r>
          <w:rPr>
            <w:webHidden/>
          </w:rPr>
        </w:r>
        <w:r>
          <w:rPr>
            <w:webHidden/>
          </w:rPr>
          <w:fldChar w:fldCharType="separate"/>
        </w:r>
        <w:r w:rsidR="00F60EAA">
          <w:rPr>
            <w:webHidden/>
          </w:rPr>
          <w:t>23</w:t>
        </w:r>
        <w:r>
          <w:rPr>
            <w:webHidden/>
          </w:rPr>
          <w:fldChar w:fldCharType="end"/>
        </w:r>
      </w:hyperlink>
    </w:p>
    <w:p w14:paraId="5E49A904" w14:textId="6D30AD5A" w:rsidR="001740BA" w:rsidRDefault="001740BA">
      <w:pPr>
        <w:pStyle w:val="TOC1"/>
        <w:rPr>
          <w:rFonts w:asciiTheme="minorHAnsi" w:hAnsiTheme="minorHAnsi" w:cstheme="minorBidi"/>
          <w:b w:val="0"/>
          <w:color w:val="auto"/>
          <w:kern w:val="2"/>
          <w:sz w:val="24"/>
          <w:szCs w:val="24"/>
          <w14:ligatures w14:val="standardContextual"/>
        </w:rPr>
      </w:pPr>
      <w:hyperlink w:anchor="_Toc208913972" w:history="1">
        <w:r w:rsidRPr="00941BA6">
          <w:rPr>
            <w:rStyle w:val="Hyperlink"/>
          </w:rPr>
          <w:t>Performance Assessment: Purpose 2</w:t>
        </w:r>
        <w:r>
          <w:rPr>
            <w:webHidden/>
          </w:rPr>
          <w:tab/>
        </w:r>
        <w:r>
          <w:rPr>
            <w:webHidden/>
          </w:rPr>
          <w:fldChar w:fldCharType="begin"/>
        </w:r>
        <w:r>
          <w:rPr>
            <w:webHidden/>
          </w:rPr>
          <w:instrText xml:space="preserve"> PAGEREF _Toc208913972 \h </w:instrText>
        </w:r>
        <w:r>
          <w:rPr>
            <w:webHidden/>
          </w:rPr>
        </w:r>
        <w:r>
          <w:rPr>
            <w:webHidden/>
          </w:rPr>
          <w:fldChar w:fldCharType="separate"/>
        </w:r>
        <w:r w:rsidR="00F60EAA">
          <w:rPr>
            <w:webHidden/>
          </w:rPr>
          <w:t>41</w:t>
        </w:r>
        <w:r>
          <w:rPr>
            <w:webHidden/>
          </w:rPr>
          <w:fldChar w:fldCharType="end"/>
        </w:r>
      </w:hyperlink>
    </w:p>
    <w:p w14:paraId="71BE035A" w14:textId="1CD73061" w:rsidR="001740BA" w:rsidRDefault="001740BA">
      <w:pPr>
        <w:pStyle w:val="TOC1"/>
        <w:rPr>
          <w:rFonts w:asciiTheme="minorHAnsi" w:hAnsiTheme="minorHAnsi" w:cstheme="minorBidi"/>
          <w:b w:val="0"/>
          <w:color w:val="auto"/>
          <w:kern w:val="2"/>
          <w:sz w:val="24"/>
          <w:szCs w:val="24"/>
          <w14:ligatures w14:val="standardContextual"/>
        </w:rPr>
      </w:pPr>
      <w:hyperlink w:anchor="_Toc208913974" w:history="1">
        <w:r w:rsidRPr="00941BA6">
          <w:rPr>
            <w:rStyle w:val="Hyperlink"/>
          </w:rPr>
          <w:t>Performance Assessment: Purpose 3</w:t>
        </w:r>
        <w:r>
          <w:rPr>
            <w:webHidden/>
          </w:rPr>
          <w:tab/>
        </w:r>
        <w:r>
          <w:rPr>
            <w:webHidden/>
          </w:rPr>
          <w:fldChar w:fldCharType="begin"/>
        </w:r>
        <w:r>
          <w:rPr>
            <w:webHidden/>
          </w:rPr>
          <w:instrText xml:space="preserve"> PAGEREF _Toc208913974 \h </w:instrText>
        </w:r>
        <w:r>
          <w:rPr>
            <w:webHidden/>
          </w:rPr>
        </w:r>
        <w:r>
          <w:rPr>
            <w:webHidden/>
          </w:rPr>
          <w:fldChar w:fldCharType="separate"/>
        </w:r>
        <w:r w:rsidR="00F60EAA">
          <w:rPr>
            <w:webHidden/>
          </w:rPr>
          <w:t>47</w:t>
        </w:r>
        <w:r>
          <w:rPr>
            <w:webHidden/>
          </w:rPr>
          <w:fldChar w:fldCharType="end"/>
        </w:r>
      </w:hyperlink>
    </w:p>
    <w:p w14:paraId="327034D4" w14:textId="56420D25" w:rsidR="001740BA" w:rsidRDefault="001740BA">
      <w:pPr>
        <w:pStyle w:val="TOC1"/>
        <w:rPr>
          <w:rFonts w:asciiTheme="minorHAnsi" w:hAnsiTheme="minorHAnsi" w:cstheme="minorBidi"/>
          <w:b w:val="0"/>
          <w:color w:val="auto"/>
          <w:kern w:val="2"/>
          <w:sz w:val="24"/>
          <w:szCs w:val="24"/>
          <w14:ligatures w14:val="standardContextual"/>
        </w:rPr>
      </w:pPr>
      <w:hyperlink w:anchor="_Toc208913976" w:history="1">
        <w:r w:rsidRPr="00941BA6">
          <w:rPr>
            <w:rStyle w:val="Hyperlink"/>
          </w:rPr>
          <w:t>Performance Assessment: Purpose 4</w:t>
        </w:r>
        <w:r>
          <w:rPr>
            <w:webHidden/>
          </w:rPr>
          <w:tab/>
        </w:r>
        <w:r>
          <w:rPr>
            <w:webHidden/>
          </w:rPr>
          <w:fldChar w:fldCharType="begin"/>
        </w:r>
        <w:r>
          <w:rPr>
            <w:webHidden/>
          </w:rPr>
          <w:instrText xml:space="preserve"> PAGEREF _Toc208913976 \h </w:instrText>
        </w:r>
        <w:r>
          <w:rPr>
            <w:webHidden/>
          </w:rPr>
        </w:r>
        <w:r>
          <w:rPr>
            <w:webHidden/>
          </w:rPr>
          <w:fldChar w:fldCharType="separate"/>
        </w:r>
        <w:r w:rsidR="00F60EAA">
          <w:rPr>
            <w:webHidden/>
          </w:rPr>
          <w:t>57</w:t>
        </w:r>
        <w:r>
          <w:rPr>
            <w:webHidden/>
          </w:rPr>
          <w:fldChar w:fldCharType="end"/>
        </w:r>
      </w:hyperlink>
    </w:p>
    <w:p w14:paraId="742B58BC" w14:textId="77777777" w:rsidR="00551415" w:rsidRDefault="00B33292" w:rsidP="00224009">
      <w:pPr>
        <w:rPr>
          <w:rFonts w:ascii="Open Sans" w:hAnsi="Open Sans"/>
        </w:rPr>
        <w:sectPr w:rsidR="00551415" w:rsidSect="001E2AEB">
          <w:type w:val="oddPage"/>
          <w:pgSz w:w="11907" w:h="16840" w:code="9"/>
          <w:pgMar w:top="2835" w:right="2098" w:bottom="2466" w:left="2098" w:header="1814" w:footer="1814" w:gutter="0"/>
          <w:cols w:space="708"/>
          <w:titlePg/>
          <w:docGrid w:linePitch="360"/>
        </w:sectPr>
      </w:pPr>
      <w:r>
        <w:rPr>
          <w:rFonts w:ascii="Open Sans" w:hAnsi="Open Sans"/>
        </w:rPr>
        <w:fldChar w:fldCharType="end"/>
      </w:r>
    </w:p>
    <w:p w14:paraId="7B857D23" w14:textId="7479551C" w:rsidR="00A27D6B" w:rsidRPr="00592520" w:rsidRDefault="00FC783C" w:rsidP="006D2EDF">
      <w:pPr>
        <w:pStyle w:val="Heading1-alpha"/>
        <w:numPr>
          <w:ilvl w:val="0"/>
          <w:numId w:val="52"/>
        </w:numPr>
      </w:pPr>
      <w:bookmarkStart w:id="296" w:name="_Toc205474296"/>
      <w:bookmarkStart w:id="297" w:name="_Toc207792881"/>
      <w:bookmarkStart w:id="298" w:name="_Toc207795641"/>
      <w:bookmarkStart w:id="299" w:name="_Toc207796044"/>
      <w:bookmarkStart w:id="300" w:name="_Toc207796921"/>
      <w:bookmarkStart w:id="301" w:name="_Toc207800222"/>
      <w:bookmarkStart w:id="302" w:name="_Toc207810800"/>
      <w:bookmarkStart w:id="303" w:name="_Toc208913966"/>
      <w:bookmarkStart w:id="304" w:name="_Toc208914079"/>
      <w:bookmarkStart w:id="305" w:name="_Toc209424476"/>
      <w:bookmarkStart w:id="306" w:name="_Toc209424584"/>
      <w:r w:rsidRPr="00592520">
        <w:lastRenderedPageBreak/>
        <w:t>Statement of preparation</w:t>
      </w:r>
      <w:bookmarkEnd w:id="296"/>
      <w:bookmarkEnd w:id="297"/>
      <w:bookmarkEnd w:id="298"/>
      <w:bookmarkEnd w:id="299"/>
      <w:bookmarkEnd w:id="300"/>
      <w:bookmarkEnd w:id="301"/>
      <w:bookmarkEnd w:id="302"/>
      <w:bookmarkEnd w:id="303"/>
      <w:bookmarkEnd w:id="304"/>
      <w:bookmarkEnd w:id="305"/>
      <w:bookmarkEnd w:id="306"/>
    </w:p>
    <w:p w14:paraId="273AC85F" w14:textId="3B030999" w:rsidR="0092273F" w:rsidRDefault="0092273F" w:rsidP="0092273F">
      <w:pPr>
        <w:tabs>
          <w:tab w:val="left" w:pos="924"/>
        </w:tabs>
      </w:pPr>
      <w:r w:rsidRPr="004A77B2">
        <w:t xml:space="preserve">As the accountable authority of the Australian Office of Financial Management (AOFM), </w:t>
      </w:r>
      <w:r w:rsidR="004E5A7A" w:rsidRPr="004A77B2">
        <w:t>I</w:t>
      </w:r>
      <w:r w:rsidR="004E5A7A">
        <w:t> </w:t>
      </w:r>
      <w:r w:rsidRPr="004A77B2">
        <w:t xml:space="preserve">present the </w:t>
      </w:r>
      <w:r>
        <w:t>2024</w:t>
      </w:r>
      <w:r w:rsidR="004E5A7A">
        <w:t>–</w:t>
      </w:r>
      <w:r>
        <w:t>25</w:t>
      </w:r>
      <w:r w:rsidRPr="004A77B2">
        <w:t xml:space="preserve"> annual performance statement of the AOFM, as required under paragraph 39(1)(a) of the </w:t>
      </w:r>
      <w:r w:rsidRPr="004A77B2">
        <w:rPr>
          <w:i/>
          <w:iCs/>
        </w:rPr>
        <w:t xml:space="preserve">Public Governance, Performance and Accountability Act 2013 </w:t>
      </w:r>
      <w:r w:rsidRPr="004A77B2">
        <w:t xml:space="preserve">(PGPA Act). In my opinion, the annual performance statement is based on properly maintained records, accurately reflects the performance of the agency, and complies with subsection 39(2) of the PGPA Act. </w:t>
      </w:r>
    </w:p>
    <w:p w14:paraId="03AC226E" w14:textId="77777777" w:rsidR="00856C9E" w:rsidRDefault="00856C9E" w:rsidP="0092273F">
      <w:pPr>
        <w:tabs>
          <w:tab w:val="left" w:pos="924"/>
        </w:tabs>
      </w:pPr>
    </w:p>
    <w:p w14:paraId="1769AEED" w14:textId="023EDFDB" w:rsidR="0092273F" w:rsidRPr="004A77B2" w:rsidRDefault="00552310" w:rsidP="0092273F">
      <w:pPr>
        <w:tabs>
          <w:tab w:val="left" w:pos="924"/>
        </w:tabs>
      </w:pPr>
      <w:r>
        <w:rPr>
          <w:noProof/>
        </w:rPr>
        <mc:AlternateContent>
          <mc:Choice Requires="wpi">
            <w:drawing>
              <wp:anchor distT="0" distB="0" distL="114300" distR="114300" simplePos="0" relativeHeight="251658241" behindDoc="0" locked="0" layoutInCell="1" allowOverlap="1" wp14:anchorId="08E0A9AA" wp14:editId="411E84F6">
                <wp:simplePos x="0" y="0"/>
                <wp:positionH relativeFrom="column">
                  <wp:posOffset>58420</wp:posOffset>
                </wp:positionH>
                <wp:positionV relativeFrom="paragraph">
                  <wp:posOffset>-8890</wp:posOffset>
                </wp:positionV>
                <wp:extent cx="1026978" cy="370631"/>
                <wp:effectExtent l="38100" t="38100" r="20955" b="48895"/>
                <wp:wrapTopAndBottom/>
                <wp:docPr id="1281871996" name="In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55">
                      <w14:nvContentPartPr>
                        <w14:cNvContentPartPr/>
                      </w14:nvContentPartPr>
                      <w14:xfrm>
                        <a:off x="0" y="0"/>
                        <a:ext cx="1026978" cy="370631"/>
                      </w14:xfrm>
                    </w14:contentPart>
                  </a:graphicData>
                </a:graphic>
                <wp14:sizeRelH relativeFrom="margin">
                  <wp14:pctWidth>0</wp14:pctWidth>
                </wp14:sizeRelH>
                <wp14:sizeRelV relativeFrom="margin">
                  <wp14:pctHeight>0</wp14:pctHeight>
                </wp14:sizeRelV>
              </wp:anchor>
            </w:drawing>
          </mc:Choice>
          <mc:Fallback>
            <w:pict>
              <v:shapetype w14:anchorId="6F457D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alt="&quot;&quot;" style="position:absolute;margin-left:4.1pt;margin-top:-1.2pt;width:81.85pt;height:3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">
                <v:imagedata r:id="rId58" o:title=""/>
                <w10:wrap type="topAndBottom"/>
              </v:shape>
            </w:pict>
          </mc:Fallback>
        </mc:AlternateContent>
      </w:r>
      <w:r w:rsidR="0092273F" w:rsidRPr="004A77B2">
        <w:t xml:space="preserve">Anna Hughes </w:t>
      </w:r>
      <w:r w:rsidR="0092273F">
        <w:br/>
      </w:r>
      <w:r w:rsidR="0092273F" w:rsidRPr="004A77B2">
        <w:t xml:space="preserve">Chief Executive Officer </w:t>
      </w:r>
    </w:p>
    <w:p w14:paraId="4C68731E" w14:textId="094503D9" w:rsidR="0092273F" w:rsidRDefault="00552310" w:rsidP="0092273F">
      <w:r>
        <w:t>29 August 2025</w:t>
      </w:r>
    </w:p>
    <w:p w14:paraId="47BEE6E8" w14:textId="77777777" w:rsidR="00A27D6B" w:rsidRDefault="00A27D6B" w:rsidP="00A27D6B">
      <w:pPr>
        <w:spacing w:after="0" w:line="240" w:lineRule="auto"/>
        <w:rPr>
          <w:b/>
          <w:lang w:eastAsia="en-AU"/>
        </w:rPr>
      </w:pPr>
      <w:r>
        <w:br w:type="page"/>
      </w:r>
    </w:p>
    <w:p w14:paraId="7B3CDE8E" w14:textId="6604925E" w:rsidR="00386056" w:rsidRDefault="00754BAE" w:rsidP="00592520">
      <w:pPr>
        <w:pStyle w:val="Heading1-alpha"/>
      </w:pPr>
      <w:bookmarkStart w:id="307" w:name="_Toc205474297"/>
      <w:bookmarkStart w:id="308" w:name="_Toc207792882"/>
      <w:bookmarkStart w:id="309" w:name="_Toc207795642"/>
      <w:bookmarkStart w:id="310" w:name="_Toc207796045"/>
      <w:bookmarkStart w:id="311" w:name="_Toc207796922"/>
      <w:bookmarkStart w:id="312" w:name="_Toc207800223"/>
      <w:bookmarkStart w:id="313" w:name="_Toc207810801"/>
      <w:bookmarkStart w:id="314" w:name="_Toc208913967"/>
      <w:bookmarkStart w:id="315" w:name="_Toc208914080"/>
      <w:bookmarkStart w:id="316" w:name="_Toc209424477"/>
      <w:bookmarkStart w:id="317" w:name="_Toc209424585"/>
      <w:r>
        <w:lastRenderedPageBreak/>
        <w:t>F</w:t>
      </w:r>
      <w:r w:rsidR="00386056">
        <w:t>inancial risk management</w:t>
      </w:r>
      <w:bookmarkEnd w:id="307"/>
      <w:bookmarkEnd w:id="308"/>
      <w:bookmarkEnd w:id="309"/>
      <w:bookmarkEnd w:id="310"/>
      <w:bookmarkEnd w:id="311"/>
      <w:bookmarkEnd w:id="312"/>
      <w:bookmarkEnd w:id="313"/>
      <w:bookmarkEnd w:id="314"/>
      <w:bookmarkEnd w:id="315"/>
      <w:bookmarkEnd w:id="316"/>
      <w:bookmarkEnd w:id="317"/>
    </w:p>
    <w:p w14:paraId="53995D51" w14:textId="6DF663A1" w:rsidR="002F2C5B" w:rsidRPr="00BA36D9" w:rsidRDefault="00EB18B2" w:rsidP="00C67F81">
      <w:pPr>
        <w:pStyle w:val="Heading2"/>
      </w:pPr>
      <w:bookmarkStart w:id="318" w:name="_Toc205474298"/>
      <w:bookmarkStart w:id="319" w:name="_Toc207792883"/>
      <w:bookmarkStart w:id="320" w:name="_Toc207793917"/>
      <w:bookmarkStart w:id="321" w:name="_Toc207796046"/>
      <w:bookmarkStart w:id="322" w:name="_Toc207796923"/>
      <w:bookmarkStart w:id="323" w:name="_Toc207800224"/>
      <w:bookmarkStart w:id="324" w:name="_Toc207810802"/>
      <w:bookmarkStart w:id="325" w:name="_Toc208914081"/>
      <w:bookmarkStart w:id="326" w:name="_Toc209424478"/>
      <w:r w:rsidRPr="00BA36D9">
        <w:t>S</w:t>
      </w:r>
      <w:r w:rsidR="087ABF10" w:rsidRPr="00BA36D9">
        <w:t>overeign</w:t>
      </w:r>
      <w:r w:rsidR="004A2185" w:rsidRPr="00BA36D9">
        <w:t xml:space="preserve"> debt management requires </w:t>
      </w:r>
      <w:r w:rsidR="004E5A7A">
        <w:t>us to manage</w:t>
      </w:r>
      <w:r w:rsidR="004E5A7A" w:rsidRPr="00BA36D9">
        <w:t xml:space="preserve"> </w:t>
      </w:r>
      <w:r w:rsidR="004A2185" w:rsidRPr="00BA36D9">
        <w:t>a range of risks and other considerations</w:t>
      </w:r>
      <w:bookmarkEnd w:id="318"/>
      <w:bookmarkEnd w:id="319"/>
      <w:bookmarkEnd w:id="320"/>
      <w:bookmarkEnd w:id="321"/>
      <w:bookmarkEnd w:id="322"/>
      <w:bookmarkEnd w:id="323"/>
      <w:bookmarkEnd w:id="324"/>
      <w:bookmarkEnd w:id="325"/>
      <w:bookmarkEnd w:id="326"/>
    </w:p>
    <w:p w14:paraId="2E680416" w14:textId="4F652927" w:rsidR="00D405DD" w:rsidRPr="00D405DD" w:rsidRDefault="00D405DD" w:rsidP="00D405DD">
      <w:r w:rsidRPr="00D405DD">
        <w:t>Sovereign debt issuance and cash management entails assessing interest rate, liquidity, forecasting and operational risks. Given the size of the government</w:t>
      </w:r>
      <w:r w:rsidR="00B84FF2">
        <w:t>’</w:t>
      </w:r>
      <w:r w:rsidRPr="00D405DD">
        <w:t xml:space="preserve">s financial </w:t>
      </w:r>
      <w:r w:rsidR="00BF6B8F">
        <w:t>requirements</w:t>
      </w:r>
      <w:r w:rsidRPr="00D405DD">
        <w:t xml:space="preserve">, these risks are material to its overall fiscal </w:t>
      </w:r>
      <w:proofErr w:type="gramStart"/>
      <w:r w:rsidRPr="00D405DD">
        <w:t>position</w:t>
      </w:r>
      <w:r w:rsidR="004E5A7A">
        <w:t>,</w:t>
      </w:r>
      <w:r w:rsidRPr="00D405DD">
        <w:t xml:space="preserve"> and</w:t>
      </w:r>
      <w:proofErr w:type="gramEnd"/>
      <w:r w:rsidRPr="00D405DD">
        <w:t xml:space="preserve"> balancing them requires careful judgement. These risks are influenced by a range of factors, primarily global market forces that are constant</w:t>
      </w:r>
      <w:r w:rsidR="00C145A7">
        <w:t>ly</w:t>
      </w:r>
      <w:r w:rsidRPr="00D405DD">
        <w:t> chang</w:t>
      </w:r>
      <w:r w:rsidR="00C145A7">
        <w:t>ing</w:t>
      </w:r>
      <w:r w:rsidRPr="00D405DD">
        <w:t>.</w:t>
      </w:r>
    </w:p>
    <w:p w14:paraId="677180CE" w14:textId="19C136ED" w:rsidR="00D405DD" w:rsidRPr="00D405DD" w:rsidRDefault="00D405DD" w:rsidP="00D405DD">
      <w:r w:rsidRPr="00D405DD">
        <w:t xml:space="preserve">The </w:t>
      </w:r>
      <w:r w:rsidR="004E5A7A">
        <w:t>Australian Office of Financial Management (</w:t>
      </w:r>
      <w:r w:rsidRPr="00D405DD">
        <w:t>AOFM</w:t>
      </w:r>
      <w:r w:rsidR="004E5A7A">
        <w:t>)</w:t>
      </w:r>
      <w:r w:rsidRPr="00D405DD">
        <w:t xml:space="preserve"> </w:t>
      </w:r>
      <w:r w:rsidR="00C145A7">
        <w:t xml:space="preserve">financial </w:t>
      </w:r>
      <w:r w:rsidRPr="00D405DD">
        <w:t>risk management framework supports decision</w:t>
      </w:r>
      <w:r w:rsidR="00B84FF2">
        <w:noBreakHyphen/>
      </w:r>
      <w:r w:rsidR="003A52C4">
        <w:t>making</w:t>
      </w:r>
      <w:r w:rsidR="003A52C4" w:rsidRPr="00D405DD">
        <w:t xml:space="preserve"> </w:t>
      </w:r>
      <w:r w:rsidR="003A52C4">
        <w:t xml:space="preserve">around how the agency </w:t>
      </w:r>
      <w:r w:rsidRPr="00D405DD">
        <w:t>engag</w:t>
      </w:r>
      <w:r w:rsidR="00B6726E">
        <w:t>es</w:t>
      </w:r>
      <w:r w:rsidRPr="00D405DD">
        <w:t xml:space="preserve"> with and mitigat</w:t>
      </w:r>
      <w:r w:rsidR="00B6726E">
        <w:t>es</w:t>
      </w:r>
      <w:r w:rsidRPr="00D405DD">
        <w:t xml:space="preserve"> risk. </w:t>
      </w:r>
      <w:r w:rsidR="004E5A7A">
        <w:t>The framework</w:t>
      </w:r>
      <w:r w:rsidR="004E5A7A" w:rsidRPr="00D405DD">
        <w:t xml:space="preserve"> </w:t>
      </w:r>
      <w:r w:rsidRPr="00D405DD">
        <w:t>also underpins our risk</w:t>
      </w:r>
      <w:r w:rsidR="00B84FF2">
        <w:noBreakHyphen/>
      </w:r>
      <w:r w:rsidRPr="00D405DD">
        <w:t>aware culture.</w:t>
      </w:r>
    </w:p>
    <w:p w14:paraId="40867849" w14:textId="53EA79EA" w:rsidR="007B080D" w:rsidRDefault="00D405DD" w:rsidP="008A6FE3">
      <w:r w:rsidRPr="00D405DD">
        <w:t>An efficient sovereign debt market improves the financial system</w:t>
      </w:r>
      <w:r w:rsidR="00B84FF2">
        <w:t>’</w:t>
      </w:r>
      <w:r w:rsidRPr="00D405DD">
        <w:t>s resilience to economic and financial market shocks. Through our debt financing activities, the AOFM also supports the domestic financial system in which the issuance and trading of Australian Government Securities (AGS) plays a central role. The AGS market provides key reference points on which to base the price of other capital market instruments</w:t>
      </w:r>
      <w:r w:rsidR="004E5A7A">
        <w:t>,</w:t>
      </w:r>
      <w:r w:rsidRPr="00D405DD">
        <w:t xml:space="preserve"> and market participants</w:t>
      </w:r>
      <w:r w:rsidR="004E5A7A">
        <w:t xml:space="preserve"> use it</w:t>
      </w:r>
      <w:r w:rsidRPr="00D405DD">
        <w:t xml:space="preserve"> to manage interest rate risk.</w:t>
      </w:r>
    </w:p>
    <w:p w14:paraId="51808B57" w14:textId="77777777" w:rsidR="00C92FBC" w:rsidRPr="007B080D" w:rsidRDefault="00C92FBC" w:rsidP="00C92FBC">
      <w:pPr>
        <w:pStyle w:val="SingleReturn"/>
      </w:pP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78235A" w14:paraId="57B5805E" w14:textId="77777777">
        <w:tc>
          <w:tcPr>
            <w:tcW w:w="7700" w:type="dxa"/>
            <w:tcBorders>
              <w:bottom w:val="single" w:sz="24" w:space="0" w:color="472978" w:themeColor="accent1"/>
            </w:tcBorders>
            <w:shd w:val="clear" w:color="auto" w:fill="E7DCF7" w:themeFill="text2" w:themeFillTint="1A"/>
          </w:tcPr>
          <w:p w14:paraId="0DEAE6BD" w14:textId="02F66057" w:rsidR="00AC5413" w:rsidRDefault="00AC5413" w:rsidP="00C92FBC">
            <w:pPr>
              <w:pStyle w:val="Boxheading"/>
            </w:pPr>
            <w:r>
              <w:t xml:space="preserve">The </w:t>
            </w:r>
            <w:r w:rsidRPr="00C92FBC">
              <w:t>AOFM</w:t>
            </w:r>
            <w:r>
              <w:t xml:space="preserve"> issues Treasury Bonds, Treasury Indexed Bonds and Treasury Notes</w:t>
            </w:r>
          </w:p>
          <w:p w14:paraId="5FC0C847" w14:textId="77777777" w:rsidR="00AC5413" w:rsidRPr="007B080D" w:rsidRDefault="00AC5413" w:rsidP="00C92FBC">
            <w:pPr>
              <w:pStyle w:val="BoxText"/>
            </w:pPr>
            <w:r w:rsidRPr="007B080D">
              <w:t xml:space="preserve">The </w:t>
            </w:r>
            <w:r w:rsidRPr="00C92FBC">
              <w:t>AOFM</w:t>
            </w:r>
            <w:r w:rsidRPr="007B080D">
              <w:t xml:space="preserve"> issues 3 AGS debt instruments.</w:t>
            </w:r>
          </w:p>
          <w:p w14:paraId="01D0317A" w14:textId="18AAB431" w:rsidR="00AC5413" w:rsidRPr="002A1D5B" w:rsidRDefault="00AC5413" w:rsidP="005E0C59">
            <w:pPr>
              <w:pStyle w:val="BoxText"/>
            </w:pPr>
            <w:r w:rsidRPr="00110335">
              <w:rPr>
                <w:b/>
                <w:bCs/>
              </w:rPr>
              <w:t>Treasury Bonds</w:t>
            </w:r>
            <w:r w:rsidRPr="002A1D5B">
              <w:t xml:space="preserve"> are </w:t>
            </w:r>
            <w:r w:rsidR="00D17AA8" w:rsidRPr="002A1D5B">
              <w:t>medium</w:t>
            </w:r>
            <w:r w:rsidR="00B84FF2">
              <w:noBreakHyphen/>
            </w:r>
            <w:r w:rsidR="00D17AA8" w:rsidRPr="002A1D5B">
              <w:t xml:space="preserve"> to long</w:t>
            </w:r>
            <w:r w:rsidR="00B84FF2">
              <w:noBreakHyphen/>
            </w:r>
            <w:r w:rsidR="00D17AA8" w:rsidRPr="002A1D5B">
              <w:t xml:space="preserve">term securities that pay a fixed annual rate of interest, and are </w:t>
            </w:r>
            <w:r w:rsidRPr="002A1D5B">
              <w:t>the main instrument used to meet the Budget funding task.</w:t>
            </w:r>
          </w:p>
          <w:p w14:paraId="2B06B517" w14:textId="0489AF7A" w:rsidR="00AC5413" w:rsidRPr="002A1D5B" w:rsidRDefault="00AC5413" w:rsidP="005E0C59">
            <w:pPr>
              <w:pStyle w:val="BoxText"/>
            </w:pPr>
            <w:r w:rsidRPr="00110335">
              <w:rPr>
                <w:b/>
                <w:bCs/>
              </w:rPr>
              <w:t>Treasury Indexed Bonds (TIBs)</w:t>
            </w:r>
            <w:r w:rsidRPr="002A1D5B">
              <w:t xml:space="preserve"> are </w:t>
            </w:r>
            <w:r w:rsidR="008F580F" w:rsidRPr="002A1D5B">
              <w:t>medium</w:t>
            </w:r>
            <w:r w:rsidR="00B84FF2">
              <w:noBreakHyphen/>
            </w:r>
            <w:r w:rsidR="008F580F" w:rsidRPr="002A1D5B">
              <w:t xml:space="preserve"> to long</w:t>
            </w:r>
            <w:r w:rsidR="00B84FF2">
              <w:noBreakHyphen/>
            </w:r>
            <w:r w:rsidR="008F580F" w:rsidRPr="002A1D5B">
              <w:t xml:space="preserve">term securities that are </w:t>
            </w:r>
            <w:r w:rsidRPr="002A1D5B">
              <w:t>linked</w:t>
            </w:r>
            <w:r w:rsidR="004E5A7A" w:rsidRPr="002A1D5B">
              <w:t xml:space="preserve"> to inflation</w:t>
            </w:r>
            <w:r w:rsidR="008F580F" w:rsidRPr="002A1D5B">
              <w:t>.</w:t>
            </w:r>
          </w:p>
          <w:p w14:paraId="77B78D52" w14:textId="7D57ECB4" w:rsidR="0078235A" w:rsidRPr="006574CB" w:rsidRDefault="00AC5413" w:rsidP="005E0C59">
            <w:pPr>
              <w:pStyle w:val="BoxText"/>
            </w:pPr>
            <w:r w:rsidRPr="00110335">
              <w:rPr>
                <w:b/>
                <w:bCs/>
              </w:rPr>
              <w:t>Treasury Notes (T</w:t>
            </w:r>
            <w:r w:rsidR="00B84FF2">
              <w:rPr>
                <w:b/>
                <w:bCs/>
              </w:rPr>
              <w:noBreakHyphen/>
            </w:r>
            <w:r w:rsidRPr="00110335">
              <w:rPr>
                <w:b/>
                <w:bCs/>
              </w:rPr>
              <w:t>Notes)</w:t>
            </w:r>
            <w:r w:rsidRPr="002A1D5B">
              <w:t> are short</w:t>
            </w:r>
            <w:r w:rsidR="00B84FF2">
              <w:noBreakHyphen/>
            </w:r>
            <w:r w:rsidRPr="002A1D5B">
              <w:t>term debt securities used for within</w:t>
            </w:r>
            <w:r w:rsidR="00B84FF2">
              <w:noBreakHyphen/>
            </w:r>
            <w:r w:rsidRPr="002A1D5B">
              <w:t>year financing purposes and to provide ready access to large volumes of financing in times of unanticipated need. This can be especially important during times of general market stress.</w:t>
            </w:r>
          </w:p>
        </w:tc>
      </w:tr>
      <w:tr w:rsidR="005634E4" w14:paraId="27A30A72" w14:textId="77777777" w:rsidTr="007011B8">
        <w:tc>
          <w:tcPr>
            <w:tcW w:w="7700" w:type="dxa"/>
            <w:tcBorders>
              <w:bottom w:val="single" w:sz="24" w:space="0" w:color="472978" w:themeColor="accent1"/>
            </w:tcBorders>
            <w:shd w:val="clear" w:color="auto" w:fill="E7DCF7" w:themeFill="text2" w:themeFillTint="1A"/>
          </w:tcPr>
          <w:p w14:paraId="4F7086D0" w14:textId="77777777" w:rsidR="005634E4" w:rsidRPr="00AD1A45" w:rsidRDefault="005634E4" w:rsidP="003A25F9">
            <w:pPr>
              <w:pStyle w:val="Boxheading"/>
            </w:pPr>
            <w:r w:rsidRPr="00AD1A45">
              <w:lastRenderedPageBreak/>
              <w:t>What are the characteristics of securities issued by the AOFM?</w:t>
            </w:r>
          </w:p>
          <w:p w14:paraId="2AF0B2F4" w14:textId="545F94BE" w:rsidR="005634E4" w:rsidRPr="007B080D" w:rsidRDefault="005634E4" w:rsidP="003A25F9">
            <w:pPr>
              <w:pStyle w:val="BoxText"/>
            </w:pPr>
            <w:r w:rsidRPr="00AD1A45">
              <w:rPr>
                <w:b/>
                <w:bCs/>
              </w:rPr>
              <w:t>Treasury Bonds</w:t>
            </w:r>
            <w:r w:rsidRPr="007B080D">
              <w:t xml:space="preserve"> are interest bearing securities with maturities </w:t>
            </w:r>
            <w:r>
              <w:t>up</w:t>
            </w:r>
            <w:r w:rsidRPr="007B080D">
              <w:t xml:space="preserve"> to around 30</w:t>
            </w:r>
            <w:r>
              <w:t> </w:t>
            </w:r>
            <w:r w:rsidRPr="007B080D">
              <w:t>years. A</w:t>
            </w:r>
            <w:r w:rsidR="00F954CC">
              <w:t> </w:t>
            </w:r>
            <w:r w:rsidRPr="007B080D">
              <w:t>fixed interest payment (coupon) is made twice each year for the life of the bond. At</w:t>
            </w:r>
            <w:r w:rsidR="00F954CC">
              <w:t> </w:t>
            </w:r>
            <w:r w:rsidRPr="007B080D">
              <w:t>maturity, holders receive the bond</w:t>
            </w:r>
            <w:r w:rsidR="00B84FF2">
              <w:t>’</w:t>
            </w:r>
            <w:r w:rsidRPr="007B080D">
              <w:t>s face value.</w:t>
            </w:r>
          </w:p>
          <w:p w14:paraId="6F0E08DD" w14:textId="563D9BA6" w:rsidR="005634E4" w:rsidRPr="007B080D" w:rsidRDefault="005634E4" w:rsidP="003A25F9">
            <w:pPr>
              <w:pStyle w:val="BoxText"/>
            </w:pPr>
            <w:r w:rsidRPr="00AD1A45">
              <w:rPr>
                <w:b/>
                <w:bCs/>
              </w:rPr>
              <w:t>Green Treasury Bonds</w:t>
            </w:r>
            <w:r w:rsidR="004D3D02">
              <w:t xml:space="preserve"> </w:t>
            </w:r>
            <w:r w:rsidRPr="007B080D">
              <w:t>are a subset of Treasury Bonds. Issuance proceeds are used to finance climate and environmental projects.</w:t>
            </w:r>
          </w:p>
          <w:p w14:paraId="0876F868" w14:textId="68F13972" w:rsidR="005634E4" w:rsidRPr="007B080D" w:rsidRDefault="005634E4" w:rsidP="003A25F9">
            <w:pPr>
              <w:pStyle w:val="BoxText"/>
            </w:pPr>
            <w:r w:rsidRPr="00AD1A45">
              <w:rPr>
                <w:b/>
                <w:bCs/>
              </w:rPr>
              <w:t>TIBs</w:t>
            </w:r>
            <w:r w:rsidRPr="007B080D">
              <w:t xml:space="preserve"> have maturities </w:t>
            </w:r>
            <w:r>
              <w:t xml:space="preserve">up </w:t>
            </w:r>
            <w:r w:rsidRPr="007B080D">
              <w:t>to around 30</w:t>
            </w:r>
            <w:r w:rsidR="004D3D02">
              <w:t> </w:t>
            </w:r>
            <w:r w:rsidRPr="007B080D">
              <w:t>years. The face value of TIBs is adjusted for changes to the Consumer Price Index (CPI). Interest is paid quarterly, at a fixed rate, on the bond</w:t>
            </w:r>
            <w:r w:rsidR="00B84FF2">
              <w:t>’</w:t>
            </w:r>
            <w:r w:rsidRPr="007B080D">
              <w:t>s inflation</w:t>
            </w:r>
            <w:r w:rsidR="00B84FF2">
              <w:noBreakHyphen/>
            </w:r>
            <w:r w:rsidRPr="007B080D">
              <w:t>adjusted value. At maturity, the holders receive the inflation</w:t>
            </w:r>
            <w:r w:rsidR="00B84FF2">
              <w:noBreakHyphen/>
            </w:r>
            <w:r w:rsidRPr="007B080D">
              <w:t>adjusted value of the bond.</w:t>
            </w:r>
          </w:p>
          <w:p w14:paraId="57245378" w14:textId="3E1E64F8" w:rsidR="005634E4" w:rsidRPr="006574CB" w:rsidRDefault="005634E4" w:rsidP="003A25F9">
            <w:pPr>
              <w:pStyle w:val="BoxText"/>
            </w:pPr>
            <w:r w:rsidRPr="00AD1A45">
              <w:rPr>
                <w:b/>
                <w:bCs/>
              </w:rPr>
              <w:t>T</w:t>
            </w:r>
            <w:r w:rsidR="00B84FF2">
              <w:rPr>
                <w:b/>
                <w:bCs/>
              </w:rPr>
              <w:noBreakHyphen/>
            </w:r>
            <w:r w:rsidRPr="00AD1A45">
              <w:rPr>
                <w:b/>
                <w:bCs/>
              </w:rPr>
              <w:t>Notes</w:t>
            </w:r>
            <w:r w:rsidRPr="007B080D">
              <w:t xml:space="preserve"> are instruments with maturities </w:t>
            </w:r>
            <w:r>
              <w:t xml:space="preserve">up </w:t>
            </w:r>
            <w:r w:rsidRPr="007B080D">
              <w:t xml:space="preserve">to </w:t>
            </w:r>
            <w:r>
              <w:t>one</w:t>
            </w:r>
            <w:r w:rsidRPr="007B080D">
              <w:t xml:space="preserve"> year. They do not pay coupons and are redeemed at face value at maturity.</w:t>
            </w:r>
          </w:p>
        </w:tc>
      </w:tr>
    </w:tbl>
    <w:p w14:paraId="4649C112" w14:textId="77777777" w:rsidR="005634E4" w:rsidRPr="0078235A" w:rsidRDefault="005634E4" w:rsidP="00574EDE">
      <w:pPr>
        <w:pStyle w:val="SingleReturn"/>
      </w:pPr>
    </w:p>
    <w:p w14:paraId="71B4B94C" w14:textId="3BCCFBAB" w:rsidR="005F2D32" w:rsidRDefault="005F2D32" w:rsidP="00D12205">
      <w:pPr>
        <w:pStyle w:val="Heading3"/>
        <w:spacing w:line="240" w:lineRule="auto"/>
      </w:pPr>
      <w:bookmarkStart w:id="327" w:name="_Toc207796047"/>
      <w:r>
        <w:t xml:space="preserve">The AOFM </w:t>
      </w:r>
      <w:r w:rsidR="00C30A5F">
        <w:t xml:space="preserve">manages </w:t>
      </w:r>
      <w:r>
        <w:t>its assets and liabilities</w:t>
      </w:r>
      <w:r w:rsidR="0026471B">
        <w:t xml:space="preserve"> </w:t>
      </w:r>
      <w:r>
        <w:t>in</w:t>
      </w:r>
      <w:r w:rsidR="00C30A5F">
        <w:t xml:space="preserve"> separate</w:t>
      </w:r>
      <w:r>
        <w:t xml:space="preserve"> portfolios</w:t>
      </w:r>
      <w:bookmarkEnd w:id="327"/>
    </w:p>
    <w:p w14:paraId="6A02D2E6" w14:textId="0381728C" w:rsidR="005862A3" w:rsidRPr="005862A3" w:rsidRDefault="005862A3" w:rsidP="00725B03">
      <w:r w:rsidRPr="005862A3">
        <w:t>For risk management and reporting purposes, AOFM</w:t>
      </w:r>
      <w:r w:rsidR="00B84FF2">
        <w:noBreakHyphen/>
      </w:r>
      <w:r w:rsidRPr="005862A3">
        <w:t>managed assets and liabilities are split into multiple portfolios. Long</w:t>
      </w:r>
      <w:r w:rsidR="00B84FF2">
        <w:noBreakHyphen/>
      </w:r>
      <w:r w:rsidRPr="005862A3">
        <w:t>term financing is managed through the Long</w:t>
      </w:r>
      <w:r w:rsidR="00B84FF2">
        <w:noBreakHyphen/>
      </w:r>
      <w:r w:rsidRPr="005862A3">
        <w:t>Term Debt Portfolio (LTDP). Short</w:t>
      </w:r>
      <w:r w:rsidR="00B84FF2">
        <w:noBreakHyphen/>
      </w:r>
      <w:r w:rsidRPr="005862A3">
        <w:t>term debt and assets are in the Cash Management Portfolio (CMP). Assets managed by the AOFM for policy purposes – including the Australian Business Securitisation Fund (ABSF)</w:t>
      </w:r>
      <w:r w:rsidR="004E5A7A">
        <w:t>,</w:t>
      </w:r>
      <w:r w:rsidR="00C30A5F">
        <w:t xml:space="preserve"> </w:t>
      </w:r>
      <w:r w:rsidRPr="005862A3">
        <w:t>and loans to state and territory governments – are held in separate portfolios specific to each activity.</w:t>
      </w:r>
    </w:p>
    <w:p w14:paraId="2F101C2D" w14:textId="77777777" w:rsidR="000E03A4" w:rsidRDefault="000E03A4" w:rsidP="00713231">
      <w:pPr>
        <w:pStyle w:val="Heading4"/>
      </w:pPr>
      <w:bookmarkStart w:id="328" w:name="_Toc173411450"/>
      <w:bookmarkStart w:id="329" w:name="_Toc173479130"/>
      <w:r w:rsidRPr="009869D4">
        <w:t>The LTDP comprises Treasury Bonds and TIBs</w:t>
      </w:r>
      <w:bookmarkEnd w:id="328"/>
      <w:bookmarkEnd w:id="329"/>
      <w:r>
        <w:t xml:space="preserve"> </w:t>
      </w:r>
    </w:p>
    <w:p w14:paraId="3BC3F401" w14:textId="540DC2E6" w:rsidR="00634F5B" w:rsidRPr="00634F5B" w:rsidRDefault="00634F5B" w:rsidP="00634F5B">
      <w:r w:rsidRPr="00634F5B">
        <w:t>The AOFM influences the cost and risk profile of the LTDP through the maturity structure of bonds issued and the mix between nominal and inflation</w:t>
      </w:r>
      <w:r w:rsidR="00B84FF2">
        <w:noBreakHyphen/>
      </w:r>
      <w:r w:rsidRPr="00634F5B">
        <w:t>linked bonds.</w:t>
      </w:r>
    </w:p>
    <w:p w14:paraId="6774A16E" w14:textId="3E37C1AE" w:rsidR="00634F5B" w:rsidRPr="00634F5B" w:rsidRDefault="00634F5B" w:rsidP="00634F5B">
      <w:r w:rsidRPr="00634F5B">
        <w:t>Balancing cost and risk considerations while avoiding adverse impacts on market functioning requires judgement. Issuing longer</w:t>
      </w:r>
      <w:r w:rsidR="00B84FF2">
        <w:noBreakHyphen/>
      </w:r>
      <w:r w:rsidRPr="00634F5B">
        <w:t>term bonds typically involves higher debt servicing costs, but this is compensated by reduced volatility in future debt servicing costs and lower annual refinancing tasks</w:t>
      </w:r>
      <w:r w:rsidR="00A8463F">
        <w:t>.</w:t>
      </w:r>
      <w:r w:rsidR="00A612BB">
        <w:rPr>
          <w:rStyle w:val="FootnoteReference"/>
        </w:rPr>
        <w:footnoteReference w:id="2"/>
      </w:r>
      <w:r w:rsidR="00A8463F">
        <w:t xml:space="preserve"> </w:t>
      </w:r>
      <w:r w:rsidRPr="00634F5B">
        <w:t>Shorter</w:t>
      </w:r>
      <w:r w:rsidR="00B84FF2">
        <w:noBreakHyphen/>
      </w:r>
      <w:r w:rsidRPr="00634F5B">
        <w:t xml:space="preserve">term borrowing will </w:t>
      </w:r>
      <w:r w:rsidRPr="00634F5B">
        <w:lastRenderedPageBreak/>
        <w:t>typically incur lower cost</w:t>
      </w:r>
      <w:r w:rsidR="004E5A7A">
        <w:t>s</w:t>
      </w:r>
      <w:r w:rsidRPr="00634F5B">
        <w:t xml:space="preserve"> but expose</w:t>
      </w:r>
      <w:r w:rsidR="00C30A5F">
        <w:t>s</w:t>
      </w:r>
      <w:r w:rsidRPr="00634F5B">
        <w:t xml:space="preserve"> the government to higher annual refinancing requirements</w:t>
      </w:r>
      <w:r w:rsidR="00EB6847">
        <w:t xml:space="preserve"> and </w:t>
      </w:r>
      <w:r w:rsidR="00EB6847" w:rsidRPr="00634F5B">
        <w:t>higher variability in debt servicing costs.</w:t>
      </w:r>
    </w:p>
    <w:p w14:paraId="72E815DE" w14:textId="009D7DDA" w:rsidR="00634F5B" w:rsidRPr="00634F5B" w:rsidRDefault="004E5A7A" w:rsidP="00C57F71">
      <w:r>
        <w:t>We d</w:t>
      </w:r>
      <w:r w:rsidRPr="00634F5B">
        <w:t>evelo</w:t>
      </w:r>
      <w:r>
        <w:t>p</w:t>
      </w:r>
      <w:r w:rsidRPr="00634F5B">
        <w:t xml:space="preserve"> </w:t>
      </w:r>
      <w:r w:rsidR="00634F5B" w:rsidRPr="00634F5B">
        <w:t>a medium</w:t>
      </w:r>
      <w:r w:rsidR="00B84FF2">
        <w:noBreakHyphen/>
      </w:r>
      <w:r w:rsidR="00634F5B" w:rsidRPr="00634F5B">
        <w:t xml:space="preserve"> to long</w:t>
      </w:r>
      <w:r w:rsidR="00B84FF2">
        <w:noBreakHyphen/>
      </w:r>
      <w:r w:rsidR="00634F5B" w:rsidRPr="00634F5B">
        <w:t xml:space="preserve">term view on appropriate portfolio management and </w:t>
      </w:r>
      <w:r w:rsidRPr="00634F5B">
        <w:t>translat</w:t>
      </w:r>
      <w:r>
        <w:t>e</w:t>
      </w:r>
      <w:r w:rsidRPr="00634F5B">
        <w:t xml:space="preserve"> </w:t>
      </w:r>
      <w:r w:rsidR="00634F5B" w:rsidRPr="00634F5B">
        <w:t xml:space="preserve">it into annual issuance strategies </w:t>
      </w:r>
      <w:r>
        <w:t>based on</w:t>
      </w:r>
      <w:r w:rsidR="00634F5B" w:rsidRPr="00634F5B">
        <w:t xml:space="preserve"> research and close monitoring of financial market conditions. The research explores the cost and risk characteristics of alternative portfolio structures and issuance strategies under a range of scenarios.</w:t>
      </w:r>
    </w:p>
    <w:p w14:paraId="5B16AFB3" w14:textId="3B54D9D9" w:rsidR="00F32360" w:rsidRDefault="00F32360" w:rsidP="00713231">
      <w:pPr>
        <w:pStyle w:val="Heading4"/>
      </w:pPr>
      <w:bookmarkStart w:id="330" w:name="_Toc173411451"/>
      <w:bookmarkStart w:id="331" w:name="_Toc173479131"/>
      <w:r w:rsidRPr="009869D4">
        <w:t>The CMP comprises T</w:t>
      </w:r>
      <w:r w:rsidR="00B84FF2">
        <w:noBreakHyphen/>
      </w:r>
      <w:r w:rsidRPr="009869D4">
        <w:t xml:space="preserve">Notes and deposits with the Reserve Bank of Australia </w:t>
      </w:r>
      <w:bookmarkEnd w:id="330"/>
      <w:bookmarkEnd w:id="331"/>
    </w:p>
    <w:p w14:paraId="463852E3" w14:textId="6C48855C" w:rsidR="00044627" w:rsidRPr="00044627" w:rsidRDefault="00044627" w:rsidP="00F154BD">
      <w:r w:rsidRPr="00044627">
        <w:t>The CMP is primarily used to manage within</w:t>
      </w:r>
      <w:r w:rsidR="00B84FF2">
        <w:noBreakHyphen/>
      </w:r>
      <w:r w:rsidRPr="00044627">
        <w:t>year timing mismatches between government receipts (mostly taxation) and payments. It is a fluctuating portfolio of short</w:t>
      </w:r>
      <w:r w:rsidR="00B84FF2">
        <w:noBreakHyphen/>
      </w:r>
      <w:r w:rsidRPr="00044627">
        <w:t>term investments (deposits with the Reserve Bank of Australia) and short</w:t>
      </w:r>
      <w:r w:rsidR="00B84FF2">
        <w:noBreakHyphen/>
      </w:r>
      <w:r w:rsidRPr="00044627">
        <w:t>term liabilities (T</w:t>
      </w:r>
      <w:r w:rsidR="00B84FF2">
        <w:noBreakHyphen/>
      </w:r>
      <w:r w:rsidRPr="00044627">
        <w:t>Notes). The AOFM manages the portfolio to achieve an appropriate balance between cost, refinancing risk and liquidity risk.</w:t>
      </w:r>
    </w:p>
    <w:p w14:paraId="3835605A" w14:textId="73CFC4FA" w:rsidR="00A2504D" w:rsidRDefault="00473257" w:rsidP="00713231">
      <w:pPr>
        <w:pStyle w:val="Heading4"/>
      </w:pPr>
      <w:bookmarkStart w:id="332" w:name="_Toc173411452"/>
      <w:bookmarkStart w:id="333" w:name="_Toc173479132"/>
      <w:r w:rsidRPr="009869D4">
        <w:t>Assets managed for policy purposes</w:t>
      </w:r>
      <w:bookmarkEnd w:id="332"/>
      <w:bookmarkEnd w:id="333"/>
    </w:p>
    <w:p w14:paraId="3250FADF" w14:textId="7064F811" w:rsidR="00A65C95" w:rsidRPr="00A65C95" w:rsidRDefault="00A65C95" w:rsidP="00A65C95">
      <w:r w:rsidRPr="00A65C95">
        <w:t xml:space="preserve">In November 2018, the government announced plans to establish the ABSF to promote the development of </w:t>
      </w:r>
      <w:r w:rsidR="0092518D">
        <w:t xml:space="preserve">– </w:t>
      </w:r>
      <w:r w:rsidRPr="00A65C95">
        <w:t xml:space="preserve">and increase competition within </w:t>
      </w:r>
      <w:r w:rsidR="0092518D">
        <w:t xml:space="preserve">– </w:t>
      </w:r>
      <w:r w:rsidRPr="00A65C95">
        <w:t>the small to medium enterprise (SME) lending market. The ABSF aims to improve access to securitisation funding for smaller lenders that provide credit to the SME sector. Enabling legislation was enacted in April 2019.</w:t>
      </w:r>
    </w:p>
    <w:p w14:paraId="67B50FE1" w14:textId="3467A572" w:rsidR="00A65C95" w:rsidRPr="00A65C95" w:rsidRDefault="00A65C95" w:rsidP="00A65C95">
      <w:r w:rsidRPr="00A65C95">
        <w:t>In March 2020, the Australian Parliament passed a series of economic response measures to support the Australian economy through the COVID</w:t>
      </w:r>
      <w:r w:rsidR="00B84FF2">
        <w:noBreakHyphen/>
      </w:r>
      <w:r w:rsidRPr="00A65C95">
        <w:t>19 pandemic. The </w:t>
      </w:r>
      <w:r w:rsidRPr="00A65C95">
        <w:rPr>
          <w:i/>
          <w:iCs/>
        </w:rPr>
        <w:t>Structured Finance Support (Coronavirus Economic Response Package) Act 2020</w:t>
      </w:r>
      <w:r w:rsidRPr="00A65C95">
        <w:t> (SFS Act) established the $15 billion SFSF to support the wholesale structured finance market, which was disrupted by the economic uncertainty arising from the pandemic. The</w:t>
      </w:r>
      <w:r w:rsidR="004A384B">
        <w:t xml:space="preserve"> SFS</w:t>
      </w:r>
      <w:r w:rsidRPr="00A65C95">
        <w:t xml:space="preserve"> Act aimed to ensure smaller lenders continued to have access to wholesale funding markets, in turn supporting the ongoing flow of lending to households and small business.</w:t>
      </w:r>
    </w:p>
    <w:p w14:paraId="6791629F" w14:textId="2726BC8B" w:rsidR="001D5AD3" w:rsidRPr="00A65C95" w:rsidRDefault="347624F9" w:rsidP="00C87B92">
      <w:r>
        <w:t>SFSF assets under management peaked</w:t>
      </w:r>
      <w:r w:rsidR="62013DEB">
        <w:t xml:space="preserve"> </w:t>
      </w:r>
      <w:r w:rsidR="4352F110">
        <w:t>around</w:t>
      </w:r>
      <w:r w:rsidR="5403EE24">
        <w:t xml:space="preserve"> </w:t>
      </w:r>
      <w:r w:rsidR="711F38CB">
        <w:t xml:space="preserve">early </w:t>
      </w:r>
      <w:r w:rsidR="5403EE24">
        <w:t>202</w:t>
      </w:r>
      <w:r w:rsidR="267C624B">
        <w:t>1</w:t>
      </w:r>
      <w:r w:rsidR="00707C6B">
        <w:t>,</w:t>
      </w:r>
      <w:r w:rsidR="62013DEB">
        <w:t xml:space="preserve"> </w:t>
      </w:r>
      <w:r w:rsidR="075F4F35">
        <w:t>with</w:t>
      </w:r>
      <w:r w:rsidR="2A9D9448">
        <w:t xml:space="preserve"> </w:t>
      </w:r>
      <w:r w:rsidR="629D4A18">
        <w:t>asset</w:t>
      </w:r>
      <w:r w:rsidR="383FD637">
        <w:t xml:space="preserve"> balance</w:t>
      </w:r>
      <w:r w:rsidR="12F99EEA">
        <w:t>s</w:t>
      </w:r>
      <w:r w:rsidR="383FD637">
        <w:t xml:space="preserve"> </w:t>
      </w:r>
      <w:r w:rsidR="0F9EDC6A">
        <w:t xml:space="preserve">subsequently </w:t>
      </w:r>
      <w:r w:rsidR="6BD7A38F">
        <w:t>steadily falling through time</w:t>
      </w:r>
      <w:r w:rsidR="5C283B66">
        <w:t>.</w:t>
      </w:r>
      <w:r w:rsidR="6BD7A38F">
        <w:t xml:space="preserve"> </w:t>
      </w:r>
      <w:r w:rsidR="5C283B66">
        <w:t>T</w:t>
      </w:r>
      <w:r w:rsidR="6BD7A38F">
        <w:t xml:space="preserve">he remaining assets held by the SFSF were sold in January </w:t>
      </w:r>
      <w:r w:rsidR="457DA90A">
        <w:t xml:space="preserve">2025. The SFSF currently </w:t>
      </w:r>
      <w:r w:rsidR="38F9D5F9">
        <w:t xml:space="preserve">does not hold any investments and </w:t>
      </w:r>
      <w:r w:rsidR="457DA90A">
        <w:t>has no commitments to invest</w:t>
      </w:r>
      <w:r w:rsidR="69EB377F">
        <w:t>.</w:t>
      </w:r>
      <w:r w:rsidR="457DA90A">
        <w:t xml:space="preserve"> </w:t>
      </w:r>
    </w:p>
    <w:p w14:paraId="6C651167" w14:textId="77777777" w:rsidR="00C87B92" w:rsidRDefault="00C87B92" w:rsidP="00C87B92">
      <w:bookmarkStart w:id="334" w:name="_Toc173327297"/>
      <w:bookmarkStart w:id="335" w:name="_Toc173327750"/>
      <w:bookmarkStart w:id="336" w:name="_Toc173395274"/>
      <w:bookmarkStart w:id="337" w:name="_Toc173395352"/>
      <w:bookmarkStart w:id="338" w:name="_Toc173395687"/>
      <w:bookmarkStart w:id="339" w:name="_Toc173396575"/>
      <w:bookmarkStart w:id="340" w:name="_Toc173397586"/>
      <w:bookmarkStart w:id="341" w:name="_Toc173411453"/>
      <w:bookmarkStart w:id="342" w:name="_Toc173479133"/>
      <w:bookmarkStart w:id="343" w:name="_Toc173743045"/>
      <w:bookmarkStart w:id="344" w:name="_Toc173743206"/>
      <w:bookmarkStart w:id="345" w:name="_Toc176160528"/>
      <w:bookmarkStart w:id="346" w:name="_Toc176163156"/>
      <w:r>
        <w:br w:type="page"/>
      </w:r>
    </w:p>
    <w:p w14:paraId="5E46740B" w14:textId="6E8B2DB3" w:rsidR="0078235A" w:rsidRDefault="00981AC5" w:rsidP="00713231">
      <w:pPr>
        <w:pStyle w:val="Heading3"/>
      </w:pPr>
      <w:bookmarkStart w:id="347" w:name="_Toc207796048"/>
      <w:r>
        <w:lastRenderedPageBreak/>
        <w:t>Our</w:t>
      </w:r>
      <w:r w:rsidRPr="009869D4">
        <w:t xml:space="preserve"> primary cost measure is accrual debt servicing</w:t>
      </w:r>
      <w:r w:rsidRPr="009869D4">
        <w:rPr>
          <w:rFonts w:ascii="Arial" w:hAnsi="Arial" w:cs="Arial"/>
        </w:rPr>
        <w:t> </w:t>
      </w:r>
      <w:r w:rsidRPr="009869D4">
        <w:t>cost</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t xml:space="preserve"> </w:t>
      </w:r>
    </w:p>
    <w:p w14:paraId="0DB232F2" w14:textId="35ABDDED" w:rsidR="00864DDA" w:rsidRDefault="00864DDA" w:rsidP="00864DDA">
      <w:r w:rsidRPr="00864DDA">
        <w:t>AOFM cost and risk measures reflect considerations faced by all sovereign debt managers. The primary cost measure is accrual debt servicing cost</w:t>
      </w:r>
      <w:r w:rsidR="00E74314">
        <w:t xml:space="preserve">, which </w:t>
      </w:r>
      <w:r w:rsidRPr="00864DDA">
        <w:t>includes interest payments made on AGS</w:t>
      </w:r>
      <w:r w:rsidR="00E74314">
        <w:t>;</w:t>
      </w:r>
      <w:r w:rsidR="00E74314" w:rsidRPr="00864DDA">
        <w:t xml:space="preserve"> </w:t>
      </w:r>
      <w:r w:rsidRPr="00864DDA">
        <w:t>realised market value gains and losses on repurchases</w:t>
      </w:r>
      <w:r w:rsidR="00E74314">
        <w:t>;</w:t>
      </w:r>
      <w:r w:rsidR="00E74314" w:rsidRPr="00864DDA">
        <w:t xml:space="preserve"> </w:t>
      </w:r>
      <w:r w:rsidRPr="00864DDA">
        <w:t>capital indexation of TIBs</w:t>
      </w:r>
      <w:r w:rsidR="00E74314">
        <w:t>;</w:t>
      </w:r>
      <w:r w:rsidR="00E74314" w:rsidRPr="00864DDA">
        <w:t xml:space="preserve"> </w:t>
      </w:r>
      <w:r w:rsidRPr="00864DDA">
        <w:t>and amortisation of issuance premiums and discounts. Accrual debt servicing cost excludes unrealised market value gains and losses. The effective yield of the portfolio is the total accrual debt servicing cost expressed as a percentage of total debt outstanding.</w:t>
      </w:r>
    </w:p>
    <w:p w14:paraId="6223E02A" w14:textId="1CDCE2F3" w:rsidR="00DB4610" w:rsidRDefault="00DB4610" w:rsidP="00864DDA">
      <w:r>
        <w:t xml:space="preserve">An alternative measure is fair value. </w:t>
      </w:r>
      <w:r w:rsidRPr="00A52CB8">
        <w:t xml:space="preserve">Fair value measures of cost (which </w:t>
      </w:r>
      <w:proofErr w:type="gramStart"/>
      <w:r w:rsidRPr="00A52CB8">
        <w:t xml:space="preserve">take </w:t>
      </w:r>
      <w:r w:rsidR="00E74314">
        <w:t xml:space="preserve">into </w:t>
      </w:r>
      <w:r w:rsidRPr="00A52CB8">
        <w:t>account</w:t>
      </w:r>
      <w:proofErr w:type="gramEnd"/>
      <w:r w:rsidRPr="00A52CB8">
        <w:t xml:space="preserve"> unrealised gains and losses) are less relevant because </w:t>
      </w:r>
      <w:r w:rsidR="006057F6">
        <w:t xml:space="preserve">the </w:t>
      </w:r>
      <w:r w:rsidRPr="00A52CB8">
        <w:t>AOFM only repurchase</w:t>
      </w:r>
      <w:r>
        <w:t>s</w:t>
      </w:r>
      <w:r w:rsidRPr="00A52CB8">
        <w:t xml:space="preserve"> outstanding bonds when they are close to maturity –</w:t>
      </w:r>
      <w:r w:rsidR="00E74314">
        <w:t xml:space="preserve"> </w:t>
      </w:r>
      <w:r w:rsidRPr="00A52CB8">
        <w:t>at which</w:t>
      </w:r>
      <w:r w:rsidR="00E74314">
        <w:t xml:space="preserve"> point</w:t>
      </w:r>
      <w:r w:rsidRPr="00A52CB8">
        <w:t xml:space="preserve"> their prices are not very sensitive to changes in interest rates. </w:t>
      </w:r>
    </w:p>
    <w:p w14:paraId="305AE07C" w14:textId="77777777" w:rsidR="00C92FBC" w:rsidRPr="00864DDA" w:rsidRDefault="00C92FBC" w:rsidP="00C92FBC">
      <w:pPr>
        <w:pStyle w:val="SingleReturn"/>
      </w:pP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78235A" w14:paraId="01EA5850" w14:textId="77777777">
        <w:tc>
          <w:tcPr>
            <w:tcW w:w="7700" w:type="dxa"/>
            <w:tcBorders>
              <w:bottom w:val="single" w:sz="24" w:space="0" w:color="472978" w:themeColor="accent1"/>
            </w:tcBorders>
            <w:shd w:val="clear" w:color="auto" w:fill="E7DCF7" w:themeFill="text2" w:themeFillTint="1A"/>
          </w:tcPr>
          <w:p w14:paraId="3CC4A00D" w14:textId="1C5147F6" w:rsidR="00887812" w:rsidRPr="00C92FBC" w:rsidRDefault="00DC6150" w:rsidP="00C92FBC">
            <w:pPr>
              <w:pStyle w:val="Boxheading"/>
            </w:pPr>
            <w:r w:rsidRPr="00C92FBC">
              <w:t>How is interest cost for AGS determined?</w:t>
            </w:r>
            <w:r w:rsidR="00887812" w:rsidRPr="00C92FBC">
              <w:t xml:space="preserve"> </w:t>
            </w:r>
          </w:p>
          <w:p w14:paraId="434C4E63" w14:textId="09B17BE9" w:rsidR="00E8624E" w:rsidRPr="00E8624E" w:rsidRDefault="00E8624E" w:rsidP="003A25F9">
            <w:pPr>
              <w:pStyle w:val="BoxText"/>
            </w:pPr>
            <w:r w:rsidRPr="00E8624E">
              <w:t>The interest cost on AGS is set by the market</w:t>
            </w:r>
            <w:r w:rsidR="00DB4610">
              <w:t xml:space="preserve"> at issuance</w:t>
            </w:r>
            <w:r w:rsidR="00221CC2">
              <w:t>,</w:t>
            </w:r>
            <w:r w:rsidRPr="00E8624E">
              <w:t xml:space="preserve"> at competitive tenders run by the AOFM and in some cases at syndications. The interest rates </w:t>
            </w:r>
            <w:r w:rsidR="003A3197">
              <w:t xml:space="preserve">(or yields) </w:t>
            </w:r>
            <w:r w:rsidRPr="00E8624E">
              <w:t xml:space="preserve">bid </w:t>
            </w:r>
            <w:r w:rsidR="003A3197">
              <w:t xml:space="preserve">at tenders or syndications </w:t>
            </w:r>
            <w:r w:rsidRPr="00E8624E">
              <w:t>depend on the maturity and coupon rate of the specific security being issued</w:t>
            </w:r>
            <w:r w:rsidR="00221CC2">
              <w:t>,</w:t>
            </w:r>
            <w:r w:rsidRPr="00E8624E">
              <w:t xml:space="preserve"> and</w:t>
            </w:r>
            <w:r w:rsidR="00221CC2">
              <w:t xml:space="preserve"> on</w:t>
            </w:r>
            <w:r w:rsidRPr="00E8624E">
              <w:t xml:space="preserve"> prevailing market conditions.</w:t>
            </w:r>
          </w:p>
          <w:p w14:paraId="142F9EC3" w14:textId="2BDE4C92" w:rsidR="0078235A" w:rsidRPr="006574CB" w:rsidRDefault="00E8624E" w:rsidP="003A25F9">
            <w:pPr>
              <w:pStyle w:val="BoxText"/>
            </w:pPr>
            <w:r w:rsidRPr="00E8624E">
              <w:t>For Treasury Bonds and T</w:t>
            </w:r>
            <w:r w:rsidR="00B84FF2">
              <w:noBreakHyphen/>
            </w:r>
            <w:r w:rsidRPr="00E8624E">
              <w:t>Notes, the full life interest cost is locked in at the time of each issue. For TIBs, the interest cost depends on changes to the CPI over the life of the bond, so the full life interest cost is not known at the time the bond is issued.</w:t>
            </w:r>
          </w:p>
        </w:tc>
      </w:tr>
    </w:tbl>
    <w:p w14:paraId="3A76727D" w14:textId="77777777" w:rsidR="0078235A" w:rsidRPr="0078235A" w:rsidRDefault="0078235A" w:rsidP="0078235A"/>
    <w:p w14:paraId="4E689E0C" w14:textId="77777777" w:rsidR="00221CC2" w:rsidRDefault="00221CC2" w:rsidP="00211995">
      <w:bookmarkStart w:id="348" w:name="_Toc205474299"/>
      <w:r>
        <w:br w:type="page"/>
      </w:r>
    </w:p>
    <w:p w14:paraId="3DA5F5B1" w14:textId="06035D5A" w:rsidR="006C4D6A" w:rsidRDefault="00754BAE" w:rsidP="00592520">
      <w:pPr>
        <w:pStyle w:val="Heading1-alpha"/>
      </w:pPr>
      <w:bookmarkStart w:id="349" w:name="_Toc207792884"/>
      <w:bookmarkStart w:id="350" w:name="_Toc207795643"/>
      <w:bookmarkStart w:id="351" w:name="_Toc207796049"/>
      <w:bookmarkStart w:id="352" w:name="_Toc207796924"/>
      <w:bookmarkStart w:id="353" w:name="_Toc207800225"/>
      <w:bookmarkStart w:id="354" w:name="_Toc207810803"/>
      <w:bookmarkStart w:id="355" w:name="_Toc208913968"/>
      <w:bookmarkStart w:id="356" w:name="_Toc208914082"/>
      <w:bookmarkStart w:id="357" w:name="_Toc209424479"/>
      <w:bookmarkStart w:id="358" w:name="_Toc209424586"/>
      <w:r>
        <w:lastRenderedPageBreak/>
        <w:t>A</w:t>
      </w:r>
      <w:r w:rsidR="006C4D6A">
        <w:t>pproach to assessing performance</w:t>
      </w:r>
      <w:bookmarkEnd w:id="348"/>
      <w:bookmarkEnd w:id="349"/>
      <w:bookmarkEnd w:id="350"/>
      <w:bookmarkEnd w:id="351"/>
      <w:bookmarkEnd w:id="352"/>
      <w:bookmarkEnd w:id="353"/>
      <w:bookmarkEnd w:id="354"/>
      <w:bookmarkEnd w:id="355"/>
      <w:bookmarkEnd w:id="356"/>
      <w:bookmarkEnd w:id="357"/>
      <w:bookmarkEnd w:id="358"/>
    </w:p>
    <w:p w14:paraId="7AC0E8B7" w14:textId="0B7351AF" w:rsidR="0099718A" w:rsidRDefault="006057F6" w:rsidP="00C67F81">
      <w:pPr>
        <w:pStyle w:val="Heading2"/>
      </w:pPr>
      <w:bookmarkStart w:id="359" w:name="_Toc207792885"/>
      <w:bookmarkStart w:id="360" w:name="_Toc207793919"/>
      <w:bookmarkStart w:id="361" w:name="_Toc207796050"/>
      <w:bookmarkStart w:id="362" w:name="_Toc207796925"/>
      <w:bookmarkStart w:id="363" w:name="_Toc207800226"/>
      <w:bookmarkStart w:id="364" w:name="_Toc207810804"/>
      <w:bookmarkStart w:id="365" w:name="_Toc208914083"/>
      <w:bookmarkStart w:id="366" w:name="_Toc209424480"/>
      <w:r>
        <w:t>Our</w:t>
      </w:r>
      <w:r w:rsidR="000E23A1" w:rsidRPr="00516A67">
        <w:t xml:space="preserve"> Executive Leadership Group </w:t>
      </w:r>
      <w:r w:rsidR="000E23A1">
        <w:t>monitors p</w:t>
      </w:r>
      <w:r w:rsidR="000E23A1" w:rsidRPr="00516A67">
        <w:t xml:space="preserve">rogress </w:t>
      </w:r>
      <w:r w:rsidR="0099718A" w:rsidRPr="00516A67">
        <w:t>towards meeting performance targets</w:t>
      </w:r>
      <w:bookmarkStart w:id="367" w:name="_Toc176160530"/>
      <w:bookmarkStart w:id="368" w:name="_Toc176163158"/>
      <w:bookmarkStart w:id="369" w:name="_Toc205474300"/>
      <w:bookmarkEnd w:id="359"/>
      <w:bookmarkEnd w:id="360"/>
      <w:bookmarkEnd w:id="361"/>
      <w:bookmarkEnd w:id="362"/>
      <w:bookmarkEnd w:id="363"/>
      <w:bookmarkEnd w:id="364"/>
      <w:bookmarkEnd w:id="365"/>
      <w:bookmarkEnd w:id="366"/>
      <w:r w:rsidR="0099718A" w:rsidRPr="00516A67">
        <w:t xml:space="preserve"> </w:t>
      </w:r>
      <w:bookmarkEnd w:id="367"/>
      <w:bookmarkEnd w:id="368"/>
      <w:bookmarkEnd w:id="369"/>
    </w:p>
    <w:p w14:paraId="324E4B83" w14:textId="4A9060CA" w:rsidR="009940DE" w:rsidRPr="009940DE" w:rsidRDefault="001A4FC7" w:rsidP="00E75D2F">
      <w:r>
        <w:t>The AOFM</w:t>
      </w:r>
      <w:r w:rsidR="00B84FF2">
        <w:t>’</w:t>
      </w:r>
      <w:r>
        <w:t xml:space="preserve">s annual performance planning cycle begins with the Corporate Plan. Our preparation </w:t>
      </w:r>
      <w:r w:rsidR="00FB1E59">
        <w:t xml:space="preserve">includes reviewing our purposes, key </w:t>
      </w:r>
      <w:r w:rsidR="006239AF">
        <w:t>activities</w:t>
      </w:r>
      <w:r w:rsidR="00FB1E59">
        <w:t xml:space="preserve"> and performance measures</w:t>
      </w:r>
      <w:r w:rsidR="00C07B0B">
        <w:t xml:space="preserve">. The AOFM Executive </w:t>
      </w:r>
      <w:r w:rsidR="00A111D8">
        <w:t xml:space="preserve">Leadership Group </w:t>
      </w:r>
      <w:r w:rsidR="00C07B0B">
        <w:t xml:space="preserve">monitors performance measures on a quarterly basis, and reports progress </w:t>
      </w:r>
      <w:r w:rsidR="00F31A87">
        <w:t xml:space="preserve">to the AOFM Audit and Risk Committee. </w:t>
      </w:r>
      <w:r w:rsidR="006057F6">
        <w:t>Our</w:t>
      </w:r>
      <w:r w:rsidR="00F31A87">
        <w:t xml:space="preserve"> 2024</w:t>
      </w:r>
      <w:r w:rsidR="000F29EF" w:rsidRPr="000F29EF">
        <w:t>–</w:t>
      </w:r>
      <w:r w:rsidR="00F31A87">
        <w:t xml:space="preserve">25 Corporate Plan is available on </w:t>
      </w:r>
      <w:r w:rsidR="006057F6">
        <w:t xml:space="preserve">the AOFM website </w:t>
      </w:r>
      <w:r w:rsidR="00827C1E">
        <w:t>(</w:t>
      </w:r>
      <w:hyperlink r:id="rId59" w:history="1">
        <w:r w:rsidR="00827C1E" w:rsidRPr="007074A1">
          <w:rPr>
            <w:rStyle w:val="Hyperlink"/>
          </w:rPr>
          <w:t>www.aofm.gov.au</w:t>
        </w:r>
      </w:hyperlink>
      <w:r w:rsidR="00827C1E">
        <w:t>)</w:t>
      </w:r>
      <w:r w:rsidR="00CA006F">
        <w:t>.</w:t>
      </w:r>
      <w:r w:rsidR="006057F6">
        <w:t xml:space="preserve"> </w:t>
      </w:r>
    </w:p>
    <w:p w14:paraId="54817ABD" w14:textId="006261A0" w:rsidR="005C671E" w:rsidRPr="009940DE" w:rsidRDefault="005C671E" w:rsidP="00E75D2F">
      <w:r>
        <w:t xml:space="preserve">Our purposes are linked </w:t>
      </w:r>
      <w:r w:rsidR="008D1F2D">
        <w:t>to key activities</w:t>
      </w:r>
      <w:r w:rsidR="005A0B3F">
        <w:t>,</w:t>
      </w:r>
      <w:r w:rsidR="008D1F2D">
        <w:t xml:space="preserve"> which</w:t>
      </w:r>
      <w:r w:rsidR="005A0B3F">
        <w:t xml:space="preserve"> in turn are mapped to measures of performance. Overall agency performance is assessed through performance outcomes as reported below.</w:t>
      </w:r>
    </w:p>
    <w:p w14:paraId="04EFD6E6" w14:textId="0EA52857" w:rsidR="005A0B3F" w:rsidRPr="009940DE" w:rsidRDefault="005A0B3F" w:rsidP="00E75D2F">
      <w:r>
        <w:t>Table 1 shows the AOFM</w:t>
      </w:r>
      <w:r w:rsidR="00B84FF2">
        <w:t>’</w:t>
      </w:r>
      <w:r>
        <w:t xml:space="preserve">s </w:t>
      </w:r>
      <w:r w:rsidR="00F74C83">
        <w:t xml:space="preserve">key activities, </w:t>
      </w:r>
      <w:r>
        <w:t>performance measures and associated targets</w:t>
      </w:r>
      <w:r w:rsidR="006057F6">
        <w:t>,</w:t>
      </w:r>
      <w:r>
        <w:t xml:space="preserve"> set out against an overarching purpose. Performance outcomes are reported </w:t>
      </w:r>
      <w:r w:rsidR="008C6867">
        <w:t>below</w:t>
      </w:r>
      <w:r>
        <w:t>.</w:t>
      </w:r>
    </w:p>
    <w:p w14:paraId="032F9A61" w14:textId="77777777" w:rsidR="00BA335E" w:rsidRDefault="00BA335E">
      <w:pPr>
        <w:spacing w:after="0" w:line="240" w:lineRule="auto"/>
        <w:rPr>
          <w:b/>
          <w:lang w:eastAsia="en-AU"/>
        </w:rPr>
      </w:pPr>
      <w:r>
        <w:br w:type="page"/>
      </w:r>
    </w:p>
    <w:p w14:paraId="44FD3707" w14:textId="5AFBA681" w:rsidR="00CA2BE9" w:rsidRDefault="00564AED" w:rsidP="00564AED">
      <w:pPr>
        <w:pStyle w:val="TableMainHeading"/>
      </w:pPr>
      <w:r w:rsidRPr="00D03F3D">
        <w:lastRenderedPageBreak/>
        <w:t>Table </w:t>
      </w:r>
      <w:r>
        <w:t>1: Performance measures and targets</w:t>
      </w:r>
    </w:p>
    <w:tbl>
      <w:tblPr>
        <w:tblStyle w:val="AOFMTablemain"/>
        <w:tblW w:w="5000" w:type="pct"/>
        <w:tblLayout w:type="fixed"/>
        <w:tblLook w:val="06A0" w:firstRow="1" w:lastRow="0" w:firstColumn="1" w:lastColumn="0" w:noHBand="1" w:noVBand="1"/>
      </w:tblPr>
      <w:tblGrid>
        <w:gridCol w:w="540"/>
        <w:gridCol w:w="32"/>
        <w:gridCol w:w="1499"/>
        <w:gridCol w:w="569"/>
        <w:gridCol w:w="54"/>
        <w:gridCol w:w="3828"/>
        <w:gridCol w:w="31"/>
        <w:gridCol w:w="1148"/>
        <w:gridCol w:w="10"/>
      </w:tblGrid>
      <w:tr w:rsidR="0086383C" w:rsidRPr="00002FDA" w14:paraId="26DC4BB2" w14:textId="77777777" w:rsidTr="00200F74">
        <w:trPr>
          <w:cnfStyle w:val="100000000000" w:firstRow="1" w:lastRow="0" w:firstColumn="0" w:lastColumn="0" w:oddVBand="0" w:evenVBand="0" w:oddHBand="0" w:evenHBand="0" w:firstRowFirstColumn="0" w:firstRowLastColumn="0" w:lastRowFirstColumn="0" w:lastRowLastColumn="0"/>
          <w:trHeight w:val="45"/>
        </w:trPr>
        <w:tc>
          <w:tcPr>
            <w:tcW w:w="6522" w:type="dxa"/>
            <w:gridSpan w:val="6"/>
            <w:tcBorders>
              <w:right w:val="single" w:sz="4" w:space="0" w:color="FFFFFF" w:themeColor="background1"/>
            </w:tcBorders>
          </w:tcPr>
          <w:p w14:paraId="6DE85388" w14:textId="77777777" w:rsidR="00CA2BE9" w:rsidRPr="00A12EBF" w:rsidRDefault="00CA2BE9">
            <w:pPr>
              <w:pStyle w:val="TableColumnHeadingLeft"/>
              <w:rPr>
                <w:szCs w:val="18"/>
              </w:rPr>
            </w:pPr>
            <w:r w:rsidRPr="00A12EBF">
              <w:rPr>
                <w:szCs w:val="18"/>
              </w:rPr>
              <w:t>Performance measures</w:t>
            </w:r>
          </w:p>
        </w:tc>
        <w:tc>
          <w:tcPr>
            <w:tcW w:w="1189" w:type="dxa"/>
            <w:gridSpan w:val="3"/>
            <w:tcBorders>
              <w:left w:val="single" w:sz="4" w:space="0" w:color="FFFFFF" w:themeColor="background1"/>
            </w:tcBorders>
          </w:tcPr>
          <w:p w14:paraId="04D97EA6" w14:textId="77777777" w:rsidR="00CA2BE9" w:rsidRPr="00A12EBF" w:rsidRDefault="00CA2BE9">
            <w:pPr>
              <w:pStyle w:val="TableColumnHeadingLeft"/>
              <w:rPr>
                <w:szCs w:val="18"/>
              </w:rPr>
            </w:pPr>
            <w:r w:rsidRPr="00A12EBF">
              <w:rPr>
                <w:szCs w:val="18"/>
              </w:rPr>
              <w:t>Target</w:t>
            </w:r>
          </w:p>
        </w:tc>
      </w:tr>
      <w:tr w:rsidR="00CA2BE9" w:rsidRPr="00002FDA" w14:paraId="326C5676" w14:textId="77777777" w:rsidTr="00200F74">
        <w:trPr>
          <w:trHeight w:val="20"/>
        </w:trPr>
        <w:tc>
          <w:tcPr>
            <w:tcW w:w="2071" w:type="dxa"/>
            <w:gridSpan w:val="3"/>
            <w:hideMark/>
          </w:tcPr>
          <w:p w14:paraId="6C50B7A4" w14:textId="77777777" w:rsidR="00CA2BE9" w:rsidRPr="00592520" w:rsidRDefault="00CA2BE9" w:rsidP="002331D8">
            <w:pPr>
              <w:pStyle w:val="TableSecondHeading"/>
              <w:rPr>
                <w:b/>
                <w:bCs/>
              </w:rPr>
            </w:pPr>
            <w:r w:rsidRPr="00592520">
              <w:rPr>
                <w:b/>
                <w:bCs/>
              </w:rPr>
              <w:t>PURPOSE 1</w:t>
            </w:r>
          </w:p>
        </w:tc>
        <w:tc>
          <w:tcPr>
            <w:tcW w:w="5640" w:type="dxa"/>
            <w:gridSpan w:val="6"/>
            <w:hideMark/>
          </w:tcPr>
          <w:p w14:paraId="6FA1EF75" w14:textId="0F1BA0BB" w:rsidR="00CA2BE9" w:rsidRPr="00592520" w:rsidRDefault="00CA2BE9" w:rsidP="002331D8">
            <w:pPr>
              <w:pStyle w:val="TableSecondHeading"/>
              <w:rPr>
                <w:b/>
                <w:bCs/>
              </w:rPr>
            </w:pPr>
            <w:r w:rsidRPr="00592520">
              <w:rPr>
                <w:b/>
                <w:bCs/>
              </w:rPr>
              <w:t>Meet the government</w:t>
            </w:r>
            <w:r w:rsidR="00B84FF2" w:rsidRPr="00592520">
              <w:rPr>
                <w:b/>
                <w:bCs/>
              </w:rPr>
              <w:t>’</w:t>
            </w:r>
            <w:r w:rsidRPr="00592520">
              <w:rPr>
                <w:b/>
                <w:bCs/>
              </w:rPr>
              <w:t xml:space="preserve">s annual financing task while </w:t>
            </w:r>
            <w:r w:rsidR="00A87DDE" w:rsidRPr="00592520">
              <w:rPr>
                <w:b/>
                <w:bCs/>
              </w:rPr>
              <w:t xml:space="preserve">considering </w:t>
            </w:r>
            <w:r w:rsidRPr="00592520">
              <w:rPr>
                <w:b/>
                <w:bCs/>
              </w:rPr>
              <w:t>costs and risks</w:t>
            </w:r>
          </w:p>
        </w:tc>
      </w:tr>
      <w:tr w:rsidR="00CA2BE9" w:rsidRPr="00002FDA" w14:paraId="0CC30E4A" w14:textId="77777777" w:rsidTr="00200F74">
        <w:trPr>
          <w:trHeight w:val="655"/>
        </w:trPr>
        <w:tc>
          <w:tcPr>
            <w:tcW w:w="572" w:type="dxa"/>
            <w:gridSpan w:val="2"/>
            <w:vMerge w:val="restart"/>
            <w:hideMark/>
          </w:tcPr>
          <w:p w14:paraId="013DC98F" w14:textId="77777777" w:rsidR="00CA2BE9" w:rsidRPr="00B26B5B" w:rsidRDefault="00CA2BE9" w:rsidP="00625DAB">
            <w:pPr>
              <w:pStyle w:val="TableTextLeft"/>
            </w:pPr>
            <w:r w:rsidRPr="00B26B5B">
              <w:t>1.1</w:t>
            </w:r>
          </w:p>
        </w:tc>
        <w:tc>
          <w:tcPr>
            <w:tcW w:w="1499" w:type="dxa"/>
            <w:vMerge w:val="restart"/>
            <w:hideMark/>
          </w:tcPr>
          <w:p w14:paraId="3A6A1A83" w14:textId="74425045" w:rsidR="00CA2BE9" w:rsidRPr="00B26B5B" w:rsidRDefault="00CA2BE9" w:rsidP="00625DAB">
            <w:pPr>
              <w:pStyle w:val="TableTextLeft"/>
            </w:pPr>
            <w:r w:rsidRPr="00B26B5B">
              <w:t xml:space="preserve">Establish </w:t>
            </w:r>
            <w:r w:rsidR="009D3D75" w:rsidRPr="00B26B5B">
              <w:t xml:space="preserve">and execute </w:t>
            </w:r>
            <w:r w:rsidRPr="00B26B5B">
              <w:t>a debt management strategy</w:t>
            </w:r>
          </w:p>
        </w:tc>
        <w:tc>
          <w:tcPr>
            <w:tcW w:w="623" w:type="dxa"/>
            <w:gridSpan w:val="2"/>
            <w:hideMark/>
          </w:tcPr>
          <w:p w14:paraId="1387E9D6" w14:textId="07D8D28F" w:rsidR="00CA2BE9" w:rsidRPr="00B26B5B" w:rsidRDefault="00CA2BE9" w:rsidP="00625DAB">
            <w:pPr>
              <w:pStyle w:val="TableTextLeft"/>
            </w:pPr>
            <w:r w:rsidRPr="00B26B5B">
              <w:t>1.1.1</w:t>
            </w:r>
          </w:p>
        </w:tc>
        <w:tc>
          <w:tcPr>
            <w:tcW w:w="3828" w:type="dxa"/>
            <w:hideMark/>
          </w:tcPr>
          <w:p w14:paraId="6022784E" w14:textId="09669EC4" w:rsidR="00CA2BE9" w:rsidRPr="00B26B5B" w:rsidRDefault="001B321D" w:rsidP="00625DAB">
            <w:pPr>
              <w:pStyle w:val="TableTextLeft"/>
            </w:pPr>
            <w:r w:rsidRPr="00B26B5B">
              <w:rPr>
                <w:b/>
                <w:bCs/>
              </w:rPr>
              <w:t>Issuance</w:t>
            </w:r>
            <w:r w:rsidR="00CA2BE9" w:rsidRPr="00B26B5B">
              <w:rPr>
                <w:b/>
                <w:bCs/>
              </w:rPr>
              <w:t xml:space="preserve"> strategy:</w:t>
            </w:r>
            <w:r w:rsidR="00CA2BE9" w:rsidRPr="00B26B5B">
              <w:t xml:space="preserve"> </w:t>
            </w:r>
            <w:r w:rsidR="006057F6" w:rsidRPr="00B26B5B">
              <w:t xml:space="preserve">Conduct </w:t>
            </w:r>
            <w:r w:rsidR="00A4470F" w:rsidRPr="00B26B5B">
              <w:t>annual issuance in accordance with the debt management strategy</w:t>
            </w:r>
            <w:r w:rsidR="00CA2BE9" w:rsidRPr="00B26B5B">
              <w:t>.</w:t>
            </w:r>
          </w:p>
        </w:tc>
        <w:tc>
          <w:tcPr>
            <w:tcW w:w="1189" w:type="dxa"/>
            <w:gridSpan w:val="3"/>
            <w:hideMark/>
          </w:tcPr>
          <w:p w14:paraId="256E1FB4" w14:textId="23CA4FD1" w:rsidR="00CA2BE9" w:rsidRPr="00B26B5B" w:rsidRDefault="0001411D" w:rsidP="00625DAB">
            <w:pPr>
              <w:pStyle w:val="TableTextLeft"/>
            </w:pPr>
            <w:r w:rsidRPr="00B26B5B">
              <w:t>All approved elements are met</w:t>
            </w:r>
          </w:p>
        </w:tc>
      </w:tr>
      <w:tr w:rsidR="0014741C" w:rsidRPr="00002FDA" w14:paraId="73EA886E" w14:textId="77777777" w:rsidTr="00200F74">
        <w:trPr>
          <w:trHeight w:val="655"/>
        </w:trPr>
        <w:tc>
          <w:tcPr>
            <w:tcW w:w="572" w:type="dxa"/>
            <w:gridSpan w:val="2"/>
            <w:vMerge/>
          </w:tcPr>
          <w:p w14:paraId="594EBCE1" w14:textId="77777777" w:rsidR="0014741C" w:rsidRPr="00B26B5B" w:rsidRDefault="0014741C" w:rsidP="00625DAB">
            <w:pPr>
              <w:pStyle w:val="TableTextLeft"/>
            </w:pPr>
          </w:p>
        </w:tc>
        <w:tc>
          <w:tcPr>
            <w:tcW w:w="1499" w:type="dxa"/>
            <w:vMerge/>
          </w:tcPr>
          <w:p w14:paraId="3CB0ECCA" w14:textId="77777777" w:rsidR="0014741C" w:rsidRPr="00B26B5B" w:rsidRDefault="0014741C" w:rsidP="00625DAB">
            <w:pPr>
              <w:pStyle w:val="TableTextLeft"/>
            </w:pPr>
          </w:p>
        </w:tc>
        <w:tc>
          <w:tcPr>
            <w:tcW w:w="623" w:type="dxa"/>
            <w:gridSpan w:val="2"/>
          </w:tcPr>
          <w:p w14:paraId="6A78CE2F" w14:textId="663D6470" w:rsidR="0014741C" w:rsidRPr="00B26B5B" w:rsidRDefault="004F38ED" w:rsidP="00625DAB">
            <w:pPr>
              <w:pStyle w:val="TableTextLeft"/>
            </w:pPr>
            <w:r w:rsidRPr="00B26B5B">
              <w:t>1.1.2</w:t>
            </w:r>
          </w:p>
        </w:tc>
        <w:tc>
          <w:tcPr>
            <w:tcW w:w="3828" w:type="dxa"/>
          </w:tcPr>
          <w:p w14:paraId="378AC1E2" w14:textId="6083F920" w:rsidR="0014741C" w:rsidRPr="00B26B5B" w:rsidDel="001B321D" w:rsidRDefault="0089533F" w:rsidP="00625DAB">
            <w:pPr>
              <w:pStyle w:val="TableTextLeft"/>
              <w:rPr>
                <w:b/>
                <w:bCs/>
              </w:rPr>
            </w:pPr>
            <w:r w:rsidRPr="00B26B5B">
              <w:rPr>
                <w:b/>
                <w:bCs/>
              </w:rPr>
              <w:t>New issuance yields:</w:t>
            </w:r>
            <w:r w:rsidRPr="00B26B5B">
              <w:t xml:space="preserve"> </w:t>
            </w:r>
            <w:r w:rsidR="006057F6" w:rsidRPr="00B26B5B">
              <w:t xml:space="preserve">The </w:t>
            </w:r>
            <w:r w:rsidRPr="00B26B5B">
              <w:t>weighted average issue yield at Treasury Bond and Treasury Indexed Bond tenders compared to prevailing mid</w:t>
            </w:r>
            <w:r w:rsidR="00B84FF2">
              <w:noBreakHyphen/>
            </w:r>
            <w:r w:rsidRPr="00B26B5B">
              <w:t>market secondary yields.</w:t>
            </w:r>
          </w:p>
        </w:tc>
        <w:tc>
          <w:tcPr>
            <w:tcW w:w="1189" w:type="dxa"/>
            <w:gridSpan w:val="3"/>
          </w:tcPr>
          <w:p w14:paraId="613CC8A7" w14:textId="1086CA38" w:rsidR="0014741C" w:rsidRPr="00B26B5B" w:rsidDel="0001411D" w:rsidRDefault="0089533F" w:rsidP="00625DAB">
            <w:pPr>
              <w:pStyle w:val="TableTextLeft"/>
            </w:pPr>
            <w:r w:rsidRPr="00B26B5B">
              <w:t>At or below mid</w:t>
            </w:r>
            <w:r w:rsidR="00B84FF2">
              <w:noBreakHyphen/>
            </w:r>
            <w:r w:rsidRPr="00B26B5B">
              <w:t>market yields</w:t>
            </w:r>
          </w:p>
        </w:tc>
      </w:tr>
      <w:tr w:rsidR="00F57CA8" w:rsidRPr="00002FDA" w14:paraId="56223E9D" w14:textId="77777777" w:rsidTr="00200F74">
        <w:trPr>
          <w:trHeight w:val="655"/>
        </w:trPr>
        <w:tc>
          <w:tcPr>
            <w:tcW w:w="572" w:type="dxa"/>
            <w:gridSpan w:val="2"/>
          </w:tcPr>
          <w:p w14:paraId="3545F48D" w14:textId="1E1F497F" w:rsidR="00F57CA8" w:rsidRPr="00B26B5B" w:rsidRDefault="00CF109F" w:rsidP="00625DAB">
            <w:pPr>
              <w:pStyle w:val="TableTextLeft"/>
            </w:pPr>
            <w:r w:rsidRPr="00B26B5B">
              <w:t>1.2</w:t>
            </w:r>
          </w:p>
        </w:tc>
        <w:tc>
          <w:tcPr>
            <w:tcW w:w="1499" w:type="dxa"/>
          </w:tcPr>
          <w:p w14:paraId="57C384D6" w14:textId="27733BD5" w:rsidR="00F57CA8" w:rsidRPr="00B26B5B" w:rsidRDefault="001A0BE5" w:rsidP="00625DAB">
            <w:pPr>
              <w:pStyle w:val="TableTextLeft"/>
            </w:pPr>
            <w:r w:rsidRPr="00B26B5B">
              <w:t xml:space="preserve">Settle </w:t>
            </w:r>
            <w:r w:rsidR="006057F6" w:rsidRPr="00B26B5B">
              <w:t>Australian Government Securities (</w:t>
            </w:r>
            <w:r w:rsidR="00CF109F" w:rsidRPr="00B26B5B">
              <w:t>AGS</w:t>
            </w:r>
            <w:r w:rsidR="006057F6" w:rsidRPr="00B26B5B">
              <w:t>)</w:t>
            </w:r>
            <w:r w:rsidR="00CF109F" w:rsidRPr="00B26B5B">
              <w:t xml:space="preserve"> issuance, coupon and redemption payments</w:t>
            </w:r>
          </w:p>
        </w:tc>
        <w:tc>
          <w:tcPr>
            <w:tcW w:w="623" w:type="dxa"/>
            <w:gridSpan w:val="2"/>
          </w:tcPr>
          <w:p w14:paraId="02CBE7C1" w14:textId="32CE2A3D" w:rsidR="00F57CA8" w:rsidRPr="00B26B5B" w:rsidRDefault="00F57CA8" w:rsidP="00625DAB">
            <w:pPr>
              <w:pStyle w:val="TableTextLeft"/>
            </w:pPr>
            <w:r w:rsidRPr="00B26B5B">
              <w:t>1.</w:t>
            </w:r>
            <w:r w:rsidR="00CF7D9F" w:rsidRPr="00B26B5B">
              <w:t>2</w:t>
            </w:r>
            <w:r w:rsidR="00E84384" w:rsidRPr="00B26B5B">
              <w:t>.</w:t>
            </w:r>
            <w:r w:rsidRPr="00B26B5B">
              <w:t>1</w:t>
            </w:r>
          </w:p>
        </w:tc>
        <w:tc>
          <w:tcPr>
            <w:tcW w:w="3828" w:type="dxa"/>
          </w:tcPr>
          <w:p w14:paraId="63867AB4" w14:textId="3D032C04" w:rsidR="00F57CA8" w:rsidRPr="00B26B5B" w:rsidRDefault="00E84384" w:rsidP="00625DAB">
            <w:pPr>
              <w:pStyle w:val="TableTextLeft"/>
              <w:rPr>
                <w:b/>
                <w:bCs/>
              </w:rPr>
            </w:pPr>
            <w:r w:rsidRPr="00B26B5B">
              <w:rPr>
                <w:b/>
                <w:bCs/>
              </w:rPr>
              <w:t>AGS settlements</w:t>
            </w:r>
            <w:r w:rsidRPr="00B26B5B">
              <w:rPr>
                <w:b/>
              </w:rPr>
              <w:t>:</w:t>
            </w:r>
            <w:r w:rsidRPr="00B26B5B">
              <w:t xml:space="preserve"> </w:t>
            </w:r>
            <w:r w:rsidR="006057F6" w:rsidRPr="00B26B5B">
              <w:t xml:space="preserve">The </w:t>
            </w:r>
            <w:r w:rsidRPr="00B26B5B">
              <w:t xml:space="preserve">number of times AGS </w:t>
            </w:r>
            <w:r w:rsidR="00D87A5B" w:rsidRPr="00B26B5B">
              <w:t xml:space="preserve">issuance, coupon and redemption payments </w:t>
            </w:r>
            <w:r w:rsidRPr="00B26B5B">
              <w:t xml:space="preserve">fail to </w:t>
            </w:r>
            <w:r w:rsidR="000B7586" w:rsidRPr="00B26B5B">
              <w:t>occur</w:t>
            </w:r>
            <w:r w:rsidRPr="00B26B5B">
              <w:t xml:space="preserve"> in a complete, timely and accurate manner where the AOFM is responsible for the failure. </w:t>
            </w:r>
          </w:p>
        </w:tc>
        <w:tc>
          <w:tcPr>
            <w:tcW w:w="1189" w:type="dxa"/>
            <w:gridSpan w:val="3"/>
          </w:tcPr>
          <w:p w14:paraId="391E2FF3" w14:textId="432EF735" w:rsidR="00F57CA8" w:rsidRPr="00B26B5B" w:rsidRDefault="00F30239" w:rsidP="00625DAB">
            <w:pPr>
              <w:pStyle w:val="TableTextLeft"/>
            </w:pPr>
            <w:r w:rsidRPr="00B26B5B">
              <w:t>Zero</w:t>
            </w:r>
          </w:p>
        </w:tc>
      </w:tr>
      <w:tr w:rsidR="00620F6F" w:rsidRPr="008D2DAF" w14:paraId="79A28A5C" w14:textId="77777777" w:rsidTr="00200F74">
        <w:trPr>
          <w:trHeight w:val="20"/>
        </w:trPr>
        <w:tc>
          <w:tcPr>
            <w:tcW w:w="2071" w:type="dxa"/>
            <w:gridSpan w:val="3"/>
            <w:hideMark/>
          </w:tcPr>
          <w:p w14:paraId="1CF70C88" w14:textId="7E8B04EF" w:rsidR="00564AED" w:rsidRPr="00592520" w:rsidRDefault="00564AED" w:rsidP="002331D8">
            <w:pPr>
              <w:pStyle w:val="TableSecondHeading"/>
              <w:rPr>
                <w:b/>
                <w:bCs/>
              </w:rPr>
            </w:pPr>
            <w:bookmarkStart w:id="370" w:name="_Hlk202357955"/>
            <w:r w:rsidRPr="00592520">
              <w:rPr>
                <w:b/>
                <w:bCs/>
              </w:rPr>
              <w:t>PURPOSE 2</w:t>
            </w:r>
          </w:p>
        </w:tc>
        <w:tc>
          <w:tcPr>
            <w:tcW w:w="5640" w:type="dxa"/>
            <w:gridSpan w:val="6"/>
            <w:hideMark/>
          </w:tcPr>
          <w:p w14:paraId="4CA88FD4" w14:textId="2029A036" w:rsidR="00564AED" w:rsidRPr="00592520" w:rsidRDefault="005A459D" w:rsidP="002331D8">
            <w:pPr>
              <w:pStyle w:val="TableSecondHeading"/>
              <w:rPr>
                <w:b/>
                <w:bCs/>
              </w:rPr>
            </w:pPr>
            <w:r w:rsidRPr="00592520">
              <w:rPr>
                <w:b/>
                <w:bCs/>
              </w:rPr>
              <w:t>Ensure the government can always meet its cash outlay requirements</w:t>
            </w:r>
          </w:p>
        </w:tc>
      </w:tr>
      <w:bookmarkEnd w:id="370"/>
      <w:tr w:rsidR="00DA458E" w:rsidRPr="008D2DAF" w14:paraId="6A6F2620" w14:textId="77777777" w:rsidTr="00200F74">
        <w:trPr>
          <w:gridAfter w:val="1"/>
          <w:wAfter w:w="10" w:type="dxa"/>
          <w:trHeight w:val="655"/>
        </w:trPr>
        <w:tc>
          <w:tcPr>
            <w:tcW w:w="540" w:type="dxa"/>
            <w:hideMark/>
          </w:tcPr>
          <w:p w14:paraId="6BA2DD29" w14:textId="6599F1DA" w:rsidR="00C95E75" w:rsidRPr="00665FD1" w:rsidRDefault="00C95E75" w:rsidP="00625DAB">
            <w:pPr>
              <w:pStyle w:val="TableTextLeft"/>
            </w:pPr>
            <w:r w:rsidRPr="00665FD1">
              <w:t>2.1</w:t>
            </w:r>
          </w:p>
        </w:tc>
        <w:tc>
          <w:tcPr>
            <w:tcW w:w="1531" w:type="dxa"/>
            <w:gridSpan w:val="2"/>
            <w:hideMark/>
          </w:tcPr>
          <w:p w14:paraId="620B63E8" w14:textId="69D49BD9" w:rsidR="00C95E75" w:rsidRPr="00665FD1" w:rsidRDefault="00C95E75" w:rsidP="00625DAB">
            <w:pPr>
              <w:pStyle w:val="TableTextLeft"/>
            </w:pPr>
            <w:r w:rsidRPr="00665FD1">
              <w:t xml:space="preserve">Establish </w:t>
            </w:r>
            <w:r w:rsidR="009E6081" w:rsidRPr="00665FD1">
              <w:t xml:space="preserve">and execute </w:t>
            </w:r>
            <w:r w:rsidRPr="00665FD1">
              <w:t>a liquidity management strategy</w:t>
            </w:r>
          </w:p>
        </w:tc>
        <w:tc>
          <w:tcPr>
            <w:tcW w:w="569" w:type="dxa"/>
            <w:hideMark/>
          </w:tcPr>
          <w:p w14:paraId="6A04986A" w14:textId="250D6196" w:rsidR="00C95E75" w:rsidRPr="00665FD1" w:rsidRDefault="00C95E75" w:rsidP="00625DAB">
            <w:pPr>
              <w:pStyle w:val="TableTextLeft"/>
            </w:pPr>
            <w:r w:rsidRPr="00665FD1">
              <w:t>2.1.1</w:t>
            </w:r>
          </w:p>
        </w:tc>
        <w:tc>
          <w:tcPr>
            <w:tcW w:w="3913" w:type="dxa"/>
            <w:gridSpan w:val="3"/>
            <w:hideMark/>
          </w:tcPr>
          <w:p w14:paraId="4D58123E" w14:textId="4036E230" w:rsidR="00C95E75" w:rsidRPr="00665FD1" w:rsidRDefault="002D39B7" w:rsidP="00625DAB">
            <w:pPr>
              <w:pStyle w:val="TableTextLeft"/>
            </w:pPr>
            <w:r w:rsidRPr="00665FD1">
              <w:rPr>
                <w:b/>
                <w:bCs/>
              </w:rPr>
              <w:t>Cash</w:t>
            </w:r>
            <w:r w:rsidR="003F3CD0" w:rsidRPr="00665FD1">
              <w:rPr>
                <w:b/>
                <w:bCs/>
              </w:rPr>
              <w:t xml:space="preserve"> management strategy:</w:t>
            </w:r>
            <w:r w:rsidR="003F3CD0" w:rsidRPr="00665FD1">
              <w:t xml:space="preserve"> </w:t>
            </w:r>
            <w:r w:rsidR="006057F6" w:rsidRPr="00665FD1">
              <w:t xml:space="preserve">Conduct </w:t>
            </w:r>
            <w:r w:rsidRPr="00665FD1">
              <w:t xml:space="preserve">annual </w:t>
            </w:r>
            <w:r w:rsidR="00FE1FB7" w:rsidRPr="00665FD1">
              <w:t xml:space="preserve">cash management in accordance with the </w:t>
            </w:r>
            <w:r w:rsidR="003F3CD0" w:rsidRPr="00665FD1">
              <w:t>liquidity management strategy.</w:t>
            </w:r>
          </w:p>
        </w:tc>
        <w:tc>
          <w:tcPr>
            <w:tcW w:w="1148" w:type="dxa"/>
            <w:hideMark/>
          </w:tcPr>
          <w:p w14:paraId="46C0B867" w14:textId="70AA46C8" w:rsidR="00C95E75" w:rsidRPr="00665FD1" w:rsidRDefault="00380A8D" w:rsidP="00625DAB">
            <w:pPr>
              <w:pStyle w:val="TableTextLeft"/>
            </w:pPr>
            <w:r w:rsidRPr="00665FD1">
              <w:t>All approved elements are met</w:t>
            </w:r>
          </w:p>
        </w:tc>
      </w:tr>
      <w:tr w:rsidR="00D61D2D" w:rsidRPr="008D2DAF" w14:paraId="7A4F030F" w14:textId="77777777" w:rsidTr="00200F74">
        <w:trPr>
          <w:trHeight w:val="20"/>
        </w:trPr>
        <w:tc>
          <w:tcPr>
            <w:tcW w:w="2071" w:type="dxa"/>
            <w:gridSpan w:val="3"/>
            <w:hideMark/>
          </w:tcPr>
          <w:p w14:paraId="5AA8246D" w14:textId="629FA5AE" w:rsidR="00BE23F3" w:rsidRPr="00592520" w:rsidRDefault="00BE23F3" w:rsidP="002331D8">
            <w:pPr>
              <w:pStyle w:val="TableSecondHeading"/>
              <w:rPr>
                <w:b/>
                <w:bCs/>
              </w:rPr>
            </w:pPr>
            <w:bookmarkStart w:id="371" w:name="_Hlk202358109"/>
            <w:r w:rsidRPr="00592520">
              <w:rPr>
                <w:b/>
                <w:bCs/>
              </w:rPr>
              <w:t>PURPOSE 3</w:t>
            </w:r>
          </w:p>
        </w:tc>
        <w:tc>
          <w:tcPr>
            <w:tcW w:w="5640" w:type="dxa"/>
            <w:gridSpan w:val="6"/>
            <w:hideMark/>
          </w:tcPr>
          <w:p w14:paraId="7F8A5E42" w14:textId="2C7F3266" w:rsidR="00BE23F3" w:rsidRPr="00592520" w:rsidRDefault="00B62DF3" w:rsidP="002331D8">
            <w:pPr>
              <w:pStyle w:val="TableSecondHeading"/>
              <w:rPr>
                <w:b/>
                <w:bCs/>
              </w:rPr>
            </w:pPr>
            <w:r w:rsidRPr="00592520">
              <w:rPr>
                <w:b/>
                <w:bCs/>
              </w:rPr>
              <w:t>Conduct market</w:t>
            </w:r>
            <w:r w:rsidR="00B84FF2" w:rsidRPr="00592520">
              <w:rPr>
                <w:b/>
                <w:bCs/>
              </w:rPr>
              <w:noBreakHyphen/>
            </w:r>
            <w:r w:rsidRPr="00592520">
              <w:rPr>
                <w:b/>
                <w:bCs/>
              </w:rPr>
              <w:t>facing activities in a manner that supports a well</w:t>
            </w:r>
            <w:r w:rsidR="00B84FF2" w:rsidRPr="00592520">
              <w:rPr>
                <w:b/>
                <w:bCs/>
              </w:rPr>
              <w:noBreakHyphen/>
            </w:r>
            <w:r w:rsidRPr="00592520">
              <w:rPr>
                <w:b/>
                <w:bCs/>
              </w:rPr>
              <w:t>functioning AGS market</w:t>
            </w:r>
          </w:p>
        </w:tc>
      </w:tr>
      <w:bookmarkEnd w:id="371"/>
      <w:tr w:rsidR="00DA458E" w:rsidRPr="008D2DAF" w14:paraId="60B7C824" w14:textId="77777777" w:rsidTr="00200F74">
        <w:trPr>
          <w:gridAfter w:val="1"/>
          <w:wAfter w:w="10" w:type="dxa"/>
          <w:trHeight w:val="586"/>
        </w:trPr>
        <w:tc>
          <w:tcPr>
            <w:tcW w:w="540" w:type="dxa"/>
            <w:hideMark/>
          </w:tcPr>
          <w:p w14:paraId="40968163" w14:textId="52A7D357" w:rsidR="00BB1D2B" w:rsidRPr="00665FD1" w:rsidRDefault="00BB1D2B" w:rsidP="00625DAB">
            <w:pPr>
              <w:pStyle w:val="TableTextLeft"/>
            </w:pPr>
            <w:r w:rsidRPr="00665FD1">
              <w:t>3.</w:t>
            </w:r>
            <w:r w:rsidR="00380A8D" w:rsidRPr="00665FD1">
              <w:t>1</w:t>
            </w:r>
          </w:p>
        </w:tc>
        <w:tc>
          <w:tcPr>
            <w:tcW w:w="1531" w:type="dxa"/>
            <w:gridSpan w:val="2"/>
            <w:hideMark/>
          </w:tcPr>
          <w:p w14:paraId="68EE9AAA" w14:textId="44A7681F" w:rsidR="00BB1D2B" w:rsidRPr="00665FD1" w:rsidRDefault="00BB1D2B" w:rsidP="00625DAB">
            <w:pPr>
              <w:pStyle w:val="TableTextLeft"/>
            </w:pPr>
            <w:r w:rsidRPr="00665FD1">
              <w:t>Conduct a market engagement program</w:t>
            </w:r>
          </w:p>
        </w:tc>
        <w:tc>
          <w:tcPr>
            <w:tcW w:w="569" w:type="dxa"/>
            <w:hideMark/>
          </w:tcPr>
          <w:p w14:paraId="24B05496" w14:textId="45119623" w:rsidR="00BB1D2B" w:rsidRPr="00665FD1" w:rsidRDefault="00BB1D2B" w:rsidP="00625DAB">
            <w:pPr>
              <w:pStyle w:val="TableTextLeft"/>
            </w:pPr>
            <w:r w:rsidRPr="00665FD1">
              <w:t>3.</w:t>
            </w:r>
            <w:r w:rsidR="002F577A" w:rsidRPr="00665FD1">
              <w:t>1</w:t>
            </w:r>
            <w:r w:rsidRPr="00665FD1">
              <w:t>.1</w:t>
            </w:r>
          </w:p>
        </w:tc>
        <w:tc>
          <w:tcPr>
            <w:tcW w:w="3913" w:type="dxa"/>
            <w:gridSpan w:val="3"/>
            <w:hideMark/>
          </w:tcPr>
          <w:p w14:paraId="1BA9B664" w14:textId="14902967" w:rsidR="00BB1D2B" w:rsidRPr="00665FD1" w:rsidRDefault="00380A8D" w:rsidP="00625DAB">
            <w:pPr>
              <w:pStyle w:val="TableTextLeft"/>
            </w:pPr>
            <w:r w:rsidRPr="00665FD1">
              <w:rPr>
                <w:b/>
                <w:bCs/>
              </w:rPr>
              <w:t>Annual i</w:t>
            </w:r>
            <w:r w:rsidR="00BB1D2B" w:rsidRPr="00665FD1">
              <w:rPr>
                <w:b/>
                <w:bCs/>
              </w:rPr>
              <w:t xml:space="preserve">nvestor </w:t>
            </w:r>
            <w:r w:rsidRPr="00665FD1">
              <w:rPr>
                <w:b/>
                <w:bCs/>
              </w:rPr>
              <w:t>relations plan</w:t>
            </w:r>
            <w:r w:rsidR="00BB1D2B" w:rsidRPr="00665FD1">
              <w:rPr>
                <w:b/>
              </w:rPr>
              <w:t xml:space="preserve">: </w:t>
            </w:r>
            <w:r w:rsidR="006057F6" w:rsidRPr="00665FD1">
              <w:t xml:space="preserve">Conduct </w:t>
            </w:r>
            <w:r w:rsidR="00F03E3D" w:rsidRPr="00665FD1">
              <w:t xml:space="preserve">investor outreach in accordance with the </w:t>
            </w:r>
            <w:r w:rsidR="00EC4165" w:rsidRPr="00665FD1">
              <w:t>annual investor relations plan</w:t>
            </w:r>
            <w:r w:rsidR="00BB1D2B" w:rsidRPr="00665FD1">
              <w:t>.</w:t>
            </w:r>
          </w:p>
        </w:tc>
        <w:tc>
          <w:tcPr>
            <w:tcW w:w="1148" w:type="dxa"/>
            <w:hideMark/>
          </w:tcPr>
          <w:p w14:paraId="58C6E122" w14:textId="2909C599" w:rsidR="00BB1D2B" w:rsidRPr="00665FD1" w:rsidRDefault="00EC4165" w:rsidP="00625DAB">
            <w:pPr>
              <w:pStyle w:val="TableTextLeft"/>
            </w:pPr>
            <w:r w:rsidRPr="00665FD1">
              <w:t>All elements met</w:t>
            </w:r>
          </w:p>
        </w:tc>
      </w:tr>
      <w:tr w:rsidR="00DA458E" w:rsidRPr="008D2DAF" w14:paraId="47E85D5F" w14:textId="77777777" w:rsidTr="00200F74">
        <w:trPr>
          <w:gridAfter w:val="1"/>
          <w:wAfter w:w="10" w:type="dxa"/>
          <w:trHeight w:val="586"/>
        </w:trPr>
        <w:tc>
          <w:tcPr>
            <w:tcW w:w="540" w:type="dxa"/>
          </w:tcPr>
          <w:p w14:paraId="69272AB4" w14:textId="76EE447D" w:rsidR="00BB1D2B" w:rsidRPr="00665FD1" w:rsidRDefault="00BB1D2B" w:rsidP="00625DAB">
            <w:pPr>
              <w:pStyle w:val="TableTextLeft"/>
            </w:pPr>
            <w:bookmarkStart w:id="372" w:name="_Hlk202358121"/>
            <w:r w:rsidRPr="00665FD1">
              <w:t>3.</w:t>
            </w:r>
            <w:r w:rsidR="00380A8D" w:rsidRPr="00665FD1">
              <w:t>2</w:t>
            </w:r>
          </w:p>
        </w:tc>
        <w:tc>
          <w:tcPr>
            <w:tcW w:w="1531" w:type="dxa"/>
            <w:gridSpan w:val="2"/>
          </w:tcPr>
          <w:p w14:paraId="1E9E2019" w14:textId="4B1F7C65" w:rsidR="00BB1D2B" w:rsidRPr="00665FD1" w:rsidRDefault="00BB1D2B" w:rsidP="00625DAB">
            <w:pPr>
              <w:pStyle w:val="TableTextLeft"/>
            </w:pPr>
            <w:r w:rsidRPr="00665FD1">
              <w:t>Support financial market liquidity</w:t>
            </w:r>
          </w:p>
        </w:tc>
        <w:tc>
          <w:tcPr>
            <w:tcW w:w="569" w:type="dxa"/>
          </w:tcPr>
          <w:p w14:paraId="3342175B" w14:textId="4EB98DC9" w:rsidR="00BB1D2B" w:rsidRPr="00665FD1" w:rsidRDefault="00BB1D2B" w:rsidP="00625DAB">
            <w:pPr>
              <w:pStyle w:val="TableTextLeft"/>
            </w:pPr>
            <w:r w:rsidRPr="00665FD1">
              <w:t>3.</w:t>
            </w:r>
            <w:r w:rsidR="002F577A" w:rsidRPr="00665FD1">
              <w:t>2</w:t>
            </w:r>
            <w:r w:rsidRPr="00665FD1">
              <w:t>.1</w:t>
            </w:r>
          </w:p>
        </w:tc>
        <w:tc>
          <w:tcPr>
            <w:tcW w:w="3913" w:type="dxa"/>
            <w:gridSpan w:val="3"/>
          </w:tcPr>
          <w:p w14:paraId="0986C159" w14:textId="7990FF59" w:rsidR="00BB1D2B" w:rsidRPr="00665FD1" w:rsidRDefault="00EC4165" w:rsidP="00625DAB">
            <w:pPr>
              <w:pStyle w:val="TableTextLeft"/>
              <w:rPr>
                <w:b/>
                <w:bCs/>
              </w:rPr>
            </w:pPr>
            <w:r w:rsidRPr="00665FD1">
              <w:rPr>
                <w:b/>
                <w:bCs/>
              </w:rPr>
              <w:t>T</w:t>
            </w:r>
            <w:r w:rsidR="00BB1D2B" w:rsidRPr="00665FD1">
              <w:rPr>
                <w:b/>
                <w:bCs/>
              </w:rPr>
              <w:t>urnover</w:t>
            </w:r>
            <w:r w:rsidRPr="00665FD1">
              <w:rPr>
                <w:b/>
                <w:bCs/>
              </w:rPr>
              <w:t xml:space="preserve"> ratio</w:t>
            </w:r>
            <w:r w:rsidR="00BB1D2B" w:rsidRPr="00665FD1">
              <w:rPr>
                <w:b/>
              </w:rPr>
              <w:t>:</w:t>
            </w:r>
            <w:r w:rsidR="00BB1D2B" w:rsidRPr="00665FD1">
              <w:t xml:space="preserve"> </w:t>
            </w:r>
            <w:r w:rsidR="006057F6" w:rsidRPr="00665FD1">
              <w:t xml:space="preserve">Annual </w:t>
            </w:r>
            <w:r w:rsidR="00DF3C93" w:rsidRPr="00665FD1">
              <w:t xml:space="preserve">reported secondary market </w:t>
            </w:r>
            <w:r w:rsidR="00BB1D2B" w:rsidRPr="00665FD1">
              <w:t xml:space="preserve">turnover for Treasury Bonds and Treasury Indexed Bonds </w:t>
            </w:r>
            <w:r w:rsidR="00BE7707" w:rsidRPr="00665FD1">
              <w:t xml:space="preserve">as a proportion </w:t>
            </w:r>
            <w:r w:rsidR="007E7275" w:rsidRPr="00665FD1">
              <w:t>of debt on issue</w:t>
            </w:r>
            <w:r w:rsidR="00BB1D2B" w:rsidRPr="00665FD1">
              <w:t>.</w:t>
            </w:r>
          </w:p>
        </w:tc>
        <w:tc>
          <w:tcPr>
            <w:tcW w:w="1148" w:type="dxa"/>
          </w:tcPr>
          <w:p w14:paraId="11B42B28" w14:textId="4C199BE0" w:rsidR="00BB1D2B" w:rsidRPr="00665FD1" w:rsidRDefault="00BB1D2B" w:rsidP="00625DAB">
            <w:pPr>
              <w:pStyle w:val="TableTextLeft"/>
            </w:pPr>
            <w:r w:rsidRPr="00665FD1">
              <w:t xml:space="preserve">Greater than </w:t>
            </w:r>
            <w:r w:rsidR="000610F5" w:rsidRPr="00665FD1">
              <w:t>one</w:t>
            </w:r>
          </w:p>
        </w:tc>
      </w:tr>
      <w:bookmarkEnd w:id="372"/>
      <w:tr w:rsidR="00D61D2D" w:rsidRPr="008D2DAF" w14:paraId="3347D69F" w14:textId="77777777" w:rsidTr="00200F74">
        <w:trPr>
          <w:trHeight w:val="20"/>
        </w:trPr>
        <w:tc>
          <w:tcPr>
            <w:tcW w:w="2071" w:type="dxa"/>
            <w:gridSpan w:val="3"/>
            <w:hideMark/>
          </w:tcPr>
          <w:p w14:paraId="56B59902" w14:textId="5C8D2704" w:rsidR="00BB1D2B" w:rsidRPr="00592520" w:rsidRDefault="00BB1D2B" w:rsidP="002331D8">
            <w:pPr>
              <w:pStyle w:val="TableSecondHeading"/>
              <w:rPr>
                <w:b/>
                <w:bCs/>
              </w:rPr>
            </w:pPr>
            <w:r w:rsidRPr="00592520">
              <w:rPr>
                <w:b/>
                <w:bCs/>
              </w:rPr>
              <w:t>PURPOSE 4</w:t>
            </w:r>
          </w:p>
        </w:tc>
        <w:tc>
          <w:tcPr>
            <w:tcW w:w="5640" w:type="dxa"/>
            <w:gridSpan w:val="6"/>
            <w:hideMark/>
          </w:tcPr>
          <w:p w14:paraId="0FBBD0D9" w14:textId="04F59200" w:rsidR="00BB1D2B" w:rsidRPr="00592520" w:rsidRDefault="00BB1D2B" w:rsidP="002331D8">
            <w:pPr>
              <w:pStyle w:val="TableSecondHeading"/>
              <w:rPr>
                <w:b/>
                <w:bCs/>
              </w:rPr>
            </w:pPr>
            <w:r w:rsidRPr="00592520">
              <w:rPr>
                <w:b/>
                <w:bCs/>
              </w:rPr>
              <w:t xml:space="preserve">Meet </w:t>
            </w:r>
            <w:r w:rsidR="00F35145" w:rsidRPr="00592520">
              <w:rPr>
                <w:b/>
                <w:bCs/>
              </w:rPr>
              <w:t>the priorities of the ABSF and the SFSF</w:t>
            </w:r>
          </w:p>
        </w:tc>
      </w:tr>
      <w:tr w:rsidR="00436460" w:rsidRPr="008D2DAF" w14:paraId="69D75372" w14:textId="77777777" w:rsidTr="00200F74">
        <w:trPr>
          <w:gridAfter w:val="1"/>
          <w:wAfter w:w="10" w:type="dxa"/>
          <w:trHeight w:val="586"/>
        </w:trPr>
        <w:tc>
          <w:tcPr>
            <w:tcW w:w="540" w:type="dxa"/>
          </w:tcPr>
          <w:p w14:paraId="01AA893D" w14:textId="66C379D5" w:rsidR="008279A6" w:rsidRPr="00665FD1" w:rsidRDefault="008279A6" w:rsidP="00625DAB">
            <w:pPr>
              <w:pStyle w:val="TableTextLeft"/>
            </w:pPr>
            <w:r w:rsidRPr="00665FD1">
              <w:t>4.1</w:t>
            </w:r>
          </w:p>
        </w:tc>
        <w:tc>
          <w:tcPr>
            <w:tcW w:w="1531" w:type="dxa"/>
            <w:gridSpan w:val="2"/>
          </w:tcPr>
          <w:p w14:paraId="065F91C6" w14:textId="31D3DCC7" w:rsidR="008279A6" w:rsidRPr="00665FD1" w:rsidRDefault="008279A6" w:rsidP="00625DAB">
            <w:pPr>
              <w:pStyle w:val="TableTextLeft"/>
            </w:pPr>
            <w:r w:rsidRPr="00665FD1">
              <w:t xml:space="preserve">Manage the </w:t>
            </w:r>
            <w:r w:rsidR="006057F6" w:rsidRPr="00665FD1">
              <w:t>Australian Business Securitisation Fund (</w:t>
            </w:r>
            <w:r w:rsidRPr="00665FD1">
              <w:t>ABSF</w:t>
            </w:r>
            <w:r w:rsidR="006057F6" w:rsidRPr="00665FD1">
              <w:t>)</w:t>
            </w:r>
            <w:r w:rsidRPr="00665FD1">
              <w:t xml:space="preserve"> program</w:t>
            </w:r>
          </w:p>
        </w:tc>
        <w:tc>
          <w:tcPr>
            <w:tcW w:w="569" w:type="dxa"/>
          </w:tcPr>
          <w:p w14:paraId="1B681DA5" w14:textId="126F62BC" w:rsidR="008279A6" w:rsidRPr="00665FD1" w:rsidRDefault="008279A6" w:rsidP="00625DAB">
            <w:pPr>
              <w:pStyle w:val="TableTextLeft"/>
            </w:pPr>
            <w:r w:rsidRPr="00665FD1">
              <w:t>4.1.1</w:t>
            </w:r>
          </w:p>
        </w:tc>
        <w:tc>
          <w:tcPr>
            <w:tcW w:w="3913" w:type="dxa"/>
            <w:gridSpan w:val="3"/>
          </w:tcPr>
          <w:p w14:paraId="0445FCB5" w14:textId="2F88A4AD" w:rsidR="008279A6" w:rsidRPr="00665FD1" w:rsidRDefault="008279A6" w:rsidP="00625DAB">
            <w:pPr>
              <w:pStyle w:val="TableTextLeft"/>
              <w:rPr>
                <w:b/>
                <w:bCs/>
              </w:rPr>
            </w:pPr>
            <w:r w:rsidRPr="00665FD1">
              <w:rPr>
                <w:b/>
                <w:bCs/>
              </w:rPr>
              <w:t>ABSF rate of return:</w:t>
            </w:r>
            <w:r w:rsidRPr="00665FD1">
              <w:t xml:space="preserve"> </w:t>
            </w:r>
            <w:r w:rsidR="006057F6" w:rsidRPr="00665FD1">
              <w:t xml:space="preserve">The </w:t>
            </w:r>
            <w:r w:rsidRPr="00665FD1">
              <w:t>accrual earnings (net of losses) for a fiscal year divided by the average drawn (invested) amount in percentage point terms.</w:t>
            </w:r>
          </w:p>
        </w:tc>
        <w:tc>
          <w:tcPr>
            <w:tcW w:w="1148" w:type="dxa"/>
          </w:tcPr>
          <w:p w14:paraId="0BFC51B5" w14:textId="792D5695" w:rsidR="008279A6" w:rsidRPr="00665FD1" w:rsidRDefault="008279A6" w:rsidP="00625DAB">
            <w:pPr>
              <w:pStyle w:val="TableTextLeft"/>
            </w:pPr>
            <w:r w:rsidRPr="00665FD1">
              <w:t xml:space="preserve">Greater than Bloomberg </w:t>
            </w:r>
            <w:proofErr w:type="spellStart"/>
            <w:r w:rsidRPr="00665FD1">
              <w:t>AusBond</w:t>
            </w:r>
            <w:proofErr w:type="spellEnd"/>
            <w:r w:rsidRPr="00665FD1">
              <w:t xml:space="preserve"> Treasury 0</w:t>
            </w:r>
            <w:r w:rsidR="00B84FF2">
              <w:noBreakHyphen/>
            </w:r>
            <w:r w:rsidRPr="00665FD1">
              <w:t xml:space="preserve">1 </w:t>
            </w:r>
            <w:r w:rsidR="006057F6" w:rsidRPr="00665FD1">
              <w:t>Yr Index</w:t>
            </w:r>
          </w:p>
        </w:tc>
      </w:tr>
      <w:tr w:rsidR="00436460" w:rsidRPr="008D2DAF" w14:paraId="641606A0" w14:textId="77777777" w:rsidTr="00200F74">
        <w:trPr>
          <w:gridAfter w:val="1"/>
          <w:wAfter w:w="10" w:type="dxa"/>
          <w:trHeight w:val="586"/>
        </w:trPr>
        <w:tc>
          <w:tcPr>
            <w:tcW w:w="540" w:type="dxa"/>
          </w:tcPr>
          <w:p w14:paraId="4D9C9540" w14:textId="5B3A0DDD" w:rsidR="000E05B1" w:rsidRPr="00665FD1" w:rsidRDefault="000E05B1" w:rsidP="00625DAB">
            <w:pPr>
              <w:pStyle w:val="TableTextLeft"/>
            </w:pPr>
            <w:r w:rsidRPr="00665FD1">
              <w:t>4.2</w:t>
            </w:r>
          </w:p>
        </w:tc>
        <w:tc>
          <w:tcPr>
            <w:tcW w:w="1531" w:type="dxa"/>
            <w:gridSpan w:val="2"/>
          </w:tcPr>
          <w:p w14:paraId="0B169E28" w14:textId="13A2A0D4" w:rsidR="000E05B1" w:rsidRPr="00665FD1" w:rsidRDefault="000E05B1" w:rsidP="00625DAB">
            <w:pPr>
              <w:pStyle w:val="TableTextLeft"/>
            </w:pPr>
            <w:r w:rsidRPr="00665FD1">
              <w:t xml:space="preserve">Manage the </w:t>
            </w:r>
            <w:r w:rsidR="006057F6" w:rsidRPr="00665FD1">
              <w:t>Structured Finance Support Fund (</w:t>
            </w:r>
            <w:r w:rsidRPr="00665FD1">
              <w:t>SFSF</w:t>
            </w:r>
            <w:r w:rsidR="006057F6" w:rsidRPr="00665FD1">
              <w:t>)</w:t>
            </w:r>
            <w:r w:rsidRPr="00665FD1">
              <w:t xml:space="preserve"> program</w:t>
            </w:r>
          </w:p>
        </w:tc>
        <w:tc>
          <w:tcPr>
            <w:tcW w:w="569" w:type="dxa"/>
          </w:tcPr>
          <w:p w14:paraId="7DBE1934" w14:textId="52E6B817" w:rsidR="000E05B1" w:rsidRPr="00665FD1" w:rsidRDefault="000E05B1" w:rsidP="00625DAB">
            <w:pPr>
              <w:pStyle w:val="TableTextLeft"/>
            </w:pPr>
            <w:r w:rsidRPr="00665FD1">
              <w:t>4.2.1</w:t>
            </w:r>
          </w:p>
        </w:tc>
        <w:tc>
          <w:tcPr>
            <w:tcW w:w="3913" w:type="dxa"/>
            <w:gridSpan w:val="3"/>
          </w:tcPr>
          <w:p w14:paraId="00D9D455" w14:textId="46CA7CF5" w:rsidR="000E05B1" w:rsidRPr="00665FD1" w:rsidRDefault="000E05B1" w:rsidP="00625DAB">
            <w:pPr>
              <w:pStyle w:val="TableTextLeft"/>
              <w:rPr>
                <w:b/>
                <w:bCs/>
              </w:rPr>
            </w:pPr>
            <w:r w:rsidRPr="00665FD1">
              <w:rPr>
                <w:b/>
                <w:bCs/>
              </w:rPr>
              <w:t>SFSF losses:</w:t>
            </w:r>
            <w:r w:rsidRPr="00665FD1">
              <w:t xml:space="preserve"> </w:t>
            </w:r>
            <w:r w:rsidR="00A40958" w:rsidRPr="00665FD1">
              <w:t>G</w:t>
            </w:r>
            <w:r w:rsidRPr="00665FD1">
              <w:t>ross credit losses for a fiscal year divided by the average drawn (invested) amount in percentage point terms.</w:t>
            </w:r>
          </w:p>
        </w:tc>
        <w:tc>
          <w:tcPr>
            <w:tcW w:w="1148" w:type="dxa"/>
          </w:tcPr>
          <w:p w14:paraId="3FB37ED8" w14:textId="540FA437" w:rsidR="000E05B1" w:rsidRPr="00665FD1" w:rsidRDefault="001C4AE7" w:rsidP="00625DAB">
            <w:pPr>
              <w:pStyle w:val="TableTextLeft"/>
            </w:pPr>
            <w:r w:rsidRPr="00665FD1">
              <w:t>Zero</w:t>
            </w:r>
          </w:p>
        </w:tc>
      </w:tr>
    </w:tbl>
    <w:p w14:paraId="0005EF4A" w14:textId="77777777" w:rsidR="009C7915" w:rsidRDefault="009C7915" w:rsidP="00CE0BF9">
      <w:pPr>
        <w:pStyle w:val="Heading1"/>
        <w:sectPr w:rsidR="009C7915" w:rsidSect="001E2AEB">
          <w:type w:val="oddPage"/>
          <w:pgSz w:w="11907" w:h="16840" w:code="9"/>
          <w:pgMar w:top="2835" w:right="2098" w:bottom="2466" w:left="2098" w:header="1814" w:footer="1814" w:gutter="0"/>
          <w:cols w:space="708"/>
          <w:titlePg/>
          <w:docGrid w:linePitch="360"/>
        </w:sectPr>
      </w:pPr>
      <w:bookmarkStart w:id="373" w:name="_Toc103678471"/>
      <w:bookmarkStart w:id="374" w:name="_Toc107329210"/>
      <w:bookmarkStart w:id="375" w:name="_Toc107329324"/>
      <w:bookmarkStart w:id="376" w:name="_Toc107329479"/>
      <w:bookmarkStart w:id="377" w:name="_Toc107329709"/>
      <w:bookmarkStart w:id="378" w:name="_Toc145684473"/>
      <w:bookmarkStart w:id="379" w:name="_Toc145685073"/>
      <w:bookmarkStart w:id="380" w:name="_Toc145686026"/>
      <w:bookmarkStart w:id="381" w:name="_Toc145686225"/>
      <w:bookmarkStart w:id="382" w:name="_Toc145686424"/>
      <w:bookmarkStart w:id="383" w:name="_Toc145686725"/>
      <w:bookmarkStart w:id="384" w:name="_Toc146104026"/>
      <w:bookmarkStart w:id="385" w:name="_Toc169708365"/>
      <w:bookmarkStart w:id="386" w:name="_Toc170206685"/>
      <w:bookmarkStart w:id="387" w:name="_Toc170206970"/>
      <w:bookmarkStart w:id="388" w:name="_Toc170207107"/>
    </w:p>
    <w:p w14:paraId="55B82623" w14:textId="168B95C3" w:rsidR="00725C92" w:rsidRDefault="001C4AE7" w:rsidP="00592520">
      <w:pPr>
        <w:pStyle w:val="Heading1-alpha"/>
      </w:pPr>
      <w:bookmarkStart w:id="389" w:name="_Toc205474301"/>
      <w:bookmarkStart w:id="390" w:name="_Toc207792886"/>
      <w:bookmarkStart w:id="391" w:name="_Toc207795644"/>
      <w:bookmarkStart w:id="392" w:name="_Toc207796051"/>
      <w:bookmarkStart w:id="393" w:name="_Toc207796926"/>
      <w:bookmarkStart w:id="394" w:name="_Toc207800227"/>
      <w:bookmarkStart w:id="395" w:name="_Toc207810805"/>
      <w:bookmarkStart w:id="396" w:name="_Toc208913969"/>
      <w:bookmarkStart w:id="397" w:name="_Toc208914084"/>
      <w:bookmarkStart w:id="398" w:name="_Toc209424481"/>
      <w:bookmarkStart w:id="399" w:name="_Toc209424587"/>
      <w:r>
        <w:lastRenderedPageBreak/>
        <w:t>The operating environment</w:t>
      </w:r>
      <w:bookmarkEnd w:id="389"/>
      <w:bookmarkEnd w:id="390"/>
      <w:bookmarkEnd w:id="391"/>
      <w:bookmarkEnd w:id="392"/>
      <w:bookmarkEnd w:id="393"/>
      <w:bookmarkEnd w:id="394"/>
      <w:bookmarkEnd w:id="395"/>
      <w:bookmarkEnd w:id="396"/>
      <w:bookmarkEnd w:id="397"/>
      <w:bookmarkEnd w:id="398"/>
      <w:bookmarkEnd w:id="399"/>
    </w:p>
    <w:p w14:paraId="38A24E46" w14:textId="34625225" w:rsidR="00933A2B" w:rsidRDefault="00BB61B5" w:rsidP="00933A2B">
      <w:r>
        <w:t>G</w:t>
      </w:r>
      <w:r w:rsidR="00933A2B">
        <w:t>eopolitical tensions and changes in foreign trade policy contributed to a less stable economic environment</w:t>
      </w:r>
      <w:r>
        <w:t xml:space="preserve"> in 2024–25</w:t>
      </w:r>
      <w:r w:rsidR="00933A2B">
        <w:t>. Inflation pressures eased throughout the year</w:t>
      </w:r>
      <w:r>
        <w:t>,</w:t>
      </w:r>
      <w:r w:rsidR="00933A2B">
        <w:t xml:space="preserve"> which led most central banks to pivot towards more accommodative monetary policy settings. Some central banks have since paused interest rate cuts, preferring a wait</w:t>
      </w:r>
      <w:r w:rsidR="00B84FF2">
        <w:noBreakHyphen/>
      </w:r>
      <w:r w:rsidR="00933A2B">
        <w:t>and</w:t>
      </w:r>
      <w:r w:rsidR="00B84FF2">
        <w:noBreakHyphen/>
      </w:r>
      <w:r w:rsidR="00933A2B">
        <w:t xml:space="preserve">see approach due to increased uncertainty in the global economic outlook </w:t>
      </w:r>
      <w:r>
        <w:t>based on</w:t>
      </w:r>
      <w:r w:rsidR="00933A2B">
        <w:t xml:space="preserve"> changes in foreign trade policy.</w:t>
      </w:r>
    </w:p>
    <w:p w14:paraId="3A63816A" w14:textId="1F0C35A6" w:rsidR="00443C30" w:rsidRDefault="00443C30" w:rsidP="00443C30">
      <w:r>
        <w:t>At the beginning of 2024</w:t>
      </w:r>
      <w:r w:rsidR="00BB61B5">
        <w:t>–</w:t>
      </w:r>
      <w:r>
        <w:t>25, annualised</w:t>
      </w:r>
      <w:r w:rsidR="001577C5">
        <w:t xml:space="preserve"> consumer price</w:t>
      </w:r>
      <w:r>
        <w:t xml:space="preserve"> inflation had reached 3.8</w:t>
      </w:r>
      <w:r w:rsidR="004D3D02">
        <w:t> </w:t>
      </w:r>
      <w:r w:rsidR="00BB61B5">
        <w:t>per</w:t>
      </w:r>
      <w:r w:rsidR="004D3D02">
        <w:t> </w:t>
      </w:r>
      <w:r w:rsidR="00BB61B5">
        <w:t xml:space="preserve">cent </w:t>
      </w:r>
      <w:r>
        <w:t>after peaking at 7.8</w:t>
      </w:r>
      <w:r w:rsidR="00BB61B5">
        <w:t xml:space="preserve"> per cent </w:t>
      </w:r>
      <w:r>
        <w:t>in December of 2022. Inflation has since subsided to 2.</w:t>
      </w:r>
      <w:r w:rsidR="009A74C7">
        <w:t>1</w:t>
      </w:r>
      <w:r w:rsidR="00BB61B5">
        <w:t xml:space="preserve"> per cent – </w:t>
      </w:r>
      <w:r>
        <w:t>within</w:t>
      </w:r>
      <w:r w:rsidR="000F6DD2">
        <w:t xml:space="preserve"> </w:t>
      </w:r>
      <w:r>
        <w:t>the RBA</w:t>
      </w:r>
      <w:r w:rsidR="00B84FF2">
        <w:t>’</w:t>
      </w:r>
      <w:r>
        <w:t>s target range</w:t>
      </w:r>
      <w:r w:rsidR="00BB61B5">
        <w:t xml:space="preserve"> – </w:t>
      </w:r>
      <w:r>
        <w:t xml:space="preserve">as of </w:t>
      </w:r>
      <w:r w:rsidR="001577C5">
        <w:t>June</w:t>
      </w:r>
      <w:r>
        <w:t xml:space="preserve"> 2025. </w:t>
      </w:r>
    </w:p>
    <w:p w14:paraId="40225457" w14:textId="0F41AE7B" w:rsidR="009B7F57" w:rsidRDefault="00443C30" w:rsidP="009B7F57">
      <w:r>
        <w:t>The RBA began its rate</w:t>
      </w:r>
      <w:r w:rsidR="00B84FF2">
        <w:noBreakHyphen/>
      </w:r>
      <w:r>
        <w:t>cutting cycle in February</w:t>
      </w:r>
      <w:r w:rsidR="006C452E">
        <w:t xml:space="preserve"> 2025</w:t>
      </w:r>
      <w:r>
        <w:t xml:space="preserve"> with a cut of 25 basis points, followed by another in May</w:t>
      </w:r>
      <w:r w:rsidR="0049638D">
        <w:t xml:space="preserve"> 2025</w:t>
      </w:r>
      <w:r>
        <w:t>, bringing the cash rate to 3.85</w:t>
      </w:r>
      <w:r w:rsidR="00BB61B5">
        <w:t xml:space="preserve"> per cent </w:t>
      </w:r>
      <w:r>
        <w:t>by the end of 2024</w:t>
      </w:r>
      <w:r w:rsidR="00BB61B5">
        <w:t>–</w:t>
      </w:r>
      <w:r>
        <w:t xml:space="preserve">25. </w:t>
      </w:r>
      <w:r w:rsidR="009B7F57">
        <w:t>Yield curves have steepened globally as central bank rate cuts have dr</w:t>
      </w:r>
      <w:r w:rsidR="00213613">
        <w:t xml:space="preserve">iven </w:t>
      </w:r>
      <w:r w:rsidR="009B7F57">
        <w:t>short</w:t>
      </w:r>
      <w:r w:rsidR="00B84FF2">
        <w:noBreakHyphen/>
      </w:r>
      <w:r w:rsidR="009B7F57">
        <w:t>term yields lower</w:t>
      </w:r>
      <w:r w:rsidR="00BB61B5">
        <w:t>,</w:t>
      </w:r>
      <w:r w:rsidR="009B7F57">
        <w:t xml:space="preserve"> and inflation </w:t>
      </w:r>
      <w:r w:rsidR="00EA0BC6">
        <w:t>and fiscal factors</w:t>
      </w:r>
      <w:r w:rsidR="009B7F57">
        <w:t xml:space="preserve"> have dr</w:t>
      </w:r>
      <w:r w:rsidR="00213613">
        <w:t>iven</w:t>
      </w:r>
      <w:r w:rsidR="009B7F57">
        <w:t xml:space="preserve"> the long end higher.</w:t>
      </w:r>
    </w:p>
    <w:p w14:paraId="71B66BAD" w14:textId="5E28520F" w:rsidR="008007A1" w:rsidRDefault="00443C30" w:rsidP="008007A1">
      <w:r>
        <w:t xml:space="preserve">Bond markets have remained functional and liquid throughout the year despite heightened economic uncertainty. </w:t>
      </w:r>
      <w:r w:rsidR="008D776E">
        <w:t xml:space="preserve">Uncertainty and financial market volatility </w:t>
      </w:r>
      <w:r w:rsidR="008007A1">
        <w:t>peak</w:t>
      </w:r>
      <w:r w:rsidR="008D776E">
        <w:t>ed</w:t>
      </w:r>
      <w:r w:rsidR="008007A1">
        <w:t xml:space="preserve"> in early April, </w:t>
      </w:r>
      <w:r w:rsidR="00BB61B5">
        <w:t xml:space="preserve">when </w:t>
      </w:r>
      <w:r w:rsidR="008007A1">
        <w:t xml:space="preserve">announced tariffs caused equity markets to </w:t>
      </w:r>
      <w:r w:rsidR="004A39A9">
        <w:t xml:space="preserve">fall and the </w:t>
      </w:r>
      <w:r w:rsidR="00BB61B5">
        <w:t>Australian Government Securities (</w:t>
      </w:r>
      <w:r w:rsidR="004A39A9">
        <w:t>AGS</w:t>
      </w:r>
      <w:r w:rsidR="00BB61B5">
        <w:t>)</w:t>
      </w:r>
      <w:r w:rsidR="004A39A9">
        <w:t xml:space="preserve"> market to experience higher volatility</w:t>
      </w:r>
      <w:r w:rsidR="00E50F5E">
        <w:t>.</w:t>
      </w:r>
      <w:r w:rsidR="00637573">
        <w:t xml:space="preserve"> Despite ending the year at a similar level, 10</w:t>
      </w:r>
      <w:r w:rsidR="00B84FF2">
        <w:noBreakHyphen/>
      </w:r>
      <w:r w:rsidR="00637573">
        <w:t xml:space="preserve">year yields traded within an </w:t>
      </w:r>
      <w:proofErr w:type="gramStart"/>
      <w:r w:rsidR="00637573">
        <w:t>80 basis</w:t>
      </w:r>
      <w:proofErr w:type="gramEnd"/>
      <w:r w:rsidR="00637573">
        <w:t xml:space="preserve"> point range throughout the year.</w:t>
      </w:r>
    </w:p>
    <w:p w14:paraId="2A76057C" w14:textId="77777777" w:rsidR="00725C92" w:rsidRPr="00443C30" w:rsidRDefault="00725C92" w:rsidP="008A6FE3">
      <w:pPr>
        <w:rPr>
          <w:b/>
          <w:caps/>
        </w:rPr>
        <w:sectPr w:rsidR="00725C92" w:rsidRPr="00443C30" w:rsidSect="001E2AEB">
          <w:pgSz w:w="11907" w:h="16840" w:code="9"/>
          <w:pgMar w:top="2835" w:right="2098" w:bottom="2466" w:left="2098" w:header="1814" w:footer="1814" w:gutter="0"/>
          <w:cols w:space="708"/>
          <w:titlePg/>
          <w:docGrid w:linePitch="360"/>
        </w:sectPr>
      </w:pPr>
    </w:p>
    <w:p w14:paraId="46C8922A" w14:textId="4C7FF921" w:rsidR="006C6C61" w:rsidRPr="006534F5" w:rsidRDefault="00551415" w:rsidP="00551415">
      <w:pPr>
        <w:pStyle w:val="ChapterHeading"/>
        <w:spacing w:before="6840"/>
      </w:pPr>
      <w:bookmarkStart w:id="400" w:name="_Toc202193285"/>
      <w:bookmarkStart w:id="401" w:name="_Toc205474302"/>
      <w:bookmarkStart w:id="402" w:name="_Toc207795645"/>
      <w:bookmarkStart w:id="403" w:name="_Toc207796052"/>
      <w:bookmarkStart w:id="404" w:name="_Toc207796927"/>
      <w:bookmarkStart w:id="405" w:name="_Toc208913970"/>
      <w:bookmarkStart w:id="406" w:name="_Toc209424482"/>
      <w:bookmarkStart w:id="407" w:name="_Toc209424588"/>
      <w:r w:rsidRPr="00551415">
        <w:lastRenderedPageBreak/>
        <w:t xml:space="preserve">Performance Assessment: </w:t>
      </w:r>
      <w:r w:rsidR="006C6C61" w:rsidRPr="00B072AA">
        <w:t>Purpose</w:t>
      </w:r>
      <w:r w:rsidR="006C6C61" w:rsidRPr="006534F5">
        <w:t xml:space="preserve"> 1</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400"/>
      <w:bookmarkEnd w:id="401"/>
      <w:bookmarkEnd w:id="402"/>
      <w:bookmarkEnd w:id="403"/>
      <w:bookmarkEnd w:id="404"/>
      <w:bookmarkEnd w:id="405"/>
      <w:bookmarkEnd w:id="406"/>
      <w:bookmarkEnd w:id="407"/>
    </w:p>
    <w:p w14:paraId="179C328C" w14:textId="232C6E25" w:rsidR="003970AC" w:rsidRDefault="006C6C61" w:rsidP="003970AC">
      <w:pPr>
        <w:pStyle w:val="PurposeSubtitle"/>
        <w:keepLines/>
      </w:pPr>
      <w:r w:rsidRPr="006534F5">
        <w:t>Meet the government</w:t>
      </w:r>
      <w:r w:rsidR="00B84FF2">
        <w:t>’</w:t>
      </w:r>
      <w:r w:rsidRPr="006534F5">
        <w:t xml:space="preserve">s annual financing task while </w:t>
      </w:r>
      <w:r w:rsidR="006F173D">
        <w:t>considering</w:t>
      </w:r>
      <w:r w:rsidRPr="006534F5">
        <w:t xml:space="preserve"> costs and risks</w:t>
      </w:r>
      <w:bookmarkStart w:id="408" w:name="_Toc169708366"/>
      <w:bookmarkStart w:id="409" w:name="_Toc170206686"/>
      <w:bookmarkStart w:id="410" w:name="_Toc170206971"/>
      <w:bookmarkStart w:id="411" w:name="_Toc170207108"/>
    </w:p>
    <w:p w14:paraId="25A89027" w14:textId="77777777" w:rsidR="00B11B77" w:rsidRDefault="00B11B77">
      <w:pPr>
        <w:spacing w:after="0" w:line="240" w:lineRule="auto"/>
        <w:sectPr w:rsidR="00B11B77" w:rsidSect="001E2AEB">
          <w:headerReference w:type="even" r:id="rId60"/>
          <w:headerReference w:type="default" r:id="rId61"/>
          <w:footerReference w:type="even" r:id="rId62"/>
          <w:headerReference w:type="first" r:id="rId63"/>
          <w:footerReference w:type="first" r:id="rId64"/>
          <w:type w:val="oddPage"/>
          <w:pgSz w:w="11907" w:h="16840" w:code="9"/>
          <w:pgMar w:top="2835" w:right="2098" w:bottom="2466" w:left="2098" w:header="1814" w:footer="1814" w:gutter="0"/>
          <w:cols w:space="708"/>
          <w:titlePg/>
          <w:docGrid w:linePitch="360"/>
        </w:sectPr>
      </w:pPr>
    </w:p>
    <w:p w14:paraId="7F70DF5E" w14:textId="77777777" w:rsidR="003261CA" w:rsidRDefault="003261CA" w:rsidP="00CE0BF9">
      <w:pPr>
        <w:pStyle w:val="Heading1"/>
      </w:pPr>
      <w:bookmarkStart w:id="412" w:name="_Toc173327302"/>
      <w:bookmarkStart w:id="413" w:name="_Toc173327755"/>
      <w:bookmarkStart w:id="414" w:name="_Toc173395278"/>
      <w:bookmarkStart w:id="415" w:name="_Toc173395356"/>
      <w:bookmarkStart w:id="416" w:name="_Toc173395691"/>
      <w:bookmarkStart w:id="417" w:name="_Toc173396579"/>
      <w:bookmarkStart w:id="418" w:name="_Toc173397590"/>
      <w:bookmarkStart w:id="419" w:name="_Toc173408136"/>
      <w:bookmarkStart w:id="420" w:name="_Toc173411457"/>
      <w:bookmarkStart w:id="421" w:name="_Toc173479137"/>
      <w:bookmarkStart w:id="422" w:name="_Toc173743049"/>
      <w:bookmarkStart w:id="423" w:name="_Toc173743210"/>
      <w:bookmarkStart w:id="424" w:name="_Toc176160533"/>
      <w:bookmarkStart w:id="425" w:name="_Toc176163161"/>
      <w:bookmarkStart w:id="426" w:name="_Toc205474303"/>
      <w:bookmarkStart w:id="427" w:name="_Toc207792887"/>
      <w:bookmarkStart w:id="428" w:name="_Toc207793922"/>
      <w:bookmarkStart w:id="429" w:name="_Toc207795646"/>
      <w:bookmarkStart w:id="430" w:name="_Toc207796053"/>
      <w:bookmarkStart w:id="431" w:name="_Toc207796928"/>
      <w:bookmarkStart w:id="432" w:name="_Toc207797296"/>
      <w:bookmarkStart w:id="433" w:name="_Toc207800229"/>
      <w:bookmarkStart w:id="434" w:name="_Toc207810807"/>
      <w:bookmarkStart w:id="435" w:name="_Toc208913971"/>
      <w:bookmarkStart w:id="436" w:name="_Toc208914086"/>
      <w:bookmarkStart w:id="437" w:name="_Toc209424483"/>
      <w:bookmarkStart w:id="438" w:name="_Toc209424589"/>
      <w:bookmarkEnd w:id="408"/>
      <w:bookmarkEnd w:id="409"/>
      <w:bookmarkEnd w:id="410"/>
      <w:bookmarkEnd w:id="411"/>
      <w:r w:rsidRPr="003261CA">
        <w:lastRenderedPageBreak/>
        <w:t>How Purpose 1 is achieved</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432DF6FB" w14:textId="211943BA" w:rsidR="0019147A" w:rsidRPr="0019147A" w:rsidRDefault="0019147A" w:rsidP="0019147A">
      <w:r w:rsidRPr="0019147A">
        <w:t>The</w:t>
      </w:r>
      <w:r w:rsidR="00BB61B5">
        <w:t xml:space="preserve"> Australian Office of Financial Management (AOFM) achieves the</w:t>
      </w:r>
      <w:r w:rsidRPr="0019147A">
        <w:t xml:space="preserve"> financing task </w:t>
      </w:r>
      <w:r w:rsidR="00BB61B5">
        <w:t>by issuing</w:t>
      </w:r>
      <w:r w:rsidRPr="0019147A">
        <w:t xml:space="preserve"> Australian Government</w:t>
      </w:r>
      <w:r>
        <w:t xml:space="preserve"> </w:t>
      </w:r>
      <w:r w:rsidRPr="0019147A">
        <w:t xml:space="preserve">Securities (AGS). </w:t>
      </w:r>
      <w:r w:rsidR="00BB61B5">
        <w:t>This i</w:t>
      </w:r>
      <w:r w:rsidR="00BB61B5" w:rsidRPr="0019147A">
        <w:t xml:space="preserve">ssuance </w:t>
      </w:r>
      <w:r w:rsidRPr="0019147A">
        <w:t>is informed by a debt management strategy that</w:t>
      </w:r>
      <w:r>
        <w:t xml:space="preserve"> </w:t>
      </w:r>
      <w:r w:rsidRPr="0019147A">
        <w:t>balances portfolio risks and borrowing costs.</w:t>
      </w:r>
    </w:p>
    <w:p w14:paraId="1EDBA33F" w14:textId="5C8B65E5" w:rsidR="0019147A" w:rsidRPr="0019147A" w:rsidRDefault="0019147A" w:rsidP="0019147A">
      <w:r w:rsidRPr="0019147A">
        <w:t>Debt management considerations include interest cost and interest cost variability</w:t>
      </w:r>
      <w:r>
        <w:t xml:space="preserve"> </w:t>
      </w:r>
      <w:r w:rsidRPr="0019147A">
        <w:t>over time</w:t>
      </w:r>
      <w:r w:rsidR="00BB61B5">
        <w:t>;</w:t>
      </w:r>
      <w:r w:rsidR="00BB61B5" w:rsidRPr="0019147A">
        <w:t xml:space="preserve"> </w:t>
      </w:r>
      <w:r w:rsidRPr="0019147A">
        <w:t>changes to investor demand</w:t>
      </w:r>
      <w:r w:rsidR="00BB61B5">
        <w:t>;</w:t>
      </w:r>
      <w:r w:rsidR="00BB61B5" w:rsidRPr="0019147A">
        <w:t xml:space="preserve"> </w:t>
      </w:r>
      <w:r w:rsidRPr="0019147A">
        <w:t>financial market conditions</w:t>
      </w:r>
      <w:r w:rsidR="00BB61B5">
        <w:t>;</w:t>
      </w:r>
      <w:r w:rsidR="00BB61B5" w:rsidRPr="0019147A">
        <w:t xml:space="preserve"> </w:t>
      </w:r>
      <w:r w:rsidRPr="0019147A">
        <w:t>the size of the</w:t>
      </w:r>
      <w:r>
        <w:t xml:space="preserve"> </w:t>
      </w:r>
      <w:r w:rsidRPr="0019147A">
        <w:t>financing task</w:t>
      </w:r>
      <w:r w:rsidR="00BB61B5">
        <w:t>;</w:t>
      </w:r>
      <w:r w:rsidR="00BB61B5" w:rsidRPr="0019147A">
        <w:t xml:space="preserve"> </w:t>
      </w:r>
      <w:r w:rsidRPr="0019147A">
        <w:t xml:space="preserve">and funding risk. </w:t>
      </w:r>
      <w:r w:rsidRPr="00BE5949">
        <w:t>Issuance decisions require making judgements to balance costs and risks.</w:t>
      </w:r>
    </w:p>
    <w:p w14:paraId="3BA5A503" w14:textId="2E73667E" w:rsidR="0019147A" w:rsidRPr="0019147A" w:rsidRDefault="0019147A" w:rsidP="0019147A">
      <w:r w:rsidRPr="0019147A">
        <w:t>Many risks are a product of market influences or events not within the control of</w:t>
      </w:r>
      <w:r>
        <w:t xml:space="preserve"> </w:t>
      </w:r>
      <w:r w:rsidRPr="0019147A">
        <w:t>the AOFM. Additionally, debt management decisions and fiscal outcomes in one</w:t>
      </w:r>
      <w:r>
        <w:t xml:space="preserve"> </w:t>
      </w:r>
      <w:r w:rsidRPr="0019147A">
        <w:t>period have flow</w:t>
      </w:r>
      <w:r w:rsidR="00B84FF2">
        <w:noBreakHyphen/>
      </w:r>
      <w:r w:rsidRPr="0019147A">
        <w:t>on effects into future periods, including on interest costs, annual</w:t>
      </w:r>
      <w:r>
        <w:t xml:space="preserve"> </w:t>
      </w:r>
      <w:r w:rsidRPr="0019147A">
        <w:t>financing and refinancing requirements, and overall debt levels. The AOFM also</w:t>
      </w:r>
      <w:r>
        <w:t xml:space="preserve"> </w:t>
      </w:r>
      <w:r w:rsidRPr="0019147A">
        <w:t xml:space="preserve">looks to ensure </w:t>
      </w:r>
      <w:r w:rsidR="00927F21">
        <w:t>our</w:t>
      </w:r>
      <w:r w:rsidR="00927F21" w:rsidRPr="0019147A">
        <w:t xml:space="preserve"> </w:t>
      </w:r>
      <w:r w:rsidRPr="0019147A">
        <w:t>actions support the integrity, liquidity, stability and functionality</w:t>
      </w:r>
      <w:r>
        <w:t xml:space="preserve"> </w:t>
      </w:r>
      <w:r w:rsidRPr="0019147A">
        <w:t>of the AGS market.</w:t>
      </w:r>
    </w:p>
    <w:p w14:paraId="43F98EFD" w14:textId="71B5F478" w:rsidR="0019147A" w:rsidRPr="0019147A" w:rsidRDefault="0019147A" w:rsidP="0019147A">
      <w:r w:rsidRPr="0019147A">
        <w:t>Effective debt management requires a long</w:t>
      </w:r>
      <w:r w:rsidR="00B84FF2">
        <w:noBreakHyphen/>
      </w:r>
      <w:r w:rsidRPr="0019147A">
        <w:t>term perspective on</w:t>
      </w:r>
      <w:r>
        <w:t xml:space="preserve"> </w:t>
      </w:r>
      <w:r w:rsidRPr="0019147A">
        <w:t>decision</w:t>
      </w:r>
      <w:r w:rsidR="00B84FF2">
        <w:noBreakHyphen/>
      </w:r>
      <w:r w:rsidRPr="0019147A">
        <w:t>making. Smooth operational outcomes require decision</w:t>
      </w:r>
      <w:r w:rsidR="00B84FF2">
        <w:noBreakHyphen/>
      </w:r>
      <w:r w:rsidRPr="0019147A">
        <w:t>making that</w:t>
      </w:r>
      <w:r>
        <w:t xml:space="preserve"> </w:t>
      </w:r>
      <w:r w:rsidRPr="0019147A">
        <w:t>considers prevailing market conditions.</w:t>
      </w:r>
    </w:p>
    <w:p w14:paraId="677FE2F6" w14:textId="33DDD2D4" w:rsidR="007939F8" w:rsidRDefault="00927F21" w:rsidP="00C45FE7">
      <w:r>
        <w:t>We adjust t</w:t>
      </w:r>
      <w:r w:rsidRPr="0019147A">
        <w:t xml:space="preserve">he </w:t>
      </w:r>
      <w:r w:rsidR="0019147A" w:rsidRPr="0019147A">
        <w:t>volume of AGS issuance in response to changing circumstances,</w:t>
      </w:r>
      <w:r w:rsidR="0019147A">
        <w:t xml:space="preserve"> </w:t>
      </w:r>
      <w:r w:rsidR="0019147A" w:rsidRPr="0019147A">
        <w:t>such as changes to the financing requirement. The method of issuance balances</w:t>
      </w:r>
      <w:r w:rsidR="0019147A">
        <w:t xml:space="preserve"> </w:t>
      </w:r>
      <w:r w:rsidR="0019147A" w:rsidRPr="0019147A">
        <w:t xml:space="preserve">considerations </w:t>
      </w:r>
      <w:r>
        <w:t>such as</w:t>
      </w:r>
      <w:r w:rsidR="0019147A" w:rsidRPr="0019147A">
        <w:t xml:space="preserve"> supporting AGS liquidity, managing execution risk and</w:t>
      </w:r>
      <w:r w:rsidR="0019147A">
        <w:t xml:space="preserve"> </w:t>
      </w:r>
      <w:r w:rsidR="0019147A" w:rsidRPr="0019147A">
        <w:t>anticipating transaction costs. The majority of issuance is by competitive tender</w:t>
      </w:r>
      <w:r>
        <w:t>; s</w:t>
      </w:r>
      <w:r w:rsidR="0019147A" w:rsidRPr="0019147A">
        <w:t>yndicated issuance is generally reserved for executing high</w:t>
      </w:r>
      <w:r w:rsidR="008D776E">
        <w:t>er</w:t>
      </w:r>
      <w:r w:rsidR="00B84FF2">
        <w:noBreakHyphen/>
      </w:r>
      <w:r w:rsidR="0019147A" w:rsidRPr="0019147A">
        <w:t>risk transactions due</w:t>
      </w:r>
      <w:r w:rsidR="0019147A">
        <w:t xml:space="preserve"> </w:t>
      </w:r>
      <w:r w:rsidR="0019147A" w:rsidRPr="0019147A">
        <w:t>to large volumes</w:t>
      </w:r>
      <w:r>
        <w:t>,</w:t>
      </w:r>
      <w:r w:rsidR="0019147A" w:rsidRPr="0019147A">
        <w:t xml:space="preserve"> or </w:t>
      </w:r>
      <w:r>
        <w:t>to establish</w:t>
      </w:r>
      <w:r w:rsidR="0019147A" w:rsidRPr="0019147A">
        <w:t xml:space="preserve"> new bond lines.</w:t>
      </w:r>
    </w:p>
    <w:p w14:paraId="713A77FE" w14:textId="112ECB5D" w:rsidR="00906AFC" w:rsidRDefault="00906AFC">
      <w:pPr>
        <w:spacing w:after="0" w:line="240" w:lineRule="auto"/>
      </w:pPr>
      <w:r>
        <w:br w:type="page"/>
      </w:r>
    </w:p>
    <w:p w14:paraId="4F42B24E" w14:textId="1C33EAF7" w:rsidR="006C6C61" w:rsidRPr="006534F5" w:rsidRDefault="006C6C61" w:rsidP="008F3542">
      <w:pPr>
        <w:pStyle w:val="TableMainHeading"/>
      </w:pPr>
      <w:r w:rsidRPr="00C67419">
        <w:lastRenderedPageBreak/>
        <w:t>Table</w:t>
      </w:r>
      <w:r w:rsidR="0031106B" w:rsidRPr="00C67419">
        <w:t xml:space="preserve"> </w:t>
      </w:r>
      <w:r w:rsidR="00677B9E">
        <w:t>2</w:t>
      </w:r>
      <w:r w:rsidR="00780378">
        <w:t xml:space="preserve">: </w:t>
      </w:r>
      <w:r w:rsidR="00035B20">
        <w:t>Summary of performance for Purpose 1</w:t>
      </w:r>
    </w:p>
    <w:tbl>
      <w:tblPr>
        <w:tblStyle w:val="AOFMTablemain"/>
        <w:tblW w:w="5000" w:type="pct"/>
        <w:tblLook w:val="06A0" w:firstRow="1" w:lastRow="0" w:firstColumn="1" w:lastColumn="0" w:noHBand="1" w:noVBand="1"/>
      </w:tblPr>
      <w:tblGrid>
        <w:gridCol w:w="1608"/>
        <w:gridCol w:w="2327"/>
        <w:gridCol w:w="2067"/>
        <w:gridCol w:w="1709"/>
      </w:tblGrid>
      <w:tr w:rsidR="00E15250" w:rsidRPr="004B1293" w14:paraId="15C16966" w14:textId="77777777" w:rsidTr="0028229A">
        <w:trPr>
          <w:cnfStyle w:val="100000000000" w:firstRow="1" w:lastRow="0" w:firstColumn="0" w:lastColumn="0" w:oddVBand="0" w:evenVBand="0" w:oddHBand="0" w:evenHBand="0" w:firstRowFirstColumn="0" w:firstRowLastColumn="0" w:lastRowFirstColumn="0" w:lastRowLastColumn="0"/>
          <w:trHeight w:val="45"/>
        </w:trPr>
        <w:tc>
          <w:tcPr>
            <w:tcW w:w="0" w:type="dxa"/>
            <w:gridSpan w:val="2"/>
            <w:vMerge w:val="restart"/>
            <w:tcBorders>
              <w:right w:val="single" w:sz="4" w:space="0" w:color="FFFFFF" w:themeColor="background1"/>
            </w:tcBorders>
            <w:vAlign w:val="bottom"/>
            <w:hideMark/>
          </w:tcPr>
          <w:p w14:paraId="4CBF3C44" w14:textId="77777777" w:rsidR="006C6C61" w:rsidRPr="00A12EBF" w:rsidRDefault="006C6C61" w:rsidP="0028229A">
            <w:pPr>
              <w:pStyle w:val="TableColumnHeadingLeft"/>
              <w:rPr>
                <w:szCs w:val="18"/>
              </w:rPr>
            </w:pPr>
            <w:bookmarkStart w:id="439" w:name="_Hlk104280669"/>
            <w:bookmarkStart w:id="440" w:name="_Toc107329212"/>
            <w:bookmarkStart w:id="441" w:name="_Toc107329481"/>
            <w:r w:rsidRPr="00A12EBF">
              <w:rPr>
                <w:szCs w:val="18"/>
              </w:rPr>
              <w:t>Performance measures</w:t>
            </w:r>
          </w:p>
        </w:tc>
        <w:tc>
          <w:tcPr>
            <w:tcW w:w="0" w:type="dxa"/>
            <w:gridSpan w:val="2"/>
            <w:tcBorders>
              <w:left w:val="single" w:sz="4" w:space="0" w:color="FFFFFF" w:themeColor="background1"/>
              <w:bottom w:val="single" w:sz="4" w:space="0" w:color="FFFFFF" w:themeColor="background1"/>
            </w:tcBorders>
            <w:hideMark/>
          </w:tcPr>
          <w:p w14:paraId="5F77E60D" w14:textId="3C444D40" w:rsidR="006C6C61" w:rsidRPr="00A12EBF" w:rsidRDefault="006C6C61" w:rsidP="00C905DC">
            <w:pPr>
              <w:pStyle w:val="TableColumnHeadingLeft"/>
              <w:rPr>
                <w:szCs w:val="18"/>
              </w:rPr>
            </w:pPr>
            <w:r w:rsidRPr="00A12EBF">
              <w:rPr>
                <w:szCs w:val="18"/>
              </w:rPr>
              <w:t>202</w:t>
            </w:r>
            <w:r w:rsidR="00BD3DA6" w:rsidRPr="00A12EBF">
              <w:rPr>
                <w:szCs w:val="18"/>
              </w:rPr>
              <w:t>4</w:t>
            </w:r>
            <w:r w:rsidR="00385C46" w:rsidRPr="00A12EBF">
              <w:rPr>
                <w:szCs w:val="18"/>
              </w:rPr>
              <w:t>–</w:t>
            </w:r>
            <w:r w:rsidRPr="00A12EBF">
              <w:rPr>
                <w:szCs w:val="18"/>
              </w:rPr>
              <w:t>2</w:t>
            </w:r>
            <w:r w:rsidR="00BD3DA6" w:rsidRPr="00A12EBF">
              <w:rPr>
                <w:szCs w:val="18"/>
              </w:rPr>
              <w:t>5</w:t>
            </w:r>
            <w:r w:rsidRPr="00A12EBF">
              <w:rPr>
                <w:szCs w:val="18"/>
              </w:rPr>
              <w:t xml:space="preserve"> </w:t>
            </w:r>
            <w:r w:rsidR="00D20322" w:rsidRPr="00A12EBF">
              <w:rPr>
                <w:szCs w:val="18"/>
              </w:rPr>
              <w:t>P</w:t>
            </w:r>
            <w:r w:rsidRPr="00A12EBF">
              <w:rPr>
                <w:szCs w:val="18"/>
              </w:rPr>
              <w:t xml:space="preserve">erformance </w:t>
            </w:r>
          </w:p>
        </w:tc>
      </w:tr>
      <w:tr w:rsidR="00AA3E9D" w:rsidRPr="004B1293" w14:paraId="6905C152" w14:textId="77777777" w:rsidTr="00976311">
        <w:trPr>
          <w:trHeight w:val="45"/>
        </w:trPr>
        <w:tc>
          <w:tcPr>
            <w:tcW w:w="0" w:type="dxa"/>
            <w:gridSpan w:val="2"/>
            <w:vMerge/>
            <w:tcBorders>
              <w:right w:val="single" w:sz="4" w:space="0" w:color="FFFFFF" w:themeColor="background1"/>
            </w:tcBorders>
            <w:shd w:val="clear" w:color="auto" w:fill="472978" w:themeFill="accent1"/>
            <w:hideMark/>
          </w:tcPr>
          <w:p w14:paraId="37F53E61" w14:textId="77777777" w:rsidR="006C6C61" w:rsidRPr="00A12EBF" w:rsidRDefault="006C6C61" w:rsidP="00C905DC">
            <w:pPr>
              <w:pStyle w:val="TableColumnHeadingLeft"/>
              <w:rPr>
                <w:szCs w:val="18"/>
              </w:rPr>
            </w:pPr>
          </w:p>
        </w:tc>
        <w:tc>
          <w:tcPr>
            <w:tcW w:w="0" w:type="dxa"/>
            <w:tcBorders>
              <w:top w:val="single" w:sz="4" w:space="0" w:color="FFFFFF" w:themeColor="background1"/>
              <w:left w:val="single" w:sz="4" w:space="0" w:color="FFFFFF" w:themeColor="background1"/>
              <w:right w:val="single" w:sz="4" w:space="0" w:color="FFFFFF" w:themeColor="background1"/>
            </w:tcBorders>
            <w:shd w:val="clear" w:color="auto" w:fill="472978" w:themeFill="accent1"/>
            <w:hideMark/>
          </w:tcPr>
          <w:p w14:paraId="5666DE49" w14:textId="77777777" w:rsidR="006C6C61" w:rsidRPr="00A12EBF" w:rsidRDefault="006C6C61" w:rsidP="00C905DC">
            <w:pPr>
              <w:pStyle w:val="TableColumnHeadingLeft"/>
              <w:rPr>
                <w:szCs w:val="18"/>
              </w:rPr>
            </w:pPr>
            <w:r w:rsidRPr="00A12EBF">
              <w:rPr>
                <w:szCs w:val="18"/>
              </w:rPr>
              <w:t>Target</w:t>
            </w:r>
          </w:p>
        </w:tc>
        <w:tc>
          <w:tcPr>
            <w:tcW w:w="0" w:type="dxa"/>
            <w:tcBorders>
              <w:top w:val="single" w:sz="4" w:space="0" w:color="FFFFFF" w:themeColor="background1"/>
              <w:left w:val="single" w:sz="4" w:space="0" w:color="FFFFFF" w:themeColor="background1"/>
            </w:tcBorders>
            <w:shd w:val="clear" w:color="auto" w:fill="472978" w:themeFill="accent1"/>
            <w:hideMark/>
          </w:tcPr>
          <w:p w14:paraId="436A888F" w14:textId="77777777" w:rsidR="006C6C61" w:rsidRPr="00A12EBF" w:rsidRDefault="006C6C61" w:rsidP="00C905DC">
            <w:pPr>
              <w:pStyle w:val="TableColumnHeadingLeft"/>
              <w:rPr>
                <w:szCs w:val="18"/>
              </w:rPr>
            </w:pPr>
            <w:r w:rsidRPr="00A12EBF">
              <w:rPr>
                <w:szCs w:val="18"/>
              </w:rPr>
              <w:t>Results</w:t>
            </w:r>
          </w:p>
        </w:tc>
      </w:tr>
      <w:tr w:rsidR="006C6C61" w:rsidRPr="004B1293" w14:paraId="1F14CF28" w14:textId="77777777" w:rsidTr="00645299">
        <w:trPr>
          <w:trHeight w:val="507"/>
        </w:trPr>
        <w:tc>
          <w:tcPr>
            <w:tcW w:w="0" w:type="dxa"/>
          </w:tcPr>
          <w:p w14:paraId="1CD64BCB" w14:textId="68DA7611" w:rsidR="006C6C61" w:rsidRPr="005079EC" w:rsidRDefault="006C6C61" w:rsidP="00625DAB">
            <w:pPr>
              <w:pStyle w:val="TableTextLeft"/>
              <w:rPr>
                <w:rStyle w:val="Strong"/>
              </w:rPr>
            </w:pPr>
            <w:r w:rsidRPr="005079EC">
              <w:rPr>
                <w:rStyle w:val="Strong"/>
              </w:rPr>
              <w:t xml:space="preserve">Key </w:t>
            </w:r>
            <w:r w:rsidR="00005DAE" w:rsidRPr="005079EC">
              <w:rPr>
                <w:rStyle w:val="Strong"/>
              </w:rPr>
              <w:t>A</w:t>
            </w:r>
            <w:r w:rsidR="00927F21" w:rsidRPr="005079EC">
              <w:rPr>
                <w:rStyle w:val="Strong"/>
              </w:rPr>
              <w:t xml:space="preserve">ctivity </w:t>
            </w:r>
            <w:r w:rsidRPr="005079EC">
              <w:rPr>
                <w:rStyle w:val="Strong"/>
              </w:rPr>
              <w:t>1.1</w:t>
            </w:r>
          </w:p>
        </w:tc>
        <w:tc>
          <w:tcPr>
            <w:tcW w:w="0" w:type="dxa"/>
            <w:gridSpan w:val="3"/>
          </w:tcPr>
          <w:p w14:paraId="64267EE4" w14:textId="0D3613CF" w:rsidR="006C6C61" w:rsidRPr="00EF4749" w:rsidRDefault="006C6C61" w:rsidP="00625DAB">
            <w:pPr>
              <w:pStyle w:val="TableTextLeft"/>
              <w:rPr>
                <w:b/>
                <w:bCs/>
              </w:rPr>
            </w:pPr>
            <w:r w:rsidRPr="00EF4749">
              <w:rPr>
                <w:b/>
                <w:bCs/>
              </w:rPr>
              <w:t xml:space="preserve">Establish </w:t>
            </w:r>
            <w:r w:rsidR="00762AC0" w:rsidRPr="00EF4749">
              <w:rPr>
                <w:b/>
                <w:bCs/>
              </w:rPr>
              <w:t xml:space="preserve">and execute </w:t>
            </w:r>
            <w:r w:rsidRPr="00EF4749">
              <w:rPr>
                <w:b/>
                <w:bCs/>
              </w:rPr>
              <w:t>a debt management strategy:</w:t>
            </w:r>
          </w:p>
          <w:p w14:paraId="23A4392D" w14:textId="77777777" w:rsidR="008E69D3" w:rsidRPr="005079EC" w:rsidRDefault="007200DB" w:rsidP="00625DAB">
            <w:pPr>
              <w:pStyle w:val="Tabletext-bullet"/>
            </w:pPr>
            <w:r w:rsidRPr="005079EC">
              <w:t>to meet the Budget financing task</w:t>
            </w:r>
          </w:p>
          <w:p w14:paraId="33DEC9FE" w14:textId="5D1CA900" w:rsidR="006C6C61" w:rsidRPr="005079EC" w:rsidRDefault="008E69D3" w:rsidP="00625DAB">
            <w:pPr>
              <w:pStyle w:val="Tabletext-bullet"/>
            </w:pPr>
            <w:r w:rsidRPr="005079EC">
              <w:t xml:space="preserve">that is consistent with a </w:t>
            </w:r>
            <w:r w:rsidR="006C6C61" w:rsidRPr="005079EC">
              <w:t>prudent sovereign debt management approach</w:t>
            </w:r>
          </w:p>
          <w:p w14:paraId="1C92E92E" w14:textId="77777777" w:rsidR="006C6C61" w:rsidRPr="005079EC" w:rsidRDefault="006C6C61" w:rsidP="00625DAB">
            <w:pPr>
              <w:pStyle w:val="Tabletext-bullet"/>
            </w:pPr>
            <w:r w:rsidRPr="005079EC">
              <w:t xml:space="preserve">that anticipates the </w:t>
            </w:r>
            <w:r w:rsidR="00B3041E" w:rsidRPr="005079EC">
              <w:t>br</w:t>
            </w:r>
            <w:r w:rsidR="00EF52F3" w:rsidRPr="005079EC">
              <w:t>o</w:t>
            </w:r>
            <w:r w:rsidR="00B3041E" w:rsidRPr="005079EC">
              <w:t>ad</w:t>
            </w:r>
            <w:r w:rsidRPr="005079EC">
              <w:t xml:space="preserve"> market outlook </w:t>
            </w:r>
            <w:r w:rsidR="00F33217" w:rsidRPr="005079EC">
              <w:t>and attendant risks</w:t>
            </w:r>
          </w:p>
          <w:p w14:paraId="31396D2E" w14:textId="77777777" w:rsidR="00FD4479" w:rsidRPr="005079EC" w:rsidRDefault="002D5A87" w:rsidP="00625DAB">
            <w:pPr>
              <w:pStyle w:val="Tabletext-bullet"/>
            </w:pPr>
            <w:r w:rsidRPr="005079EC">
              <w:t>that considers borrowing cost and portfolio risks</w:t>
            </w:r>
          </w:p>
          <w:p w14:paraId="5EA7ACAC" w14:textId="21A11F91" w:rsidR="002D5A87" w:rsidRPr="005079EC" w:rsidRDefault="007C1786" w:rsidP="00625DAB">
            <w:pPr>
              <w:pStyle w:val="Tabletext-bullet"/>
            </w:pPr>
            <w:r w:rsidRPr="005079EC">
              <w:t>that includes delivering the Green Treasury Bond program</w:t>
            </w:r>
          </w:p>
          <w:p w14:paraId="13FAFEFC" w14:textId="42FCA54C" w:rsidR="009D3C30" w:rsidRPr="00354D7F" w:rsidRDefault="007C1786" w:rsidP="00625DAB">
            <w:pPr>
              <w:pStyle w:val="Tabletext-bullet"/>
            </w:pPr>
            <w:r w:rsidRPr="005079EC">
              <w:t>through</w:t>
            </w:r>
            <w:r w:rsidR="00927F21" w:rsidRPr="005079EC">
              <w:t xml:space="preserve"> weekly issuance decisions that take prevailing conditions into account</w:t>
            </w:r>
            <w:r w:rsidRPr="005079EC">
              <w:t>, support the market and reduce the risk of failed transactions.</w:t>
            </w:r>
          </w:p>
        </w:tc>
      </w:tr>
      <w:tr w:rsidR="00393837" w:rsidRPr="004B1293" w14:paraId="3D67E4AE" w14:textId="77777777" w:rsidTr="00645299">
        <w:trPr>
          <w:trHeight w:val="822"/>
        </w:trPr>
        <w:tc>
          <w:tcPr>
            <w:tcW w:w="0" w:type="dxa"/>
            <w:hideMark/>
          </w:tcPr>
          <w:p w14:paraId="7C5C018D" w14:textId="77777777" w:rsidR="006C6C61" w:rsidRPr="00354D7F" w:rsidRDefault="006C6C61" w:rsidP="00625DAB">
            <w:pPr>
              <w:pStyle w:val="TableTextLeft"/>
            </w:pPr>
            <w:r w:rsidRPr="00354D7F">
              <w:t>1.1.1</w:t>
            </w:r>
          </w:p>
        </w:tc>
        <w:tc>
          <w:tcPr>
            <w:tcW w:w="0" w:type="dxa"/>
            <w:hideMark/>
          </w:tcPr>
          <w:p w14:paraId="70B47E1F" w14:textId="3FC52D81" w:rsidR="006C6C61" w:rsidRPr="00354D7F" w:rsidRDefault="0032022B" w:rsidP="00625DAB">
            <w:pPr>
              <w:pStyle w:val="TableTextLeft"/>
            </w:pPr>
            <w:r w:rsidRPr="00354D7F">
              <w:rPr>
                <w:b/>
                <w:bCs/>
              </w:rPr>
              <w:t>Issuance strategy</w:t>
            </w:r>
            <w:r w:rsidR="006C6C61" w:rsidRPr="00354D7F">
              <w:rPr>
                <w:b/>
                <w:bCs/>
              </w:rPr>
              <w:t>:</w:t>
            </w:r>
            <w:r w:rsidR="006C6C61" w:rsidRPr="00354D7F">
              <w:t xml:space="preserve"> </w:t>
            </w:r>
            <w:r w:rsidR="00927F21" w:rsidRPr="00354D7F">
              <w:t xml:space="preserve">Conduct </w:t>
            </w:r>
            <w:r w:rsidRPr="00354D7F">
              <w:t xml:space="preserve">annual issuance in accordance </w:t>
            </w:r>
            <w:r w:rsidR="00920DAE" w:rsidRPr="00354D7F">
              <w:t xml:space="preserve">with the </w:t>
            </w:r>
            <w:r w:rsidR="002B67E1" w:rsidRPr="00354D7F">
              <w:t>debt management strategy</w:t>
            </w:r>
            <w:r w:rsidR="00FF02F8" w:rsidRPr="00354D7F">
              <w:t>.</w:t>
            </w:r>
            <w:r w:rsidR="006C6C61" w:rsidRPr="00354D7F">
              <w:t xml:space="preserve"> </w:t>
            </w:r>
          </w:p>
        </w:tc>
        <w:tc>
          <w:tcPr>
            <w:tcW w:w="0" w:type="dxa"/>
            <w:hideMark/>
          </w:tcPr>
          <w:p w14:paraId="57576DDC" w14:textId="35ED3D4B" w:rsidR="006C6C61" w:rsidRPr="00354D7F" w:rsidRDefault="00743AB8" w:rsidP="00625DAB">
            <w:pPr>
              <w:pStyle w:val="TableTextLeft"/>
            </w:pPr>
            <w:r w:rsidRPr="00354D7F">
              <w:t>All approved elements met</w:t>
            </w:r>
          </w:p>
        </w:tc>
        <w:tc>
          <w:tcPr>
            <w:tcW w:w="0" w:type="dxa"/>
            <w:hideMark/>
          </w:tcPr>
          <w:p w14:paraId="501E81D7" w14:textId="77777777" w:rsidR="006C6C61" w:rsidRPr="00354D7F" w:rsidRDefault="006C6C61" w:rsidP="00625DAB">
            <w:pPr>
              <w:pStyle w:val="TableTextLeft"/>
            </w:pPr>
            <w:r w:rsidRPr="00354D7F">
              <w:t>Met</w:t>
            </w:r>
          </w:p>
        </w:tc>
      </w:tr>
      <w:tr w:rsidR="009D0948" w:rsidRPr="004B1293" w14:paraId="27775DA1" w14:textId="77777777" w:rsidTr="00645299">
        <w:trPr>
          <w:trHeight w:val="822"/>
        </w:trPr>
        <w:tc>
          <w:tcPr>
            <w:tcW w:w="0" w:type="dxa"/>
          </w:tcPr>
          <w:p w14:paraId="3A73E9F3" w14:textId="3B0A2595" w:rsidR="009D0948" w:rsidRPr="00354D7F" w:rsidRDefault="009D0948" w:rsidP="00625DAB">
            <w:pPr>
              <w:pStyle w:val="TableTextLeft"/>
            </w:pPr>
            <w:r w:rsidRPr="00354D7F">
              <w:t>1.1.2</w:t>
            </w:r>
          </w:p>
        </w:tc>
        <w:tc>
          <w:tcPr>
            <w:tcW w:w="0" w:type="dxa"/>
          </w:tcPr>
          <w:p w14:paraId="0BE2E4D9" w14:textId="083027EA" w:rsidR="009D0948" w:rsidRPr="00354D7F" w:rsidRDefault="00920DAE" w:rsidP="00625DAB">
            <w:pPr>
              <w:pStyle w:val="TableTextLeft"/>
            </w:pPr>
            <w:r w:rsidRPr="00354D7F">
              <w:rPr>
                <w:b/>
                <w:bCs/>
              </w:rPr>
              <w:t xml:space="preserve">New issuance yields: </w:t>
            </w:r>
            <w:r w:rsidR="00927F21" w:rsidRPr="00354D7F">
              <w:t xml:space="preserve">The </w:t>
            </w:r>
            <w:r w:rsidRPr="00354D7F">
              <w:t>weighted average issue yield</w:t>
            </w:r>
            <w:r w:rsidR="008F20C8" w:rsidRPr="00354D7F">
              <w:t xml:space="preserve"> at</w:t>
            </w:r>
            <w:r w:rsidR="006B433A" w:rsidRPr="00354D7F">
              <w:t xml:space="preserve"> Treasury</w:t>
            </w:r>
            <w:r w:rsidR="00DC2A60" w:rsidRPr="00354D7F">
              <w:t xml:space="preserve"> Bond and</w:t>
            </w:r>
            <w:r w:rsidR="006C74C7" w:rsidRPr="00354D7F">
              <w:t xml:space="preserve"> Treasury Indexed Bond</w:t>
            </w:r>
            <w:r w:rsidR="002B67E1" w:rsidRPr="00354D7F">
              <w:t xml:space="preserve"> (TIB)</w:t>
            </w:r>
            <w:r w:rsidR="006C74C7" w:rsidRPr="00354D7F">
              <w:t xml:space="preserve"> tenders compared to prevailing mid</w:t>
            </w:r>
            <w:r w:rsidR="00B84FF2">
              <w:noBreakHyphen/>
            </w:r>
            <w:r w:rsidR="006C74C7" w:rsidRPr="00354D7F">
              <w:t>market</w:t>
            </w:r>
            <w:r w:rsidR="00A03538" w:rsidRPr="00354D7F">
              <w:t xml:space="preserve"> secondary yields</w:t>
            </w:r>
            <w:r w:rsidR="00FF02F8" w:rsidRPr="00354D7F">
              <w:t>.</w:t>
            </w:r>
          </w:p>
        </w:tc>
        <w:tc>
          <w:tcPr>
            <w:tcW w:w="0" w:type="dxa"/>
          </w:tcPr>
          <w:p w14:paraId="1A721CF2" w14:textId="269874CE" w:rsidR="009D0948" w:rsidRPr="00354D7F" w:rsidRDefault="00743AB8" w:rsidP="00625DAB">
            <w:pPr>
              <w:pStyle w:val="TableTextLeft"/>
            </w:pPr>
            <w:r w:rsidRPr="00354D7F">
              <w:t>At or below mid</w:t>
            </w:r>
            <w:r w:rsidR="00B84FF2">
              <w:noBreakHyphen/>
            </w:r>
            <w:r w:rsidRPr="00354D7F">
              <w:t>market yields</w:t>
            </w:r>
          </w:p>
        </w:tc>
        <w:tc>
          <w:tcPr>
            <w:tcW w:w="0" w:type="dxa"/>
          </w:tcPr>
          <w:p w14:paraId="26CD27AA" w14:textId="7A236ADF" w:rsidR="009D0948" w:rsidRPr="00354D7F" w:rsidRDefault="001406D0" w:rsidP="00625DAB">
            <w:pPr>
              <w:pStyle w:val="TableTextLeft"/>
            </w:pPr>
            <w:r w:rsidRPr="00354D7F">
              <w:t>Met</w:t>
            </w:r>
          </w:p>
        </w:tc>
      </w:tr>
      <w:tr w:rsidR="006C6C61" w:rsidRPr="004B1293" w14:paraId="05CFEACC" w14:textId="77777777" w:rsidTr="00645299">
        <w:trPr>
          <w:trHeight w:val="571"/>
        </w:trPr>
        <w:tc>
          <w:tcPr>
            <w:tcW w:w="0" w:type="dxa"/>
            <w:hideMark/>
          </w:tcPr>
          <w:p w14:paraId="55BCBD4D" w14:textId="117495DC" w:rsidR="006C6C61" w:rsidRPr="00610959" w:rsidRDefault="006C6C61" w:rsidP="00625DAB">
            <w:pPr>
              <w:pStyle w:val="TableTextLeft"/>
              <w:rPr>
                <w:b/>
                <w:bCs/>
              </w:rPr>
            </w:pPr>
            <w:r w:rsidRPr="00610959">
              <w:rPr>
                <w:b/>
                <w:bCs/>
              </w:rPr>
              <w:t xml:space="preserve">Key </w:t>
            </w:r>
            <w:r w:rsidR="00005DAE" w:rsidRPr="00610959">
              <w:rPr>
                <w:b/>
                <w:bCs/>
              </w:rPr>
              <w:t>A</w:t>
            </w:r>
            <w:r w:rsidR="002B67E1" w:rsidRPr="00610959">
              <w:rPr>
                <w:b/>
                <w:bCs/>
              </w:rPr>
              <w:t xml:space="preserve">ctivity </w:t>
            </w:r>
            <w:r w:rsidRPr="00610959">
              <w:rPr>
                <w:b/>
                <w:bCs/>
              </w:rPr>
              <w:t>1.2</w:t>
            </w:r>
          </w:p>
        </w:tc>
        <w:tc>
          <w:tcPr>
            <w:tcW w:w="0" w:type="dxa"/>
            <w:gridSpan w:val="3"/>
            <w:hideMark/>
          </w:tcPr>
          <w:p w14:paraId="44B727DC" w14:textId="4BB60DED" w:rsidR="006C6C61" w:rsidRPr="00610959" w:rsidRDefault="001A0BE5" w:rsidP="00625DAB">
            <w:pPr>
              <w:pStyle w:val="TableTextLeft"/>
              <w:rPr>
                <w:b/>
                <w:bCs/>
              </w:rPr>
            </w:pPr>
            <w:r w:rsidRPr="00610959">
              <w:rPr>
                <w:b/>
                <w:bCs/>
              </w:rPr>
              <w:t xml:space="preserve">Settle </w:t>
            </w:r>
            <w:r w:rsidR="00C916F2" w:rsidRPr="00610959">
              <w:rPr>
                <w:b/>
                <w:bCs/>
              </w:rPr>
              <w:t>AGS</w:t>
            </w:r>
            <w:r w:rsidR="0079485F" w:rsidRPr="00610959">
              <w:rPr>
                <w:b/>
                <w:bCs/>
              </w:rPr>
              <w:t xml:space="preserve"> issuance</w:t>
            </w:r>
            <w:r w:rsidR="00DB2CC6" w:rsidRPr="00610959">
              <w:rPr>
                <w:b/>
                <w:bCs/>
              </w:rPr>
              <w:t>, coupon and redemption payments</w:t>
            </w:r>
            <w:r w:rsidR="006C6C61" w:rsidRPr="00610959">
              <w:rPr>
                <w:b/>
                <w:bCs/>
              </w:rPr>
              <w:t>:</w:t>
            </w:r>
          </w:p>
          <w:p w14:paraId="3ABD28B8" w14:textId="30A32689" w:rsidR="006C6C61" w:rsidRPr="00354D7F" w:rsidRDefault="007F4587" w:rsidP="00625DAB">
            <w:pPr>
              <w:pStyle w:val="Tabletext-bullet"/>
            </w:pPr>
            <w:r w:rsidRPr="00354D7F">
              <w:t xml:space="preserve">in a complete, timely </w:t>
            </w:r>
            <w:r w:rsidR="006C2AC6" w:rsidRPr="00354D7F">
              <w:t>and accurate manner.</w:t>
            </w:r>
          </w:p>
        </w:tc>
      </w:tr>
      <w:tr w:rsidR="00393837" w:rsidRPr="004B1293" w14:paraId="5FC97F5D" w14:textId="77777777" w:rsidTr="00645299">
        <w:trPr>
          <w:trHeight w:val="45"/>
        </w:trPr>
        <w:tc>
          <w:tcPr>
            <w:tcW w:w="0" w:type="dxa"/>
            <w:hideMark/>
          </w:tcPr>
          <w:p w14:paraId="146F4052" w14:textId="77777777" w:rsidR="006C6C61" w:rsidRPr="00354D7F" w:rsidRDefault="006C6C61" w:rsidP="00625DAB">
            <w:pPr>
              <w:pStyle w:val="TableTextLeft"/>
            </w:pPr>
            <w:r w:rsidRPr="00354D7F">
              <w:t>1.2.1</w:t>
            </w:r>
          </w:p>
        </w:tc>
        <w:tc>
          <w:tcPr>
            <w:tcW w:w="0" w:type="dxa"/>
            <w:hideMark/>
          </w:tcPr>
          <w:p w14:paraId="0B0343B6" w14:textId="0DA9998A" w:rsidR="006C6C61" w:rsidRPr="00354D7F" w:rsidRDefault="006D2F1C" w:rsidP="00625DAB">
            <w:pPr>
              <w:pStyle w:val="TableTextLeft"/>
            </w:pPr>
            <w:r w:rsidRPr="00354D7F">
              <w:rPr>
                <w:b/>
                <w:bCs/>
              </w:rPr>
              <w:t>AGS settlements</w:t>
            </w:r>
            <w:r w:rsidR="006C6C61" w:rsidRPr="00354D7F">
              <w:rPr>
                <w:b/>
                <w:bCs/>
              </w:rPr>
              <w:t>:</w:t>
            </w:r>
            <w:r w:rsidR="00BF43F1" w:rsidRPr="00354D7F">
              <w:rPr>
                <w:b/>
                <w:bCs/>
              </w:rPr>
              <w:t xml:space="preserve"> </w:t>
            </w:r>
            <w:r w:rsidR="002B67E1" w:rsidRPr="00354D7F">
              <w:t>N</w:t>
            </w:r>
            <w:r w:rsidR="00917FAA" w:rsidRPr="00354D7F">
              <w:t>umber</w:t>
            </w:r>
            <w:r w:rsidR="00DF525D" w:rsidRPr="00354D7F">
              <w:t xml:space="preserve"> of times AGS issuance</w:t>
            </w:r>
            <w:r w:rsidR="00D11781" w:rsidRPr="00354D7F">
              <w:t xml:space="preserve">, coupon and redemption payments fail to occur in a complete, timely and accurate </w:t>
            </w:r>
            <w:r w:rsidR="00D11781" w:rsidRPr="00C015B3">
              <w:t>manner</w:t>
            </w:r>
            <w:r w:rsidR="002B67E1" w:rsidRPr="00C015B3">
              <w:t>,</w:t>
            </w:r>
            <w:r w:rsidR="00D11781" w:rsidRPr="00C015B3">
              <w:t xml:space="preserve"> </w:t>
            </w:r>
            <w:r w:rsidR="00D11781" w:rsidRPr="00354D7F">
              <w:t>where the AOFM is responsible for the failure.</w:t>
            </w:r>
          </w:p>
        </w:tc>
        <w:tc>
          <w:tcPr>
            <w:tcW w:w="0" w:type="dxa"/>
            <w:hideMark/>
          </w:tcPr>
          <w:p w14:paraId="17496041" w14:textId="77777777" w:rsidR="006C6C61" w:rsidRPr="00354D7F" w:rsidRDefault="006C6C61" w:rsidP="00625DAB">
            <w:pPr>
              <w:pStyle w:val="TableTextLeft"/>
            </w:pPr>
            <w:r w:rsidRPr="00354D7F">
              <w:t>Zero</w:t>
            </w:r>
          </w:p>
        </w:tc>
        <w:tc>
          <w:tcPr>
            <w:tcW w:w="0" w:type="dxa"/>
            <w:hideMark/>
          </w:tcPr>
          <w:p w14:paraId="74FE6DDC" w14:textId="280C4A6E" w:rsidR="006C6C61" w:rsidRPr="00354D7F" w:rsidRDefault="00243C19" w:rsidP="00625DAB">
            <w:pPr>
              <w:pStyle w:val="TableTextLeft"/>
            </w:pPr>
            <w:r w:rsidRPr="00354D7F">
              <w:t>Met</w:t>
            </w:r>
          </w:p>
        </w:tc>
      </w:tr>
    </w:tbl>
    <w:p w14:paraId="6683EAAF" w14:textId="31767EBB" w:rsidR="00CE3F4F" w:rsidRDefault="00360E0F" w:rsidP="00C67F81">
      <w:pPr>
        <w:pStyle w:val="Heading2"/>
      </w:pPr>
      <w:bookmarkStart w:id="442" w:name="_Toc173327303"/>
      <w:bookmarkStart w:id="443" w:name="_Toc173327756"/>
      <w:bookmarkStart w:id="444" w:name="_Toc173395279"/>
      <w:bookmarkStart w:id="445" w:name="_Toc173395357"/>
      <w:bookmarkStart w:id="446" w:name="_Toc173395692"/>
      <w:bookmarkStart w:id="447" w:name="_Toc173396580"/>
      <w:bookmarkStart w:id="448" w:name="_Toc173397591"/>
      <w:bookmarkStart w:id="449" w:name="_Toc173408137"/>
      <w:bookmarkStart w:id="450" w:name="_Toc173411458"/>
      <w:bookmarkStart w:id="451" w:name="_Toc173479138"/>
      <w:bookmarkStart w:id="452" w:name="_Toc173743050"/>
      <w:bookmarkStart w:id="453" w:name="_Toc173743211"/>
      <w:bookmarkStart w:id="454" w:name="_Toc176160534"/>
      <w:bookmarkStart w:id="455" w:name="_Toc176163162"/>
      <w:bookmarkStart w:id="456" w:name="_Toc205474304"/>
      <w:bookmarkStart w:id="457" w:name="_Toc207792888"/>
      <w:bookmarkStart w:id="458" w:name="_Toc207793923"/>
      <w:bookmarkStart w:id="459" w:name="_Toc207796054"/>
      <w:bookmarkStart w:id="460" w:name="_Toc207796929"/>
      <w:bookmarkStart w:id="461" w:name="_Toc207800230"/>
      <w:bookmarkStart w:id="462" w:name="_Toc207810808"/>
      <w:bookmarkStart w:id="463" w:name="_Toc208914087"/>
      <w:bookmarkStart w:id="464" w:name="_Toc209424484"/>
      <w:bookmarkEnd w:id="1"/>
      <w:bookmarkEnd w:id="439"/>
      <w:bookmarkEnd w:id="440"/>
      <w:bookmarkEnd w:id="441"/>
      <w:r w:rsidRPr="00B37D8D">
        <w:t xml:space="preserve">Key </w:t>
      </w:r>
      <w:r w:rsidR="00005DAE">
        <w:t>A</w:t>
      </w:r>
      <w:r w:rsidR="002B67E1" w:rsidRPr="00B37D8D">
        <w:t xml:space="preserve">ctivity </w:t>
      </w:r>
      <w:r w:rsidRPr="00B37D8D">
        <w:t>1.</w:t>
      </w:r>
      <w:r>
        <w:t>1</w:t>
      </w:r>
      <w:r w:rsidRPr="00B37D8D">
        <w:t xml:space="preserve">: </w:t>
      </w:r>
      <w:r>
        <w:t>Establish</w:t>
      </w:r>
      <w:r w:rsidR="00ED3108">
        <w:t xml:space="preserve"> and execute</w:t>
      </w:r>
      <w:r>
        <w:t xml:space="preserve"> a debt management strategy</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33A29140" w14:textId="736B01B5" w:rsidR="00D33461" w:rsidRDefault="00602700" w:rsidP="004C4613">
      <w:r w:rsidRPr="00602700">
        <w:t>The annual debt management strategy</w:t>
      </w:r>
      <w:r w:rsidR="008D776E">
        <w:t xml:space="preserve"> </w:t>
      </w:r>
      <w:r w:rsidRPr="00602700">
        <w:t>sets out the parameters for the AOFM</w:t>
      </w:r>
      <w:r w:rsidR="00B84FF2">
        <w:t>’</w:t>
      </w:r>
      <w:r w:rsidRPr="00602700">
        <w:t xml:space="preserve">s </w:t>
      </w:r>
      <w:r w:rsidR="00680258">
        <w:t xml:space="preserve">Treasury Bond and </w:t>
      </w:r>
      <w:r w:rsidR="002B67E1">
        <w:t>TIB</w:t>
      </w:r>
      <w:r w:rsidR="00680258">
        <w:t xml:space="preserve"> </w:t>
      </w:r>
      <w:r w:rsidRPr="00602700">
        <w:t xml:space="preserve">issuance activities. This includes the weighted average maturity (WAM) of issuance and the mix of funding instruments to be used. The AOFM Advisory Board is briefed on the strategy. The Secretary to the Treasury endorses the strategy each year. </w:t>
      </w:r>
    </w:p>
    <w:p w14:paraId="06DA5751" w14:textId="4F04937A" w:rsidR="00CB1360" w:rsidRDefault="00CB1360" w:rsidP="00CB1360">
      <w:r w:rsidRPr="00602700">
        <w:lastRenderedPageBreak/>
        <w:t>The 202</w:t>
      </w:r>
      <w:r>
        <w:t>4</w:t>
      </w:r>
      <w:r w:rsidRPr="00602700">
        <w:t>–2</w:t>
      </w:r>
      <w:r>
        <w:t>5</w:t>
      </w:r>
      <w:r w:rsidRPr="00602700">
        <w:t xml:space="preserve"> </w:t>
      </w:r>
      <w:r w:rsidR="002B67E1">
        <w:t>debt management strategy</w:t>
      </w:r>
      <w:r w:rsidR="002B67E1" w:rsidRPr="00602700">
        <w:t xml:space="preserve"> </w:t>
      </w:r>
      <w:r w:rsidRPr="00602700">
        <w:t>was formulated in an environment of</w:t>
      </w:r>
      <w:r>
        <w:t xml:space="preserve"> steeper yield curves and increased issuance</w:t>
      </w:r>
      <w:r w:rsidR="002B67E1">
        <w:t>, and</w:t>
      </w:r>
      <w:r w:rsidR="003D3FC2">
        <w:t>,</w:t>
      </w:r>
      <w:r w:rsidR="002B67E1">
        <w:t xml:space="preserve"> as such</w:t>
      </w:r>
      <w:r w:rsidR="003D3FC2">
        <w:t>,</w:t>
      </w:r>
      <w:r w:rsidR="002B67E1">
        <w:t xml:space="preserve"> set a </w:t>
      </w:r>
      <w:r>
        <w:t xml:space="preserve">target </w:t>
      </w:r>
      <w:r w:rsidR="00F34517">
        <w:t xml:space="preserve">issuance </w:t>
      </w:r>
      <w:r w:rsidR="002B67E1">
        <w:t>WAM</w:t>
      </w:r>
      <w:r>
        <w:t xml:space="preserve"> of 9</w:t>
      </w:r>
      <w:r w:rsidR="004D3D02">
        <w:t> </w:t>
      </w:r>
      <w:r>
        <w:t>to</w:t>
      </w:r>
      <w:r w:rsidR="004D3D02">
        <w:t> </w:t>
      </w:r>
      <w:r w:rsidR="00F34517">
        <w:t>10 </w:t>
      </w:r>
      <w:r>
        <w:t>years. This was deemed to provide an appropriate balance between cost and risk</w:t>
      </w:r>
      <w:r w:rsidR="003D3FC2">
        <w:t>,</w:t>
      </w:r>
      <w:r>
        <w:t xml:space="preserve"> given the increasing refinancing task and higher costs for longer</w:t>
      </w:r>
      <w:r w:rsidR="00B84FF2">
        <w:noBreakHyphen/>
      </w:r>
      <w:r>
        <w:t>term issuance</w:t>
      </w:r>
      <w:r w:rsidR="002B67E1">
        <w:t xml:space="preserve">, </w:t>
      </w:r>
      <w:r>
        <w:t>driven by the shape of the yield curve.</w:t>
      </w:r>
      <w:r w:rsidRPr="00640CDE">
        <w:t xml:space="preserve"> </w:t>
      </w:r>
      <w:r>
        <w:t xml:space="preserve">The </w:t>
      </w:r>
      <w:r w:rsidR="002B67E1">
        <w:t xml:space="preserve">debt management strategy </w:t>
      </w:r>
      <w:r>
        <w:t>also recommended issuance across the curve to facilitate liquidity</w:t>
      </w:r>
      <w:r w:rsidR="002B67E1">
        <w:t>,</w:t>
      </w:r>
      <w:r>
        <w:t xml:space="preserve"> and the establishment of two new bond lines to support the 10</w:t>
      </w:r>
      <w:r w:rsidR="00B84FF2">
        <w:noBreakHyphen/>
      </w:r>
      <w:r>
        <w:t>year Treasury Bond futures contract.</w:t>
      </w:r>
    </w:p>
    <w:p w14:paraId="5CA29763" w14:textId="46D43E4A" w:rsidR="00CB1360" w:rsidRDefault="00C76CFC" w:rsidP="004C4613">
      <w:r w:rsidRPr="00C002AE">
        <w:t xml:space="preserve">The AOFM makes weekly decisions on which </w:t>
      </w:r>
      <w:r>
        <w:t>securities</w:t>
      </w:r>
      <w:r w:rsidRPr="00C002AE">
        <w:t xml:space="preserve"> to issue. These decisions take account of the debt management strategy; funding and cash requirements; market conditions; liaison with intermediaries and investors; relative value between different bond lines; and the size of existing bond lines. </w:t>
      </w:r>
      <w:r>
        <w:t xml:space="preserve">Issuance of </w:t>
      </w:r>
      <w:r w:rsidRPr="00C002AE">
        <w:t xml:space="preserve">AGS </w:t>
      </w:r>
      <w:r>
        <w:t xml:space="preserve">occurs </w:t>
      </w:r>
      <w:r w:rsidRPr="00C002AE">
        <w:t>through competitive tenders and occasionally by syndication. Better decision</w:t>
      </w:r>
      <w:r w:rsidR="00B84FF2">
        <w:noBreakHyphen/>
      </w:r>
      <w:r w:rsidRPr="00C002AE">
        <w:t xml:space="preserve">making should lead to strong tender demand, which is indicated by high coverage ratios combined with bids at or below </w:t>
      </w:r>
      <w:r>
        <w:t xml:space="preserve">secondary market </w:t>
      </w:r>
      <w:r w:rsidRPr="00C002AE">
        <w:t>mid</w:t>
      </w:r>
      <w:r w:rsidR="00B84FF2">
        <w:noBreakHyphen/>
      </w:r>
      <w:r w:rsidRPr="00C002AE">
        <w:t>market yields.</w:t>
      </w:r>
    </w:p>
    <w:p w14:paraId="52234FE8" w14:textId="0FBA7655" w:rsidR="00463FA8" w:rsidRPr="00D927E3" w:rsidRDefault="004A3CBD" w:rsidP="00D927E3">
      <w:pPr>
        <w:pStyle w:val="Heading3"/>
        <w:rPr>
          <w:color w:val="353535"/>
          <w:sz w:val="26"/>
          <w:szCs w:val="26"/>
        </w:rPr>
      </w:pPr>
      <w:r w:rsidRPr="00D927E3">
        <w:rPr>
          <w:color w:val="353535"/>
          <w:sz w:val="26"/>
          <w:szCs w:val="26"/>
        </w:rPr>
        <w:t xml:space="preserve">The </w:t>
      </w:r>
      <w:r w:rsidR="002B67E1" w:rsidRPr="00D927E3">
        <w:rPr>
          <w:color w:val="353535"/>
          <w:sz w:val="26"/>
          <w:szCs w:val="26"/>
        </w:rPr>
        <w:t xml:space="preserve">debt management strategy </w:t>
      </w:r>
      <w:r w:rsidRPr="00D927E3">
        <w:rPr>
          <w:color w:val="353535"/>
          <w:sz w:val="26"/>
          <w:szCs w:val="26"/>
        </w:rPr>
        <w:t xml:space="preserve">focuses on </w:t>
      </w:r>
      <w:r w:rsidR="00AF33D2" w:rsidRPr="00D927E3">
        <w:rPr>
          <w:color w:val="353535"/>
          <w:sz w:val="26"/>
          <w:szCs w:val="26"/>
        </w:rPr>
        <w:t>t</w:t>
      </w:r>
      <w:r w:rsidR="00463FA8" w:rsidRPr="00D927E3">
        <w:rPr>
          <w:color w:val="353535"/>
          <w:sz w:val="26"/>
          <w:szCs w:val="26"/>
        </w:rPr>
        <w:t>he Long</w:t>
      </w:r>
      <w:r w:rsidR="00B84FF2" w:rsidRPr="00D927E3">
        <w:rPr>
          <w:color w:val="353535"/>
          <w:sz w:val="26"/>
          <w:szCs w:val="26"/>
        </w:rPr>
        <w:noBreakHyphen/>
      </w:r>
      <w:r w:rsidR="00463FA8" w:rsidRPr="00D927E3">
        <w:rPr>
          <w:color w:val="353535"/>
          <w:sz w:val="26"/>
          <w:szCs w:val="26"/>
        </w:rPr>
        <w:t xml:space="preserve">Term </w:t>
      </w:r>
      <w:r w:rsidR="002B67E1" w:rsidRPr="00D927E3">
        <w:rPr>
          <w:color w:val="353535"/>
          <w:sz w:val="26"/>
          <w:szCs w:val="26"/>
        </w:rPr>
        <w:t>Debt Portfolio</w:t>
      </w:r>
    </w:p>
    <w:p w14:paraId="1468FA07" w14:textId="7D366523" w:rsidR="004A3CBD" w:rsidRDefault="00463FA8" w:rsidP="006B43DA">
      <w:r>
        <w:t>The effective yield of the Long</w:t>
      </w:r>
      <w:r w:rsidR="00B84FF2">
        <w:noBreakHyphen/>
      </w:r>
      <w:r>
        <w:t xml:space="preserve">Term </w:t>
      </w:r>
      <w:r w:rsidR="00047C11">
        <w:t>D</w:t>
      </w:r>
      <w:r>
        <w:t xml:space="preserve">ebt </w:t>
      </w:r>
      <w:r w:rsidR="00047C11">
        <w:t>P</w:t>
      </w:r>
      <w:r>
        <w:t xml:space="preserve">ortfolio (LTDP) was </w:t>
      </w:r>
      <w:r w:rsidR="00047C11">
        <w:t>2.47</w:t>
      </w:r>
      <w:r w:rsidR="002B67E1">
        <w:t xml:space="preserve"> per cent</w:t>
      </w:r>
      <w:r w:rsidR="005079EC">
        <w:t> </w:t>
      </w:r>
      <w:r>
        <w:t>fo</w:t>
      </w:r>
      <w:r w:rsidR="004D3D02">
        <w:t xml:space="preserve">r </w:t>
      </w:r>
      <w:r>
        <w:t>2024</w:t>
      </w:r>
      <w:r w:rsidR="000F29EF" w:rsidRPr="000F29EF">
        <w:t>–</w:t>
      </w:r>
      <w:r w:rsidR="000F29EF">
        <w:t>‍</w:t>
      </w:r>
      <w:r>
        <w:t xml:space="preserve">25, </w:t>
      </w:r>
      <w:r w:rsidR="00047C11">
        <w:t>8</w:t>
      </w:r>
      <w:r>
        <w:t xml:space="preserve"> basis points higher than in 2023</w:t>
      </w:r>
      <w:r w:rsidR="002B67E1">
        <w:t>–</w:t>
      </w:r>
      <w:r>
        <w:t>24. Total debt servicing costs were higher than 202</w:t>
      </w:r>
      <w:r w:rsidR="00E60D59">
        <w:t>3</w:t>
      </w:r>
      <w:r w:rsidR="000F29EF" w:rsidRPr="000F29EF">
        <w:t>–</w:t>
      </w:r>
      <w:r>
        <w:t>2</w:t>
      </w:r>
      <w:r w:rsidR="00E60D59">
        <w:t>4</w:t>
      </w:r>
      <w:r w:rsidR="009B2126">
        <w:t>, due to the higher average volume of bonds on issue and the rotation between maturing debt (issued when yields were lower) and more recently issued higher</w:t>
      </w:r>
      <w:r w:rsidR="00B84FF2">
        <w:noBreakHyphen/>
      </w:r>
      <w:r w:rsidR="009B2126">
        <w:t>cost debt.</w:t>
      </w:r>
    </w:p>
    <w:p w14:paraId="5D6972FA" w14:textId="77777777" w:rsidR="002F13B5" w:rsidRDefault="002F13B5">
      <w:pPr>
        <w:spacing w:after="0" w:line="240" w:lineRule="auto"/>
        <w:rPr>
          <w:b/>
          <w:lang w:eastAsia="en-AU"/>
        </w:rPr>
      </w:pPr>
      <w:r>
        <w:br w:type="page"/>
      </w:r>
    </w:p>
    <w:p w14:paraId="7DEF2E4D" w14:textId="11516F3A" w:rsidR="00891311" w:rsidRPr="006534F5" w:rsidRDefault="00891311" w:rsidP="002D7EE7">
      <w:pPr>
        <w:pStyle w:val="TableMainHeading"/>
      </w:pPr>
      <w:r w:rsidRPr="00C67419">
        <w:lastRenderedPageBreak/>
        <w:t xml:space="preserve">Table </w:t>
      </w:r>
      <w:r>
        <w:t xml:space="preserve">3: </w:t>
      </w:r>
      <w:r w:rsidR="00EF4749" w:rsidRPr="00EF4749">
        <w:t>Debt servicing costs’</w:t>
      </w:r>
    </w:p>
    <w:tbl>
      <w:tblPr>
        <w:tblStyle w:val="AOFMTablemain"/>
        <w:tblW w:w="5000" w:type="pct"/>
        <w:tblLook w:val="06A0" w:firstRow="1" w:lastRow="0" w:firstColumn="1" w:lastColumn="0" w:noHBand="1" w:noVBand="1"/>
      </w:tblPr>
      <w:tblGrid>
        <w:gridCol w:w="1553"/>
        <w:gridCol w:w="1073"/>
        <w:gridCol w:w="1172"/>
        <w:gridCol w:w="1026"/>
        <w:gridCol w:w="1218"/>
        <w:gridCol w:w="845"/>
        <w:gridCol w:w="824"/>
      </w:tblGrid>
      <w:tr w:rsidR="0048600D" w:rsidRPr="00F763F9" w14:paraId="090D8F60" w14:textId="77777777" w:rsidTr="00C75449">
        <w:trPr>
          <w:cnfStyle w:val="100000000000" w:firstRow="1" w:lastRow="0" w:firstColumn="0" w:lastColumn="0" w:oddVBand="0" w:evenVBand="0" w:oddHBand="0" w:evenHBand="0" w:firstRowFirstColumn="0" w:firstRowLastColumn="0" w:lastRowFirstColumn="0" w:lastRowLastColumn="0"/>
          <w:tblHeader/>
        </w:trPr>
        <w:tc>
          <w:tcPr>
            <w:tcW w:w="1007" w:type="pct"/>
            <w:tcBorders>
              <w:right w:val="single" w:sz="4" w:space="0" w:color="FFFFFF" w:themeColor="background1"/>
            </w:tcBorders>
          </w:tcPr>
          <w:p w14:paraId="0E0C4D6D" w14:textId="77777777" w:rsidR="00F763F9" w:rsidRPr="00357E21" w:rsidRDefault="00F763F9" w:rsidP="00C75449">
            <w:pPr>
              <w:pStyle w:val="TableColumnHeadingLeft"/>
            </w:pPr>
          </w:p>
        </w:tc>
        <w:tc>
          <w:tcPr>
            <w:tcW w:w="1456" w:type="pct"/>
            <w:gridSpan w:val="2"/>
            <w:tcBorders>
              <w:left w:val="single" w:sz="4" w:space="0" w:color="FFFFFF" w:themeColor="background1"/>
              <w:bottom w:val="single" w:sz="4" w:space="0" w:color="FFFFFF" w:themeColor="background1"/>
              <w:right w:val="single" w:sz="4" w:space="0" w:color="FFFFFF" w:themeColor="background1"/>
            </w:tcBorders>
          </w:tcPr>
          <w:p w14:paraId="0902FCAF" w14:textId="77777777" w:rsidR="00F763F9" w:rsidRPr="00BB31E7" w:rsidRDefault="00F763F9" w:rsidP="00C75449">
            <w:pPr>
              <w:pStyle w:val="TableColumnHeadingCentred"/>
            </w:pPr>
            <w:r w:rsidRPr="00BB31E7">
              <w:t>Debt servicing costs</w:t>
            </w:r>
          </w:p>
        </w:tc>
        <w:tc>
          <w:tcPr>
            <w:tcW w:w="1455" w:type="pct"/>
            <w:gridSpan w:val="2"/>
            <w:tcBorders>
              <w:left w:val="single" w:sz="4" w:space="0" w:color="FFFFFF" w:themeColor="background1"/>
              <w:bottom w:val="single" w:sz="4" w:space="0" w:color="FFFFFF" w:themeColor="background1"/>
              <w:right w:val="single" w:sz="4" w:space="0" w:color="FFFFFF" w:themeColor="background1"/>
            </w:tcBorders>
          </w:tcPr>
          <w:p w14:paraId="52A46DE3" w14:textId="77777777" w:rsidR="00F763F9" w:rsidRPr="00BB31E7" w:rsidRDefault="00F763F9" w:rsidP="00C75449">
            <w:pPr>
              <w:pStyle w:val="TableColumnHeadingCentred"/>
            </w:pPr>
            <w:r w:rsidRPr="00BB31E7">
              <w:t>Book volume</w:t>
            </w:r>
          </w:p>
        </w:tc>
        <w:tc>
          <w:tcPr>
            <w:tcW w:w="1082" w:type="pct"/>
            <w:gridSpan w:val="2"/>
            <w:tcBorders>
              <w:left w:val="single" w:sz="4" w:space="0" w:color="FFFFFF" w:themeColor="background1"/>
            </w:tcBorders>
          </w:tcPr>
          <w:p w14:paraId="09186CAB" w14:textId="77777777" w:rsidR="00F763F9" w:rsidRPr="00BB31E7" w:rsidRDefault="00F763F9" w:rsidP="00C75449">
            <w:pPr>
              <w:pStyle w:val="TableColumnHeadingCentred"/>
            </w:pPr>
            <w:r w:rsidRPr="00BB31E7">
              <w:t>Effective yield</w:t>
            </w:r>
          </w:p>
        </w:tc>
      </w:tr>
      <w:tr w:rsidR="00E15250" w:rsidRPr="00D4224E" w14:paraId="291BE425" w14:textId="77777777" w:rsidTr="00C75449">
        <w:trPr>
          <w:cnfStyle w:val="100000000000" w:firstRow="1" w:lastRow="0" w:firstColumn="0" w:lastColumn="0" w:oddVBand="0" w:evenVBand="0" w:oddHBand="0" w:evenHBand="0" w:firstRowFirstColumn="0" w:firstRowLastColumn="0" w:lastRowFirstColumn="0" w:lastRowLastColumn="0"/>
          <w:tblHeader/>
        </w:trPr>
        <w:tc>
          <w:tcPr>
            <w:tcW w:w="1007" w:type="pct"/>
            <w:tcBorders>
              <w:right w:val="single" w:sz="4" w:space="0" w:color="FFFFFF" w:themeColor="background1"/>
            </w:tcBorders>
          </w:tcPr>
          <w:p w14:paraId="684212A4" w14:textId="77777777" w:rsidR="00F763F9" w:rsidRPr="00AA7BFD" w:rsidRDefault="00F763F9" w:rsidP="00C75449">
            <w:pPr>
              <w:pStyle w:val="TableColumnHeadingLeft"/>
              <w:rPr>
                <w:szCs w:val="16"/>
              </w:rPr>
            </w:pPr>
          </w:p>
        </w:tc>
        <w:tc>
          <w:tcPr>
            <w:tcW w:w="6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D20355" w14:textId="1C7703E6" w:rsidR="00F763F9" w:rsidRPr="00351C26" w:rsidRDefault="00F763F9" w:rsidP="00351C26">
            <w:pPr>
              <w:pStyle w:val="TableColumnHeadingCentred"/>
            </w:pPr>
            <w:r w:rsidRPr="00351C26">
              <w:t>2024</w:t>
            </w:r>
            <w:r w:rsidR="002B67E1" w:rsidRPr="00351C26">
              <w:t>–</w:t>
            </w:r>
            <w:r w:rsidRPr="00351C26">
              <w:t>25</w:t>
            </w:r>
          </w:p>
        </w:tc>
        <w:tc>
          <w:tcPr>
            <w:tcW w:w="76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6A0FC" w14:textId="1CDD5FC8" w:rsidR="00F763F9" w:rsidRPr="00351C26" w:rsidRDefault="00F763F9" w:rsidP="00351C26">
            <w:pPr>
              <w:pStyle w:val="TableColumnHeadingCentred"/>
            </w:pPr>
            <w:r w:rsidRPr="00351C26">
              <w:t>2023</w:t>
            </w:r>
            <w:r w:rsidR="002B67E1" w:rsidRPr="00351C26">
              <w:t>–</w:t>
            </w:r>
            <w:r w:rsidRPr="00351C26">
              <w:t>24</w:t>
            </w:r>
          </w:p>
        </w:tc>
        <w:tc>
          <w:tcPr>
            <w:tcW w:w="6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EA937F" w14:textId="73B0423C" w:rsidR="00F763F9" w:rsidRPr="00351C26" w:rsidRDefault="00F763F9" w:rsidP="00351C26">
            <w:pPr>
              <w:pStyle w:val="TableColumnHeadingCentred"/>
            </w:pPr>
            <w:r w:rsidRPr="00351C26">
              <w:t>2024</w:t>
            </w:r>
            <w:r w:rsidR="002B67E1" w:rsidRPr="00351C26">
              <w:t>–</w:t>
            </w:r>
            <w:r w:rsidRPr="00351C26">
              <w:t>25</w:t>
            </w:r>
          </w:p>
        </w:tc>
        <w:tc>
          <w:tcPr>
            <w:tcW w:w="7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2978EE" w14:textId="4BE9FC0B" w:rsidR="00F763F9" w:rsidRPr="00351C26" w:rsidRDefault="00F763F9" w:rsidP="00351C26">
            <w:pPr>
              <w:pStyle w:val="TableColumnHeadingCentred"/>
            </w:pPr>
            <w:r w:rsidRPr="00351C26">
              <w:t>2023</w:t>
            </w:r>
            <w:r w:rsidR="002B67E1" w:rsidRPr="00351C26">
              <w:t>–</w:t>
            </w:r>
            <w:r w:rsidRPr="00351C26">
              <w:t>24</w:t>
            </w:r>
          </w:p>
        </w:tc>
        <w:tc>
          <w:tcPr>
            <w:tcW w:w="5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111DCD" w14:textId="6A7722C3" w:rsidR="00F763F9" w:rsidRPr="00351C26" w:rsidRDefault="00F763F9" w:rsidP="00351C26">
            <w:pPr>
              <w:pStyle w:val="TableColumnHeadingCentred"/>
            </w:pPr>
            <w:r w:rsidRPr="00351C26">
              <w:t>2024</w:t>
            </w:r>
            <w:r w:rsidR="002B67E1" w:rsidRPr="00351C26">
              <w:t>–</w:t>
            </w:r>
            <w:r w:rsidRPr="00351C26">
              <w:t>25</w:t>
            </w:r>
          </w:p>
        </w:tc>
        <w:tc>
          <w:tcPr>
            <w:tcW w:w="534" w:type="pct"/>
            <w:tcBorders>
              <w:top w:val="single" w:sz="4" w:space="0" w:color="FFFFFF" w:themeColor="background1"/>
              <w:left w:val="single" w:sz="4" w:space="0" w:color="FFFFFF" w:themeColor="background1"/>
            </w:tcBorders>
          </w:tcPr>
          <w:p w14:paraId="33B1050F" w14:textId="777D7AD6" w:rsidR="00F763F9" w:rsidRPr="00351C26" w:rsidRDefault="00F763F9" w:rsidP="00351C26">
            <w:pPr>
              <w:pStyle w:val="TableColumnHeadingCentred"/>
            </w:pPr>
            <w:r w:rsidRPr="00351C26">
              <w:t>2023</w:t>
            </w:r>
            <w:r w:rsidR="002B67E1" w:rsidRPr="00351C26">
              <w:t>–</w:t>
            </w:r>
            <w:r w:rsidRPr="00351C26">
              <w:t>24</w:t>
            </w:r>
          </w:p>
        </w:tc>
      </w:tr>
      <w:tr w:rsidR="0048600D" w:rsidRPr="00F763F9" w14:paraId="43CCC542" w14:textId="77777777" w:rsidTr="004D3D02">
        <w:trPr>
          <w:cnfStyle w:val="100000000000" w:firstRow="1" w:lastRow="0" w:firstColumn="0" w:lastColumn="0" w:oddVBand="0" w:evenVBand="0" w:oddHBand="0" w:evenHBand="0" w:firstRowFirstColumn="0" w:firstRowLastColumn="0" w:lastRowFirstColumn="0" w:lastRowLastColumn="0"/>
          <w:trHeight w:val="110"/>
          <w:tblHeader/>
        </w:trPr>
        <w:tc>
          <w:tcPr>
            <w:tcW w:w="1007" w:type="pct"/>
            <w:tcBorders>
              <w:right w:val="single" w:sz="4" w:space="0" w:color="FFFFFF" w:themeColor="background1"/>
            </w:tcBorders>
          </w:tcPr>
          <w:p w14:paraId="2E0C3529" w14:textId="77777777" w:rsidR="00F763F9" w:rsidRPr="00AA7BFD" w:rsidRDefault="00F763F9" w:rsidP="00C75449">
            <w:pPr>
              <w:pStyle w:val="TableColumnHeadingLeft"/>
              <w:rPr>
                <w:szCs w:val="16"/>
              </w:rPr>
            </w:pPr>
          </w:p>
        </w:tc>
        <w:tc>
          <w:tcPr>
            <w:tcW w:w="1456" w:type="pct"/>
            <w:gridSpan w:val="2"/>
            <w:tcBorders>
              <w:top w:val="single" w:sz="4" w:space="0" w:color="FFFFFF" w:themeColor="background1"/>
              <w:left w:val="single" w:sz="4" w:space="0" w:color="FFFFFF" w:themeColor="background1"/>
              <w:right w:val="single" w:sz="4" w:space="0" w:color="FFFFFF" w:themeColor="background1"/>
            </w:tcBorders>
          </w:tcPr>
          <w:p w14:paraId="256037F1" w14:textId="77777777" w:rsidR="00F763F9" w:rsidRPr="00C75449" w:rsidRDefault="00F763F9" w:rsidP="00C75449">
            <w:pPr>
              <w:pStyle w:val="TableColumnHeadingCentred"/>
            </w:pPr>
            <w:r w:rsidRPr="00C75449">
              <w:t>($m)</w:t>
            </w:r>
          </w:p>
        </w:tc>
        <w:tc>
          <w:tcPr>
            <w:tcW w:w="1455" w:type="pct"/>
            <w:gridSpan w:val="2"/>
            <w:tcBorders>
              <w:top w:val="single" w:sz="4" w:space="0" w:color="FFFFFF" w:themeColor="background1"/>
              <w:left w:val="single" w:sz="4" w:space="0" w:color="FFFFFF" w:themeColor="background1"/>
              <w:right w:val="single" w:sz="4" w:space="0" w:color="FFFFFF" w:themeColor="background1"/>
            </w:tcBorders>
          </w:tcPr>
          <w:p w14:paraId="774EEE6A" w14:textId="77777777" w:rsidR="00F763F9" w:rsidRPr="00C75449" w:rsidRDefault="00F763F9" w:rsidP="00C75449">
            <w:pPr>
              <w:pStyle w:val="TableColumnHeadingCentred"/>
            </w:pPr>
            <w:r w:rsidRPr="00C75449">
              <w:t>($m)</w:t>
            </w:r>
          </w:p>
        </w:tc>
        <w:tc>
          <w:tcPr>
            <w:tcW w:w="1082" w:type="pct"/>
            <w:gridSpan w:val="2"/>
            <w:tcBorders>
              <w:top w:val="single" w:sz="4" w:space="0" w:color="FFFFFF" w:themeColor="background1"/>
              <w:left w:val="single" w:sz="4" w:space="0" w:color="FFFFFF" w:themeColor="background1"/>
            </w:tcBorders>
          </w:tcPr>
          <w:p w14:paraId="2A1D5EDB" w14:textId="77777777" w:rsidR="00F763F9" w:rsidRPr="00C75449" w:rsidRDefault="00F763F9" w:rsidP="00C75449">
            <w:pPr>
              <w:pStyle w:val="TableColumnHeadingCentred"/>
            </w:pPr>
            <w:r w:rsidRPr="00C75449">
              <w:t>(% p.a.)</w:t>
            </w:r>
          </w:p>
        </w:tc>
      </w:tr>
      <w:tr w:rsidR="00F763F9" w:rsidRPr="00F763F9" w14:paraId="38C841AC" w14:textId="77777777" w:rsidTr="00592520">
        <w:trPr>
          <w:trHeight w:val="162"/>
        </w:trPr>
        <w:tc>
          <w:tcPr>
            <w:tcW w:w="5000" w:type="pct"/>
            <w:gridSpan w:val="7"/>
          </w:tcPr>
          <w:p w14:paraId="21B85CAE" w14:textId="77777777" w:rsidR="00F763F9" w:rsidRPr="00592520" w:rsidRDefault="00F763F9" w:rsidP="00C75449">
            <w:pPr>
              <w:pStyle w:val="TableSecondHeading"/>
              <w:rPr>
                <w:b/>
                <w:bCs/>
              </w:rPr>
            </w:pPr>
            <w:r w:rsidRPr="00592520">
              <w:rPr>
                <w:b/>
                <w:bCs/>
              </w:rPr>
              <w:t>Contribution by instrument</w:t>
            </w:r>
          </w:p>
        </w:tc>
      </w:tr>
      <w:tr w:rsidR="00574EDE" w:rsidRPr="00F763F9" w14:paraId="4EE0EF95" w14:textId="77777777" w:rsidTr="00574EDE">
        <w:tc>
          <w:tcPr>
            <w:tcW w:w="1007" w:type="pct"/>
          </w:tcPr>
          <w:p w14:paraId="758C41BE" w14:textId="77777777" w:rsidR="00F763F9" w:rsidRPr="00D01F22" w:rsidRDefault="00F763F9" w:rsidP="00625DAB">
            <w:pPr>
              <w:pStyle w:val="TableTextLeft"/>
            </w:pPr>
            <w:r w:rsidRPr="00D01F22">
              <w:t>Treasury Bonds</w:t>
            </w:r>
          </w:p>
        </w:tc>
        <w:tc>
          <w:tcPr>
            <w:tcW w:w="696" w:type="pct"/>
            <w:shd w:val="clear" w:color="auto" w:fill="FFFFFF" w:themeFill="background1"/>
          </w:tcPr>
          <w:p w14:paraId="20C30332" w14:textId="77777777" w:rsidR="00F763F9" w:rsidRPr="00E01870" w:rsidRDefault="00F763F9" w:rsidP="00E01870">
            <w:pPr>
              <w:pStyle w:val="TableTextRight"/>
            </w:pPr>
            <w:r w:rsidRPr="00E01870">
              <w:t>(20,455)</w:t>
            </w:r>
          </w:p>
        </w:tc>
        <w:tc>
          <w:tcPr>
            <w:tcW w:w="760" w:type="pct"/>
            <w:shd w:val="clear" w:color="auto" w:fill="FFFFFF" w:themeFill="background1"/>
          </w:tcPr>
          <w:p w14:paraId="745E61AA" w14:textId="77777777" w:rsidR="00F763F9" w:rsidRPr="00E01870" w:rsidRDefault="00F763F9" w:rsidP="00E01870">
            <w:pPr>
              <w:pStyle w:val="TableTextRight"/>
            </w:pPr>
            <w:r w:rsidRPr="00E01870">
              <w:t>(18,414)</w:t>
            </w:r>
          </w:p>
        </w:tc>
        <w:tc>
          <w:tcPr>
            <w:tcW w:w="665" w:type="pct"/>
            <w:shd w:val="clear" w:color="auto" w:fill="FFFFFF" w:themeFill="background1"/>
          </w:tcPr>
          <w:p w14:paraId="63D5A20E" w14:textId="77777777" w:rsidR="00F763F9" w:rsidRPr="00E01870" w:rsidRDefault="00F763F9" w:rsidP="00E01870">
            <w:pPr>
              <w:pStyle w:val="TableTextRight"/>
            </w:pPr>
            <w:r w:rsidRPr="00E01870">
              <w:t>(852,291)</w:t>
            </w:r>
          </w:p>
        </w:tc>
        <w:tc>
          <w:tcPr>
            <w:tcW w:w="790" w:type="pct"/>
            <w:shd w:val="clear" w:color="auto" w:fill="FFFFFF" w:themeFill="background1"/>
          </w:tcPr>
          <w:p w14:paraId="15B6D120" w14:textId="77777777" w:rsidR="00F763F9" w:rsidRPr="00E01870" w:rsidRDefault="00F763F9" w:rsidP="00E01870">
            <w:pPr>
              <w:pStyle w:val="TableTextRight"/>
            </w:pPr>
            <w:r w:rsidRPr="00E01870">
              <w:t>(841,908)</w:t>
            </w:r>
          </w:p>
        </w:tc>
        <w:tc>
          <w:tcPr>
            <w:tcW w:w="548" w:type="pct"/>
            <w:shd w:val="clear" w:color="auto" w:fill="FFFFFF" w:themeFill="background1"/>
          </w:tcPr>
          <w:p w14:paraId="21816A88" w14:textId="77777777" w:rsidR="00F763F9" w:rsidRPr="00E01870" w:rsidRDefault="00F763F9" w:rsidP="00E01870">
            <w:pPr>
              <w:pStyle w:val="TableTextRight"/>
            </w:pPr>
            <w:r w:rsidRPr="00E01870">
              <w:t>2.40</w:t>
            </w:r>
          </w:p>
        </w:tc>
        <w:tc>
          <w:tcPr>
            <w:tcW w:w="534" w:type="pct"/>
          </w:tcPr>
          <w:p w14:paraId="7CE095D4" w14:textId="77777777" w:rsidR="00F763F9" w:rsidRPr="00E01870" w:rsidRDefault="00F763F9" w:rsidP="00E01870">
            <w:pPr>
              <w:pStyle w:val="TableTextRight"/>
            </w:pPr>
            <w:r w:rsidRPr="00E01870">
              <w:t>2.19</w:t>
            </w:r>
          </w:p>
        </w:tc>
      </w:tr>
      <w:tr w:rsidR="00574EDE" w:rsidRPr="00F763F9" w14:paraId="7713309E" w14:textId="77777777" w:rsidTr="00574EDE">
        <w:tc>
          <w:tcPr>
            <w:tcW w:w="1007" w:type="pct"/>
          </w:tcPr>
          <w:p w14:paraId="265413DA" w14:textId="77777777" w:rsidR="00F763F9" w:rsidRPr="00D01F22" w:rsidRDefault="00F763F9" w:rsidP="00625DAB">
            <w:pPr>
              <w:pStyle w:val="TableTextLeft"/>
            </w:pPr>
            <w:r w:rsidRPr="00D01F22">
              <w:t>TIBs</w:t>
            </w:r>
          </w:p>
        </w:tc>
        <w:tc>
          <w:tcPr>
            <w:tcW w:w="696" w:type="pct"/>
            <w:shd w:val="clear" w:color="auto" w:fill="FFFFFF" w:themeFill="background1"/>
          </w:tcPr>
          <w:p w14:paraId="028A5B2E" w14:textId="77777777" w:rsidR="00F763F9" w:rsidRPr="00E01870" w:rsidRDefault="00F763F9" w:rsidP="00E01870">
            <w:pPr>
              <w:pStyle w:val="TableTextRight"/>
            </w:pPr>
            <w:r w:rsidRPr="00E01870">
              <w:t>(1,993)</w:t>
            </w:r>
          </w:p>
        </w:tc>
        <w:tc>
          <w:tcPr>
            <w:tcW w:w="760" w:type="pct"/>
            <w:shd w:val="clear" w:color="auto" w:fill="FFFFFF" w:themeFill="background1"/>
          </w:tcPr>
          <w:p w14:paraId="10D8A40B" w14:textId="77777777" w:rsidR="00F763F9" w:rsidRPr="00E01870" w:rsidRDefault="00F763F9" w:rsidP="00E01870">
            <w:pPr>
              <w:pStyle w:val="TableTextRight"/>
            </w:pPr>
            <w:r w:rsidRPr="00E01870">
              <w:t>(3,014)</w:t>
            </w:r>
          </w:p>
        </w:tc>
        <w:tc>
          <w:tcPr>
            <w:tcW w:w="665" w:type="pct"/>
            <w:shd w:val="clear" w:color="auto" w:fill="FFFFFF" w:themeFill="background1"/>
          </w:tcPr>
          <w:p w14:paraId="6219F38B" w14:textId="77777777" w:rsidR="00F763F9" w:rsidRPr="00E01870" w:rsidRDefault="00F763F9" w:rsidP="00E01870">
            <w:pPr>
              <w:pStyle w:val="TableTextRight"/>
            </w:pPr>
            <w:r w:rsidRPr="00E01870">
              <w:t>(55,983)</w:t>
            </w:r>
          </w:p>
        </w:tc>
        <w:tc>
          <w:tcPr>
            <w:tcW w:w="790" w:type="pct"/>
            <w:shd w:val="clear" w:color="auto" w:fill="FFFFFF" w:themeFill="background1"/>
          </w:tcPr>
          <w:p w14:paraId="18A0F929" w14:textId="77777777" w:rsidR="00F763F9" w:rsidRPr="00E01870" w:rsidRDefault="00F763F9" w:rsidP="00E01870">
            <w:pPr>
              <w:pStyle w:val="TableTextRight"/>
            </w:pPr>
            <w:r w:rsidRPr="00E01870">
              <w:t>(54,003)</w:t>
            </w:r>
          </w:p>
        </w:tc>
        <w:tc>
          <w:tcPr>
            <w:tcW w:w="548" w:type="pct"/>
            <w:shd w:val="clear" w:color="auto" w:fill="FFFFFF" w:themeFill="background1"/>
          </w:tcPr>
          <w:p w14:paraId="72834F51" w14:textId="77777777" w:rsidR="00F763F9" w:rsidRPr="00E01870" w:rsidRDefault="00F763F9" w:rsidP="00E01870">
            <w:pPr>
              <w:pStyle w:val="TableTextRight"/>
            </w:pPr>
            <w:r w:rsidRPr="00E01870">
              <w:t>3.56</w:t>
            </w:r>
          </w:p>
        </w:tc>
        <w:tc>
          <w:tcPr>
            <w:tcW w:w="534" w:type="pct"/>
          </w:tcPr>
          <w:p w14:paraId="3286C3D2" w14:textId="77777777" w:rsidR="00F763F9" w:rsidRPr="00E01870" w:rsidRDefault="00F763F9" w:rsidP="00E01870">
            <w:pPr>
              <w:pStyle w:val="TableTextRight"/>
            </w:pPr>
            <w:r w:rsidRPr="00E01870">
              <w:t>5.57</w:t>
            </w:r>
          </w:p>
        </w:tc>
      </w:tr>
      <w:tr w:rsidR="00574EDE" w:rsidRPr="00E01870" w14:paraId="41B7BE45" w14:textId="77777777" w:rsidTr="00574EDE">
        <w:tc>
          <w:tcPr>
            <w:tcW w:w="1007" w:type="pct"/>
          </w:tcPr>
          <w:p w14:paraId="363D1BBA" w14:textId="77777777" w:rsidR="00F763F9" w:rsidRPr="00592520" w:rsidRDefault="00F763F9" w:rsidP="00625DAB">
            <w:pPr>
              <w:pStyle w:val="TableTextLeft"/>
              <w:rPr>
                <w:b/>
                <w:bCs/>
              </w:rPr>
            </w:pPr>
            <w:r w:rsidRPr="00592520">
              <w:rPr>
                <w:b/>
                <w:bCs/>
              </w:rPr>
              <w:t>Total</w:t>
            </w:r>
          </w:p>
        </w:tc>
        <w:tc>
          <w:tcPr>
            <w:tcW w:w="696" w:type="pct"/>
            <w:shd w:val="clear" w:color="auto" w:fill="FFFFFF" w:themeFill="background1"/>
          </w:tcPr>
          <w:p w14:paraId="615D9200" w14:textId="77777777" w:rsidR="00F763F9" w:rsidRPr="00E01870" w:rsidRDefault="00F763F9" w:rsidP="00E01870">
            <w:pPr>
              <w:pStyle w:val="TableTextRight"/>
              <w:rPr>
                <w:b/>
              </w:rPr>
            </w:pPr>
            <w:r w:rsidRPr="00E01870">
              <w:rPr>
                <w:b/>
              </w:rPr>
              <w:t>(22,448)</w:t>
            </w:r>
          </w:p>
        </w:tc>
        <w:tc>
          <w:tcPr>
            <w:tcW w:w="760" w:type="pct"/>
            <w:shd w:val="clear" w:color="auto" w:fill="FFFFFF" w:themeFill="background1"/>
          </w:tcPr>
          <w:p w14:paraId="5DB6E543" w14:textId="77777777" w:rsidR="00F763F9" w:rsidRPr="00E01870" w:rsidRDefault="00F763F9" w:rsidP="00E01870">
            <w:pPr>
              <w:pStyle w:val="TableTextRight"/>
              <w:rPr>
                <w:b/>
              </w:rPr>
            </w:pPr>
            <w:r w:rsidRPr="00E01870">
              <w:rPr>
                <w:b/>
              </w:rPr>
              <w:t>(21,428)</w:t>
            </w:r>
          </w:p>
        </w:tc>
        <w:tc>
          <w:tcPr>
            <w:tcW w:w="665" w:type="pct"/>
            <w:shd w:val="clear" w:color="auto" w:fill="FFFFFF" w:themeFill="background1"/>
          </w:tcPr>
          <w:p w14:paraId="4C861E52" w14:textId="77777777" w:rsidR="00F763F9" w:rsidRPr="00E01870" w:rsidRDefault="00F763F9" w:rsidP="00E01870">
            <w:pPr>
              <w:pStyle w:val="TableTextRight"/>
              <w:rPr>
                <w:b/>
              </w:rPr>
            </w:pPr>
            <w:r w:rsidRPr="00E01870">
              <w:rPr>
                <w:b/>
              </w:rPr>
              <w:t>(908,274)</w:t>
            </w:r>
          </w:p>
        </w:tc>
        <w:tc>
          <w:tcPr>
            <w:tcW w:w="790" w:type="pct"/>
            <w:shd w:val="clear" w:color="auto" w:fill="FFFFFF" w:themeFill="background1"/>
          </w:tcPr>
          <w:p w14:paraId="5046079B" w14:textId="77777777" w:rsidR="00F763F9" w:rsidRPr="00E01870" w:rsidRDefault="00F763F9" w:rsidP="00E01870">
            <w:pPr>
              <w:pStyle w:val="TableTextRight"/>
              <w:rPr>
                <w:b/>
              </w:rPr>
            </w:pPr>
            <w:r w:rsidRPr="00E01870">
              <w:rPr>
                <w:b/>
              </w:rPr>
              <w:t>(895,911)</w:t>
            </w:r>
          </w:p>
        </w:tc>
        <w:tc>
          <w:tcPr>
            <w:tcW w:w="548" w:type="pct"/>
            <w:shd w:val="clear" w:color="auto" w:fill="FFFFFF" w:themeFill="background1"/>
          </w:tcPr>
          <w:p w14:paraId="299E9AA7" w14:textId="77777777" w:rsidR="00F763F9" w:rsidRPr="00E01870" w:rsidRDefault="00F763F9" w:rsidP="00E01870">
            <w:pPr>
              <w:pStyle w:val="TableTextRight"/>
              <w:rPr>
                <w:b/>
              </w:rPr>
            </w:pPr>
            <w:r w:rsidRPr="00E01870">
              <w:rPr>
                <w:b/>
              </w:rPr>
              <w:t>2.47</w:t>
            </w:r>
          </w:p>
        </w:tc>
        <w:tc>
          <w:tcPr>
            <w:tcW w:w="534" w:type="pct"/>
          </w:tcPr>
          <w:p w14:paraId="449FCE3C" w14:textId="77777777" w:rsidR="00F763F9" w:rsidRPr="00E01870" w:rsidRDefault="00F763F9" w:rsidP="00E01870">
            <w:pPr>
              <w:pStyle w:val="TableTextRight"/>
              <w:rPr>
                <w:b/>
              </w:rPr>
            </w:pPr>
            <w:r w:rsidRPr="00E01870">
              <w:rPr>
                <w:b/>
              </w:rPr>
              <w:t>2.39</w:t>
            </w:r>
          </w:p>
        </w:tc>
      </w:tr>
      <w:tr w:rsidR="00F763F9" w:rsidRPr="00F763F9" w14:paraId="66EA0C94" w14:textId="77777777" w:rsidTr="00574EDE">
        <w:tc>
          <w:tcPr>
            <w:tcW w:w="5000" w:type="pct"/>
            <w:gridSpan w:val="7"/>
            <w:shd w:val="clear" w:color="auto" w:fill="FFFFFF" w:themeFill="background1"/>
          </w:tcPr>
          <w:p w14:paraId="410B3B2D" w14:textId="77777777" w:rsidR="00F763F9" w:rsidRPr="00592520" w:rsidRDefault="00F763F9" w:rsidP="00C75449">
            <w:pPr>
              <w:pStyle w:val="TableSecondHeading"/>
              <w:rPr>
                <w:b/>
                <w:bCs/>
              </w:rPr>
            </w:pPr>
            <w:r w:rsidRPr="00592520">
              <w:rPr>
                <w:b/>
                <w:bCs/>
              </w:rPr>
              <w:t>Represented by</w:t>
            </w:r>
          </w:p>
        </w:tc>
      </w:tr>
      <w:tr w:rsidR="00574EDE" w:rsidRPr="00F763F9" w14:paraId="471D4B00" w14:textId="77777777" w:rsidTr="00574EDE">
        <w:tc>
          <w:tcPr>
            <w:tcW w:w="1007" w:type="pct"/>
          </w:tcPr>
          <w:p w14:paraId="3BF184CC" w14:textId="77777777" w:rsidR="00F763F9" w:rsidRPr="00D01F22" w:rsidRDefault="00F763F9" w:rsidP="00625DAB">
            <w:pPr>
              <w:pStyle w:val="TableTextLeft"/>
            </w:pPr>
            <w:r w:rsidRPr="00D01F22">
              <w:t>Interest costs</w:t>
            </w:r>
          </w:p>
        </w:tc>
        <w:tc>
          <w:tcPr>
            <w:tcW w:w="696" w:type="pct"/>
            <w:shd w:val="clear" w:color="auto" w:fill="FFFFFF" w:themeFill="background1"/>
          </w:tcPr>
          <w:p w14:paraId="3B8069B1" w14:textId="77777777" w:rsidR="00F763F9" w:rsidRPr="00D01F22" w:rsidRDefault="00F763F9" w:rsidP="00D01F22">
            <w:pPr>
              <w:pStyle w:val="TableTextRight"/>
            </w:pPr>
            <w:r w:rsidRPr="00AA7BFD">
              <w:t>(22,426)</w:t>
            </w:r>
          </w:p>
        </w:tc>
        <w:tc>
          <w:tcPr>
            <w:tcW w:w="760" w:type="pct"/>
            <w:shd w:val="clear" w:color="auto" w:fill="FFFFFF" w:themeFill="background1"/>
          </w:tcPr>
          <w:p w14:paraId="48636E23" w14:textId="77777777" w:rsidR="00F763F9" w:rsidRPr="00D01F22" w:rsidRDefault="00F763F9" w:rsidP="00D01F22">
            <w:pPr>
              <w:pStyle w:val="TableTextRight"/>
            </w:pPr>
            <w:r w:rsidRPr="00AA7BFD">
              <w:t>(21,346)</w:t>
            </w:r>
          </w:p>
        </w:tc>
        <w:tc>
          <w:tcPr>
            <w:tcW w:w="665" w:type="pct"/>
            <w:shd w:val="clear" w:color="auto" w:fill="FFFFFF" w:themeFill="background1"/>
          </w:tcPr>
          <w:p w14:paraId="29850F74" w14:textId="77777777" w:rsidR="00F763F9" w:rsidRPr="00D01F22" w:rsidRDefault="00F763F9" w:rsidP="00D01F22">
            <w:pPr>
              <w:pStyle w:val="TableTextRight"/>
            </w:pPr>
            <w:r w:rsidRPr="00AA7BFD">
              <w:t>(908,274)</w:t>
            </w:r>
          </w:p>
        </w:tc>
        <w:tc>
          <w:tcPr>
            <w:tcW w:w="790" w:type="pct"/>
            <w:shd w:val="clear" w:color="auto" w:fill="FFFFFF" w:themeFill="background1"/>
          </w:tcPr>
          <w:p w14:paraId="70AEADB4" w14:textId="77777777" w:rsidR="00F763F9" w:rsidRPr="00D01F22" w:rsidRDefault="00F763F9" w:rsidP="00D01F22">
            <w:pPr>
              <w:pStyle w:val="TableTextRight"/>
            </w:pPr>
            <w:r w:rsidRPr="00AA7BFD">
              <w:t>(895,911)</w:t>
            </w:r>
          </w:p>
        </w:tc>
        <w:tc>
          <w:tcPr>
            <w:tcW w:w="548" w:type="pct"/>
            <w:shd w:val="clear" w:color="auto" w:fill="FFFFFF" w:themeFill="background1"/>
          </w:tcPr>
          <w:p w14:paraId="784AC70D" w14:textId="77777777" w:rsidR="00F763F9" w:rsidRPr="00D01F22" w:rsidRDefault="00F763F9" w:rsidP="00D01F22">
            <w:pPr>
              <w:pStyle w:val="TableTextRight"/>
            </w:pPr>
            <w:r w:rsidRPr="00AA7BFD">
              <w:t>2.47</w:t>
            </w:r>
          </w:p>
        </w:tc>
        <w:tc>
          <w:tcPr>
            <w:tcW w:w="534" w:type="pct"/>
          </w:tcPr>
          <w:p w14:paraId="67C336E1" w14:textId="77777777" w:rsidR="00F763F9" w:rsidRPr="00D01F22" w:rsidRDefault="00F763F9" w:rsidP="00D01F22">
            <w:pPr>
              <w:pStyle w:val="TableTextRight"/>
            </w:pPr>
            <w:r w:rsidRPr="00AA7BFD">
              <w:t>2.39</w:t>
            </w:r>
          </w:p>
        </w:tc>
      </w:tr>
      <w:tr w:rsidR="00574EDE" w:rsidRPr="00F763F9" w14:paraId="12CF1AA9" w14:textId="77777777" w:rsidTr="00574EDE">
        <w:tc>
          <w:tcPr>
            <w:tcW w:w="1007" w:type="pct"/>
          </w:tcPr>
          <w:p w14:paraId="49D3231B" w14:textId="77777777" w:rsidR="00F763F9" w:rsidRPr="00D4224E" w:rsidRDefault="00F763F9" w:rsidP="00625DAB">
            <w:pPr>
              <w:pStyle w:val="TableTextLeft"/>
            </w:pPr>
            <w:r w:rsidRPr="00D4224E">
              <w:t>Cost of repurchases</w:t>
            </w:r>
          </w:p>
        </w:tc>
        <w:tc>
          <w:tcPr>
            <w:tcW w:w="696" w:type="pct"/>
            <w:shd w:val="clear" w:color="auto" w:fill="FFFFFF" w:themeFill="background1"/>
          </w:tcPr>
          <w:p w14:paraId="43F6900F" w14:textId="77777777" w:rsidR="00F763F9" w:rsidRPr="00D4224E" w:rsidRDefault="00F763F9" w:rsidP="00D4224E">
            <w:pPr>
              <w:pStyle w:val="TableTextRight"/>
            </w:pPr>
            <w:r w:rsidRPr="00AA7BFD">
              <w:t>(22)</w:t>
            </w:r>
          </w:p>
        </w:tc>
        <w:tc>
          <w:tcPr>
            <w:tcW w:w="760" w:type="pct"/>
            <w:shd w:val="clear" w:color="auto" w:fill="FFFFFF" w:themeFill="background1"/>
          </w:tcPr>
          <w:p w14:paraId="650173B4" w14:textId="77777777" w:rsidR="00F763F9" w:rsidRPr="00D4224E" w:rsidRDefault="00F763F9" w:rsidP="00D4224E">
            <w:pPr>
              <w:pStyle w:val="TableTextRight"/>
            </w:pPr>
            <w:r w:rsidRPr="00AA7BFD">
              <w:t>(82)</w:t>
            </w:r>
          </w:p>
        </w:tc>
        <w:tc>
          <w:tcPr>
            <w:tcW w:w="665" w:type="pct"/>
            <w:shd w:val="clear" w:color="auto" w:fill="FFFFFF" w:themeFill="background1"/>
          </w:tcPr>
          <w:p w14:paraId="03C09B95" w14:textId="77777777" w:rsidR="00F763F9" w:rsidRPr="00D4224E" w:rsidRDefault="00F763F9" w:rsidP="00D4224E">
            <w:pPr>
              <w:pStyle w:val="TableTextRight"/>
            </w:pPr>
            <w:r w:rsidRPr="00AA7BFD">
              <w:t>(908,274)</w:t>
            </w:r>
          </w:p>
        </w:tc>
        <w:tc>
          <w:tcPr>
            <w:tcW w:w="790" w:type="pct"/>
            <w:shd w:val="clear" w:color="auto" w:fill="FFFFFF" w:themeFill="background1"/>
          </w:tcPr>
          <w:p w14:paraId="0F1D58C8" w14:textId="77777777" w:rsidR="00F763F9" w:rsidRPr="00D4224E" w:rsidRDefault="00F763F9" w:rsidP="00D4224E">
            <w:pPr>
              <w:pStyle w:val="TableTextRight"/>
            </w:pPr>
            <w:r w:rsidRPr="00AA7BFD">
              <w:t>(895,911)</w:t>
            </w:r>
          </w:p>
        </w:tc>
        <w:tc>
          <w:tcPr>
            <w:tcW w:w="548" w:type="pct"/>
            <w:shd w:val="clear" w:color="auto" w:fill="FFFFFF" w:themeFill="background1"/>
          </w:tcPr>
          <w:p w14:paraId="73E3A63A" w14:textId="77777777" w:rsidR="00F763F9" w:rsidRPr="00D4224E" w:rsidRDefault="00F763F9" w:rsidP="00D4224E">
            <w:pPr>
              <w:pStyle w:val="TableTextRight"/>
            </w:pPr>
            <w:r w:rsidRPr="00D4224E">
              <w:t>0.00</w:t>
            </w:r>
          </w:p>
        </w:tc>
        <w:tc>
          <w:tcPr>
            <w:tcW w:w="534" w:type="pct"/>
          </w:tcPr>
          <w:p w14:paraId="7F6CFA66" w14:textId="77777777" w:rsidR="00F763F9" w:rsidRPr="00D4224E" w:rsidRDefault="00F763F9" w:rsidP="00D4224E">
            <w:pPr>
              <w:pStyle w:val="TableTextRight"/>
            </w:pPr>
            <w:r w:rsidRPr="00D4224E">
              <w:t>0.00</w:t>
            </w:r>
          </w:p>
        </w:tc>
      </w:tr>
      <w:tr w:rsidR="00574EDE" w:rsidRPr="00F763F9" w14:paraId="016AD74B" w14:textId="77777777" w:rsidTr="00574EDE">
        <w:tc>
          <w:tcPr>
            <w:tcW w:w="1007" w:type="pct"/>
          </w:tcPr>
          <w:p w14:paraId="2E3E85C2" w14:textId="77777777" w:rsidR="00F763F9" w:rsidRPr="00592520" w:rsidRDefault="00F763F9" w:rsidP="00625DAB">
            <w:pPr>
              <w:pStyle w:val="TableTextLeft"/>
              <w:rPr>
                <w:b/>
                <w:bCs/>
              </w:rPr>
            </w:pPr>
            <w:r w:rsidRPr="00592520">
              <w:rPr>
                <w:b/>
                <w:bCs/>
              </w:rPr>
              <w:t>Total</w:t>
            </w:r>
          </w:p>
        </w:tc>
        <w:tc>
          <w:tcPr>
            <w:tcW w:w="696" w:type="pct"/>
            <w:shd w:val="clear" w:color="auto" w:fill="FFFFFF" w:themeFill="background1"/>
          </w:tcPr>
          <w:p w14:paraId="2F9E3E71" w14:textId="77777777" w:rsidR="00F763F9" w:rsidRPr="00D4224E" w:rsidRDefault="00F763F9" w:rsidP="00D4224E">
            <w:pPr>
              <w:pStyle w:val="TableTextRight"/>
            </w:pPr>
            <w:r w:rsidRPr="00AA7BFD">
              <w:rPr>
                <w:b/>
              </w:rPr>
              <w:t>(22,448)</w:t>
            </w:r>
          </w:p>
        </w:tc>
        <w:tc>
          <w:tcPr>
            <w:tcW w:w="760" w:type="pct"/>
            <w:shd w:val="clear" w:color="auto" w:fill="FFFFFF" w:themeFill="background1"/>
          </w:tcPr>
          <w:p w14:paraId="64CE3C28" w14:textId="77777777" w:rsidR="00F763F9" w:rsidRPr="00D4224E" w:rsidRDefault="00F763F9" w:rsidP="00D4224E">
            <w:pPr>
              <w:pStyle w:val="TableTextRight"/>
            </w:pPr>
            <w:r w:rsidRPr="00AA7BFD">
              <w:rPr>
                <w:b/>
              </w:rPr>
              <w:t>(21,428)</w:t>
            </w:r>
          </w:p>
        </w:tc>
        <w:tc>
          <w:tcPr>
            <w:tcW w:w="665" w:type="pct"/>
            <w:shd w:val="clear" w:color="auto" w:fill="FFFFFF" w:themeFill="background1"/>
          </w:tcPr>
          <w:p w14:paraId="56E6B2D5" w14:textId="77777777" w:rsidR="00F763F9" w:rsidRPr="00D4224E" w:rsidRDefault="00F763F9" w:rsidP="00D4224E">
            <w:pPr>
              <w:pStyle w:val="TableTextRight"/>
            </w:pPr>
            <w:r w:rsidRPr="00AA7BFD">
              <w:rPr>
                <w:b/>
              </w:rPr>
              <w:t>(908,274)</w:t>
            </w:r>
          </w:p>
        </w:tc>
        <w:tc>
          <w:tcPr>
            <w:tcW w:w="790" w:type="pct"/>
            <w:shd w:val="clear" w:color="auto" w:fill="FFFFFF" w:themeFill="background1"/>
          </w:tcPr>
          <w:p w14:paraId="6B676939" w14:textId="77777777" w:rsidR="00F763F9" w:rsidRPr="00D4224E" w:rsidRDefault="00F763F9" w:rsidP="00D4224E">
            <w:pPr>
              <w:pStyle w:val="TableTextRight"/>
            </w:pPr>
            <w:r w:rsidRPr="00AA7BFD">
              <w:rPr>
                <w:b/>
              </w:rPr>
              <w:t>(895,911)</w:t>
            </w:r>
          </w:p>
        </w:tc>
        <w:tc>
          <w:tcPr>
            <w:tcW w:w="548" w:type="pct"/>
            <w:shd w:val="clear" w:color="auto" w:fill="FFFFFF" w:themeFill="background1"/>
          </w:tcPr>
          <w:p w14:paraId="793C935C" w14:textId="77777777" w:rsidR="00F763F9" w:rsidRPr="00D4224E" w:rsidRDefault="00F763F9" w:rsidP="00D4224E">
            <w:pPr>
              <w:pStyle w:val="TableTextRight"/>
            </w:pPr>
            <w:r w:rsidRPr="00AA7BFD">
              <w:rPr>
                <w:b/>
              </w:rPr>
              <w:t>2.47</w:t>
            </w:r>
          </w:p>
        </w:tc>
        <w:tc>
          <w:tcPr>
            <w:tcW w:w="534" w:type="pct"/>
          </w:tcPr>
          <w:p w14:paraId="23EE20BE" w14:textId="77777777" w:rsidR="00F763F9" w:rsidRPr="00D4224E" w:rsidRDefault="00F763F9" w:rsidP="00D4224E">
            <w:pPr>
              <w:pStyle w:val="TableTextRight"/>
            </w:pPr>
            <w:r w:rsidRPr="00AA7BFD">
              <w:rPr>
                <w:b/>
              </w:rPr>
              <w:t>2.39</w:t>
            </w:r>
          </w:p>
        </w:tc>
      </w:tr>
    </w:tbl>
    <w:p w14:paraId="3847C435" w14:textId="4A705A8E" w:rsidR="006B43DA" w:rsidRDefault="006B43DA" w:rsidP="00713231">
      <w:pPr>
        <w:pStyle w:val="Heading4"/>
      </w:pPr>
      <w:r w:rsidRPr="00C17995">
        <w:t>Treasury</w:t>
      </w:r>
      <w:r w:rsidRPr="004442FA">
        <w:t xml:space="preserve"> Bonds</w:t>
      </w:r>
    </w:p>
    <w:p w14:paraId="20C26146" w14:textId="475F7FF2" w:rsidR="00A511B2" w:rsidRDefault="00A511B2" w:rsidP="006B43DA">
      <w:r w:rsidRPr="00A511B2">
        <w:t xml:space="preserve">Treasury Bonds are the main instrument the AOFM </w:t>
      </w:r>
      <w:r w:rsidR="00FB4771">
        <w:t xml:space="preserve">uses </w:t>
      </w:r>
      <w:r w:rsidRPr="00A511B2">
        <w:t>to meet the government</w:t>
      </w:r>
      <w:r w:rsidR="00B84FF2">
        <w:t>’</w:t>
      </w:r>
      <w:r w:rsidRPr="00A511B2">
        <w:t xml:space="preserve">s financing requirements. </w:t>
      </w:r>
    </w:p>
    <w:p w14:paraId="11ADBE8C" w14:textId="30B1606C" w:rsidR="00A511B2" w:rsidRDefault="00A511B2" w:rsidP="006B43DA">
      <w:r w:rsidRPr="00A511B2">
        <w:t>In 202</w:t>
      </w:r>
      <w:r w:rsidR="00983C15">
        <w:t>4</w:t>
      </w:r>
      <w:r w:rsidRPr="00A511B2">
        <w:t>–2</w:t>
      </w:r>
      <w:r w:rsidR="00983C15">
        <w:t>5</w:t>
      </w:r>
      <w:r w:rsidRPr="00A511B2">
        <w:t xml:space="preserve">, </w:t>
      </w:r>
      <w:r w:rsidR="00FB4771">
        <w:t xml:space="preserve">we issued </w:t>
      </w:r>
      <w:r w:rsidRPr="00A511B2">
        <w:t>$</w:t>
      </w:r>
      <w:r w:rsidR="00F83D5E">
        <w:t>98.6</w:t>
      </w:r>
      <w:r w:rsidRPr="00A511B2">
        <w:t xml:space="preserve"> billion of Treasury Bonds, with $</w:t>
      </w:r>
      <w:r w:rsidR="00983C15">
        <w:t>72.1</w:t>
      </w:r>
      <w:r w:rsidRPr="00A511B2">
        <w:t xml:space="preserve"> billion issued by tender and $</w:t>
      </w:r>
      <w:r w:rsidR="00227EE5">
        <w:t>26.</w:t>
      </w:r>
      <w:r w:rsidRPr="00A511B2">
        <w:t>5 billion by syndication. Net issuance was $1</w:t>
      </w:r>
      <w:r w:rsidR="009A4558">
        <w:t>7</w:t>
      </w:r>
      <w:r w:rsidRPr="00A511B2">
        <w:t>.</w:t>
      </w:r>
      <w:r w:rsidR="009A4558">
        <w:t>2</w:t>
      </w:r>
      <w:r w:rsidRPr="00A511B2">
        <w:t xml:space="preserve"> billion. Issuance was </w:t>
      </w:r>
      <w:r w:rsidR="00DB50FC">
        <w:t xml:space="preserve">higher </w:t>
      </w:r>
      <w:r w:rsidRPr="00A511B2">
        <w:t>in 202</w:t>
      </w:r>
      <w:r w:rsidR="00DB50FC">
        <w:t>4</w:t>
      </w:r>
      <w:r w:rsidRPr="00A511B2">
        <w:t>–2</w:t>
      </w:r>
      <w:r w:rsidR="00DB50FC">
        <w:t>5</w:t>
      </w:r>
      <w:r w:rsidRPr="00A511B2">
        <w:t xml:space="preserve"> than in 202</w:t>
      </w:r>
      <w:r w:rsidR="00DB50FC">
        <w:t>3</w:t>
      </w:r>
      <w:r w:rsidRPr="00A511B2">
        <w:t>–2</w:t>
      </w:r>
      <w:r w:rsidR="00DB50FC">
        <w:t>4</w:t>
      </w:r>
      <w:r w:rsidR="00FB4771">
        <w:t>,</w:t>
      </w:r>
      <w:r w:rsidRPr="00A511B2">
        <w:t xml:space="preserve"> </w:t>
      </w:r>
      <w:r w:rsidR="00FB4771">
        <w:t>reflecting a greater need for</w:t>
      </w:r>
      <w:r w:rsidRPr="00A511B2">
        <w:t xml:space="preserve"> refinancing ($</w:t>
      </w:r>
      <w:r w:rsidR="0049769F">
        <w:t>82.8</w:t>
      </w:r>
      <w:r w:rsidRPr="00A511B2">
        <w:t xml:space="preserve"> billion in</w:t>
      </w:r>
      <w:r w:rsidR="00351C26">
        <w:t xml:space="preserve"> </w:t>
      </w:r>
      <w:r w:rsidRPr="00A511B2">
        <w:t>202</w:t>
      </w:r>
      <w:r w:rsidR="00386828">
        <w:t>4</w:t>
      </w:r>
      <w:r w:rsidR="000F29EF" w:rsidRPr="000F29EF">
        <w:t>–</w:t>
      </w:r>
      <w:r w:rsidR="000F29EF">
        <w:rPr>
          <w:rFonts w:ascii="Arial" w:hAnsi="Arial" w:cs="Arial"/>
        </w:rPr>
        <w:t>‍</w:t>
      </w:r>
      <w:r w:rsidRPr="00A511B2">
        <w:t>2</w:t>
      </w:r>
      <w:r w:rsidR="00386828">
        <w:t>5</w:t>
      </w:r>
      <w:r w:rsidRPr="00A511B2">
        <w:t xml:space="preserve"> compared </w:t>
      </w:r>
      <w:r w:rsidR="00BE5949">
        <w:t>with</w:t>
      </w:r>
      <w:r w:rsidRPr="00A511B2">
        <w:t xml:space="preserve"> $</w:t>
      </w:r>
      <w:r w:rsidR="0049769F">
        <w:t>35.9</w:t>
      </w:r>
      <w:r w:rsidRPr="00A511B2">
        <w:t xml:space="preserve"> billion in 202</w:t>
      </w:r>
      <w:r w:rsidR="00386828">
        <w:t>3</w:t>
      </w:r>
      <w:r w:rsidRPr="00A511B2">
        <w:t>–2</w:t>
      </w:r>
      <w:r w:rsidR="00386828">
        <w:t>4</w:t>
      </w:r>
      <w:r w:rsidRPr="00A511B2">
        <w:t xml:space="preserve">). </w:t>
      </w:r>
    </w:p>
    <w:p w14:paraId="3A065EF4" w14:textId="1257BA6D" w:rsidR="00956DE5" w:rsidRDefault="008A7512" w:rsidP="006B43DA">
      <w:r>
        <w:t xml:space="preserve">In accordance with the strategy, </w:t>
      </w:r>
      <w:r w:rsidR="00FB4771">
        <w:t>we established 2</w:t>
      </w:r>
      <w:r w:rsidR="00FB4771" w:rsidRPr="00A511B2">
        <w:t xml:space="preserve"> </w:t>
      </w:r>
      <w:r w:rsidR="00A511B2" w:rsidRPr="00A511B2">
        <w:t>new bond lines during the year</w:t>
      </w:r>
      <w:r w:rsidR="00FB4771">
        <w:t>:</w:t>
      </w:r>
      <w:r w:rsidR="00A511B2" w:rsidRPr="00A511B2">
        <w:t xml:space="preserve"> a </w:t>
      </w:r>
      <w:r w:rsidR="00A21239">
        <w:t xml:space="preserve">December 2035 </w:t>
      </w:r>
      <w:r w:rsidR="00A511B2" w:rsidRPr="00A511B2">
        <w:t>Treasury Bond</w:t>
      </w:r>
      <w:r w:rsidR="00AE56BE">
        <w:t xml:space="preserve"> and</w:t>
      </w:r>
      <w:r w:rsidR="00024071">
        <w:t xml:space="preserve"> a </w:t>
      </w:r>
      <w:r w:rsidR="008C22B5">
        <w:t>March 2036 Treasury Bond</w:t>
      </w:r>
      <w:r w:rsidR="00A511B2" w:rsidRPr="00A511B2">
        <w:t xml:space="preserve">. Both were </w:t>
      </w:r>
      <w:r w:rsidR="00FF031C">
        <w:t>launched</w:t>
      </w:r>
      <w:r w:rsidR="00A511B2" w:rsidRPr="00A511B2">
        <w:t xml:space="preserve"> by syndication, and </w:t>
      </w:r>
      <w:r w:rsidR="003158FE">
        <w:t>27</w:t>
      </w:r>
      <w:r w:rsidR="00FB4771">
        <w:t xml:space="preserve"> per cent</w:t>
      </w:r>
      <w:r w:rsidR="00FB4771" w:rsidRPr="00A511B2">
        <w:t xml:space="preserve"> </w:t>
      </w:r>
      <w:r w:rsidR="00A511B2" w:rsidRPr="00A511B2">
        <w:t xml:space="preserve">of total Treasury Bond issuance for the year was into these 2 new lines. </w:t>
      </w:r>
      <w:r w:rsidR="00A511B2" w:rsidRPr="00CB055D">
        <w:t xml:space="preserve">Chart </w:t>
      </w:r>
      <w:r w:rsidR="00BD550E" w:rsidRPr="00CB055D">
        <w:t>1</w:t>
      </w:r>
      <w:r w:rsidR="00A511B2" w:rsidRPr="00A511B2">
        <w:t xml:space="preserve"> shows</w:t>
      </w:r>
      <w:r w:rsidR="00024071">
        <w:t xml:space="preserve"> the AOFM</w:t>
      </w:r>
      <w:r w:rsidR="00B84FF2">
        <w:t>’</w:t>
      </w:r>
      <w:r w:rsidR="00024071">
        <w:t>s</w:t>
      </w:r>
      <w:r w:rsidR="00A511B2" w:rsidRPr="00A511B2">
        <w:t xml:space="preserve"> syndication and tender issuance of Treasury Bonds over the past decade.</w:t>
      </w:r>
    </w:p>
    <w:p w14:paraId="2DC15971" w14:textId="530BEF14" w:rsidR="00FD69FD" w:rsidRDefault="00290701" w:rsidP="005079EC">
      <w:pPr>
        <w:pStyle w:val="ChartMainHeading"/>
      </w:pPr>
      <w:r>
        <w:lastRenderedPageBreak/>
        <w:t>Chart 1: Treasury Bonds</w:t>
      </w:r>
      <w:r w:rsidR="00024071">
        <w:t xml:space="preserve"> – i</w:t>
      </w:r>
      <w:r>
        <w:t>ssuance</w:t>
      </w:r>
      <w:r w:rsidR="00371FE2">
        <w:t xml:space="preserve"> </w:t>
      </w:r>
      <w:r>
        <w:t>by</w:t>
      </w:r>
      <w:r w:rsidR="00371FE2">
        <w:t xml:space="preserve"> financial year</w:t>
      </w:r>
      <w:r>
        <w:t xml:space="preserve"> </w:t>
      </w:r>
    </w:p>
    <w:p w14:paraId="2D013202" w14:textId="540193C3" w:rsidR="00E32802" w:rsidRPr="005E357A" w:rsidRDefault="00DC26DD" w:rsidP="005079EC">
      <w:pPr>
        <w:pStyle w:val="ChartGraphic"/>
      </w:pPr>
      <w:r w:rsidRPr="005079EC">
        <w:rPr>
          <w:noProof/>
        </w:rPr>
        <w:drawing>
          <wp:inline distT="0" distB="0" distL="0" distR="0" wp14:anchorId="58C2806F" wp14:editId="5DBA4C3F">
            <wp:extent cx="4681855" cy="2877820"/>
            <wp:effectExtent l="0" t="0" r="4445" b="0"/>
            <wp:docPr id="288892001" name="Picture 1" descr="Chart showing Treasury Bond issuance by syndication and by tender over the last ten financial years. During this time the yearly volume of issuance by tender has consistently been greater than the yearly volume of issuance by syndication. In 2024-25 $72.1 billion was issued by tender and $26.5 billion by syn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92001" name="Picture 1" descr="Chart showing Treasury Bond issuance by syndication and by tender over the last ten financial years. During this time the yearly volume of issuance by tender has consistently been greater than the yearly volume of issuance by syndication. In 2024-25 $72.1 billion was issued by tender and $26.5 billion by syndicat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81855" cy="2877820"/>
                    </a:xfrm>
                    <a:prstGeom prst="rect">
                      <a:avLst/>
                    </a:prstGeom>
                    <a:noFill/>
                  </pic:spPr>
                </pic:pic>
              </a:graphicData>
            </a:graphic>
          </wp:inline>
        </w:drawing>
      </w:r>
    </w:p>
    <w:p w14:paraId="1EE4BECE" w14:textId="2D0D9B1C" w:rsidR="00C42CCD" w:rsidRDefault="00956DE5" w:rsidP="00DF31C0">
      <w:r w:rsidRPr="00956DE5">
        <w:t xml:space="preserve">Treasury Bond tenders were held most weeks. Issuance by tender was concentrated in bonds that will mature in </w:t>
      </w:r>
      <w:r>
        <w:t>9</w:t>
      </w:r>
      <w:r w:rsidRPr="00956DE5">
        <w:t xml:space="preserve"> to 12 years. At the end of 202</w:t>
      </w:r>
      <w:r w:rsidR="009A6E36">
        <w:t>4</w:t>
      </w:r>
      <w:r w:rsidRPr="00956DE5">
        <w:t>–2</w:t>
      </w:r>
      <w:r w:rsidR="009A6E36">
        <w:t>5</w:t>
      </w:r>
      <w:r w:rsidRPr="00956DE5">
        <w:t xml:space="preserve">, </w:t>
      </w:r>
      <w:r w:rsidR="00EB0CC0">
        <w:t>29</w:t>
      </w:r>
      <w:r w:rsidRPr="00956DE5">
        <w:t xml:space="preserve"> Treasury Bond lines were on issue</w:t>
      </w:r>
      <w:r w:rsidR="00024071">
        <w:t xml:space="preserve">; 8 </w:t>
      </w:r>
      <w:r w:rsidRPr="00956DE5">
        <w:t xml:space="preserve">lines had more than $40 billion on issue and a further </w:t>
      </w:r>
      <w:r w:rsidR="00E32802">
        <w:t>7</w:t>
      </w:r>
      <w:r w:rsidRPr="00956DE5">
        <w:t xml:space="preserve"> had more than $30 billion on issue. One Green Treasury Bond line was on issue. Chart </w:t>
      </w:r>
      <w:r w:rsidR="00603665" w:rsidRPr="004505C0">
        <w:t>2</w:t>
      </w:r>
      <w:r w:rsidRPr="00956DE5">
        <w:t xml:space="preserve"> shows Treasury Bonds on issue as </w:t>
      </w:r>
      <w:proofErr w:type="gramStart"/>
      <w:r w:rsidRPr="00956DE5">
        <w:t>at</w:t>
      </w:r>
      <w:proofErr w:type="gramEnd"/>
      <w:r w:rsidRPr="00956DE5">
        <w:t xml:space="preserve"> 30 June 202</w:t>
      </w:r>
      <w:r w:rsidR="001726CF">
        <w:t>5</w:t>
      </w:r>
      <w:r w:rsidR="00024071">
        <w:t>,</w:t>
      </w:r>
      <w:r w:rsidRPr="00956DE5">
        <w:t xml:space="preserve"> and the allocation of issuance during the</w:t>
      </w:r>
      <w:r w:rsidR="00AE634A">
        <w:t> </w:t>
      </w:r>
      <w:r w:rsidRPr="00956DE5">
        <w:t>year.</w:t>
      </w:r>
    </w:p>
    <w:p w14:paraId="2FA559D3" w14:textId="77777777" w:rsidR="002A08C3" w:rsidRDefault="00C42CCD" w:rsidP="00F51B5B">
      <w:pPr>
        <w:pStyle w:val="ChartMainHeading"/>
      </w:pPr>
      <w:r w:rsidRPr="0052122F">
        <w:lastRenderedPageBreak/>
        <w:t xml:space="preserve">Chart 2: </w:t>
      </w:r>
      <w:r w:rsidRPr="005079EC">
        <w:t>Treasury</w:t>
      </w:r>
      <w:r w:rsidRPr="0052122F">
        <w:t xml:space="preserve"> Bonds outstanding as </w:t>
      </w:r>
      <w:proofErr w:type="gramStart"/>
      <w:r w:rsidRPr="0052122F">
        <w:t>at</w:t>
      </w:r>
      <w:proofErr w:type="gramEnd"/>
      <w:r w:rsidRPr="0052122F">
        <w:t xml:space="preserve"> 30 June 2025, and issuance </w:t>
      </w:r>
    </w:p>
    <w:p w14:paraId="2516C1F9" w14:textId="7668DAF8" w:rsidR="003C5218" w:rsidRPr="005E357A" w:rsidRDefault="00C42CCD" w:rsidP="002A08C3">
      <w:pPr>
        <w:pStyle w:val="ChartMainHeading"/>
        <w:spacing w:before="0"/>
      </w:pPr>
      <w:r w:rsidRPr="002A08C3">
        <w:t>during 2024–25</w:t>
      </w:r>
      <w:r w:rsidR="003C5218" w:rsidRPr="005079EC">
        <w:rPr>
          <w:noProof/>
        </w:rPr>
        <w:drawing>
          <wp:inline distT="0" distB="0" distL="0" distR="0" wp14:anchorId="10356CEE" wp14:editId="7B8B62DD">
            <wp:extent cx="4711700" cy="2901472"/>
            <wp:effectExtent l="0" t="0" r="0" b="0"/>
            <wp:docPr id="1924950556" name="Picture 1" descr="Stacked bar chart showing Treasury Bonds outstanding as at 30 June 2025 and issuance during 2024-25 by bond line. During the year two new bond lines were established including a December 2035 Treasury Bond and March 2036 Treasury Bond.">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50556" name="Picture 1" descr="Stacked bar chart showing Treasury Bonds outstanding as at 30 June 2025 and issuance during 2024-25 by bond line. During the year two new bond lines were established including a December 2035 Treasury Bond and March 2036 Treasury Bond.">
                      <a:extLst>
                        <a:ext uri="{FF2B5EF4-FFF2-40B4-BE49-F238E27FC236}">
                          <a16:creationId xmlns:a16="http://schemas.microsoft.com/office/drawing/2014/main" id="{00000000-0008-0000-0100-000002000000}"/>
                        </a:ext>
                      </a:extLst>
                    </pic:cNvPr>
                    <pic:cNvPicPr>
                      <a:picLocks noChangeAspect="1"/>
                    </pic:cNvPicPr>
                  </pic:nvPicPr>
                  <pic:blipFill>
                    <a:blip r:embed="rId66"/>
                    <a:stretch>
                      <a:fillRect/>
                    </a:stretch>
                  </pic:blipFill>
                  <pic:spPr>
                    <a:xfrm>
                      <a:off x="0" y="0"/>
                      <a:ext cx="4713722" cy="2902717"/>
                    </a:xfrm>
                    <a:prstGeom prst="rect">
                      <a:avLst/>
                    </a:prstGeom>
                  </pic:spPr>
                </pic:pic>
              </a:graphicData>
            </a:graphic>
          </wp:inline>
        </w:drawing>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716FD7" w14:paraId="759B443F" w14:textId="77777777" w:rsidTr="004348DF">
        <w:tc>
          <w:tcPr>
            <w:tcW w:w="7700" w:type="dxa"/>
            <w:tcBorders>
              <w:bottom w:val="single" w:sz="24" w:space="0" w:color="472978" w:themeColor="accent1"/>
            </w:tcBorders>
            <w:shd w:val="clear" w:color="auto" w:fill="E7DCF7" w:themeFill="text2" w:themeFillTint="1A"/>
          </w:tcPr>
          <w:p w14:paraId="367AAEBB" w14:textId="04DBB575" w:rsidR="00716FD7" w:rsidRDefault="0052122F" w:rsidP="005E6217">
            <w:pPr>
              <w:pStyle w:val="Boxheading"/>
            </w:pPr>
            <w:r>
              <w:br w:type="page"/>
            </w:r>
            <w:r w:rsidR="00716FD7" w:rsidRPr="00716FD7">
              <w:t>Green Treasury Bonds</w:t>
            </w:r>
          </w:p>
          <w:p w14:paraId="0DF40FA2" w14:textId="77777777" w:rsidR="00716FD7" w:rsidRDefault="00716FD7" w:rsidP="00716FD7">
            <w:pPr>
              <w:pStyle w:val="BoxText"/>
            </w:pPr>
            <w:r>
              <w:t xml:space="preserve">Green Treasury Bonds are identical to standard Treasury Bonds, except that the proceeds of issuance are allocated to eligible ‘green’ expenditures. These must align strongly with one or more of the program’s 3 key green goals: </w:t>
            </w:r>
          </w:p>
          <w:p w14:paraId="6708738B" w14:textId="77777777" w:rsidR="00716FD7" w:rsidRPr="0055236E" w:rsidRDefault="00716FD7" w:rsidP="00986E84">
            <w:pPr>
              <w:pStyle w:val="Boxbullet0"/>
            </w:pPr>
            <w:r w:rsidRPr="0055236E">
              <w:t xml:space="preserve">climate change mitigation </w:t>
            </w:r>
          </w:p>
          <w:p w14:paraId="4A459674" w14:textId="77777777" w:rsidR="00716FD7" w:rsidRPr="0055236E" w:rsidRDefault="00716FD7" w:rsidP="00986E84">
            <w:pPr>
              <w:pStyle w:val="Boxbullet0"/>
            </w:pPr>
            <w:r w:rsidRPr="0055236E">
              <w:t xml:space="preserve">climate change adaptation </w:t>
            </w:r>
          </w:p>
          <w:p w14:paraId="6AA9BCC0" w14:textId="77777777" w:rsidR="00716FD7" w:rsidRDefault="00716FD7" w:rsidP="00986E84">
            <w:pPr>
              <w:pStyle w:val="Boxbullet0"/>
            </w:pPr>
            <w:r w:rsidRPr="0055236E">
              <w:t>improved environmental outcomes.</w:t>
            </w:r>
          </w:p>
          <w:p w14:paraId="0CBAFF13" w14:textId="28EF0882" w:rsidR="00716FD7" w:rsidRDefault="00716FD7" w:rsidP="00716FD7">
            <w:pPr>
              <w:pStyle w:val="BoxText"/>
            </w:pPr>
            <w:r>
              <w:t>In 2024</w:t>
            </w:r>
            <w:r>
              <w:rPr>
                <w:lang w:val="en-US"/>
              </w:rPr>
              <w:t>–25, the AOFM issued $2</w:t>
            </w:r>
            <w:r>
              <w:t xml:space="preserve"> billion dollars of Green Treasury Bonds, all through tenders of the existing June 2034 line. The size of the line grew from $7</w:t>
            </w:r>
            <w:r w:rsidR="00351C26">
              <w:t> </w:t>
            </w:r>
            <w:r>
              <w:t>billion to $9 billion. Tender results were consistently positive, with bids for around 5</w:t>
            </w:r>
            <w:r w:rsidR="00351C26">
              <w:t> </w:t>
            </w:r>
            <w:r>
              <w:t>times the amount of bonds issued at each tender.</w:t>
            </w:r>
          </w:p>
          <w:p w14:paraId="7CD82FE6" w14:textId="77777777" w:rsidR="00716FD7" w:rsidRDefault="00716FD7" w:rsidP="00716FD7">
            <w:pPr>
              <w:pStyle w:val="BoxText"/>
            </w:pPr>
            <w:r>
              <w:t>The first Australian Government Green Treasury Bond Allocation and Impact Report was published in February 2025. The report details how proceeds of the first Green Treasury Bond issue were allocated to eligible Australian Government expenditures (Chart 3). Climate and environmental impacts of the expenditures are also described. The ‘Report on a page’ provides a short summary of the report.</w:t>
            </w:r>
          </w:p>
          <w:p w14:paraId="38D84258" w14:textId="77777777" w:rsidR="00716FD7" w:rsidRPr="00A55757" w:rsidRDefault="00716FD7" w:rsidP="00716FD7">
            <w:pPr>
              <w:pStyle w:val="ChartMainHeading"/>
            </w:pPr>
            <w:r w:rsidRPr="00716FD7">
              <w:lastRenderedPageBreak/>
              <w:t>Chart</w:t>
            </w:r>
            <w:r w:rsidRPr="00A55757">
              <w:t xml:space="preserve"> 3: Allocations to the 3 green goals</w:t>
            </w:r>
          </w:p>
          <w:p w14:paraId="32F4D4FA" w14:textId="7507CB6E" w:rsidR="00716FD7" w:rsidRPr="00E01870" w:rsidRDefault="00716FD7" w:rsidP="00E01870">
            <w:pPr>
              <w:pStyle w:val="ChartGraphic"/>
              <w:jc w:val="left"/>
            </w:pPr>
            <w:r w:rsidRPr="00E01870">
              <w:rPr>
                <w:noProof/>
              </w:rPr>
              <w:drawing>
                <wp:inline distT="0" distB="0" distL="0" distR="0" wp14:anchorId="24555A47" wp14:editId="5CFCB313">
                  <wp:extent cx="4316095" cy="2648585"/>
                  <wp:effectExtent l="0" t="0" r="0" b="0"/>
                  <wp:docPr id="1167255099" name="Picture 2" descr="Pie chart showing how proceeds from the first Green Treasury Bond issue were allocated to eligible Australian Government expenditures. Proceeds were allocated 78% to climate change mitigation, 18% to improved environmental outcomes, and 4% to climate change adaptation.   ">
                    <a:extLst xmlns:a="http://schemas.openxmlformats.org/drawingml/2006/main">
                      <a:ext uri="{FF2B5EF4-FFF2-40B4-BE49-F238E27FC236}">
                        <a16:creationId xmlns:a16="http://schemas.microsoft.com/office/drawing/2014/main" id="{7F36CB5E-6EAF-B8B9-EB10-29D870EBA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55099" name="Picture 2" descr="Pie chart showing how proceeds from the first Green Treasury Bond issue were allocated to eligible Australian Government expenditures. Proceeds were allocated 78% to climate change mitigation, 18% to improved environmental outcomes, and 4% to climate change adaptation.   ">
                            <a:extLst>
                              <a:ext uri="{FF2B5EF4-FFF2-40B4-BE49-F238E27FC236}">
                                <a16:creationId xmlns:a16="http://schemas.microsoft.com/office/drawing/2014/main" id="{7F36CB5E-6EAF-B8B9-EB10-29D870EBAD90}"/>
                              </a:ext>
                            </a:extLst>
                          </pic:cNvPr>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316095" cy="2648585"/>
                          </a:xfrm>
                          <a:prstGeom prst="rect">
                            <a:avLst/>
                          </a:prstGeom>
                          <a:noFill/>
                          <a:ln>
                            <a:noFill/>
                          </a:ln>
                        </pic:spPr>
                      </pic:pic>
                    </a:graphicData>
                  </a:graphic>
                </wp:inline>
              </w:drawing>
            </w:r>
          </w:p>
        </w:tc>
      </w:tr>
    </w:tbl>
    <w:p w14:paraId="22BBC9B1" w14:textId="77777777" w:rsidR="00994093" w:rsidRDefault="00994093" w:rsidP="00994093">
      <w:pPr>
        <w:pStyle w:val="SingleReturn"/>
      </w:pPr>
    </w:p>
    <w:p w14:paraId="21270CA2" w14:textId="5297C05E" w:rsidR="00E60D59" w:rsidRDefault="00E60D59" w:rsidP="00E60D59">
      <w:r>
        <w:t xml:space="preserve">The debt servicing cost of Treasury Bonds was </w:t>
      </w:r>
      <w:r w:rsidR="00736FBF">
        <w:t>2.40</w:t>
      </w:r>
      <w:r w:rsidR="00351C26">
        <w:t> </w:t>
      </w:r>
      <w:r w:rsidR="00E21E5D">
        <w:t>per</w:t>
      </w:r>
      <w:r w:rsidR="00351C26">
        <w:t> </w:t>
      </w:r>
      <w:r w:rsidR="00E21E5D">
        <w:t>cent</w:t>
      </w:r>
      <w:r>
        <w:t xml:space="preserve"> in 2024</w:t>
      </w:r>
      <w:r w:rsidR="00024071">
        <w:t>–</w:t>
      </w:r>
      <w:r>
        <w:t>25</w:t>
      </w:r>
      <w:r w:rsidR="00024071">
        <w:t>,</w:t>
      </w:r>
      <w:r w:rsidR="002E6984">
        <w:t xml:space="preserve"> </w:t>
      </w:r>
      <w:r w:rsidR="00736FBF">
        <w:t>21</w:t>
      </w:r>
      <w:r w:rsidR="00351C26">
        <w:t> </w:t>
      </w:r>
      <w:r w:rsidR="002E6984">
        <w:t>basis points ($</w:t>
      </w:r>
      <w:r w:rsidR="00736FBF">
        <w:t>2.0</w:t>
      </w:r>
      <w:r w:rsidR="00BE5949">
        <w:t> </w:t>
      </w:r>
      <w:r w:rsidR="002E6984">
        <w:t>billion) higher than in 2023</w:t>
      </w:r>
      <w:r w:rsidR="00024071">
        <w:t>–</w:t>
      </w:r>
      <w:r w:rsidR="002E6984">
        <w:t>24</w:t>
      </w:r>
      <w:r w:rsidR="002A2225">
        <w:t>.</w:t>
      </w:r>
    </w:p>
    <w:p w14:paraId="76A344A2" w14:textId="1C2491E5" w:rsidR="003471A5" w:rsidRDefault="003471A5" w:rsidP="008A6FE3">
      <w:r>
        <w:t xml:space="preserve">Chart </w:t>
      </w:r>
      <w:r w:rsidR="004D4B28" w:rsidRPr="0074523B">
        <w:t>4</w:t>
      </w:r>
      <w:r>
        <w:t xml:space="preserve"> shows the Treasury Bond portfolio (as </w:t>
      </w:r>
      <w:proofErr w:type="gramStart"/>
      <w:r>
        <w:t>at</w:t>
      </w:r>
      <w:proofErr w:type="gramEnd"/>
      <w:r>
        <w:t xml:space="preserve"> 30 June 2025) </w:t>
      </w:r>
      <w:r w:rsidR="000B20E9">
        <w:t>by the financial year in which the bonds were issued, and the average issuance yield for each year</w:t>
      </w:r>
      <w:r w:rsidR="000B4E1E">
        <w:t xml:space="preserve">. The average yield for Treasury Bond issuance </w:t>
      </w:r>
      <w:r w:rsidR="008167A8">
        <w:t xml:space="preserve">has risen over recent years and was around </w:t>
      </w:r>
      <w:r w:rsidR="00063CC4" w:rsidRPr="00B120C2">
        <w:t>4</w:t>
      </w:r>
      <w:r w:rsidR="008167A8" w:rsidRPr="00B120C2">
        <w:t>.</w:t>
      </w:r>
      <w:r w:rsidR="00063CC4" w:rsidRPr="00B120C2">
        <w:t>2</w:t>
      </w:r>
      <w:r w:rsidR="00716FD7">
        <w:t> </w:t>
      </w:r>
      <w:r w:rsidR="00024071" w:rsidRPr="00B120C2">
        <w:t>per</w:t>
      </w:r>
      <w:r w:rsidR="00716FD7">
        <w:t> </w:t>
      </w:r>
      <w:r w:rsidR="00024071">
        <w:t xml:space="preserve">cent </w:t>
      </w:r>
      <w:r w:rsidR="008167A8">
        <w:t>in 2024</w:t>
      </w:r>
      <w:r w:rsidR="000F29EF" w:rsidRPr="000F29EF">
        <w:t>–</w:t>
      </w:r>
      <w:r w:rsidR="008167A8">
        <w:t>25.</w:t>
      </w:r>
    </w:p>
    <w:p w14:paraId="53523EAE" w14:textId="2A43D072" w:rsidR="003153A9" w:rsidRDefault="003153A9" w:rsidP="00716FD7">
      <w:pPr>
        <w:pStyle w:val="ChartMainHeading"/>
      </w:pPr>
      <w:r>
        <w:lastRenderedPageBreak/>
        <w:t xml:space="preserve">Chart 4: </w:t>
      </w:r>
      <w:r w:rsidR="00E40B51" w:rsidRPr="00716FD7">
        <w:t>Treasury</w:t>
      </w:r>
      <w:r w:rsidR="00E40B51">
        <w:t xml:space="preserve"> Bond portfolio and average yield by issuance</w:t>
      </w:r>
      <w:r w:rsidR="0029720C">
        <w:t xml:space="preserve"> year</w:t>
      </w:r>
    </w:p>
    <w:p w14:paraId="60ACCDF7" w14:textId="34C9F697" w:rsidR="007920B1" w:rsidRPr="005E357A" w:rsidRDefault="007920B1" w:rsidP="00716FD7">
      <w:pPr>
        <w:pStyle w:val="ChartGraphic"/>
      </w:pPr>
      <w:r>
        <w:rPr>
          <w:noProof/>
        </w:rPr>
        <w:drawing>
          <wp:inline distT="0" distB="0" distL="0" distR="0" wp14:anchorId="4305D70C" wp14:editId="558A09D1">
            <wp:extent cx="4680000" cy="2880000"/>
            <wp:effectExtent l="0" t="0" r="6350" b="0"/>
            <wp:docPr id="537200989" name="Picture 1" descr="Chart showing the Treasury Bond portfolio on 30 June 2025 by the financial year in which the bonds were issued (in face value terms) as bars and the average yield of issuance by year as points. Average yield of issuance was lowest in 2020-21 at around 1.1% increasing to around 4.2% in 2024-25.">
              <a:extLst xmlns:a="http://schemas.openxmlformats.org/drawingml/2006/main">
                <a:ext uri="{FF2B5EF4-FFF2-40B4-BE49-F238E27FC236}">
                  <a16:creationId xmlns:a16="http://schemas.microsoft.com/office/drawing/2014/main" id="{00000000-0008-0000-04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00989" name="Picture 1" descr="Chart showing the Treasury Bond portfolio on 30 June 2025 by the financial year in which the bonds were issued (in face value terms) as bars and the average yield of issuance by year as points. Average yield of issuance was lowest in 2020-21 at around 1.1% increasing to around 4.2% in 2024-25.">
                      <a:extLst>
                        <a:ext uri="{FF2B5EF4-FFF2-40B4-BE49-F238E27FC236}">
                          <a16:creationId xmlns:a16="http://schemas.microsoft.com/office/drawing/2014/main" id="{00000000-0008-0000-0400-000002000000}"/>
                        </a:ext>
                      </a:extLst>
                    </pic:cNvPr>
                    <pic:cNvPicPr>
                      <a:picLocks noChangeAspect="1"/>
                    </pic:cNvPicPr>
                  </pic:nvPicPr>
                  <pic:blipFill>
                    <a:blip r:embed="rId68"/>
                    <a:stretch>
                      <a:fillRect/>
                    </a:stretch>
                  </pic:blipFill>
                  <pic:spPr>
                    <a:xfrm>
                      <a:off x="0" y="0"/>
                      <a:ext cx="4680000" cy="2880000"/>
                    </a:xfrm>
                    <a:prstGeom prst="rect">
                      <a:avLst/>
                    </a:prstGeom>
                  </pic:spPr>
                </pic:pic>
              </a:graphicData>
            </a:graphic>
          </wp:inline>
        </w:drawing>
      </w:r>
    </w:p>
    <w:p w14:paraId="3AF64206" w14:textId="555714EA" w:rsidR="002F13B5" w:rsidRDefault="00C35663" w:rsidP="008A6FE3">
      <w:r>
        <w:t xml:space="preserve">The average maturity of the Treasury Bond portfolio </w:t>
      </w:r>
      <w:r w:rsidR="008A38B8">
        <w:t xml:space="preserve">declined to </w:t>
      </w:r>
      <w:r w:rsidR="007920B1">
        <w:t>6.</w:t>
      </w:r>
      <w:r w:rsidR="00DC01A9">
        <w:t>5</w:t>
      </w:r>
      <w:r w:rsidR="008A38B8">
        <w:t xml:space="preserve"> years in 2024</w:t>
      </w:r>
      <w:r w:rsidR="00024071">
        <w:t>–</w:t>
      </w:r>
      <w:r w:rsidR="008A38B8">
        <w:t xml:space="preserve">25 (see Chart </w:t>
      </w:r>
      <w:r w:rsidR="004F45AC">
        <w:t>5</w:t>
      </w:r>
      <w:r w:rsidR="005B5971">
        <w:t>, book value weighted</w:t>
      </w:r>
      <w:r w:rsidR="008A38B8">
        <w:t>).</w:t>
      </w:r>
    </w:p>
    <w:p w14:paraId="08CA27A8" w14:textId="77777777" w:rsidR="002F13B5" w:rsidRDefault="002F13B5">
      <w:pPr>
        <w:spacing w:after="0" w:line="240" w:lineRule="auto"/>
      </w:pPr>
      <w:r>
        <w:br w:type="page"/>
      </w:r>
    </w:p>
    <w:p w14:paraId="34830A31" w14:textId="01B9D7E3" w:rsidR="00D52599" w:rsidRDefault="00D52599" w:rsidP="00965404">
      <w:pPr>
        <w:pStyle w:val="ChartMainHeading"/>
      </w:pPr>
      <w:r>
        <w:lastRenderedPageBreak/>
        <w:t>Chart 5: Treasury Bond portfolio average maturity and cost of funds</w:t>
      </w:r>
    </w:p>
    <w:p w14:paraId="2C1C358C" w14:textId="2CD4B02F" w:rsidR="0043575F" w:rsidRPr="005E357A" w:rsidRDefault="0043575F" w:rsidP="00716FD7">
      <w:pPr>
        <w:pStyle w:val="ChartGraphic"/>
      </w:pPr>
      <w:r>
        <w:rPr>
          <w:noProof/>
        </w:rPr>
        <w:drawing>
          <wp:inline distT="0" distB="0" distL="0" distR="0" wp14:anchorId="7677C1A7" wp14:editId="745C2F50">
            <wp:extent cx="4756947" cy="2927350"/>
            <wp:effectExtent l="0" t="0" r="5715" b="6350"/>
            <wp:docPr id="600279429" name="Picture 2" descr="Chart showing the Treasury Bond portfolio weighted average maturity in years and the cost of funds in per cent over the last ten financial years. In the financial year ending 30 June 2025 the weighted average maturity of the Treasury Bond portfolio decreased slightly to around 6.5 years.">
              <a:extLst xmlns:a="http://schemas.openxmlformats.org/drawingml/2006/main">
                <a:ext uri="{FF2B5EF4-FFF2-40B4-BE49-F238E27FC236}">
                  <a16:creationId xmlns:a16="http://schemas.microsoft.com/office/drawing/2014/main" id="{394B3915-2C73-4068-B7FF-2EDCC19383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79429" name="Picture 2" descr="Chart showing the Treasury Bond portfolio weighted average maturity in years and the cost of funds in per cent over the last ten financial years. In the financial year ending 30 June 2025 the weighted average maturity of the Treasury Bond portfolio decreased slightly to around 6.5 years.">
                      <a:extLst>
                        <a:ext uri="{FF2B5EF4-FFF2-40B4-BE49-F238E27FC236}">
                          <a16:creationId xmlns:a16="http://schemas.microsoft.com/office/drawing/2014/main" id="{394B3915-2C73-4068-B7FF-2EDCC1938301}"/>
                        </a:ext>
                      </a:extLst>
                    </pic:cNvPr>
                    <pic:cNvPicPr>
                      <a:picLocks noChangeAspect="1"/>
                    </pic:cNvPicPr>
                  </pic:nvPicPr>
                  <pic:blipFill>
                    <a:blip r:embed="rId69"/>
                    <a:stretch>
                      <a:fillRect/>
                    </a:stretch>
                  </pic:blipFill>
                  <pic:spPr>
                    <a:xfrm>
                      <a:off x="0" y="0"/>
                      <a:ext cx="4797081" cy="2952048"/>
                    </a:xfrm>
                    <a:prstGeom prst="rect">
                      <a:avLst/>
                    </a:prstGeom>
                  </pic:spPr>
                </pic:pic>
              </a:graphicData>
            </a:graphic>
          </wp:inline>
        </w:drawing>
      </w:r>
    </w:p>
    <w:p w14:paraId="477B6F37" w14:textId="39FDF991" w:rsidR="008A38B8" w:rsidRDefault="008A38B8" w:rsidP="008A6FE3">
      <w:r>
        <w:t xml:space="preserve">The </w:t>
      </w:r>
      <w:r w:rsidR="00B0269C">
        <w:t>Treasury Bond portfolio</w:t>
      </w:r>
      <w:r w:rsidR="00B84FF2">
        <w:t>’</w:t>
      </w:r>
      <w:r w:rsidR="00B0269C">
        <w:t xml:space="preserve">s risk levels in terms of exposure to future refinancing are shown in Chart </w:t>
      </w:r>
      <w:r w:rsidR="00816976">
        <w:t>6</w:t>
      </w:r>
      <w:r w:rsidR="00B0269C">
        <w:t xml:space="preserve">. As </w:t>
      </w:r>
      <w:proofErr w:type="gramStart"/>
      <w:r w:rsidR="00B0269C">
        <w:t>at</w:t>
      </w:r>
      <w:proofErr w:type="gramEnd"/>
      <w:r w:rsidR="00B0269C">
        <w:t xml:space="preserve"> 30 June 2025, the portfolio was structured with </w:t>
      </w:r>
      <w:r w:rsidR="005D30A0" w:rsidRPr="00D20322">
        <w:t>27</w:t>
      </w:r>
      <w:r w:rsidR="0064563D">
        <w:t xml:space="preserve"> per cent </w:t>
      </w:r>
      <w:r w:rsidR="00F53008">
        <w:t xml:space="preserve">and </w:t>
      </w:r>
      <w:r w:rsidR="005D30A0">
        <w:t>46</w:t>
      </w:r>
      <w:r w:rsidR="0064563D">
        <w:t xml:space="preserve"> per cent </w:t>
      </w:r>
      <w:r w:rsidR="00F53008">
        <w:t xml:space="preserve">of bonds </w:t>
      </w:r>
      <w:r w:rsidR="00F34517">
        <w:t xml:space="preserve">needing </w:t>
      </w:r>
      <w:r w:rsidR="00F53008">
        <w:t xml:space="preserve">to be refinanced over the </w:t>
      </w:r>
      <w:r w:rsidR="000B7D85">
        <w:t xml:space="preserve">next 3 and 5 years respectively. </w:t>
      </w:r>
    </w:p>
    <w:p w14:paraId="6025E787" w14:textId="57F05777" w:rsidR="00A76B50" w:rsidRDefault="00A76B50" w:rsidP="00A76B50">
      <w:pPr>
        <w:pStyle w:val="ChartMainHeading"/>
      </w:pPr>
      <w:r>
        <w:t xml:space="preserve">Chart </w:t>
      </w:r>
      <w:r w:rsidR="00816976">
        <w:t>6: Treasury Bond portfolio – maturity profile</w:t>
      </w:r>
    </w:p>
    <w:p w14:paraId="77E33427" w14:textId="1FFAF03C" w:rsidR="00264C9D" w:rsidRDefault="005E258E" w:rsidP="00716FD7">
      <w:pPr>
        <w:pStyle w:val="ChartGraphic"/>
      </w:pPr>
      <w:r>
        <w:rPr>
          <w:noProof/>
        </w:rPr>
        <w:drawing>
          <wp:inline distT="0" distB="0" distL="0" distR="0" wp14:anchorId="3125953F" wp14:editId="48C7E246">
            <wp:extent cx="4860000" cy="2880000"/>
            <wp:effectExtent l="0" t="0" r="0" b="0"/>
            <wp:docPr id="1164160487" name="Picture 1" descr="Stacked bar chart showing the Treasury Bond portfolio in each of the last ten financial years grouped by years to maturity (less than 3 years, between 3 and 5 years, and other) and lines showing the proportion of the portfolio maturing within 3 years and within 5 years.  ">
              <a:extLst xmlns:a="http://schemas.openxmlformats.org/drawingml/2006/main">
                <a:ext uri="{FF2B5EF4-FFF2-40B4-BE49-F238E27FC236}">
                  <a16:creationId xmlns:a16="http://schemas.microsoft.com/office/drawing/2014/main" id="{00000000-0008-0000-06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60487" name="Picture 1" descr="Stacked bar chart showing the Treasury Bond portfolio in each of the last ten financial years grouped by years to maturity (less than 3 years, between 3 and 5 years, and other) and lines showing the proportion of the portfolio maturing within 3 years and within 5 years.  ">
                      <a:extLst>
                        <a:ext uri="{FF2B5EF4-FFF2-40B4-BE49-F238E27FC236}">
                          <a16:creationId xmlns:a16="http://schemas.microsoft.com/office/drawing/2014/main" id="{00000000-0008-0000-0600-000002000000}"/>
                        </a:ext>
                      </a:extLst>
                    </pic:cNvPr>
                    <pic:cNvPicPr>
                      <a:picLocks noChangeAspect="1"/>
                    </pic:cNvPicPr>
                  </pic:nvPicPr>
                  <pic:blipFill>
                    <a:blip r:embed="rId70"/>
                    <a:stretch>
                      <a:fillRect/>
                    </a:stretch>
                  </pic:blipFill>
                  <pic:spPr>
                    <a:xfrm>
                      <a:off x="0" y="0"/>
                      <a:ext cx="4860000" cy="2880000"/>
                    </a:xfrm>
                    <a:prstGeom prst="rect">
                      <a:avLst/>
                    </a:prstGeom>
                  </pic:spPr>
                </pic:pic>
              </a:graphicData>
            </a:graphic>
          </wp:inline>
        </w:drawing>
      </w:r>
    </w:p>
    <w:p w14:paraId="08CF9660" w14:textId="78DEF2F4" w:rsidR="009477F1" w:rsidRDefault="009477F1" w:rsidP="00E60D59">
      <w:r w:rsidRPr="009477F1">
        <w:lastRenderedPageBreak/>
        <w:t>More than half of all outstanding Treasury Bonds were issued with an original maturity of 9</w:t>
      </w:r>
      <w:r w:rsidR="00F34517">
        <w:t xml:space="preserve"> to </w:t>
      </w:r>
      <w:r w:rsidRPr="009477F1">
        <w:t xml:space="preserve">12 years (see </w:t>
      </w:r>
      <w:r w:rsidRPr="00EE634B">
        <w:t xml:space="preserve">Chart </w:t>
      </w:r>
      <w:r w:rsidR="00715B88" w:rsidRPr="00EE634B">
        <w:t>7</w:t>
      </w:r>
      <w:r w:rsidRPr="00EE634B">
        <w:t>).</w:t>
      </w:r>
      <w:r w:rsidRPr="009477F1">
        <w:t xml:space="preserve"> </w:t>
      </w:r>
    </w:p>
    <w:p w14:paraId="4E1CBC8C" w14:textId="66C3B732" w:rsidR="00DE7F09" w:rsidRDefault="009477F1" w:rsidP="008A6FE3">
      <w:r w:rsidRPr="009477F1">
        <w:t>The concentration of issuance into longer</w:t>
      </w:r>
      <w:r w:rsidR="00B84FF2">
        <w:noBreakHyphen/>
      </w:r>
      <w:r w:rsidRPr="009477F1">
        <w:t>maturity bonds reflects the AOFM</w:t>
      </w:r>
      <w:r w:rsidR="00B84FF2">
        <w:t>’</w:t>
      </w:r>
      <w:r w:rsidRPr="009477F1">
        <w:t>s issuance bias. This has contributed significantly to diversifying the investor base and reducing refinancing risks and potential variability in interest cost outcomes.</w:t>
      </w:r>
    </w:p>
    <w:p w14:paraId="4B9B2A78" w14:textId="3F2ADE0B" w:rsidR="003D72F2" w:rsidRDefault="003D72F2" w:rsidP="006A6FEF">
      <w:pPr>
        <w:pStyle w:val="ChartMainHeading"/>
      </w:pPr>
      <w:r>
        <w:t>Chart 7: Treasury Bond p</w:t>
      </w:r>
      <w:r w:rsidR="00B113D2">
        <w:t xml:space="preserve">ortfolio composition by original maturity as </w:t>
      </w:r>
      <w:proofErr w:type="gramStart"/>
      <w:r w:rsidR="00B113D2">
        <w:t>at</w:t>
      </w:r>
      <w:proofErr w:type="gramEnd"/>
      <w:r w:rsidR="00B113D2">
        <w:t xml:space="preserve"> 30</w:t>
      </w:r>
      <w:r w:rsidR="004578DA">
        <w:t> </w:t>
      </w:r>
      <w:r w:rsidR="00B113D2">
        <w:t>June</w:t>
      </w:r>
      <w:r w:rsidR="004578DA">
        <w:t> </w:t>
      </w:r>
      <w:r w:rsidR="00B113D2">
        <w:t>2025</w:t>
      </w:r>
    </w:p>
    <w:p w14:paraId="5EC99ED4" w14:textId="6A77A524" w:rsidR="00A149E1" w:rsidRPr="005E357A" w:rsidRDefault="00A149E1" w:rsidP="00716FD7">
      <w:pPr>
        <w:pStyle w:val="ChartGraphic"/>
      </w:pPr>
      <w:r>
        <w:rPr>
          <w:noProof/>
        </w:rPr>
        <w:drawing>
          <wp:inline distT="0" distB="0" distL="0" distR="0" wp14:anchorId="0B074161" wp14:editId="6B5B5D58">
            <wp:extent cx="4680000" cy="2880000"/>
            <wp:effectExtent l="0" t="0" r="6350" b="0"/>
            <wp:docPr id="126573233" name="Picture 1" descr="Bar chart showing the Treasury Bond portfolio as at 30 June 2025 grouped by years to maturity at the time of original issuance (maturity buckets) with points overlaid for average yield. The chart shows that the majority of Treasury Bonds have an original maturity of between 9 and 12 years.  ">
              <a:extLst xmlns:a="http://schemas.openxmlformats.org/drawingml/2006/main">
                <a:ext uri="{FF2B5EF4-FFF2-40B4-BE49-F238E27FC236}">
                  <a16:creationId xmlns:a16="http://schemas.microsoft.com/office/drawing/2014/main" id="{00000000-0008-0000-07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3233" name="Picture 1" descr="Bar chart showing the Treasury Bond portfolio as at 30 June 2025 grouped by years to maturity at the time of original issuance (maturity buckets) with points overlaid for average yield. The chart shows that the majority of Treasury Bonds have an original maturity of between 9 and 12 years.  ">
                      <a:extLst>
                        <a:ext uri="{FF2B5EF4-FFF2-40B4-BE49-F238E27FC236}">
                          <a16:creationId xmlns:a16="http://schemas.microsoft.com/office/drawing/2014/main" id="{00000000-0008-0000-0700-000002000000}"/>
                        </a:ext>
                      </a:extLst>
                    </pic:cNvPr>
                    <pic:cNvPicPr>
                      <a:picLocks noChangeAspect="1"/>
                    </pic:cNvPicPr>
                  </pic:nvPicPr>
                  <pic:blipFill>
                    <a:blip r:embed="rId71"/>
                    <a:stretch>
                      <a:fillRect/>
                    </a:stretch>
                  </pic:blipFill>
                  <pic:spPr>
                    <a:xfrm>
                      <a:off x="0" y="0"/>
                      <a:ext cx="4680000" cy="2880000"/>
                    </a:xfrm>
                    <a:prstGeom prst="rect">
                      <a:avLst/>
                    </a:prstGeom>
                  </pic:spPr>
                </pic:pic>
              </a:graphicData>
            </a:graphic>
          </wp:inline>
        </w:drawing>
      </w:r>
    </w:p>
    <w:p w14:paraId="04EDB404" w14:textId="7E045157" w:rsidR="00F27AB3" w:rsidRDefault="00F27AB3" w:rsidP="00F27AB3">
      <w:r w:rsidRPr="00162B0C">
        <w:t>The WAM of Treasury Bond issuance in 202</w:t>
      </w:r>
      <w:r>
        <w:t>4</w:t>
      </w:r>
      <w:r w:rsidRPr="00162B0C">
        <w:t>–2</w:t>
      </w:r>
      <w:r>
        <w:t>5</w:t>
      </w:r>
      <w:r w:rsidRPr="00162B0C">
        <w:t xml:space="preserve"> was </w:t>
      </w:r>
      <w:r>
        <w:t>9.1</w:t>
      </w:r>
      <w:r w:rsidRPr="00162B0C">
        <w:t xml:space="preserve"> years, </w:t>
      </w:r>
      <w:r>
        <w:t>shorter</w:t>
      </w:r>
      <w:r w:rsidRPr="00162B0C">
        <w:t xml:space="preserve"> than the </w:t>
      </w:r>
      <w:r w:rsidR="00AE634A">
        <w:br/>
      </w:r>
      <w:r w:rsidRPr="00162B0C">
        <w:t>202</w:t>
      </w:r>
      <w:r>
        <w:t>3</w:t>
      </w:r>
      <w:r w:rsidR="000F29EF" w:rsidRPr="000F29EF">
        <w:t>–</w:t>
      </w:r>
      <w:r w:rsidRPr="00162B0C">
        <w:t>2</w:t>
      </w:r>
      <w:r>
        <w:t>4</w:t>
      </w:r>
      <w:r w:rsidRPr="00162B0C">
        <w:t xml:space="preserve"> issuance WAM of </w:t>
      </w:r>
      <w:r>
        <w:t>12.5</w:t>
      </w:r>
      <w:r w:rsidRPr="00162B0C">
        <w:t xml:space="preserve"> years. The average issuance yield in 202</w:t>
      </w:r>
      <w:r>
        <w:t>4</w:t>
      </w:r>
      <w:r w:rsidRPr="00162B0C">
        <w:t>–2</w:t>
      </w:r>
      <w:r>
        <w:t>5</w:t>
      </w:r>
      <w:r w:rsidRPr="00162B0C">
        <w:t xml:space="preserve"> was </w:t>
      </w:r>
      <w:r>
        <w:t>lower</w:t>
      </w:r>
      <w:r w:rsidRPr="00162B0C">
        <w:t xml:space="preserve"> than </w:t>
      </w:r>
      <w:r w:rsidR="00F34517">
        <w:t xml:space="preserve">in </w:t>
      </w:r>
      <w:r w:rsidRPr="00162B0C">
        <w:t>202</w:t>
      </w:r>
      <w:r>
        <w:t>3</w:t>
      </w:r>
      <w:r w:rsidR="000F29EF" w:rsidRPr="000F29EF">
        <w:t>–</w:t>
      </w:r>
      <w:r w:rsidRPr="00162B0C">
        <w:t>2</w:t>
      </w:r>
      <w:r>
        <w:t>4</w:t>
      </w:r>
      <w:r w:rsidR="00F34517">
        <w:t>,</w:t>
      </w:r>
      <w:r w:rsidRPr="00162B0C">
        <w:t xml:space="preserve"> </w:t>
      </w:r>
      <w:r>
        <w:t>partly</w:t>
      </w:r>
      <w:r w:rsidRPr="00162B0C">
        <w:t xml:space="preserve"> due to </w:t>
      </w:r>
      <w:r>
        <w:t>the shorter WAM</w:t>
      </w:r>
      <w:r w:rsidRPr="00162B0C">
        <w:t xml:space="preserve"> (see </w:t>
      </w:r>
      <w:r w:rsidRPr="00F12AC5">
        <w:t>Chart 8).</w:t>
      </w:r>
    </w:p>
    <w:p w14:paraId="3F5138C9" w14:textId="7D3CB77D" w:rsidR="00A205D7" w:rsidRDefault="00A205D7" w:rsidP="006A6FEF">
      <w:pPr>
        <w:pStyle w:val="ChartMainHeading"/>
      </w:pPr>
      <w:r>
        <w:lastRenderedPageBreak/>
        <w:t>Chart</w:t>
      </w:r>
      <w:r w:rsidR="00805E6D">
        <w:t xml:space="preserve"> 8: Treasury Bond issuance – average yield and maturity</w:t>
      </w:r>
    </w:p>
    <w:p w14:paraId="3B2E0753" w14:textId="245B1D1E" w:rsidR="00EB51CC" w:rsidRPr="005E357A" w:rsidRDefault="00EB51CC" w:rsidP="00716FD7">
      <w:pPr>
        <w:pStyle w:val="ChartGraphic"/>
      </w:pPr>
      <w:r>
        <w:rPr>
          <w:noProof/>
        </w:rPr>
        <w:drawing>
          <wp:inline distT="0" distB="0" distL="0" distR="0" wp14:anchorId="5678DE71" wp14:editId="577F4A64">
            <wp:extent cx="4895850" cy="3012830"/>
            <wp:effectExtent l="0" t="0" r="0" b="0"/>
            <wp:docPr id="950044970" name="Picture 1" descr="Line chart showing the WAM and average issuance yield of Treasury Bond issuance over the last ten financial years. The chart shows that the WAM of issuance declined from 12.5 years in 2023-24 to 9.1 years in 2024-25 while the average issuance yield also declined slightly in the period.">
              <a:extLst xmlns:a="http://schemas.openxmlformats.org/drawingml/2006/main">
                <a:ext uri="{FF2B5EF4-FFF2-40B4-BE49-F238E27FC236}">
                  <a16:creationId xmlns:a16="http://schemas.microsoft.com/office/drawing/2014/main" id="{00000000-0008-0000-08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4970" name="Picture 1" descr="Line chart showing the WAM and average issuance yield of Treasury Bond issuance over the last ten financial years. The chart shows that the WAM of issuance declined from 12.5 years in 2023-24 to 9.1 years in 2024-25 while the average issuance yield also declined slightly in the period.">
                      <a:extLst>
                        <a:ext uri="{FF2B5EF4-FFF2-40B4-BE49-F238E27FC236}">
                          <a16:creationId xmlns:a16="http://schemas.microsoft.com/office/drawing/2014/main" id="{00000000-0008-0000-0800-000002000000}"/>
                        </a:ext>
                      </a:extLst>
                    </pic:cNvPr>
                    <pic:cNvPicPr>
                      <a:picLocks noChangeAspect="1"/>
                    </pic:cNvPicPr>
                  </pic:nvPicPr>
                  <pic:blipFill>
                    <a:blip r:embed="rId72"/>
                    <a:stretch>
                      <a:fillRect/>
                    </a:stretch>
                  </pic:blipFill>
                  <pic:spPr>
                    <a:xfrm>
                      <a:off x="0" y="0"/>
                      <a:ext cx="4902383" cy="3016851"/>
                    </a:xfrm>
                    <a:prstGeom prst="rect">
                      <a:avLst/>
                    </a:prstGeom>
                  </pic:spPr>
                </pic:pic>
              </a:graphicData>
            </a:graphic>
          </wp:inline>
        </w:drawing>
      </w:r>
    </w:p>
    <w:p w14:paraId="5252E589" w14:textId="77777777" w:rsidR="009F32C8" w:rsidRPr="00160DAF" w:rsidRDefault="009F32C8" w:rsidP="00713231">
      <w:pPr>
        <w:pStyle w:val="Heading4"/>
      </w:pPr>
      <w:r>
        <w:t xml:space="preserve">Treasury Indexed Bonds </w:t>
      </w:r>
    </w:p>
    <w:p w14:paraId="78B816B9" w14:textId="68E8A192" w:rsidR="00212EE3" w:rsidRDefault="00212EE3">
      <w:r w:rsidRPr="00212EE3">
        <w:t>The AOFM issues sufficient TIBs</w:t>
      </w:r>
      <w:r w:rsidR="00F34517">
        <w:t xml:space="preserve"> </w:t>
      </w:r>
      <w:r w:rsidRPr="00212EE3">
        <w:t xml:space="preserve">to meet </w:t>
      </w:r>
      <w:r w:rsidR="00EB51CC">
        <w:t xml:space="preserve">investor </w:t>
      </w:r>
      <w:r w:rsidRPr="00212EE3">
        <w:t xml:space="preserve">demand and </w:t>
      </w:r>
      <w:r w:rsidR="00EB51CC">
        <w:t xml:space="preserve">to </w:t>
      </w:r>
      <w:r w:rsidRPr="00212EE3">
        <w:t>support the functioning of the</w:t>
      </w:r>
      <w:r w:rsidR="00EB51CC">
        <w:t xml:space="preserve"> </w:t>
      </w:r>
      <w:r w:rsidR="00803B45">
        <w:t>inflation</w:t>
      </w:r>
      <w:r w:rsidRPr="00212EE3">
        <w:t xml:space="preserve"> market. </w:t>
      </w:r>
    </w:p>
    <w:p w14:paraId="37F5EBCA" w14:textId="0A21BFF6" w:rsidR="009F32C8" w:rsidRDefault="00212EE3">
      <w:r w:rsidRPr="00212EE3">
        <w:t>TIB issuance for the year was $</w:t>
      </w:r>
      <w:r w:rsidR="00C841E0">
        <w:t>2.9</w:t>
      </w:r>
      <w:r w:rsidR="00351C26">
        <w:t> </w:t>
      </w:r>
      <w:r w:rsidRPr="00212EE3">
        <w:t xml:space="preserve">billion (see Chart </w:t>
      </w:r>
      <w:r w:rsidR="00FF4E35" w:rsidRPr="002D78E9">
        <w:t>9</w:t>
      </w:r>
      <w:r w:rsidRPr="00212EE3">
        <w:t>).</w:t>
      </w:r>
      <w:r w:rsidR="00803B45">
        <w:t xml:space="preserve"> </w:t>
      </w:r>
      <w:r w:rsidR="00F34517">
        <w:t xml:space="preserve">Up </w:t>
      </w:r>
      <w:r w:rsidR="00803B45">
        <w:t>to</w:t>
      </w:r>
      <w:r w:rsidRPr="00212EE3">
        <w:t xml:space="preserve"> </w:t>
      </w:r>
      <w:r w:rsidR="00F34517">
        <w:t>2</w:t>
      </w:r>
      <w:r w:rsidR="00351C26">
        <w:noBreakHyphen/>
      </w:r>
      <w:r w:rsidRPr="00212EE3">
        <w:t>tenders were held in most months</w:t>
      </w:r>
      <w:r w:rsidR="00F34517">
        <w:t>, o</w:t>
      </w:r>
      <w:r w:rsidR="002A5B42">
        <w:t>ne</w:t>
      </w:r>
      <w:r w:rsidRPr="00212EE3">
        <w:t xml:space="preserve"> </w:t>
      </w:r>
      <w:r w:rsidR="00F34517">
        <w:t>of which</w:t>
      </w:r>
      <w:r w:rsidRPr="00212EE3">
        <w:t xml:space="preserve"> w</w:t>
      </w:r>
      <w:r w:rsidR="00803B45">
        <w:t>as</w:t>
      </w:r>
      <w:r w:rsidR="004C2746">
        <w:t xml:space="preserve"> a</w:t>
      </w:r>
      <w:r w:rsidRPr="00212EE3">
        <w:t xml:space="preserve"> </w:t>
      </w:r>
      <w:r w:rsidR="00B84FF2">
        <w:t>‘</w:t>
      </w:r>
      <w:r w:rsidRPr="00212EE3">
        <w:t>split</w:t>
      </w:r>
      <w:r w:rsidR="00B84FF2">
        <w:t>’</w:t>
      </w:r>
      <w:r w:rsidRPr="00212EE3">
        <w:t xml:space="preserve"> tender, where </w:t>
      </w:r>
      <w:r w:rsidR="002A5B42">
        <w:t>two</w:t>
      </w:r>
      <w:r w:rsidRPr="00212EE3">
        <w:t xml:space="preserve"> TIBs were issued at the same time to allow for more issuance of long</w:t>
      </w:r>
      <w:r w:rsidR="00B84FF2">
        <w:noBreakHyphen/>
      </w:r>
      <w:r w:rsidRPr="00212EE3">
        <w:t xml:space="preserve">dated TIBs. </w:t>
      </w:r>
      <w:r w:rsidR="00F34517">
        <w:t>The AOFM conducted a</w:t>
      </w:r>
      <w:r w:rsidR="00EA390E">
        <w:t>n</w:t>
      </w:r>
      <w:r w:rsidRPr="00212EE3">
        <w:t xml:space="preserve"> $</w:t>
      </w:r>
      <w:r w:rsidR="009736BB">
        <w:t>8</w:t>
      </w:r>
      <w:r w:rsidR="00131997">
        <w:t>00</w:t>
      </w:r>
      <w:r w:rsidRPr="00212EE3">
        <w:t xml:space="preserve"> </w:t>
      </w:r>
      <w:r w:rsidR="00131997">
        <w:t>million</w:t>
      </w:r>
      <w:r w:rsidRPr="00212EE3">
        <w:t xml:space="preserve"> syndicated issue of the August 20</w:t>
      </w:r>
      <w:r w:rsidR="0063700C">
        <w:t>40</w:t>
      </w:r>
      <w:r w:rsidRPr="00212EE3">
        <w:t xml:space="preserve"> TIB</w:t>
      </w:r>
      <w:r w:rsidR="00F34517">
        <w:t>,</w:t>
      </w:r>
      <w:r w:rsidRPr="00212EE3">
        <w:t xml:space="preserve"> in conjunction with a </w:t>
      </w:r>
      <w:r w:rsidR="008B62CA">
        <w:t xml:space="preserve">$2 billion </w:t>
      </w:r>
      <w:r w:rsidRPr="00212EE3">
        <w:t xml:space="preserve">buyback of the September 2025 TIB. This </w:t>
      </w:r>
      <w:r w:rsidR="00295CA7">
        <w:t xml:space="preserve">is intended </w:t>
      </w:r>
      <w:r w:rsidRPr="00212EE3">
        <w:t>to smooth the impact of the September</w:t>
      </w:r>
      <w:r w:rsidR="00351C26">
        <w:t> </w:t>
      </w:r>
      <w:r w:rsidRPr="00212EE3">
        <w:t>2025 maturity and improve the functionality of the TIB market.</w:t>
      </w:r>
    </w:p>
    <w:p w14:paraId="6EE3CD5D" w14:textId="45FDB501" w:rsidR="009769E2" w:rsidRDefault="009769E2" w:rsidP="006A6FEF">
      <w:pPr>
        <w:pStyle w:val="ChartMainHeading"/>
      </w:pPr>
      <w:r>
        <w:lastRenderedPageBreak/>
        <w:t>Chart</w:t>
      </w:r>
      <w:r w:rsidR="00EB3313">
        <w:t xml:space="preserve"> 9: TIB issu</w:t>
      </w:r>
      <w:r w:rsidR="00CF3B3F">
        <w:t>ance</w:t>
      </w:r>
      <w:r w:rsidR="00C577A6">
        <w:t xml:space="preserve"> by </w:t>
      </w:r>
      <w:r w:rsidR="00CF3B3F">
        <w:t>financial year</w:t>
      </w:r>
      <w:r w:rsidR="005C6C95">
        <w:t xml:space="preserve"> (face value)</w:t>
      </w:r>
    </w:p>
    <w:p w14:paraId="67107111" w14:textId="168BDCB0" w:rsidR="00AE1756" w:rsidRPr="005E357A" w:rsidRDefault="00AE1756" w:rsidP="00716FD7">
      <w:pPr>
        <w:pStyle w:val="ChartGraphic"/>
      </w:pPr>
      <w:r>
        <w:rPr>
          <w:noProof/>
        </w:rPr>
        <w:drawing>
          <wp:inline distT="0" distB="0" distL="0" distR="0" wp14:anchorId="0E9DFB26" wp14:editId="2396D2F7">
            <wp:extent cx="5039360" cy="2720975"/>
            <wp:effectExtent l="0" t="0" r="8890" b="3175"/>
            <wp:docPr id="1521148375" name="Picture 1" descr="Bar chart showing issuance in face value terms of Treasury Indexed Bonds by financial year. In 2024-25 Treasury Indexed Bond issuance decreased moderately to $2.9 billion.   ">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48375" name="Picture 1" descr="Bar chart showing issuance in face value terms of Treasury Indexed Bonds by financial year. In 2024-25 Treasury Indexed Bond issuance decreased moderately to $2.9 billion.   ">
                      <a:extLst>
                        <a:ext uri="{FF2B5EF4-FFF2-40B4-BE49-F238E27FC236}">
                          <a16:creationId xmlns:a16="http://schemas.microsoft.com/office/drawing/2014/main" id="{00000000-0008-0000-0200-000002000000}"/>
                        </a:ext>
                      </a:extLst>
                    </pic:cNvPr>
                    <pic:cNvPicPr>
                      <a:picLocks noChangeAspect="1"/>
                    </pic:cNvPicPr>
                  </pic:nvPicPr>
                  <pic:blipFill>
                    <a:blip r:embed="rId73"/>
                    <a:stretch>
                      <a:fillRect/>
                    </a:stretch>
                  </pic:blipFill>
                  <pic:spPr>
                    <a:xfrm>
                      <a:off x="0" y="0"/>
                      <a:ext cx="5039360" cy="2720975"/>
                    </a:xfrm>
                    <a:prstGeom prst="rect">
                      <a:avLst/>
                    </a:prstGeom>
                  </pic:spPr>
                </pic:pic>
              </a:graphicData>
            </a:graphic>
          </wp:inline>
        </w:drawing>
      </w:r>
    </w:p>
    <w:p w14:paraId="1EEB6B7E" w14:textId="024DFA3A" w:rsidR="007D51B6" w:rsidRPr="006B43DA" w:rsidRDefault="007D51B6">
      <w:r>
        <w:t>The effective yield on the TIB portfolio in 2024</w:t>
      </w:r>
      <w:r w:rsidR="00F34517">
        <w:t>–</w:t>
      </w:r>
      <w:r>
        <w:t xml:space="preserve">25 was </w:t>
      </w:r>
      <w:r w:rsidR="00AE1756">
        <w:t>3.56</w:t>
      </w:r>
      <w:r w:rsidR="00F34517">
        <w:t xml:space="preserve"> per cent, </w:t>
      </w:r>
      <w:r w:rsidR="00A94F56">
        <w:t>down from 5.5</w:t>
      </w:r>
      <w:r w:rsidR="00AE1756">
        <w:t>7</w:t>
      </w:r>
      <w:r w:rsidR="00351C26">
        <w:t> </w:t>
      </w:r>
      <w:r w:rsidR="00A94F56">
        <w:t>per</w:t>
      </w:r>
      <w:r w:rsidR="00351C26">
        <w:t> </w:t>
      </w:r>
      <w:r w:rsidR="00A94F56">
        <w:t>cent in 2023</w:t>
      </w:r>
      <w:r w:rsidR="00F34517">
        <w:t>–</w:t>
      </w:r>
      <w:r w:rsidR="00A94F56">
        <w:t xml:space="preserve">24. </w:t>
      </w:r>
      <w:r w:rsidR="00A94F56" w:rsidRPr="00A80F16">
        <w:t>This was driven by lower inflation.</w:t>
      </w:r>
    </w:p>
    <w:p w14:paraId="04EA202B" w14:textId="6D6C71DD" w:rsidR="008D606C" w:rsidRDefault="00520ACB" w:rsidP="00713231">
      <w:pPr>
        <w:pStyle w:val="Heading3"/>
      </w:pPr>
      <w:bookmarkStart w:id="465" w:name="_Toc173408138"/>
      <w:bookmarkStart w:id="466" w:name="_Toc173411459"/>
      <w:bookmarkStart w:id="467" w:name="_Toc173479139"/>
      <w:bookmarkStart w:id="468" w:name="_Toc207796055"/>
      <w:r>
        <w:t>Performance for Key Activity</w:t>
      </w:r>
      <w:r w:rsidR="00F34517">
        <w:t xml:space="preserve"> </w:t>
      </w:r>
      <w:r>
        <w:t>1.1</w:t>
      </w:r>
      <w:bookmarkEnd w:id="465"/>
      <w:bookmarkEnd w:id="466"/>
      <w:bookmarkEnd w:id="467"/>
      <w:bookmarkEnd w:id="468"/>
    </w:p>
    <w:p w14:paraId="651E51C5" w14:textId="7E4B250C" w:rsidR="00AC2C70" w:rsidRDefault="00AC2C70" w:rsidP="00713231">
      <w:pPr>
        <w:pStyle w:val="Heading4"/>
      </w:pPr>
      <w:r>
        <w:t>Indicator 1.1.1</w:t>
      </w:r>
      <w:r w:rsidR="00F34517">
        <w:t>:</w:t>
      </w:r>
      <w:r>
        <w:t xml:space="preserve"> </w:t>
      </w:r>
      <w:r w:rsidR="005E0F11">
        <w:t>Issuance st</w:t>
      </w:r>
      <w:r w:rsidR="00C7628F">
        <w:t>r</w:t>
      </w:r>
      <w:r w:rsidR="005E0F11">
        <w:t>ategy</w:t>
      </w:r>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5C1E29" w14:paraId="41D0F476" w14:textId="77777777">
        <w:tc>
          <w:tcPr>
            <w:tcW w:w="7700" w:type="dxa"/>
            <w:shd w:val="clear" w:color="auto" w:fill="472978" w:themeFill="accent1"/>
            <w:tcMar>
              <w:top w:w="284" w:type="dxa"/>
              <w:bottom w:w="284" w:type="dxa"/>
            </w:tcMar>
          </w:tcPr>
          <w:p w14:paraId="76234312" w14:textId="35148E8F" w:rsidR="005C1E29" w:rsidRPr="006F7A5F" w:rsidRDefault="00BC20B4">
            <w:pPr>
              <w:pStyle w:val="Pullquote"/>
            </w:pPr>
            <w:r>
              <w:t xml:space="preserve">The AOFM </w:t>
            </w:r>
            <w:r w:rsidR="005A719B">
              <w:t>met the</w:t>
            </w:r>
            <w:r w:rsidR="004F1CC3">
              <w:t xml:space="preserve"> target to </w:t>
            </w:r>
            <w:r w:rsidR="00685847">
              <w:t>fulfil</w:t>
            </w:r>
            <w:r w:rsidR="00681843">
              <w:t xml:space="preserve"> a</w:t>
            </w:r>
            <w:r w:rsidR="000F6B28" w:rsidRPr="000F6B28">
              <w:t xml:space="preserve">ll approved </w:t>
            </w:r>
            <w:r w:rsidR="001471B1">
              <w:t>targets</w:t>
            </w:r>
            <w:r w:rsidR="000F6B28" w:rsidRPr="000F6B28">
              <w:t xml:space="preserve"> </w:t>
            </w:r>
            <w:r w:rsidR="00D023B2">
              <w:t xml:space="preserve">related to </w:t>
            </w:r>
            <w:r w:rsidR="00223258">
              <w:t>our</w:t>
            </w:r>
            <w:r w:rsidR="00D023B2">
              <w:t xml:space="preserve"> issuance strategy</w:t>
            </w:r>
            <w:r w:rsidR="00E8774A">
              <w:t>.</w:t>
            </w:r>
          </w:p>
        </w:tc>
      </w:tr>
    </w:tbl>
    <w:p w14:paraId="4EB75517" w14:textId="77777777" w:rsidR="004578DA" w:rsidRDefault="004578DA" w:rsidP="004578DA">
      <w:pPr>
        <w:pStyle w:val="SingleReturn"/>
      </w:pPr>
    </w:p>
    <w:p w14:paraId="739F1909" w14:textId="69C1E692" w:rsidR="00F66791" w:rsidRDefault="00F66791" w:rsidP="005C1E29">
      <w:r w:rsidRPr="00F66791">
        <w:t xml:space="preserve">The issuance </w:t>
      </w:r>
      <w:r>
        <w:t xml:space="preserve">strategy </w:t>
      </w:r>
      <w:r w:rsidRPr="00F66791">
        <w:t>indicator is used to measure</w:t>
      </w:r>
      <w:r w:rsidR="00BA2FE7">
        <w:t xml:space="preserve"> consistency between the AOFM</w:t>
      </w:r>
      <w:r w:rsidR="00B84FF2">
        <w:t>’</w:t>
      </w:r>
      <w:r w:rsidR="00BA2FE7">
        <w:t>s</w:t>
      </w:r>
      <w:r w:rsidRPr="00F66791">
        <w:t xml:space="preserve"> </w:t>
      </w:r>
      <w:r w:rsidR="00BA2FE7" w:rsidRPr="00F66791">
        <w:t>operation</w:t>
      </w:r>
      <w:r w:rsidR="00BA2FE7">
        <w:t>s</w:t>
      </w:r>
      <w:r w:rsidR="00BA2FE7" w:rsidRPr="00F66791">
        <w:t xml:space="preserve"> </w:t>
      </w:r>
      <w:r w:rsidR="00BA2FE7">
        <w:t>and</w:t>
      </w:r>
      <w:r w:rsidRPr="00F66791">
        <w:t xml:space="preserve"> </w:t>
      </w:r>
      <w:r w:rsidR="00644D22">
        <w:t xml:space="preserve">the </w:t>
      </w:r>
      <w:r w:rsidR="00CC5FB5">
        <w:t>debt management strategy</w:t>
      </w:r>
      <w:r w:rsidRPr="00F66791">
        <w:t xml:space="preserve">. </w:t>
      </w:r>
    </w:p>
    <w:p w14:paraId="5B74180C" w14:textId="2CADA42F" w:rsidR="00A278BB" w:rsidRDefault="002271DD" w:rsidP="005C1E29">
      <w:r>
        <w:t>The approved targets</w:t>
      </w:r>
      <w:r w:rsidR="00E07250">
        <w:t>,</w:t>
      </w:r>
      <w:r w:rsidR="00DB0217">
        <w:t xml:space="preserve"> indicators</w:t>
      </w:r>
      <w:r>
        <w:t xml:space="preserve"> and </w:t>
      </w:r>
      <w:r w:rsidR="0036016E">
        <w:t>results</w:t>
      </w:r>
      <w:r w:rsidR="00200511">
        <w:t xml:space="preserve"> are listed </w:t>
      </w:r>
      <w:r w:rsidR="00482981">
        <w:t>in the following table</w:t>
      </w:r>
      <w:r w:rsidR="00200511">
        <w:t>.</w:t>
      </w:r>
    </w:p>
    <w:p w14:paraId="2416CD15" w14:textId="0556CE13" w:rsidR="00AC03C6" w:rsidRDefault="00AC03C6" w:rsidP="002D7EE7">
      <w:pPr>
        <w:pStyle w:val="TableMainHeading"/>
      </w:pPr>
      <w:r>
        <w:t xml:space="preserve">Table </w:t>
      </w:r>
      <w:r w:rsidR="002D7EE7">
        <w:t>4</w:t>
      </w:r>
      <w:r>
        <w:t>:</w:t>
      </w:r>
      <w:r w:rsidR="00643EB1">
        <w:t xml:space="preserve"> </w:t>
      </w:r>
      <w:r w:rsidR="00FA777D">
        <w:t>Key elements of the 2024</w:t>
      </w:r>
      <w:r w:rsidR="00F34517">
        <w:t>–</w:t>
      </w:r>
      <w:r w:rsidR="00FA777D">
        <w:t xml:space="preserve">25 </w:t>
      </w:r>
      <w:r w:rsidR="00F34517">
        <w:t>debt management strategy</w:t>
      </w:r>
    </w:p>
    <w:tbl>
      <w:tblPr>
        <w:tblStyle w:val="AOFMTablemain"/>
        <w:tblW w:w="0" w:type="auto"/>
        <w:tblLook w:val="04A0" w:firstRow="1" w:lastRow="0" w:firstColumn="1" w:lastColumn="0" w:noHBand="0" w:noVBand="1"/>
      </w:tblPr>
      <w:tblGrid>
        <w:gridCol w:w="3878"/>
        <w:gridCol w:w="1277"/>
        <w:gridCol w:w="1279"/>
        <w:gridCol w:w="1277"/>
      </w:tblGrid>
      <w:tr w:rsidR="0086383C" w:rsidRPr="00DC37E8" w14:paraId="6107265B" w14:textId="42096982" w:rsidTr="00E01870">
        <w:trPr>
          <w:cnfStyle w:val="100000000000" w:firstRow="1" w:lastRow="0" w:firstColumn="0" w:lastColumn="0" w:oddVBand="0" w:evenVBand="0" w:oddHBand="0" w:evenHBand="0" w:firstRowFirstColumn="0" w:firstRowLastColumn="0" w:lastRowFirstColumn="0" w:lastRowLastColumn="0"/>
          <w:trHeight w:val="261"/>
        </w:trPr>
        <w:tc>
          <w:tcPr>
            <w:tcW w:w="0" w:type="dxa"/>
          </w:tcPr>
          <w:p w14:paraId="3A9B48C2" w14:textId="5BF35237" w:rsidR="00C206AD" w:rsidRPr="00E01870" w:rsidRDefault="002C39FD" w:rsidP="00E01870">
            <w:pPr>
              <w:pStyle w:val="TableColumnHeadingLeft"/>
            </w:pPr>
            <w:r w:rsidRPr="00E01870">
              <w:t>Measure</w:t>
            </w:r>
          </w:p>
        </w:tc>
        <w:tc>
          <w:tcPr>
            <w:tcW w:w="0" w:type="dxa"/>
          </w:tcPr>
          <w:p w14:paraId="3CAD579E" w14:textId="287B1C2A" w:rsidR="00C206AD" w:rsidRPr="00E01870" w:rsidRDefault="00C206AD" w:rsidP="00E01870">
            <w:pPr>
              <w:pStyle w:val="TableColumnHeadingLeft"/>
            </w:pPr>
            <w:r w:rsidRPr="00E01870">
              <w:t>Target</w:t>
            </w:r>
          </w:p>
        </w:tc>
        <w:tc>
          <w:tcPr>
            <w:tcW w:w="0" w:type="dxa"/>
          </w:tcPr>
          <w:p w14:paraId="4AC7280A" w14:textId="642D10E0" w:rsidR="00C206AD" w:rsidRPr="00E01870" w:rsidRDefault="00C206AD" w:rsidP="00E01870">
            <w:pPr>
              <w:pStyle w:val="TableColumnHeadingLeft"/>
            </w:pPr>
            <w:r w:rsidRPr="00E01870">
              <w:t>Indicator</w:t>
            </w:r>
          </w:p>
        </w:tc>
        <w:tc>
          <w:tcPr>
            <w:tcW w:w="0" w:type="dxa"/>
          </w:tcPr>
          <w:p w14:paraId="7E2180A8" w14:textId="267F95AF" w:rsidR="00C206AD" w:rsidRPr="00E01870" w:rsidRDefault="00C206AD" w:rsidP="00E01870">
            <w:pPr>
              <w:pStyle w:val="TableColumnHeadingLeft"/>
            </w:pPr>
            <w:r w:rsidRPr="00E01870">
              <w:t>Result</w:t>
            </w:r>
          </w:p>
        </w:tc>
      </w:tr>
      <w:tr w:rsidR="006D667B" w:rsidRPr="00DC37E8" w14:paraId="365937C1" w14:textId="7E763783" w:rsidTr="002F13B5">
        <w:trPr>
          <w:trHeight w:val="20"/>
        </w:trPr>
        <w:tc>
          <w:tcPr>
            <w:tcW w:w="3898" w:type="dxa"/>
            <w:tcMar>
              <w:top w:w="57" w:type="dxa"/>
              <w:bottom w:w="57" w:type="dxa"/>
            </w:tcMar>
          </w:tcPr>
          <w:p w14:paraId="359A7C18" w14:textId="68543E82" w:rsidR="00C206AD" w:rsidRPr="00964E36" w:rsidRDefault="00C206AD" w:rsidP="00625DAB">
            <w:pPr>
              <w:pStyle w:val="TableTextLeft"/>
            </w:pPr>
            <w:r w:rsidRPr="00964E36">
              <w:t xml:space="preserve">Annual Treasury Bond </w:t>
            </w:r>
            <w:r w:rsidR="00F34517" w:rsidRPr="00964E36">
              <w:t>i</w:t>
            </w:r>
            <w:r w:rsidRPr="00964E36">
              <w:t>ssuance</w:t>
            </w:r>
            <w:r w:rsidR="001A5BFF" w:rsidRPr="00964E36">
              <w:t xml:space="preserve"> ($b)</w:t>
            </w:r>
          </w:p>
        </w:tc>
        <w:tc>
          <w:tcPr>
            <w:tcW w:w="1281" w:type="dxa"/>
            <w:tcMar>
              <w:top w:w="57" w:type="dxa"/>
              <w:bottom w:w="57" w:type="dxa"/>
            </w:tcMar>
          </w:tcPr>
          <w:p w14:paraId="6A5768B8" w14:textId="0B742983" w:rsidR="00C206AD" w:rsidRPr="00964E36" w:rsidRDefault="00FA777D" w:rsidP="00E01870">
            <w:pPr>
              <w:pStyle w:val="TableTextRight"/>
            </w:pPr>
            <w:r w:rsidRPr="00964E36">
              <w:t xml:space="preserve">Around </w:t>
            </w:r>
            <w:r w:rsidR="008E093A" w:rsidRPr="00964E36">
              <w:t>10</w:t>
            </w:r>
            <w:r w:rsidR="003958A5" w:rsidRPr="00964E36">
              <w:t>0</w:t>
            </w:r>
          </w:p>
        </w:tc>
        <w:tc>
          <w:tcPr>
            <w:tcW w:w="1281" w:type="dxa"/>
            <w:tcMar>
              <w:top w:w="57" w:type="dxa"/>
              <w:bottom w:w="57" w:type="dxa"/>
            </w:tcMar>
          </w:tcPr>
          <w:p w14:paraId="04326889" w14:textId="36E58043" w:rsidR="00C206AD" w:rsidRPr="00964E36" w:rsidRDefault="00A51218" w:rsidP="00E01870">
            <w:pPr>
              <w:pStyle w:val="TableTextRight"/>
            </w:pPr>
            <w:r w:rsidRPr="00964E36">
              <w:t>98.6</w:t>
            </w:r>
          </w:p>
        </w:tc>
        <w:tc>
          <w:tcPr>
            <w:tcW w:w="1281" w:type="dxa"/>
            <w:tcMar>
              <w:top w:w="57" w:type="dxa"/>
              <w:bottom w:w="57" w:type="dxa"/>
            </w:tcMar>
          </w:tcPr>
          <w:p w14:paraId="183CA9D5" w14:textId="591E5B56" w:rsidR="00C206AD" w:rsidRPr="00964E36" w:rsidRDefault="00A51218" w:rsidP="00625DAB">
            <w:pPr>
              <w:pStyle w:val="TableTextLeft"/>
            </w:pPr>
            <w:r w:rsidRPr="00964E36">
              <w:t>Met</w:t>
            </w:r>
          </w:p>
        </w:tc>
      </w:tr>
      <w:tr w:rsidR="0086383C" w:rsidRPr="00DC37E8" w14:paraId="409C12CB" w14:textId="1550D0BD" w:rsidTr="002F13B5">
        <w:trPr>
          <w:cnfStyle w:val="000000010000" w:firstRow="0" w:lastRow="0" w:firstColumn="0" w:lastColumn="0" w:oddVBand="0" w:evenVBand="0" w:oddHBand="0" w:evenHBand="1" w:firstRowFirstColumn="0" w:firstRowLastColumn="0" w:lastRowFirstColumn="0" w:lastRowLastColumn="0"/>
          <w:trHeight w:val="20"/>
        </w:trPr>
        <w:tc>
          <w:tcPr>
            <w:tcW w:w="3898" w:type="dxa"/>
            <w:tcMar>
              <w:top w:w="57" w:type="dxa"/>
              <w:bottom w:w="57" w:type="dxa"/>
            </w:tcMar>
          </w:tcPr>
          <w:p w14:paraId="3C8752CC" w14:textId="02EEF8D1" w:rsidR="00C206AD" w:rsidRPr="00964E36" w:rsidRDefault="00C206AD" w:rsidP="00625DAB">
            <w:pPr>
              <w:pStyle w:val="TableTextLeft"/>
            </w:pPr>
            <w:r w:rsidRPr="00964E36">
              <w:t xml:space="preserve">Annual </w:t>
            </w:r>
            <w:r w:rsidR="00F34517" w:rsidRPr="00964E36">
              <w:t>TIB i</w:t>
            </w:r>
            <w:r w:rsidRPr="00964E36">
              <w:t>ssuance</w:t>
            </w:r>
            <w:r w:rsidR="001A5BFF" w:rsidRPr="00964E36">
              <w:t xml:space="preserve"> ($b)</w:t>
            </w:r>
          </w:p>
        </w:tc>
        <w:tc>
          <w:tcPr>
            <w:tcW w:w="1281" w:type="dxa"/>
            <w:tcMar>
              <w:top w:w="57" w:type="dxa"/>
              <w:bottom w:w="57" w:type="dxa"/>
            </w:tcMar>
          </w:tcPr>
          <w:p w14:paraId="17BCC9F2" w14:textId="06056D19" w:rsidR="00C206AD" w:rsidRPr="00964E36" w:rsidRDefault="00C978A8" w:rsidP="00E01870">
            <w:pPr>
              <w:pStyle w:val="TableTextRight"/>
            </w:pPr>
            <w:r>
              <w:t xml:space="preserve">Around </w:t>
            </w:r>
            <w:r w:rsidR="00B94352">
              <w:t>3</w:t>
            </w:r>
          </w:p>
        </w:tc>
        <w:tc>
          <w:tcPr>
            <w:tcW w:w="1281" w:type="dxa"/>
            <w:tcMar>
              <w:top w:w="57" w:type="dxa"/>
              <w:bottom w:w="57" w:type="dxa"/>
            </w:tcMar>
          </w:tcPr>
          <w:p w14:paraId="117DE855" w14:textId="2D2514FA" w:rsidR="00C206AD" w:rsidRPr="00964E36" w:rsidRDefault="001A5BFF" w:rsidP="00E01870">
            <w:pPr>
              <w:pStyle w:val="TableTextRight"/>
            </w:pPr>
            <w:r w:rsidRPr="00964E36">
              <w:t>2.9</w:t>
            </w:r>
          </w:p>
        </w:tc>
        <w:tc>
          <w:tcPr>
            <w:tcW w:w="1281" w:type="dxa"/>
            <w:tcMar>
              <w:top w:w="57" w:type="dxa"/>
              <w:bottom w:w="57" w:type="dxa"/>
            </w:tcMar>
          </w:tcPr>
          <w:p w14:paraId="5864AFD6" w14:textId="16891979" w:rsidR="00C206AD" w:rsidRPr="00964E36" w:rsidRDefault="00A51218" w:rsidP="00625DAB">
            <w:pPr>
              <w:pStyle w:val="TableTextLeft"/>
            </w:pPr>
            <w:r w:rsidRPr="00964E36">
              <w:t>Met</w:t>
            </w:r>
          </w:p>
        </w:tc>
      </w:tr>
      <w:tr w:rsidR="006D667B" w:rsidRPr="00DC37E8" w14:paraId="487D38B3" w14:textId="7387F7D4" w:rsidTr="002F13B5">
        <w:trPr>
          <w:trHeight w:val="20"/>
        </w:trPr>
        <w:tc>
          <w:tcPr>
            <w:tcW w:w="3898" w:type="dxa"/>
            <w:tcMar>
              <w:top w:w="57" w:type="dxa"/>
              <w:bottom w:w="57" w:type="dxa"/>
            </w:tcMar>
          </w:tcPr>
          <w:p w14:paraId="612DF09F" w14:textId="44FB50D1" w:rsidR="00C206AD" w:rsidRPr="00964E36" w:rsidRDefault="00F34517" w:rsidP="00625DAB">
            <w:pPr>
              <w:pStyle w:val="TableTextLeft"/>
            </w:pPr>
            <w:r w:rsidRPr="00964E36">
              <w:t>N</w:t>
            </w:r>
            <w:r w:rsidR="00C206AD" w:rsidRPr="00964E36">
              <w:t>umber of new Treasury Bond lines</w:t>
            </w:r>
          </w:p>
        </w:tc>
        <w:tc>
          <w:tcPr>
            <w:tcW w:w="1281" w:type="dxa"/>
            <w:tcMar>
              <w:top w:w="57" w:type="dxa"/>
              <w:bottom w:w="57" w:type="dxa"/>
            </w:tcMar>
          </w:tcPr>
          <w:p w14:paraId="3E89D355" w14:textId="3A724661" w:rsidR="00C206AD" w:rsidRPr="00964E36" w:rsidRDefault="00C52915" w:rsidP="00E01870">
            <w:pPr>
              <w:pStyle w:val="TableTextRight"/>
            </w:pPr>
            <w:r w:rsidRPr="00964E36">
              <w:t>2</w:t>
            </w:r>
          </w:p>
        </w:tc>
        <w:tc>
          <w:tcPr>
            <w:tcW w:w="1281" w:type="dxa"/>
            <w:tcMar>
              <w:top w:w="57" w:type="dxa"/>
              <w:bottom w:w="57" w:type="dxa"/>
            </w:tcMar>
          </w:tcPr>
          <w:p w14:paraId="0532DC68" w14:textId="44DBE036" w:rsidR="00C206AD" w:rsidRPr="00964E36" w:rsidRDefault="001A5BFF" w:rsidP="00E01870">
            <w:pPr>
              <w:pStyle w:val="TableTextRight"/>
            </w:pPr>
            <w:r w:rsidRPr="00964E36">
              <w:t>2</w:t>
            </w:r>
          </w:p>
        </w:tc>
        <w:tc>
          <w:tcPr>
            <w:tcW w:w="1281" w:type="dxa"/>
            <w:tcMar>
              <w:top w:w="57" w:type="dxa"/>
              <w:bottom w:w="57" w:type="dxa"/>
            </w:tcMar>
          </w:tcPr>
          <w:p w14:paraId="423B85EA" w14:textId="74694D3F" w:rsidR="00C206AD" w:rsidRPr="00964E36" w:rsidRDefault="00A51218" w:rsidP="00625DAB">
            <w:pPr>
              <w:pStyle w:val="TableTextLeft"/>
            </w:pPr>
            <w:r w:rsidRPr="00964E36">
              <w:t>Met</w:t>
            </w:r>
          </w:p>
        </w:tc>
      </w:tr>
      <w:tr w:rsidR="0086383C" w:rsidRPr="00DC37E8" w14:paraId="7E9523AA" w14:textId="5498B5FF" w:rsidTr="002F13B5">
        <w:trPr>
          <w:cnfStyle w:val="000000010000" w:firstRow="0" w:lastRow="0" w:firstColumn="0" w:lastColumn="0" w:oddVBand="0" w:evenVBand="0" w:oddHBand="0" w:evenHBand="1" w:firstRowFirstColumn="0" w:firstRowLastColumn="0" w:lastRowFirstColumn="0" w:lastRowLastColumn="0"/>
          <w:trHeight w:val="20"/>
        </w:trPr>
        <w:tc>
          <w:tcPr>
            <w:tcW w:w="3898" w:type="dxa"/>
            <w:tcMar>
              <w:top w:w="57" w:type="dxa"/>
              <w:bottom w:w="57" w:type="dxa"/>
            </w:tcMar>
          </w:tcPr>
          <w:p w14:paraId="02F1DC71" w14:textId="6CF9745D" w:rsidR="00C206AD" w:rsidRPr="00964E36" w:rsidRDefault="00F34517" w:rsidP="00625DAB">
            <w:pPr>
              <w:pStyle w:val="TableTextLeft"/>
            </w:pPr>
            <w:r w:rsidRPr="00964E36">
              <w:t>WAM</w:t>
            </w:r>
            <w:r w:rsidR="00C206AD" w:rsidRPr="00964E36">
              <w:t xml:space="preserve"> of Treasury Bond issuance</w:t>
            </w:r>
          </w:p>
        </w:tc>
        <w:tc>
          <w:tcPr>
            <w:tcW w:w="1281" w:type="dxa"/>
            <w:tcMar>
              <w:top w:w="57" w:type="dxa"/>
              <w:bottom w:w="57" w:type="dxa"/>
            </w:tcMar>
          </w:tcPr>
          <w:p w14:paraId="06F4F62F" w14:textId="38F1FE1C" w:rsidR="00C206AD" w:rsidRPr="00964E36" w:rsidRDefault="00C52915" w:rsidP="00E01870">
            <w:pPr>
              <w:pStyle w:val="TableTextRight"/>
            </w:pPr>
            <w:r w:rsidRPr="00964E36">
              <w:t>9</w:t>
            </w:r>
            <w:r w:rsidR="006D667B" w:rsidRPr="00964E36">
              <w:t>–10 years</w:t>
            </w:r>
          </w:p>
        </w:tc>
        <w:tc>
          <w:tcPr>
            <w:tcW w:w="1281" w:type="dxa"/>
            <w:tcMar>
              <w:top w:w="57" w:type="dxa"/>
              <w:bottom w:w="57" w:type="dxa"/>
            </w:tcMar>
          </w:tcPr>
          <w:p w14:paraId="6D7FBB1A" w14:textId="49562664" w:rsidR="00C206AD" w:rsidRPr="00964E36" w:rsidRDefault="001A5BFF" w:rsidP="00E01870">
            <w:pPr>
              <w:pStyle w:val="TableTextRight"/>
            </w:pPr>
            <w:r w:rsidRPr="00964E36">
              <w:t>9.1</w:t>
            </w:r>
            <w:r w:rsidR="005136FB" w:rsidRPr="00964E36">
              <w:t xml:space="preserve"> years</w:t>
            </w:r>
          </w:p>
        </w:tc>
        <w:tc>
          <w:tcPr>
            <w:tcW w:w="1281" w:type="dxa"/>
            <w:tcMar>
              <w:top w:w="57" w:type="dxa"/>
              <w:bottom w:w="57" w:type="dxa"/>
            </w:tcMar>
          </w:tcPr>
          <w:p w14:paraId="018AD022" w14:textId="48038386" w:rsidR="00C206AD" w:rsidRPr="00964E36" w:rsidRDefault="00A51218" w:rsidP="00625DAB">
            <w:pPr>
              <w:pStyle w:val="TableTextLeft"/>
            </w:pPr>
            <w:r w:rsidRPr="00964E36">
              <w:t>Met</w:t>
            </w:r>
          </w:p>
        </w:tc>
      </w:tr>
    </w:tbl>
    <w:p w14:paraId="3A13CB5D" w14:textId="798CCB28" w:rsidR="006B43DA" w:rsidRDefault="006B43DA" w:rsidP="00713231">
      <w:pPr>
        <w:pStyle w:val="Heading4"/>
      </w:pPr>
      <w:r>
        <w:lastRenderedPageBreak/>
        <w:t>Indicator 1.1.2</w:t>
      </w:r>
      <w:r w:rsidR="00531E21">
        <w:t>:</w:t>
      </w:r>
      <w:r>
        <w:t xml:space="preserve"> New issuance yields</w:t>
      </w:r>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6B43DA" w14:paraId="18393E25" w14:textId="77777777">
        <w:tc>
          <w:tcPr>
            <w:tcW w:w="7700" w:type="dxa"/>
            <w:shd w:val="clear" w:color="auto" w:fill="472978" w:themeFill="accent1"/>
            <w:tcMar>
              <w:top w:w="284" w:type="dxa"/>
              <w:bottom w:w="284" w:type="dxa"/>
            </w:tcMar>
          </w:tcPr>
          <w:p w14:paraId="246D82A2" w14:textId="5D4D1E2B" w:rsidR="006B43DA" w:rsidRPr="006F7A5F" w:rsidRDefault="00CA2FE3">
            <w:pPr>
              <w:pStyle w:val="Pullquote"/>
            </w:pPr>
            <w:r>
              <w:t>The AOFM met t</w:t>
            </w:r>
            <w:r w:rsidR="00DF7EBA">
              <w:t xml:space="preserve">he target to keep </w:t>
            </w:r>
            <w:r w:rsidR="00702EBD">
              <w:t xml:space="preserve">new issuance yields </w:t>
            </w:r>
            <w:r w:rsidR="00D57B13">
              <w:t xml:space="preserve">for tenders </w:t>
            </w:r>
            <w:r w:rsidR="00702EBD">
              <w:t>at</w:t>
            </w:r>
            <w:r w:rsidR="00E03268" w:rsidRPr="00E03268">
              <w:t xml:space="preserve"> or below </w:t>
            </w:r>
            <w:r w:rsidR="00C603C6">
              <w:t xml:space="preserve">secondary </w:t>
            </w:r>
            <w:r w:rsidR="00E03268" w:rsidRPr="00E03268">
              <w:t>mid</w:t>
            </w:r>
            <w:r w:rsidR="00B84FF2">
              <w:noBreakHyphen/>
            </w:r>
            <w:r w:rsidR="00E03268" w:rsidRPr="00E03268">
              <w:t>market yields</w:t>
            </w:r>
            <w:r w:rsidR="00702EBD">
              <w:t>.</w:t>
            </w:r>
          </w:p>
        </w:tc>
      </w:tr>
    </w:tbl>
    <w:p w14:paraId="6711DB3E" w14:textId="77777777" w:rsidR="006B43DA" w:rsidRDefault="006B43DA" w:rsidP="00E01870">
      <w:pPr>
        <w:pStyle w:val="SingleReturn"/>
      </w:pPr>
    </w:p>
    <w:p w14:paraId="557E5E91" w14:textId="03EC7D29" w:rsidR="004E49FD" w:rsidRDefault="00695A19" w:rsidP="006B43DA">
      <w:r>
        <w:t xml:space="preserve">Average </w:t>
      </w:r>
      <w:r w:rsidR="00A039D1">
        <w:t xml:space="preserve">tender yields were </w:t>
      </w:r>
      <w:r w:rsidR="004D7BFA">
        <w:t>0.</w:t>
      </w:r>
      <w:r w:rsidR="00C7484A">
        <w:t>7</w:t>
      </w:r>
      <w:r w:rsidR="004D7BFA">
        <w:t xml:space="preserve"> </w:t>
      </w:r>
      <w:r w:rsidR="00BA2FE7">
        <w:t>basis points (</w:t>
      </w:r>
      <w:r w:rsidR="005C0528">
        <w:t>bps</w:t>
      </w:r>
      <w:r w:rsidR="00BA2FE7">
        <w:t>)</w:t>
      </w:r>
      <w:r w:rsidR="005C0528">
        <w:t xml:space="preserve"> below secondary </w:t>
      </w:r>
      <w:r w:rsidR="004D7BFA">
        <w:t>mid</w:t>
      </w:r>
      <w:r w:rsidR="00B84FF2">
        <w:noBreakHyphen/>
      </w:r>
      <w:r w:rsidR="004D7BFA">
        <w:t>market yields for Treasury Bonds</w:t>
      </w:r>
      <w:r w:rsidR="00AE6705">
        <w:t xml:space="preserve"> and </w:t>
      </w:r>
      <w:r w:rsidR="00F5440C">
        <w:t>1.</w:t>
      </w:r>
      <w:r w:rsidR="00343161">
        <w:t xml:space="preserve">6 bps </w:t>
      </w:r>
      <w:r w:rsidR="00660047">
        <w:t xml:space="preserve">below </w:t>
      </w:r>
      <w:r w:rsidR="0032119F">
        <w:t>for TIBs in 2024</w:t>
      </w:r>
      <w:r w:rsidR="00BA2FE7">
        <w:t>–</w:t>
      </w:r>
      <w:r w:rsidR="0032119F">
        <w:t>25</w:t>
      </w:r>
      <w:r w:rsidR="00191073">
        <w:t>.</w:t>
      </w:r>
      <w:r w:rsidR="00773E2B">
        <w:t xml:space="preserve"> </w:t>
      </w:r>
      <w:r w:rsidR="007E2375">
        <w:t xml:space="preserve">This </w:t>
      </w:r>
      <w:r w:rsidR="00EB4402">
        <w:t xml:space="preserve">was marginally lower </w:t>
      </w:r>
      <w:r w:rsidR="00282269">
        <w:t xml:space="preserve">compared to </w:t>
      </w:r>
      <w:r w:rsidR="00A41A15">
        <w:t xml:space="preserve">the 1 bps below for </w:t>
      </w:r>
      <w:r w:rsidR="00EB4402">
        <w:t xml:space="preserve">Treasury Bonds </w:t>
      </w:r>
      <w:r w:rsidR="00A41A15">
        <w:t xml:space="preserve">and </w:t>
      </w:r>
      <w:r w:rsidR="004B5D63">
        <w:t>marginally higher than the 1.4</w:t>
      </w:r>
      <w:r w:rsidR="00351C26">
        <w:t> </w:t>
      </w:r>
      <w:r w:rsidR="004B5D63">
        <w:t xml:space="preserve">bps </w:t>
      </w:r>
      <w:r w:rsidR="000C2052">
        <w:t xml:space="preserve">for TIBs </w:t>
      </w:r>
      <w:r w:rsidR="00204D98">
        <w:t>in 2023</w:t>
      </w:r>
      <w:r w:rsidR="00BA2FE7">
        <w:t>–</w:t>
      </w:r>
      <w:r w:rsidR="00204D98">
        <w:t>24</w:t>
      </w:r>
      <w:r w:rsidR="000C2052">
        <w:t>.</w:t>
      </w:r>
    </w:p>
    <w:p w14:paraId="30C22616" w14:textId="28A54291" w:rsidR="008225E9" w:rsidRDefault="000350B1" w:rsidP="00713231">
      <w:pPr>
        <w:pStyle w:val="Heading4"/>
      </w:pPr>
      <w:r w:rsidRPr="00C17995">
        <w:t>Treasury</w:t>
      </w:r>
      <w:r w:rsidRPr="004442FA">
        <w:t xml:space="preserve"> Bonds</w:t>
      </w:r>
    </w:p>
    <w:p w14:paraId="4D6905DA" w14:textId="4E05A8E8" w:rsidR="0047329A" w:rsidRDefault="0047329A" w:rsidP="0047329A">
      <w:r>
        <w:t xml:space="preserve">Treasury Bond tenders were competitive in 2024–25. </w:t>
      </w:r>
    </w:p>
    <w:p w14:paraId="6A8C6AA5" w14:textId="211A92FB" w:rsidR="0047329A" w:rsidRDefault="0047329A" w:rsidP="0047329A">
      <w:r>
        <w:t>Tender strength was reflected in bond tender issuance yields relative to secondary market yields. At all Treasury Bond tenders during 2024–25, the weighted average issue yields were below prevailing secondary market yields – a favourable outcome relative to mid</w:t>
      </w:r>
      <w:r w:rsidR="00B84FF2">
        <w:noBreakHyphen/>
      </w:r>
      <w:r>
        <w:t>market pricing.</w:t>
      </w:r>
    </w:p>
    <w:p w14:paraId="05C6099C" w14:textId="412326B9" w:rsidR="00747B0D" w:rsidRDefault="00747B0D" w:rsidP="00673497">
      <w:r w:rsidRPr="00053A42">
        <w:t xml:space="preserve">Table </w:t>
      </w:r>
      <w:r w:rsidR="006C0900">
        <w:t>5</w:t>
      </w:r>
      <w:r w:rsidR="00EA483A">
        <w:t xml:space="preserve"> </w:t>
      </w:r>
      <w:r w:rsidRPr="00053A42">
        <w:t>summarises the results of Treasury Bond tenders conducted during the year. These</w:t>
      </w:r>
      <w:r w:rsidR="00EA483A">
        <w:t xml:space="preserve"> </w:t>
      </w:r>
      <w:r w:rsidR="00C27E69">
        <w:t>average</w:t>
      </w:r>
      <w:r w:rsidRPr="00053A42">
        <w:t xml:space="preserve">s are </w:t>
      </w:r>
      <w:r w:rsidRPr="00747B0D">
        <w:t xml:space="preserve">grouped by time to maturity. </w:t>
      </w:r>
    </w:p>
    <w:p w14:paraId="715EB2AA" w14:textId="57D16B80" w:rsidR="006134B1" w:rsidRPr="008569D4" w:rsidRDefault="00747B0D" w:rsidP="00817F37">
      <w:pPr>
        <w:pStyle w:val="TableMainHeading"/>
      </w:pPr>
      <w:r w:rsidRPr="008569D4">
        <w:t xml:space="preserve">Table </w:t>
      </w:r>
      <w:r w:rsidR="00EC76EE">
        <w:t>5</w:t>
      </w:r>
      <w:r w:rsidRPr="008569D4">
        <w:t>: Summary of Treasury Bond tender results</w:t>
      </w:r>
    </w:p>
    <w:tbl>
      <w:tblPr>
        <w:tblStyle w:val="AOFMTablemain"/>
        <w:tblW w:w="0" w:type="auto"/>
        <w:tblLook w:val="04A0" w:firstRow="1" w:lastRow="0" w:firstColumn="1" w:lastColumn="0" w:noHBand="0" w:noVBand="1"/>
      </w:tblPr>
      <w:tblGrid>
        <w:gridCol w:w="1938"/>
        <w:gridCol w:w="1658"/>
        <w:gridCol w:w="2466"/>
        <w:gridCol w:w="1649"/>
      </w:tblGrid>
      <w:tr w:rsidR="00E15250" w:rsidRPr="008569D4" w14:paraId="0D188706" w14:textId="77777777" w:rsidTr="00D429CE">
        <w:trPr>
          <w:cnfStyle w:val="100000000000" w:firstRow="1" w:lastRow="0" w:firstColumn="0" w:lastColumn="0" w:oddVBand="0" w:evenVBand="0" w:oddHBand="0" w:evenHBand="0" w:firstRowFirstColumn="0" w:firstRowLastColumn="0" w:lastRowFirstColumn="0" w:lastRowLastColumn="0"/>
          <w:trHeight w:val="363"/>
        </w:trPr>
        <w:tc>
          <w:tcPr>
            <w:tcW w:w="1978" w:type="dxa"/>
          </w:tcPr>
          <w:p w14:paraId="7E84E95A" w14:textId="3B7352AA" w:rsidR="00997A33" w:rsidRPr="00E01870" w:rsidRDefault="0051157C" w:rsidP="00E01870">
            <w:pPr>
              <w:pStyle w:val="TableColumnHeadingLeft"/>
            </w:pPr>
            <w:r w:rsidRPr="00E01870">
              <w:t>Maturity (years)</w:t>
            </w:r>
          </w:p>
        </w:tc>
        <w:tc>
          <w:tcPr>
            <w:tcW w:w="1697" w:type="dxa"/>
          </w:tcPr>
          <w:p w14:paraId="4BF90D38" w14:textId="542A37E5" w:rsidR="00997A33" w:rsidRPr="00E01870" w:rsidRDefault="0051157C" w:rsidP="00E01870">
            <w:pPr>
              <w:pStyle w:val="TableColumnHeadingLeft"/>
            </w:pPr>
            <w:r w:rsidRPr="00E01870">
              <w:t>Face value amount allocated ($m)</w:t>
            </w:r>
          </w:p>
        </w:tc>
        <w:tc>
          <w:tcPr>
            <w:tcW w:w="2547" w:type="dxa"/>
          </w:tcPr>
          <w:p w14:paraId="2C7CE9FF" w14:textId="173E0C35" w:rsidR="00997A33" w:rsidRPr="00E01870" w:rsidRDefault="0051157C" w:rsidP="00E01870">
            <w:pPr>
              <w:pStyle w:val="TableColumnHeadingLeft"/>
            </w:pPr>
            <w:r w:rsidRPr="00E01870">
              <w:t>Average spread to secondary market yield (bps)</w:t>
            </w:r>
          </w:p>
        </w:tc>
        <w:tc>
          <w:tcPr>
            <w:tcW w:w="1691" w:type="dxa"/>
          </w:tcPr>
          <w:p w14:paraId="4F29AE82" w14:textId="5893A5D0" w:rsidR="00997A33" w:rsidRPr="00E01870" w:rsidRDefault="0051157C" w:rsidP="00E01870">
            <w:pPr>
              <w:pStyle w:val="TableColumnHeadingLeft"/>
            </w:pPr>
            <w:r w:rsidRPr="00E01870">
              <w:t>Average times covered</w:t>
            </w:r>
          </w:p>
        </w:tc>
      </w:tr>
      <w:tr w:rsidR="00D429CE" w:rsidRPr="008569D4" w14:paraId="15EA4F0F" w14:textId="77777777" w:rsidTr="00E01870">
        <w:trPr>
          <w:trHeight w:val="217"/>
        </w:trPr>
        <w:tc>
          <w:tcPr>
            <w:tcW w:w="1978" w:type="dxa"/>
          </w:tcPr>
          <w:p w14:paraId="0100A3D6" w14:textId="3CE6A8DD" w:rsidR="00D429CE" w:rsidRPr="00E01870" w:rsidRDefault="00D429CE" w:rsidP="00625DAB">
            <w:pPr>
              <w:pStyle w:val="TableTextLeft"/>
            </w:pPr>
            <w:r w:rsidRPr="00E01870">
              <w:t>0</w:t>
            </w:r>
            <w:r w:rsidR="00BA2FE7" w:rsidRPr="00E01870">
              <w:t>–</w:t>
            </w:r>
            <w:r w:rsidRPr="00E01870">
              <w:t>2</w:t>
            </w:r>
          </w:p>
        </w:tc>
        <w:tc>
          <w:tcPr>
            <w:tcW w:w="1697" w:type="dxa"/>
            <w:vAlign w:val="center"/>
          </w:tcPr>
          <w:p w14:paraId="1099F421" w14:textId="77E8EC1E" w:rsidR="00D429CE" w:rsidRPr="00E01870" w:rsidRDefault="00BA2FE7" w:rsidP="00E01870">
            <w:pPr>
              <w:pStyle w:val="TableTextRight"/>
            </w:pPr>
            <w:r w:rsidRPr="00E01870">
              <w:t>–</w:t>
            </w:r>
          </w:p>
        </w:tc>
        <w:tc>
          <w:tcPr>
            <w:tcW w:w="2547" w:type="dxa"/>
            <w:vAlign w:val="center"/>
          </w:tcPr>
          <w:p w14:paraId="7D374FFB" w14:textId="3DB71FD4" w:rsidR="00D429CE" w:rsidRPr="00E01870" w:rsidRDefault="00BA2FE7" w:rsidP="00E01870">
            <w:pPr>
              <w:pStyle w:val="TableTextRight"/>
            </w:pPr>
            <w:r w:rsidRPr="00E01870">
              <w:t>–</w:t>
            </w:r>
          </w:p>
        </w:tc>
        <w:tc>
          <w:tcPr>
            <w:tcW w:w="1691" w:type="dxa"/>
            <w:vAlign w:val="center"/>
          </w:tcPr>
          <w:p w14:paraId="4E044C27" w14:textId="354CD545" w:rsidR="00D429CE" w:rsidRPr="00E01870" w:rsidRDefault="00BA2FE7" w:rsidP="00E01870">
            <w:pPr>
              <w:pStyle w:val="TableTextRight"/>
            </w:pPr>
            <w:r w:rsidRPr="00E01870">
              <w:t>–</w:t>
            </w:r>
          </w:p>
        </w:tc>
      </w:tr>
      <w:tr w:rsidR="00E15250" w:rsidRPr="008569D4" w14:paraId="35834D8C" w14:textId="77777777" w:rsidTr="00E01870">
        <w:trPr>
          <w:cnfStyle w:val="000000010000" w:firstRow="0" w:lastRow="0" w:firstColumn="0" w:lastColumn="0" w:oddVBand="0" w:evenVBand="0" w:oddHBand="0" w:evenHBand="1" w:firstRowFirstColumn="0" w:firstRowLastColumn="0" w:lastRowFirstColumn="0" w:lastRowLastColumn="0"/>
          <w:trHeight w:val="237"/>
        </w:trPr>
        <w:tc>
          <w:tcPr>
            <w:tcW w:w="1978" w:type="dxa"/>
          </w:tcPr>
          <w:p w14:paraId="58E7B296" w14:textId="5F9E75F5" w:rsidR="00D429CE" w:rsidRPr="00E01870" w:rsidRDefault="00D429CE" w:rsidP="00625DAB">
            <w:pPr>
              <w:pStyle w:val="TableTextLeft"/>
            </w:pPr>
            <w:r w:rsidRPr="00E01870">
              <w:t>2</w:t>
            </w:r>
            <w:r w:rsidR="00BA2FE7" w:rsidRPr="00E01870">
              <w:t>–</w:t>
            </w:r>
            <w:r w:rsidRPr="00E01870">
              <w:t>5</w:t>
            </w:r>
          </w:p>
        </w:tc>
        <w:tc>
          <w:tcPr>
            <w:tcW w:w="1697" w:type="dxa"/>
            <w:vAlign w:val="center"/>
          </w:tcPr>
          <w:p w14:paraId="4BBB10EA" w14:textId="075992EF" w:rsidR="00D429CE" w:rsidRPr="00E01870" w:rsidRDefault="00D429CE" w:rsidP="00E01870">
            <w:pPr>
              <w:pStyle w:val="TableTextRight"/>
            </w:pPr>
            <w:r w:rsidRPr="00E01870">
              <w:t>20,200</w:t>
            </w:r>
          </w:p>
        </w:tc>
        <w:tc>
          <w:tcPr>
            <w:tcW w:w="2547" w:type="dxa"/>
            <w:vAlign w:val="center"/>
          </w:tcPr>
          <w:p w14:paraId="6284B47A" w14:textId="5D201331" w:rsidR="00D429CE" w:rsidRPr="00E01870" w:rsidRDefault="00BA2FE7" w:rsidP="00E01870">
            <w:pPr>
              <w:pStyle w:val="TableTextRight"/>
            </w:pPr>
            <w:r w:rsidRPr="00E01870">
              <w:t>–</w:t>
            </w:r>
            <w:r w:rsidR="00D429CE" w:rsidRPr="00E01870">
              <w:t>1.1</w:t>
            </w:r>
          </w:p>
        </w:tc>
        <w:tc>
          <w:tcPr>
            <w:tcW w:w="1691" w:type="dxa"/>
            <w:vAlign w:val="center"/>
          </w:tcPr>
          <w:p w14:paraId="180C9380" w14:textId="5133ACBA" w:rsidR="00D429CE" w:rsidRPr="00E01870" w:rsidRDefault="00D429CE" w:rsidP="00E01870">
            <w:pPr>
              <w:pStyle w:val="TableTextRight"/>
            </w:pPr>
            <w:r w:rsidRPr="00E01870">
              <w:t>4.11</w:t>
            </w:r>
          </w:p>
        </w:tc>
      </w:tr>
      <w:tr w:rsidR="00D429CE" w:rsidRPr="008569D4" w14:paraId="25C80DBF" w14:textId="77777777" w:rsidTr="00E01870">
        <w:trPr>
          <w:trHeight w:val="243"/>
        </w:trPr>
        <w:tc>
          <w:tcPr>
            <w:tcW w:w="1978" w:type="dxa"/>
          </w:tcPr>
          <w:p w14:paraId="0942C89B" w14:textId="328D1AD0" w:rsidR="00D429CE" w:rsidRPr="00E01870" w:rsidRDefault="00D429CE" w:rsidP="00625DAB">
            <w:pPr>
              <w:pStyle w:val="TableTextLeft"/>
            </w:pPr>
            <w:r w:rsidRPr="00E01870">
              <w:t>5</w:t>
            </w:r>
            <w:r w:rsidR="00BA2FE7" w:rsidRPr="00E01870">
              <w:t>–</w:t>
            </w:r>
            <w:r w:rsidRPr="00E01870">
              <w:t>9</w:t>
            </w:r>
          </w:p>
        </w:tc>
        <w:tc>
          <w:tcPr>
            <w:tcW w:w="1697" w:type="dxa"/>
            <w:vAlign w:val="center"/>
          </w:tcPr>
          <w:p w14:paraId="6216A67E" w14:textId="3F56558B" w:rsidR="00D429CE" w:rsidRPr="00E01870" w:rsidRDefault="00D429CE" w:rsidP="00E01870">
            <w:pPr>
              <w:pStyle w:val="TableTextRight"/>
            </w:pPr>
            <w:r w:rsidRPr="00E01870">
              <w:t>13,000</w:t>
            </w:r>
          </w:p>
        </w:tc>
        <w:tc>
          <w:tcPr>
            <w:tcW w:w="2547" w:type="dxa"/>
            <w:vAlign w:val="center"/>
          </w:tcPr>
          <w:p w14:paraId="19FE14DB" w14:textId="6A4A797F" w:rsidR="00D429CE" w:rsidRPr="00E01870" w:rsidRDefault="00BA2FE7" w:rsidP="00E01870">
            <w:pPr>
              <w:pStyle w:val="TableTextRight"/>
            </w:pPr>
            <w:r w:rsidRPr="00E01870">
              <w:t>–</w:t>
            </w:r>
            <w:r w:rsidR="00D429CE" w:rsidRPr="00E01870">
              <w:t>0.9</w:t>
            </w:r>
          </w:p>
        </w:tc>
        <w:tc>
          <w:tcPr>
            <w:tcW w:w="1691" w:type="dxa"/>
            <w:vAlign w:val="center"/>
          </w:tcPr>
          <w:p w14:paraId="4372CA4F" w14:textId="299CEC14" w:rsidR="00D429CE" w:rsidRPr="00E01870" w:rsidRDefault="00D429CE" w:rsidP="00E01870">
            <w:pPr>
              <w:pStyle w:val="TableTextRight"/>
            </w:pPr>
            <w:r w:rsidRPr="00E01870">
              <w:t>3.80</w:t>
            </w:r>
          </w:p>
        </w:tc>
      </w:tr>
      <w:tr w:rsidR="00E15250" w:rsidRPr="008569D4" w14:paraId="4F6DBCC0" w14:textId="77777777" w:rsidTr="00E01870">
        <w:trPr>
          <w:cnfStyle w:val="000000010000" w:firstRow="0" w:lastRow="0" w:firstColumn="0" w:lastColumn="0" w:oddVBand="0" w:evenVBand="0" w:oddHBand="0" w:evenHBand="1" w:firstRowFirstColumn="0" w:firstRowLastColumn="0" w:lastRowFirstColumn="0" w:lastRowLastColumn="0"/>
          <w:trHeight w:val="106"/>
        </w:trPr>
        <w:tc>
          <w:tcPr>
            <w:tcW w:w="1978" w:type="dxa"/>
          </w:tcPr>
          <w:p w14:paraId="06C41216" w14:textId="4623F878" w:rsidR="00D429CE" w:rsidRPr="00E01870" w:rsidRDefault="00D429CE" w:rsidP="00625DAB">
            <w:pPr>
              <w:pStyle w:val="TableTextLeft"/>
            </w:pPr>
            <w:r w:rsidRPr="00E01870">
              <w:t>9</w:t>
            </w:r>
            <w:r w:rsidR="00BA2FE7" w:rsidRPr="00E01870">
              <w:t>–</w:t>
            </w:r>
            <w:r w:rsidRPr="00E01870">
              <w:t>12</w:t>
            </w:r>
          </w:p>
        </w:tc>
        <w:tc>
          <w:tcPr>
            <w:tcW w:w="1697" w:type="dxa"/>
            <w:vAlign w:val="center"/>
          </w:tcPr>
          <w:p w14:paraId="2AF68439" w14:textId="626ED604" w:rsidR="00D429CE" w:rsidRPr="00E01870" w:rsidRDefault="00D429CE" w:rsidP="00E01870">
            <w:pPr>
              <w:pStyle w:val="TableTextRight"/>
            </w:pPr>
            <w:r w:rsidRPr="00E01870">
              <w:t>32,400</w:t>
            </w:r>
          </w:p>
        </w:tc>
        <w:tc>
          <w:tcPr>
            <w:tcW w:w="2547" w:type="dxa"/>
            <w:vAlign w:val="center"/>
          </w:tcPr>
          <w:p w14:paraId="4E3B5B51" w14:textId="6CFFECAE" w:rsidR="00D429CE" w:rsidRPr="00E01870" w:rsidRDefault="00BA2FE7" w:rsidP="00E01870">
            <w:pPr>
              <w:pStyle w:val="TableTextRight"/>
            </w:pPr>
            <w:r w:rsidRPr="00E01870">
              <w:t>–</w:t>
            </w:r>
            <w:r w:rsidR="00D429CE" w:rsidRPr="00E01870">
              <w:t>0.4</w:t>
            </w:r>
          </w:p>
        </w:tc>
        <w:tc>
          <w:tcPr>
            <w:tcW w:w="1691" w:type="dxa"/>
            <w:vAlign w:val="center"/>
          </w:tcPr>
          <w:p w14:paraId="562B1FBF" w14:textId="2D314208" w:rsidR="00D429CE" w:rsidRPr="00E01870" w:rsidRDefault="00D429CE" w:rsidP="00E01870">
            <w:pPr>
              <w:pStyle w:val="TableTextRight"/>
            </w:pPr>
            <w:r w:rsidRPr="00E01870">
              <w:t>3.37</w:t>
            </w:r>
          </w:p>
        </w:tc>
      </w:tr>
      <w:tr w:rsidR="00D429CE" w:rsidRPr="008569D4" w14:paraId="2065A30C" w14:textId="77777777" w:rsidTr="00E01870">
        <w:trPr>
          <w:trHeight w:val="25"/>
        </w:trPr>
        <w:tc>
          <w:tcPr>
            <w:tcW w:w="1978" w:type="dxa"/>
          </w:tcPr>
          <w:p w14:paraId="3FEEEDD6" w14:textId="46A97685" w:rsidR="00D429CE" w:rsidRPr="00E01870" w:rsidRDefault="00D429CE" w:rsidP="00625DAB">
            <w:pPr>
              <w:pStyle w:val="TableTextLeft"/>
            </w:pPr>
            <w:r w:rsidRPr="00E01870">
              <w:t>12+</w:t>
            </w:r>
          </w:p>
        </w:tc>
        <w:tc>
          <w:tcPr>
            <w:tcW w:w="1697" w:type="dxa"/>
            <w:vAlign w:val="center"/>
          </w:tcPr>
          <w:p w14:paraId="4C270DA6" w14:textId="1867CD9E" w:rsidR="00D429CE" w:rsidRPr="00E01870" w:rsidRDefault="00D429CE" w:rsidP="00E01870">
            <w:pPr>
              <w:pStyle w:val="TableTextRight"/>
            </w:pPr>
            <w:r w:rsidRPr="00E01870">
              <w:t>6,500</w:t>
            </w:r>
          </w:p>
        </w:tc>
        <w:tc>
          <w:tcPr>
            <w:tcW w:w="2547" w:type="dxa"/>
            <w:vAlign w:val="center"/>
          </w:tcPr>
          <w:p w14:paraId="11436A28" w14:textId="3127CE4A" w:rsidR="00D429CE" w:rsidRPr="00E01870" w:rsidRDefault="00BA2FE7" w:rsidP="00E01870">
            <w:pPr>
              <w:pStyle w:val="TableTextRight"/>
            </w:pPr>
            <w:r w:rsidRPr="00E01870">
              <w:t>–</w:t>
            </w:r>
            <w:r w:rsidR="00D429CE" w:rsidRPr="00E01870">
              <w:t>0.4</w:t>
            </w:r>
          </w:p>
        </w:tc>
        <w:tc>
          <w:tcPr>
            <w:tcW w:w="1691" w:type="dxa"/>
            <w:vAlign w:val="center"/>
          </w:tcPr>
          <w:p w14:paraId="624C33A1" w14:textId="4D2D6182" w:rsidR="00D429CE" w:rsidRPr="00E01870" w:rsidRDefault="00D429CE" w:rsidP="00E01870">
            <w:pPr>
              <w:pStyle w:val="TableTextRight"/>
            </w:pPr>
            <w:r w:rsidRPr="00E01870">
              <w:t>3.18</w:t>
            </w:r>
          </w:p>
        </w:tc>
      </w:tr>
      <w:tr w:rsidR="00E15250" w:rsidRPr="008569D4" w14:paraId="536E658F" w14:textId="77777777" w:rsidTr="00E01870">
        <w:trPr>
          <w:cnfStyle w:val="000000010000" w:firstRow="0" w:lastRow="0" w:firstColumn="0" w:lastColumn="0" w:oddVBand="0" w:evenVBand="0" w:oddHBand="0" w:evenHBand="1" w:firstRowFirstColumn="0" w:firstRowLastColumn="0" w:lastRowFirstColumn="0" w:lastRowLastColumn="0"/>
          <w:trHeight w:val="25"/>
        </w:trPr>
        <w:tc>
          <w:tcPr>
            <w:tcW w:w="1978" w:type="dxa"/>
          </w:tcPr>
          <w:p w14:paraId="762CCAFD" w14:textId="475D9E35" w:rsidR="00D429CE" w:rsidRPr="00592520" w:rsidRDefault="00D429CE" w:rsidP="00625DAB">
            <w:pPr>
              <w:pStyle w:val="TableTextLeft"/>
              <w:rPr>
                <w:b/>
                <w:bCs/>
              </w:rPr>
            </w:pPr>
            <w:r w:rsidRPr="00592520">
              <w:rPr>
                <w:b/>
                <w:bCs/>
              </w:rPr>
              <w:t>Total/Average</w:t>
            </w:r>
          </w:p>
        </w:tc>
        <w:tc>
          <w:tcPr>
            <w:tcW w:w="1697" w:type="dxa"/>
            <w:vAlign w:val="center"/>
          </w:tcPr>
          <w:p w14:paraId="2F743EA0" w14:textId="3E257FC2" w:rsidR="00D429CE" w:rsidRPr="00E01870" w:rsidRDefault="00D429CE" w:rsidP="00E01870">
            <w:pPr>
              <w:pStyle w:val="TableTextRight"/>
              <w:rPr>
                <w:b/>
                <w:bCs/>
              </w:rPr>
            </w:pPr>
            <w:r w:rsidRPr="00E01870">
              <w:rPr>
                <w:b/>
                <w:bCs/>
              </w:rPr>
              <w:t>72,100</w:t>
            </w:r>
          </w:p>
        </w:tc>
        <w:tc>
          <w:tcPr>
            <w:tcW w:w="2547" w:type="dxa"/>
            <w:vAlign w:val="center"/>
          </w:tcPr>
          <w:p w14:paraId="19935D90" w14:textId="5F21C91E" w:rsidR="00D429CE" w:rsidRPr="00E01870" w:rsidRDefault="00BA2FE7" w:rsidP="00E01870">
            <w:pPr>
              <w:pStyle w:val="TableTextRight"/>
              <w:rPr>
                <w:b/>
                <w:bCs/>
              </w:rPr>
            </w:pPr>
            <w:r w:rsidRPr="00E01870">
              <w:rPr>
                <w:b/>
                <w:bCs/>
              </w:rPr>
              <w:t>–</w:t>
            </w:r>
            <w:r w:rsidR="00D429CE" w:rsidRPr="00E01870">
              <w:rPr>
                <w:b/>
                <w:bCs/>
              </w:rPr>
              <w:t>0.7</w:t>
            </w:r>
          </w:p>
        </w:tc>
        <w:tc>
          <w:tcPr>
            <w:tcW w:w="1691" w:type="dxa"/>
            <w:vAlign w:val="center"/>
          </w:tcPr>
          <w:p w14:paraId="45792432" w14:textId="5464AFD0" w:rsidR="00D429CE" w:rsidRPr="00E01870" w:rsidRDefault="00D429CE" w:rsidP="00E01870">
            <w:pPr>
              <w:pStyle w:val="TableTextRight"/>
              <w:rPr>
                <w:b/>
                <w:bCs/>
              </w:rPr>
            </w:pPr>
            <w:r w:rsidRPr="00E01870">
              <w:rPr>
                <w:b/>
                <w:bCs/>
              </w:rPr>
              <w:t>3.64</w:t>
            </w:r>
          </w:p>
        </w:tc>
      </w:tr>
    </w:tbl>
    <w:p w14:paraId="7D692475" w14:textId="77777777" w:rsidR="002F13B5" w:rsidRDefault="002F13B5">
      <w:pPr>
        <w:spacing w:after="0" w:line="240" w:lineRule="auto"/>
        <w:rPr>
          <w:rFonts w:eastAsiaTheme="majorEastAsia" w:cs="Open Sans Semibold"/>
          <w:b/>
          <w:bCs/>
          <w:color w:val="353535" w:themeColor="accent4"/>
          <w:sz w:val="26"/>
          <w:szCs w:val="28"/>
        </w:rPr>
      </w:pPr>
      <w:r>
        <w:br w:type="page"/>
      </w:r>
    </w:p>
    <w:p w14:paraId="6497609A" w14:textId="395B44BF" w:rsidR="00A513DE" w:rsidRDefault="00A513DE" w:rsidP="00713231">
      <w:pPr>
        <w:pStyle w:val="Heading4"/>
      </w:pPr>
      <w:r w:rsidRPr="00C17995">
        <w:lastRenderedPageBreak/>
        <w:t>Treasury</w:t>
      </w:r>
      <w:r w:rsidRPr="004442FA">
        <w:t xml:space="preserve"> </w:t>
      </w:r>
      <w:r>
        <w:t xml:space="preserve">Indexed </w:t>
      </w:r>
      <w:r w:rsidRPr="004442FA">
        <w:t>Bonds</w:t>
      </w:r>
    </w:p>
    <w:p w14:paraId="4E89B919" w14:textId="77777777" w:rsidR="00060575" w:rsidRDefault="00A513DE" w:rsidP="00A513DE">
      <w:r>
        <w:t xml:space="preserve">TIB tenders were competitive in 2024–25. </w:t>
      </w:r>
    </w:p>
    <w:p w14:paraId="4132C4C3" w14:textId="4B8181B4" w:rsidR="00060575" w:rsidRDefault="00060575" w:rsidP="00A513DE">
      <w:r w:rsidRPr="00060575">
        <w:t>The weighted average issue yield was 1.</w:t>
      </w:r>
      <w:r>
        <w:t>6</w:t>
      </w:r>
      <w:r w:rsidRPr="00060575">
        <w:t xml:space="preserve"> bps less than prevailing secondary market yields in 202</w:t>
      </w:r>
      <w:r>
        <w:t>4</w:t>
      </w:r>
      <w:r w:rsidRPr="00060575">
        <w:t>–2</w:t>
      </w:r>
      <w:r>
        <w:t>5</w:t>
      </w:r>
      <w:r w:rsidRPr="00060575">
        <w:t xml:space="preserve"> (compared to 1.</w:t>
      </w:r>
      <w:r>
        <w:t>4</w:t>
      </w:r>
      <w:r w:rsidRPr="00060575">
        <w:t xml:space="preserve"> bps in 202</w:t>
      </w:r>
      <w:r w:rsidR="00C60697">
        <w:t>3</w:t>
      </w:r>
      <w:r w:rsidRPr="00060575">
        <w:t>–2</w:t>
      </w:r>
      <w:r w:rsidR="00C60697">
        <w:t>4</w:t>
      </w:r>
      <w:r w:rsidRPr="00060575">
        <w:t xml:space="preserve">). Table </w:t>
      </w:r>
      <w:r w:rsidR="004621C2">
        <w:t>6</w:t>
      </w:r>
      <w:r w:rsidRPr="00060575">
        <w:t xml:space="preserve"> summarises the results of the TIB tenders conducted throughout the year. </w:t>
      </w:r>
    </w:p>
    <w:p w14:paraId="72598081" w14:textId="49E5057F" w:rsidR="00A513DE" w:rsidRPr="00B82AD7" w:rsidRDefault="00A513DE" w:rsidP="00E20F42">
      <w:pPr>
        <w:pStyle w:val="TableMainHeading"/>
      </w:pPr>
      <w:r w:rsidRPr="00B82AD7">
        <w:t xml:space="preserve">Table </w:t>
      </w:r>
      <w:r w:rsidR="004621C2">
        <w:t>6</w:t>
      </w:r>
      <w:r w:rsidRPr="00B82AD7">
        <w:t xml:space="preserve">: Summary of </w:t>
      </w:r>
      <w:r w:rsidR="00A1730F">
        <w:t xml:space="preserve">TIB </w:t>
      </w:r>
      <w:r w:rsidRPr="00B82AD7">
        <w:t>tender results</w:t>
      </w:r>
    </w:p>
    <w:tbl>
      <w:tblPr>
        <w:tblStyle w:val="AOFMTablemain"/>
        <w:tblW w:w="0" w:type="auto"/>
        <w:tblLook w:val="04A0" w:firstRow="1" w:lastRow="0" w:firstColumn="1" w:lastColumn="0" w:noHBand="0" w:noVBand="1"/>
      </w:tblPr>
      <w:tblGrid>
        <w:gridCol w:w="1938"/>
        <w:gridCol w:w="1658"/>
        <w:gridCol w:w="2466"/>
        <w:gridCol w:w="1649"/>
      </w:tblGrid>
      <w:tr w:rsidR="00E15250" w:rsidRPr="008271F1" w14:paraId="2EC17C5C" w14:textId="77777777" w:rsidTr="00EA483A">
        <w:trPr>
          <w:cnfStyle w:val="100000000000" w:firstRow="1" w:lastRow="0" w:firstColumn="0" w:lastColumn="0" w:oddVBand="0" w:evenVBand="0" w:oddHBand="0" w:evenHBand="0" w:firstRowFirstColumn="0" w:firstRowLastColumn="0" w:lastRowFirstColumn="0" w:lastRowLastColumn="0"/>
          <w:trHeight w:val="363"/>
        </w:trPr>
        <w:tc>
          <w:tcPr>
            <w:tcW w:w="1978" w:type="dxa"/>
          </w:tcPr>
          <w:p w14:paraId="6EA3D6C9" w14:textId="77777777" w:rsidR="00A513DE" w:rsidRPr="000962F7" w:rsidRDefault="00A513DE" w:rsidP="00CB418E">
            <w:pPr>
              <w:pStyle w:val="TableColumnHeadingLeft"/>
            </w:pPr>
            <w:r w:rsidRPr="000962F7">
              <w:t>Maturity (years)</w:t>
            </w:r>
          </w:p>
        </w:tc>
        <w:tc>
          <w:tcPr>
            <w:tcW w:w="1697" w:type="dxa"/>
          </w:tcPr>
          <w:p w14:paraId="1E73DC06" w14:textId="77777777" w:rsidR="00A513DE" w:rsidRPr="000962F7" w:rsidRDefault="00A513DE" w:rsidP="00CB418E">
            <w:pPr>
              <w:pStyle w:val="TableColumnHeadingRight"/>
            </w:pPr>
            <w:r w:rsidRPr="000962F7">
              <w:t>Face value amount allocated ($m)</w:t>
            </w:r>
          </w:p>
        </w:tc>
        <w:tc>
          <w:tcPr>
            <w:tcW w:w="2547" w:type="dxa"/>
          </w:tcPr>
          <w:p w14:paraId="5DCCA786" w14:textId="77777777" w:rsidR="00A513DE" w:rsidRPr="000962F7" w:rsidRDefault="00A513DE" w:rsidP="00CB418E">
            <w:pPr>
              <w:pStyle w:val="TableColumnHeadingRight"/>
            </w:pPr>
            <w:r w:rsidRPr="000962F7">
              <w:t>Average spread to secondary market yield (bps)</w:t>
            </w:r>
          </w:p>
        </w:tc>
        <w:tc>
          <w:tcPr>
            <w:tcW w:w="1691" w:type="dxa"/>
          </w:tcPr>
          <w:p w14:paraId="0F439540" w14:textId="77777777" w:rsidR="00A513DE" w:rsidRPr="000962F7" w:rsidRDefault="00A513DE" w:rsidP="00CB418E">
            <w:pPr>
              <w:pStyle w:val="TableColumnHeadingRight"/>
            </w:pPr>
            <w:r w:rsidRPr="000962F7">
              <w:t>Average times covered</w:t>
            </w:r>
          </w:p>
        </w:tc>
      </w:tr>
      <w:tr w:rsidR="006041ED" w:rsidRPr="008271F1" w14:paraId="6CA90D2B" w14:textId="77777777" w:rsidTr="00CB418E">
        <w:trPr>
          <w:trHeight w:val="286"/>
        </w:trPr>
        <w:tc>
          <w:tcPr>
            <w:tcW w:w="1978" w:type="dxa"/>
          </w:tcPr>
          <w:p w14:paraId="4FCCB388" w14:textId="21228CE2" w:rsidR="006041ED" w:rsidRPr="000962F7" w:rsidRDefault="006041ED" w:rsidP="00625DAB">
            <w:pPr>
              <w:pStyle w:val="TableTextLeft"/>
            </w:pPr>
            <w:r w:rsidRPr="000962F7">
              <w:t>0</w:t>
            </w:r>
            <w:r w:rsidR="00BA2FE7" w:rsidRPr="000962F7">
              <w:t>–</w:t>
            </w:r>
            <w:r w:rsidRPr="000962F7">
              <w:t>5</w:t>
            </w:r>
          </w:p>
        </w:tc>
        <w:tc>
          <w:tcPr>
            <w:tcW w:w="1697" w:type="dxa"/>
          </w:tcPr>
          <w:p w14:paraId="7B1047A3" w14:textId="5967F439" w:rsidR="006041ED" w:rsidRPr="000962F7" w:rsidRDefault="006041ED" w:rsidP="00CB418E">
            <w:pPr>
              <w:pStyle w:val="TableTextRight"/>
            </w:pPr>
            <w:r w:rsidRPr="000962F7">
              <w:t xml:space="preserve"> 200 </w:t>
            </w:r>
          </w:p>
        </w:tc>
        <w:tc>
          <w:tcPr>
            <w:tcW w:w="2547" w:type="dxa"/>
          </w:tcPr>
          <w:p w14:paraId="3A99333F" w14:textId="4583833B" w:rsidR="006041ED" w:rsidRPr="000962F7" w:rsidRDefault="006041ED" w:rsidP="00CB418E">
            <w:pPr>
              <w:pStyle w:val="TableTextRight"/>
            </w:pPr>
            <w:r w:rsidRPr="000962F7">
              <w:t xml:space="preserve"> </w:t>
            </w:r>
            <w:r w:rsidR="00BA2FE7" w:rsidRPr="000962F7">
              <w:t>–</w:t>
            </w:r>
            <w:r w:rsidRPr="000962F7">
              <w:t xml:space="preserve">5.1 </w:t>
            </w:r>
          </w:p>
        </w:tc>
        <w:tc>
          <w:tcPr>
            <w:tcW w:w="1691" w:type="dxa"/>
          </w:tcPr>
          <w:p w14:paraId="224FDB9E" w14:textId="08622059" w:rsidR="006041ED" w:rsidRPr="000962F7" w:rsidRDefault="006041ED" w:rsidP="00CB418E">
            <w:pPr>
              <w:pStyle w:val="TableTextRight"/>
            </w:pPr>
            <w:r w:rsidRPr="000962F7">
              <w:t xml:space="preserve"> 4.96 </w:t>
            </w:r>
          </w:p>
        </w:tc>
      </w:tr>
      <w:tr w:rsidR="00E15250" w:rsidRPr="008271F1" w14:paraId="07A70801" w14:textId="77777777" w:rsidTr="00CB418E">
        <w:trPr>
          <w:cnfStyle w:val="000000010000" w:firstRow="0" w:lastRow="0" w:firstColumn="0" w:lastColumn="0" w:oddVBand="0" w:evenVBand="0" w:oddHBand="0" w:evenHBand="1" w:firstRowFirstColumn="0" w:firstRowLastColumn="0" w:lastRowFirstColumn="0" w:lastRowLastColumn="0"/>
          <w:trHeight w:val="94"/>
        </w:trPr>
        <w:tc>
          <w:tcPr>
            <w:tcW w:w="1978" w:type="dxa"/>
          </w:tcPr>
          <w:p w14:paraId="2C6B237B" w14:textId="614E5310" w:rsidR="006041ED" w:rsidRPr="000962F7" w:rsidRDefault="006041ED" w:rsidP="00625DAB">
            <w:pPr>
              <w:pStyle w:val="TableTextLeft"/>
            </w:pPr>
            <w:r w:rsidRPr="000962F7">
              <w:t>5</w:t>
            </w:r>
            <w:r w:rsidR="00BA2FE7" w:rsidRPr="000962F7">
              <w:t>–</w:t>
            </w:r>
            <w:r w:rsidRPr="000962F7">
              <w:t>10</w:t>
            </w:r>
          </w:p>
        </w:tc>
        <w:tc>
          <w:tcPr>
            <w:tcW w:w="1697" w:type="dxa"/>
          </w:tcPr>
          <w:p w14:paraId="253CFF13" w14:textId="385FF356" w:rsidR="006041ED" w:rsidRPr="000962F7" w:rsidRDefault="006041ED" w:rsidP="00CB418E">
            <w:pPr>
              <w:pStyle w:val="TableTextRight"/>
            </w:pPr>
            <w:r w:rsidRPr="000962F7">
              <w:t xml:space="preserve"> 1,300 </w:t>
            </w:r>
          </w:p>
        </w:tc>
        <w:tc>
          <w:tcPr>
            <w:tcW w:w="2547" w:type="dxa"/>
          </w:tcPr>
          <w:p w14:paraId="30124A21" w14:textId="14D5647B" w:rsidR="006041ED" w:rsidRPr="000962F7" w:rsidRDefault="006041ED" w:rsidP="00CB418E">
            <w:pPr>
              <w:pStyle w:val="TableTextRight"/>
            </w:pPr>
            <w:r w:rsidRPr="000962F7">
              <w:t xml:space="preserve"> </w:t>
            </w:r>
            <w:r w:rsidR="00BA2FE7" w:rsidRPr="000962F7">
              <w:t>–</w:t>
            </w:r>
            <w:r w:rsidRPr="000962F7">
              <w:t xml:space="preserve">1.6 </w:t>
            </w:r>
          </w:p>
        </w:tc>
        <w:tc>
          <w:tcPr>
            <w:tcW w:w="1691" w:type="dxa"/>
          </w:tcPr>
          <w:p w14:paraId="48B29FBE" w14:textId="234F6D78" w:rsidR="006041ED" w:rsidRPr="000962F7" w:rsidRDefault="006041ED" w:rsidP="00CB418E">
            <w:pPr>
              <w:pStyle w:val="TableTextRight"/>
            </w:pPr>
            <w:r w:rsidRPr="000962F7">
              <w:t xml:space="preserve"> 4.07 </w:t>
            </w:r>
          </w:p>
        </w:tc>
      </w:tr>
      <w:tr w:rsidR="006041ED" w:rsidRPr="008271F1" w14:paraId="4E6924E9" w14:textId="77777777" w:rsidTr="00CB418E">
        <w:trPr>
          <w:trHeight w:val="114"/>
        </w:trPr>
        <w:tc>
          <w:tcPr>
            <w:tcW w:w="1978" w:type="dxa"/>
          </w:tcPr>
          <w:p w14:paraId="2DEAC8E2" w14:textId="597C8A17" w:rsidR="006041ED" w:rsidRPr="000962F7" w:rsidRDefault="006041ED" w:rsidP="00625DAB">
            <w:pPr>
              <w:pStyle w:val="TableTextLeft"/>
            </w:pPr>
            <w:r w:rsidRPr="000962F7">
              <w:t>10</w:t>
            </w:r>
            <w:r w:rsidR="00BA2FE7" w:rsidRPr="000962F7">
              <w:t>–</w:t>
            </w:r>
            <w:r w:rsidRPr="000962F7">
              <w:t>20</w:t>
            </w:r>
          </w:p>
        </w:tc>
        <w:tc>
          <w:tcPr>
            <w:tcW w:w="1697" w:type="dxa"/>
          </w:tcPr>
          <w:p w14:paraId="23295A9F" w14:textId="355A9150" w:rsidR="006041ED" w:rsidRPr="000962F7" w:rsidRDefault="006041ED" w:rsidP="00CB418E">
            <w:pPr>
              <w:pStyle w:val="TableTextRight"/>
            </w:pPr>
            <w:r w:rsidRPr="000962F7">
              <w:t xml:space="preserve"> 450 </w:t>
            </w:r>
          </w:p>
        </w:tc>
        <w:tc>
          <w:tcPr>
            <w:tcW w:w="2547" w:type="dxa"/>
          </w:tcPr>
          <w:p w14:paraId="04865B69" w14:textId="19CA722B" w:rsidR="006041ED" w:rsidRPr="000962F7" w:rsidRDefault="006041ED" w:rsidP="00CB418E">
            <w:pPr>
              <w:pStyle w:val="TableTextRight"/>
            </w:pPr>
            <w:r w:rsidRPr="000962F7">
              <w:t xml:space="preserve"> </w:t>
            </w:r>
            <w:r w:rsidR="00BA2FE7" w:rsidRPr="000962F7">
              <w:t>–</w:t>
            </w:r>
            <w:r w:rsidRPr="000962F7">
              <w:t xml:space="preserve">1.6 </w:t>
            </w:r>
          </w:p>
        </w:tc>
        <w:tc>
          <w:tcPr>
            <w:tcW w:w="1691" w:type="dxa"/>
          </w:tcPr>
          <w:p w14:paraId="316D6FDC" w14:textId="00F94236" w:rsidR="006041ED" w:rsidRPr="000962F7" w:rsidRDefault="006041ED" w:rsidP="00CB418E">
            <w:pPr>
              <w:pStyle w:val="TableTextRight"/>
            </w:pPr>
            <w:r w:rsidRPr="000962F7">
              <w:t xml:space="preserve"> 3.34 </w:t>
            </w:r>
          </w:p>
        </w:tc>
      </w:tr>
      <w:tr w:rsidR="00E15250" w:rsidRPr="008271F1" w14:paraId="3C08B76C" w14:textId="77777777" w:rsidTr="00CB418E">
        <w:trPr>
          <w:cnfStyle w:val="000000010000" w:firstRow="0" w:lastRow="0" w:firstColumn="0" w:lastColumn="0" w:oddVBand="0" w:evenVBand="0" w:oddHBand="0" w:evenHBand="1" w:firstRowFirstColumn="0" w:firstRowLastColumn="0" w:lastRowFirstColumn="0" w:lastRowLastColumn="0"/>
          <w:trHeight w:val="120"/>
        </w:trPr>
        <w:tc>
          <w:tcPr>
            <w:tcW w:w="1978" w:type="dxa"/>
          </w:tcPr>
          <w:p w14:paraId="32B9DE41" w14:textId="168F126B" w:rsidR="006041ED" w:rsidRPr="000962F7" w:rsidRDefault="006041ED" w:rsidP="00625DAB">
            <w:pPr>
              <w:pStyle w:val="TableTextLeft"/>
            </w:pPr>
            <w:r w:rsidRPr="000962F7">
              <w:t>20+</w:t>
            </w:r>
          </w:p>
        </w:tc>
        <w:tc>
          <w:tcPr>
            <w:tcW w:w="1697" w:type="dxa"/>
          </w:tcPr>
          <w:p w14:paraId="1F9034C3" w14:textId="112324E4" w:rsidR="006041ED" w:rsidRPr="000962F7" w:rsidRDefault="006041ED" w:rsidP="00CB418E">
            <w:pPr>
              <w:pStyle w:val="TableTextRight"/>
            </w:pPr>
            <w:r w:rsidRPr="000962F7">
              <w:t xml:space="preserve"> 150 </w:t>
            </w:r>
          </w:p>
        </w:tc>
        <w:tc>
          <w:tcPr>
            <w:tcW w:w="2547" w:type="dxa"/>
          </w:tcPr>
          <w:p w14:paraId="7A44EBD0" w14:textId="068A9EFC" w:rsidR="006041ED" w:rsidRPr="000962F7" w:rsidRDefault="006041ED" w:rsidP="00CB418E">
            <w:pPr>
              <w:pStyle w:val="TableTextRight"/>
            </w:pPr>
            <w:r w:rsidRPr="000962F7">
              <w:t xml:space="preserve"> </w:t>
            </w:r>
            <w:r w:rsidR="00BA2FE7" w:rsidRPr="000962F7">
              <w:t>–</w:t>
            </w:r>
            <w:r w:rsidRPr="000962F7">
              <w:t xml:space="preserve">1.2 </w:t>
            </w:r>
          </w:p>
        </w:tc>
        <w:tc>
          <w:tcPr>
            <w:tcW w:w="1691" w:type="dxa"/>
          </w:tcPr>
          <w:p w14:paraId="411775A3" w14:textId="7072C52B" w:rsidR="006041ED" w:rsidRPr="000962F7" w:rsidRDefault="006041ED" w:rsidP="00CB418E">
            <w:pPr>
              <w:pStyle w:val="TableTextRight"/>
            </w:pPr>
            <w:r w:rsidRPr="000962F7">
              <w:t xml:space="preserve"> 3.11 </w:t>
            </w:r>
          </w:p>
        </w:tc>
      </w:tr>
      <w:tr w:rsidR="006041ED" w:rsidRPr="008271F1" w14:paraId="1DEB7338" w14:textId="77777777" w:rsidTr="00CB418E">
        <w:trPr>
          <w:trHeight w:val="140"/>
        </w:trPr>
        <w:tc>
          <w:tcPr>
            <w:tcW w:w="1978" w:type="dxa"/>
          </w:tcPr>
          <w:p w14:paraId="06814F54" w14:textId="6635844C" w:rsidR="006041ED" w:rsidRPr="00EF4749" w:rsidRDefault="006041ED" w:rsidP="00625DAB">
            <w:pPr>
              <w:pStyle w:val="TableTextLeft"/>
              <w:rPr>
                <w:b/>
                <w:bCs/>
              </w:rPr>
            </w:pPr>
            <w:r w:rsidRPr="00EF4749">
              <w:rPr>
                <w:b/>
                <w:bCs/>
              </w:rPr>
              <w:t>Total/</w:t>
            </w:r>
            <w:r w:rsidR="00F31157" w:rsidRPr="00EF4749">
              <w:rPr>
                <w:b/>
                <w:bCs/>
              </w:rPr>
              <w:t>A</w:t>
            </w:r>
            <w:r w:rsidRPr="00EF4749">
              <w:rPr>
                <w:b/>
                <w:bCs/>
              </w:rPr>
              <w:t>verage</w:t>
            </w:r>
          </w:p>
        </w:tc>
        <w:tc>
          <w:tcPr>
            <w:tcW w:w="1697" w:type="dxa"/>
          </w:tcPr>
          <w:p w14:paraId="29CCF3A1" w14:textId="51F54867" w:rsidR="006041ED" w:rsidRPr="000962F7" w:rsidRDefault="006041ED" w:rsidP="00CB418E">
            <w:pPr>
              <w:pStyle w:val="TableTextRight"/>
              <w:rPr>
                <w:b/>
                <w:bCs/>
              </w:rPr>
            </w:pPr>
            <w:r w:rsidRPr="000962F7">
              <w:rPr>
                <w:b/>
              </w:rPr>
              <w:t xml:space="preserve"> 2,100 </w:t>
            </w:r>
          </w:p>
        </w:tc>
        <w:tc>
          <w:tcPr>
            <w:tcW w:w="2547" w:type="dxa"/>
          </w:tcPr>
          <w:p w14:paraId="36AB1E1D" w14:textId="0F01E857" w:rsidR="006041ED" w:rsidRPr="000962F7" w:rsidRDefault="006041ED" w:rsidP="00CB418E">
            <w:pPr>
              <w:pStyle w:val="TableTextRight"/>
              <w:rPr>
                <w:b/>
                <w:bCs/>
              </w:rPr>
            </w:pPr>
            <w:r w:rsidRPr="000962F7">
              <w:rPr>
                <w:b/>
              </w:rPr>
              <w:t xml:space="preserve"> </w:t>
            </w:r>
            <w:r w:rsidR="00BA2FE7" w:rsidRPr="000962F7">
              <w:rPr>
                <w:b/>
              </w:rPr>
              <w:t>–</w:t>
            </w:r>
            <w:r w:rsidRPr="000962F7">
              <w:rPr>
                <w:b/>
              </w:rPr>
              <w:t>1</w:t>
            </w:r>
            <w:r w:rsidRPr="000962F7">
              <w:rPr>
                <w:b/>
                <w:bCs/>
              </w:rPr>
              <w:t>.</w:t>
            </w:r>
            <w:r w:rsidRPr="000962F7">
              <w:rPr>
                <w:b/>
              </w:rPr>
              <w:t xml:space="preserve">6 </w:t>
            </w:r>
          </w:p>
        </w:tc>
        <w:tc>
          <w:tcPr>
            <w:tcW w:w="1691" w:type="dxa"/>
          </w:tcPr>
          <w:p w14:paraId="5DAF01F8" w14:textId="27E30BA0" w:rsidR="006041ED" w:rsidRPr="000962F7" w:rsidRDefault="006041ED" w:rsidP="00CB418E">
            <w:pPr>
              <w:pStyle w:val="TableTextRight"/>
              <w:rPr>
                <w:b/>
                <w:bCs/>
              </w:rPr>
            </w:pPr>
            <w:r w:rsidRPr="000962F7">
              <w:rPr>
                <w:b/>
              </w:rPr>
              <w:t xml:space="preserve"> 3.93 </w:t>
            </w:r>
          </w:p>
        </w:tc>
      </w:tr>
    </w:tbl>
    <w:p w14:paraId="55E58FF8" w14:textId="65670150" w:rsidR="007D781A" w:rsidRDefault="007D781A" w:rsidP="00C67F81">
      <w:pPr>
        <w:pStyle w:val="Heading2"/>
      </w:pPr>
      <w:bookmarkStart w:id="469" w:name="_Toc173327305"/>
      <w:bookmarkStart w:id="470" w:name="_Toc173327758"/>
      <w:bookmarkStart w:id="471" w:name="_Toc173395281"/>
      <w:bookmarkStart w:id="472" w:name="_Toc173395359"/>
      <w:bookmarkStart w:id="473" w:name="_Toc173395694"/>
      <w:bookmarkStart w:id="474" w:name="_Toc173396582"/>
      <w:bookmarkStart w:id="475" w:name="_Toc173397593"/>
      <w:bookmarkStart w:id="476" w:name="_Toc173408141"/>
      <w:bookmarkStart w:id="477" w:name="_Toc173411462"/>
      <w:bookmarkStart w:id="478" w:name="_Toc173479142"/>
      <w:bookmarkStart w:id="479" w:name="_Toc173743052"/>
      <w:bookmarkStart w:id="480" w:name="_Toc173743213"/>
      <w:bookmarkStart w:id="481" w:name="_Toc176160536"/>
      <w:bookmarkStart w:id="482" w:name="_Toc176163164"/>
      <w:bookmarkStart w:id="483" w:name="_Toc205474305"/>
      <w:bookmarkStart w:id="484" w:name="_Toc207792889"/>
      <w:bookmarkStart w:id="485" w:name="_Toc207793924"/>
      <w:bookmarkStart w:id="486" w:name="_Toc207796056"/>
      <w:bookmarkStart w:id="487" w:name="_Toc207796930"/>
      <w:bookmarkStart w:id="488" w:name="_Toc207800231"/>
      <w:bookmarkStart w:id="489" w:name="_Toc207810809"/>
      <w:bookmarkStart w:id="490" w:name="_Toc208914088"/>
      <w:bookmarkStart w:id="491" w:name="_Toc209424485"/>
      <w:r w:rsidRPr="00B37D8D">
        <w:t>Key Activity</w:t>
      </w:r>
      <w:r w:rsidR="00680D72" w:rsidRPr="00B37D8D">
        <w:t xml:space="preserve"> </w:t>
      </w:r>
      <w:r w:rsidRPr="00B37D8D">
        <w:t>1.</w:t>
      </w:r>
      <w:r w:rsidR="002F09A6">
        <w:t>2</w:t>
      </w:r>
      <w:r w:rsidRPr="00B37D8D">
        <w:t xml:space="preserve">: </w:t>
      </w:r>
      <w:r>
        <w:t xml:space="preserve">Settle </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00AA1982">
        <w:t>AGS issuance</w:t>
      </w:r>
      <w:r w:rsidR="00DE52B7">
        <w:t>, coupon and redemption payments</w:t>
      </w:r>
      <w:bookmarkStart w:id="492" w:name="_Toc170206688"/>
      <w:bookmarkStart w:id="493" w:name="_Toc170206973"/>
      <w:bookmarkStart w:id="494" w:name="_Toc170207110"/>
      <w:bookmarkEnd w:id="483"/>
      <w:bookmarkEnd w:id="484"/>
      <w:bookmarkEnd w:id="485"/>
      <w:bookmarkEnd w:id="486"/>
      <w:bookmarkEnd w:id="487"/>
      <w:bookmarkEnd w:id="488"/>
      <w:bookmarkEnd w:id="489"/>
      <w:bookmarkEnd w:id="490"/>
      <w:bookmarkEnd w:id="491"/>
    </w:p>
    <w:p w14:paraId="24D88B74" w14:textId="22627DF5" w:rsidR="00531E21" w:rsidRDefault="4FD8B347" w:rsidP="00424887">
      <w:proofErr w:type="spellStart"/>
      <w:r w:rsidRPr="33CFAD1A">
        <w:t>Austraclear</w:t>
      </w:r>
      <w:proofErr w:type="spellEnd"/>
      <w:r w:rsidRPr="33CFAD1A">
        <w:t xml:space="preserve"> is an electronic securities settlement and depository system for Australian dollar–denominated debt market securities and is central to the settlement of AGS transactions. </w:t>
      </w:r>
    </w:p>
    <w:p w14:paraId="4AFDB3D4" w14:textId="41FB165D" w:rsidR="4FD8B347" w:rsidRDefault="4FD8B347" w:rsidP="00424887">
      <w:r w:rsidRPr="33CFAD1A">
        <w:t>It is important that</w:t>
      </w:r>
      <w:r w:rsidR="00531E21">
        <w:t xml:space="preserve"> these</w:t>
      </w:r>
      <w:r w:rsidRPr="33CFAD1A">
        <w:t xml:space="preserve"> transactions settle on time.</w:t>
      </w:r>
      <w:r w:rsidR="00531E21">
        <w:t xml:space="preserve"> </w:t>
      </w:r>
      <w:r w:rsidRPr="33CFAD1A">
        <w:t>The system uses a real</w:t>
      </w:r>
      <w:r w:rsidRPr="33CFAD1A">
        <w:rPr>
          <w:rFonts w:ascii="Cambria Math" w:hAnsi="Cambria Math" w:cs="Cambria Math"/>
        </w:rPr>
        <w:t>‑</w:t>
      </w:r>
      <w:r w:rsidRPr="33CFAD1A">
        <w:t>time payment and delivery function for simultaneous gross settlement of transactions. The exchange of securities and cash only occurs when the buyer</w:t>
      </w:r>
      <w:r w:rsidR="00B84FF2">
        <w:t>’</w:t>
      </w:r>
      <w:r w:rsidRPr="33CFAD1A">
        <w:t xml:space="preserve">s funds are available in their </w:t>
      </w:r>
      <w:proofErr w:type="spellStart"/>
      <w:r w:rsidRPr="33CFAD1A">
        <w:t>Austraclear</w:t>
      </w:r>
      <w:proofErr w:type="spellEnd"/>
      <w:r w:rsidRPr="33CFAD1A">
        <w:t xml:space="preserve"> account and securities are also available in the seller</w:t>
      </w:r>
      <w:r w:rsidR="00B84FF2">
        <w:t>’</w:t>
      </w:r>
      <w:r w:rsidRPr="33CFAD1A">
        <w:t xml:space="preserve">s </w:t>
      </w:r>
      <w:proofErr w:type="spellStart"/>
      <w:r w:rsidRPr="33CFAD1A">
        <w:t>Austraclear</w:t>
      </w:r>
      <w:proofErr w:type="spellEnd"/>
      <w:r w:rsidRPr="33CFAD1A">
        <w:t xml:space="preserve"> account. If we buy securities back from the market, cash is delivered to successful counterparties in return for the securities. AGS bought back from the market are then cancelled.</w:t>
      </w:r>
    </w:p>
    <w:p w14:paraId="371CB36D" w14:textId="77777777" w:rsidR="00B76D66" w:rsidRDefault="4FD8B347" w:rsidP="008E67E6">
      <w:r w:rsidRPr="33CFAD1A">
        <w:t xml:space="preserve">The vast majority of AGS on issue are held in </w:t>
      </w:r>
      <w:proofErr w:type="spellStart"/>
      <w:r w:rsidRPr="33CFAD1A">
        <w:t>Austraclear</w:t>
      </w:r>
      <w:proofErr w:type="spellEnd"/>
      <w:r w:rsidRPr="33CFAD1A">
        <w:t xml:space="preserve">. The AOFM uses the system to make coupon and redemption payments to the holders of those securities. </w:t>
      </w:r>
    </w:p>
    <w:p w14:paraId="61CB914B" w14:textId="04B37B54" w:rsidR="4FD8B347" w:rsidRDefault="4FD8B347" w:rsidP="008E67E6">
      <w:r w:rsidRPr="33CFAD1A">
        <w:t>Computershare, the AOFM</w:t>
      </w:r>
      <w:r w:rsidR="00B84FF2">
        <w:t>’</w:t>
      </w:r>
      <w:r w:rsidRPr="33CFAD1A">
        <w:t xml:space="preserve">s debt registrar, is responsible for facilitating payments to the holders of securities held outside </w:t>
      </w:r>
      <w:proofErr w:type="spellStart"/>
      <w:r w:rsidRPr="33CFAD1A">
        <w:t>Austraclear</w:t>
      </w:r>
      <w:proofErr w:type="spellEnd"/>
      <w:r w:rsidRPr="33CFAD1A">
        <w:t>.</w:t>
      </w:r>
    </w:p>
    <w:p w14:paraId="2439217C" w14:textId="63239442" w:rsidR="008D6BDC" w:rsidRDefault="008D6BDC" w:rsidP="00713231">
      <w:pPr>
        <w:pStyle w:val="Heading3"/>
      </w:pPr>
      <w:bookmarkStart w:id="495" w:name="_Toc207796057"/>
      <w:r>
        <w:lastRenderedPageBreak/>
        <w:t>Performance for Key Activity</w:t>
      </w:r>
      <w:r w:rsidR="00531E21">
        <w:t xml:space="preserve"> </w:t>
      </w:r>
      <w:r>
        <w:t>1.</w:t>
      </w:r>
      <w:r w:rsidR="00F44A5A">
        <w:t>2</w:t>
      </w:r>
      <w:bookmarkEnd w:id="495"/>
    </w:p>
    <w:p w14:paraId="0AB7CD09" w14:textId="3FEAF463" w:rsidR="00324ACD" w:rsidRDefault="00324ACD" w:rsidP="00713231">
      <w:pPr>
        <w:pStyle w:val="Heading4"/>
      </w:pPr>
      <w:bookmarkStart w:id="496" w:name="_Toc145684487"/>
      <w:bookmarkStart w:id="497" w:name="_Toc145685087"/>
      <w:bookmarkStart w:id="498" w:name="_Toc145686040"/>
      <w:bookmarkStart w:id="499" w:name="_Toc145686239"/>
      <w:bookmarkStart w:id="500" w:name="_Toc145686438"/>
      <w:bookmarkStart w:id="501" w:name="_Toc145686739"/>
      <w:r w:rsidRPr="006534F5">
        <w:t>Indicator 1.</w:t>
      </w:r>
      <w:r w:rsidR="00F44A5A">
        <w:t>2</w:t>
      </w:r>
      <w:r w:rsidRPr="006534F5">
        <w:t>.1</w:t>
      </w:r>
      <w:r w:rsidR="00531E21">
        <w:t>:</w:t>
      </w:r>
      <w:r w:rsidRPr="006534F5">
        <w:t xml:space="preserve"> AGS </w:t>
      </w:r>
      <w:bookmarkEnd w:id="496"/>
      <w:bookmarkEnd w:id="497"/>
      <w:bookmarkEnd w:id="498"/>
      <w:bookmarkEnd w:id="499"/>
      <w:bookmarkEnd w:id="500"/>
      <w:bookmarkEnd w:id="501"/>
      <w:r w:rsidR="00531E21">
        <w:t>settlements</w:t>
      </w:r>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324ACD" w14:paraId="5CE44915" w14:textId="77777777">
        <w:tc>
          <w:tcPr>
            <w:tcW w:w="7700" w:type="dxa"/>
            <w:shd w:val="clear" w:color="auto" w:fill="472978" w:themeFill="accent1"/>
            <w:tcMar>
              <w:top w:w="284" w:type="dxa"/>
              <w:bottom w:w="284" w:type="dxa"/>
            </w:tcMar>
          </w:tcPr>
          <w:p w14:paraId="04A8DAF3" w14:textId="182A776A" w:rsidR="00324ACD" w:rsidRPr="00B72C27" w:rsidRDefault="00F34AB2" w:rsidP="00CB418E">
            <w:pPr>
              <w:pStyle w:val="Pullquote"/>
            </w:pPr>
            <w:r>
              <w:t>T</w:t>
            </w:r>
            <w:r w:rsidR="00844307">
              <w:t>he</w:t>
            </w:r>
            <w:r>
              <w:t xml:space="preserve"> AOFM </w:t>
            </w:r>
            <w:r w:rsidR="00844307">
              <w:t>met t</w:t>
            </w:r>
            <w:r w:rsidR="41FD4795" w:rsidRPr="00B72C27">
              <w:t xml:space="preserve">he target for settlement of AGS </w:t>
            </w:r>
            <w:r w:rsidR="001425C6" w:rsidRPr="00B72C27">
              <w:t>tran</w:t>
            </w:r>
            <w:r w:rsidR="566F246A" w:rsidRPr="00B72C27">
              <w:t>s</w:t>
            </w:r>
            <w:r w:rsidR="001425C6" w:rsidRPr="00B72C27">
              <w:t>actions</w:t>
            </w:r>
            <w:r w:rsidR="41FD4795" w:rsidRPr="00B72C27">
              <w:t>.</w:t>
            </w:r>
          </w:p>
        </w:tc>
      </w:tr>
    </w:tbl>
    <w:p w14:paraId="38902761" w14:textId="77777777" w:rsidR="002F13B5" w:rsidRDefault="002F13B5" w:rsidP="002F13B5">
      <w:pPr>
        <w:pStyle w:val="SingleReturn"/>
      </w:pPr>
    </w:p>
    <w:p w14:paraId="6E6E4DB4" w14:textId="7FC80C63" w:rsidR="00324ACD" w:rsidRDefault="41FD4795" w:rsidP="00B76D66">
      <w:r w:rsidRPr="65164987">
        <w:t xml:space="preserve">All tender and syndication issuance during 2024–25 was successfully settled in a complete, timely and accurate manner. </w:t>
      </w:r>
    </w:p>
    <w:p w14:paraId="38433083" w14:textId="24BAA85C" w:rsidR="00324ACD" w:rsidRDefault="41FD4795" w:rsidP="00B76D66">
      <w:r w:rsidRPr="65164987">
        <w:t xml:space="preserve">The </w:t>
      </w:r>
      <w:r w:rsidR="000A426E">
        <w:t xml:space="preserve">following </w:t>
      </w:r>
      <w:r w:rsidRPr="65164987">
        <w:t>box shows settlement values</w:t>
      </w:r>
      <w:r w:rsidR="00B820DA">
        <w:t>.</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76457A" w14:paraId="3063A61A" w14:textId="77777777" w:rsidTr="4FA538AF">
        <w:tc>
          <w:tcPr>
            <w:tcW w:w="7700" w:type="dxa"/>
            <w:tcBorders>
              <w:bottom w:val="single" w:sz="24" w:space="0" w:color="472978" w:themeColor="accent1"/>
            </w:tcBorders>
            <w:shd w:val="clear" w:color="auto" w:fill="E7DCF7" w:themeFill="text2" w:themeFillTint="1A"/>
          </w:tcPr>
          <w:p w14:paraId="464F32E5" w14:textId="4B923B0C" w:rsidR="0076457A" w:rsidRPr="00557B3B" w:rsidRDefault="41FD4795" w:rsidP="00CB418E">
            <w:pPr>
              <w:pStyle w:val="Boxheading"/>
            </w:pPr>
            <w:r w:rsidRPr="000D1D75">
              <w:t xml:space="preserve">In </w:t>
            </w:r>
            <w:r w:rsidRPr="00CB418E">
              <w:t>2024</w:t>
            </w:r>
            <w:r w:rsidRPr="000D1D75">
              <w:t>–25, the AOFM settled:</w:t>
            </w:r>
          </w:p>
          <w:p w14:paraId="1E2B76C6" w14:textId="7F18A991" w:rsidR="0076457A" w:rsidRPr="00986E84" w:rsidRDefault="2E3F317A" w:rsidP="00986E84">
            <w:pPr>
              <w:pStyle w:val="Boxbullet0"/>
            </w:pPr>
            <w:r w:rsidRPr="00986E84">
              <w:t>9</w:t>
            </w:r>
            <w:r w:rsidR="3C526160" w:rsidRPr="00986E84">
              <w:t>9</w:t>
            </w:r>
            <w:r w:rsidR="41FD4795" w:rsidRPr="00986E84">
              <w:t xml:space="preserve"> Treasury Bond tenders, totalling $</w:t>
            </w:r>
            <w:r w:rsidR="44F33296" w:rsidRPr="00986E84">
              <w:t>6</w:t>
            </w:r>
            <w:r w:rsidR="4331C842" w:rsidRPr="00986E84">
              <w:t>7</w:t>
            </w:r>
            <w:r w:rsidR="44F33296" w:rsidRPr="00986E84">
              <w:t>.7</w:t>
            </w:r>
            <w:r w:rsidR="41FD4795" w:rsidRPr="00986E84">
              <w:t xml:space="preserve"> billion </w:t>
            </w:r>
          </w:p>
          <w:p w14:paraId="615080EA" w14:textId="7145FA8E" w:rsidR="0076457A" w:rsidRPr="00986E84" w:rsidRDefault="7792186C" w:rsidP="00986E84">
            <w:pPr>
              <w:pStyle w:val="Boxbullet0"/>
            </w:pPr>
            <w:r w:rsidRPr="00986E84">
              <w:t>2</w:t>
            </w:r>
            <w:r w:rsidR="41FD4795" w:rsidRPr="00986E84">
              <w:t xml:space="preserve"> Treasury Bond syndication</w:t>
            </w:r>
            <w:r w:rsidR="7D5E4134" w:rsidRPr="00986E84">
              <w:t>s</w:t>
            </w:r>
            <w:r w:rsidR="00531E21" w:rsidRPr="00986E84">
              <w:rPr>
                <w:rFonts w:eastAsia="Open Sans"/>
              </w:rPr>
              <w:t>,</w:t>
            </w:r>
            <w:r w:rsidR="41FD4795" w:rsidRPr="00986E84">
              <w:rPr>
                <w:rFonts w:eastAsia="Open Sans"/>
              </w:rPr>
              <w:t xml:space="preserve"> </w:t>
            </w:r>
            <w:r w:rsidR="00531E21" w:rsidRPr="00986E84">
              <w:rPr>
                <w:rFonts w:eastAsia="Open Sans"/>
              </w:rPr>
              <w:t xml:space="preserve">totalling </w:t>
            </w:r>
            <w:r w:rsidR="41FD4795" w:rsidRPr="00986E84">
              <w:t>$</w:t>
            </w:r>
            <w:r w:rsidR="6E0AACFE" w:rsidRPr="00986E84">
              <w:t>26.</w:t>
            </w:r>
            <w:r w:rsidR="4C4DE83A" w:rsidRPr="00986E84">
              <w:t>4</w:t>
            </w:r>
            <w:r w:rsidR="41FD4795" w:rsidRPr="00986E84">
              <w:t xml:space="preserve"> billion </w:t>
            </w:r>
          </w:p>
          <w:p w14:paraId="072D7708" w14:textId="24AA1CCA" w:rsidR="0076457A" w:rsidRPr="00986E84" w:rsidRDefault="41FD4795" w:rsidP="00986E84">
            <w:pPr>
              <w:pStyle w:val="Boxbullet0"/>
            </w:pPr>
            <w:r w:rsidRPr="00986E84">
              <w:t>19 TIB tenders, totalling $2.</w:t>
            </w:r>
            <w:r w:rsidR="4CB3E517" w:rsidRPr="00986E84">
              <w:t>5</w:t>
            </w:r>
            <w:r w:rsidRPr="00986E84">
              <w:t xml:space="preserve"> billion </w:t>
            </w:r>
          </w:p>
          <w:p w14:paraId="13EA68BA" w14:textId="2D1F26F5" w:rsidR="0076457A" w:rsidRPr="00986E84" w:rsidRDefault="41FD4795" w:rsidP="00986E84">
            <w:pPr>
              <w:pStyle w:val="Boxbullet0"/>
            </w:pPr>
            <w:r w:rsidRPr="00986E84">
              <w:t>1 TIB syndication of $</w:t>
            </w:r>
            <w:r w:rsidR="5CCCBF9C" w:rsidRPr="00986E84">
              <w:t>0</w:t>
            </w:r>
            <w:r w:rsidR="70D9C37B" w:rsidRPr="00986E84">
              <w:t>.</w:t>
            </w:r>
            <w:r w:rsidR="60197EE1" w:rsidRPr="00986E84">
              <w:t>9</w:t>
            </w:r>
            <w:r w:rsidRPr="00986E84">
              <w:t xml:space="preserve"> billion</w:t>
            </w:r>
          </w:p>
          <w:p w14:paraId="51328561" w14:textId="1F2659FA" w:rsidR="0076457A" w:rsidRPr="00986E84" w:rsidRDefault="41FD4795" w:rsidP="00986E84">
            <w:pPr>
              <w:pStyle w:val="Boxbullet0"/>
            </w:pPr>
            <w:r w:rsidRPr="00986E84">
              <w:t>1 TIB buyback of $3.</w:t>
            </w:r>
            <w:r w:rsidR="70D9C37B" w:rsidRPr="00986E84">
              <w:t>0</w:t>
            </w:r>
            <w:r w:rsidRPr="00986E84">
              <w:t xml:space="preserve"> billion </w:t>
            </w:r>
          </w:p>
          <w:p w14:paraId="701352FD" w14:textId="1D567E8D" w:rsidR="0076457A" w:rsidRPr="00A4709B" w:rsidRDefault="0A9FA46A" w:rsidP="00986E84">
            <w:pPr>
              <w:pStyle w:val="Boxbullet0"/>
            </w:pPr>
            <w:r w:rsidRPr="00986E84">
              <w:t>101</w:t>
            </w:r>
            <w:r w:rsidR="41FD4795" w:rsidRPr="00986E84">
              <w:t xml:space="preserve"> T</w:t>
            </w:r>
            <w:r w:rsidR="41FD4795" w:rsidRPr="00986E84">
              <w:rPr>
                <w:rFonts w:ascii="Cambria Math" w:eastAsia="Open Sans" w:hAnsi="Cambria Math" w:cs="Cambria Math"/>
              </w:rPr>
              <w:t>‑</w:t>
            </w:r>
            <w:r w:rsidR="41FD4795" w:rsidRPr="00986E84">
              <w:t>Note tenders, totalling $</w:t>
            </w:r>
            <w:r w:rsidR="4CBBBCAE" w:rsidRPr="00986E84">
              <w:t>114.</w:t>
            </w:r>
            <w:r w:rsidR="62229707" w:rsidRPr="00986E84">
              <w:t>1</w:t>
            </w:r>
            <w:r w:rsidR="41FD4795" w:rsidRPr="00986E84">
              <w:t xml:space="preserve"> billion. </w:t>
            </w:r>
          </w:p>
        </w:tc>
      </w:tr>
    </w:tbl>
    <w:p w14:paraId="12C0FCE2" w14:textId="77777777" w:rsidR="00CB418E" w:rsidRDefault="00CB418E" w:rsidP="00986E84">
      <w:r>
        <w:br w:type="page"/>
      </w:r>
    </w:p>
    <w:p w14:paraId="6B126972" w14:textId="3E81C074" w:rsidR="009255C8" w:rsidRDefault="753F9229" w:rsidP="00B76D66">
      <w:r w:rsidRPr="64F8F0DC">
        <w:lastRenderedPageBreak/>
        <w:t xml:space="preserve">It is critical for the AOFM to ensure the Australian Government is at all times assessed in financial markets as behaving in a manner fully consistent with its AAA sovereign credit rating. This means all financial (repayment) obligations are always met. All AGS coupon and redemption payments for </w:t>
      </w:r>
      <w:proofErr w:type="spellStart"/>
      <w:r w:rsidRPr="64F8F0DC">
        <w:t>Austraclear</w:t>
      </w:r>
      <w:proofErr w:type="spellEnd"/>
      <w:r w:rsidRPr="64F8F0DC">
        <w:rPr>
          <w:rFonts w:ascii="Cambria Math" w:hAnsi="Cambria Math" w:cs="Cambria Math"/>
        </w:rPr>
        <w:t>‑</w:t>
      </w:r>
      <w:r w:rsidRPr="64F8F0DC">
        <w:t>held and non</w:t>
      </w:r>
      <w:r w:rsidRPr="64F8F0DC">
        <w:rPr>
          <w:rFonts w:ascii="Cambria Math" w:hAnsi="Cambria Math" w:cs="Cambria Math"/>
        </w:rPr>
        <w:t>‑</w:t>
      </w:r>
      <w:proofErr w:type="spellStart"/>
      <w:r w:rsidRPr="64F8F0DC">
        <w:t>Austraclear</w:t>
      </w:r>
      <w:proofErr w:type="spellEnd"/>
      <w:r w:rsidRPr="64F8F0DC">
        <w:rPr>
          <w:rFonts w:ascii="Cambria Math" w:hAnsi="Cambria Math" w:cs="Cambria Math"/>
        </w:rPr>
        <w:t>‑</w:t>
      </w:r>
      <w:r w:rsidRPr="64F8F0DC">
        <w:t>held securities were successfully settled in a complete, timely and accurate manner in 2024</w:t>
      </w:r>
      <w:r w:rsidRPr="64F8F0DC">
        <w:rPr>
          <w:rFonts w:cs="Arial Nova"/>
        </w:rPr>
        <w:t>–</w:t>
      </w:r>
      <w:r w:rsidRPr="64F8F0DC">
        <w:t>25.</w:t>
      </w:r>
    </w:p>
    <w:p w14:paraId="78E1B31F" w14:textId="77777777" w:rsidR="00B42A95" w:rsidRDefault="00B42A95" w:rsidP="00B42A95">
      <w:pPr>
        <w:pStyle w:val="SingleReturn"/>
      </w:pP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76457A" w14:paraId="27E9F8A6" w14:textId="77777777" w:rsidTr="4FA538AF">
        <w:trPr>
          <w:trHeight w:val="300"/>
        </w:trPr>
        <w:tc>
          <w:tcPr>
            <w:tcW w:w="7700" w:type="dxa"/>
            <w:tcBorders>
              <w:bottom w:val="single" w:sz="24" w:space="0" w:color="472978" w:themeColor="accent1"/>
            </w:tcBorders>
            <w:shd w:val="clear" w:color="auto" w:fill="E7DCF7" w:themeFill="text2" w:themeFillTint="1A"/>
          </w:tcPr>
          <w:p w14:paraId="0752F9E2" w14:textId="0C696831" w:rsidR="00A6071D" w:rsidRPr="002C364C" w:rsidRDefault="00A6071D" w:rsidP="003A25F9">
            <w:pPr>
              <w:pStyle w:val="Boxheading"/>
              <w:rPr>
                <w:iCs/>
              </w:rPr>
            </w:pPr>
            <w:r w:rsidRPr="002C364C">
              <w:t>In 202</w:t>
            </w:r>
            <w:r>
              <w:t>4–</w:t>
            </w:r>
            <w:r w:rsidRPr="002C364C">
              <w:t>2</w:t>
            </w:r>
            <w:r>
              <w:t>5</w:t>
            </w:r>
            <w:r w:rsidRPr="002C364C">
              <w:t xml:space="preserve">, the AOFM </w:t>
            </w:r>
            <w:r>
              <w:t>made</w:t>
            </w:r>
            <w:r w:rsidRPr="002C364C">
              <w:t>:</w:t>
            </w:r>
          </w:p>
          <w:p w14:paraId="154905AE" w14:textId="27211322" w:rsidR="00A6071D" w:rsidRDefault="3DB95AAC" w:rsidP="00986E84">
            <w:pPr>
              <w:pStyle w:val="Boxbullet0"/>
            </w:pPr>
            <w:r>
              <w:t>60</w:t>
            </w:r>
            <w:r w:rsidR="63DA7AFC">
              <w:t xml:space="preserve"> Treasury Bond coupon payments, totalling $</w:t>
            </w:r>
            <w:r w:rsidR="0716245B">
              <w:t>2</w:t>
            </w:r>
            <w:r w:rsidR="300EBE4F">
              <w:t>2</w:t>
            </w:r>
            <w:r w:rsidR="0716245B">
              <w:t>.</w:t>
            </w:r>
            <w:r w:rsidR="300EBE4F">
              <w:t>2</w:t>
            </w:r>
            <w:r w:rsidR="63DA7AFC">
              <w:t xml:space="preserve"> billion </w:t>
            </w:r>
          </w:p>
          <w:p w14:paraId="2D6BAEFE" w14:textId="284B6E21" w:rsidR="00A6071D" w:rsidRDefault="077B01D2" w:rsidP="00986E84">
            <w:pPr>
              <w:pStyle w:val="Boxbullet0"/>
            </w:pPr>
            <w:r>
              <w:t>2</w:t>
            </w:r>
            <w:r w:rsidR="00A6071D">
              <w:t xml:space="preserve"> Treasury Bond redemption payment</w:t>
            </w:r>
            <w:r w:rsidR="000929FC">
              <w:t>s</w:t>
            </w:r>
            <w:r w:rsidR="00A6071D">
              <w:t xml:space="preserve"> of $</w:t>
            </w:r>
            <w:r w:rsidR="6ADDC441">
              <w:t>82.8</w:t>
            </w:r>
            <w:r w:rsidR="00030EA9">
              <w:t xml:space="preserve"> </w:t>
            </w:r>
            <w:r w:rsidR="00A6071D">
              <w:t xml:space="preserve">billion </w:t>
            </w:r>
          </w:p>
          <w:p w14:paraId="4DD2CC93" w14:textId="77777777" w:rsidR="00193400" w:rsidRPr="00B44288" w:rsidRDefault="00A6071D" w:rsidP="00986E84">
            <w:pPr>
              <w:pStyle w:val="Boxbullet0"/>
            </w:pPr>
            <w:r w:rsidRPr="00B44288">
              <w:t>28 TIB coupon payments, totalling $</w:t>
            </w:r>
            <w:r w:rsidR="05B6FB27" w:rsidRPr="00B44288">
              <w:t>86</w:t>
            </w:r>
            <w:r w:rsidR="0F520005" w:rsidRPr="00B44288">
              <w:t>7</w:t>
            </w:r>
            <w:r w:rsidR="05B6FB27" w:rsidRPr="00B44288">
              <w:t>.</w:t>
            </w:r>
            <w:r w:rsidR="5FDDB77B" w:rsidRPr="00B44288">
              <w:t>0</w:t>
            </w:r>
            <w:r w:rsidRPr="00B44288">
              <w:t> million</w:t>
            </w:r>
          </w:p>
          <w:p w14:paraId="72865EA6" w14:textId="0071FA5C" w:rsidR="0076457A" w:rsidRPr="008665D6" w:rsidRDefault="00E6182E" w:rsidP="00986E84">
            <w:pPr>
              <w:pStyle w:val="Boxbullet0"/>
              <w:rPr>
                <w:rStyle w:val="Strong"/>
                <w:b w:val="0"/>
              </w:rPr>
            </w:pPr>
            <w:r w:rsidRPr="00B44288">
              <w:t>20 T</w:t>
            </w:r>
            <w:r w:rsidR="00B84FF2">
              <w:noBreakHyphen/>
            </w:r>
            <w:r w:rsidRPr="00B44288">
              <w:t>Note redemption payments, totalling $110.5 billion.</w:t>
            </w:r>
          </w:p>
        </w:tc>
      </w:tr>
    </w:tbl>
    <w:p w14:paraId="5C4B40CA" w14:textId="77777777" w:rsidR="00A7659D" w:rsidRPr="009255C8" w:rsidRDefault="00A7659D" w:rsidP="009255C8"/>
    <w:p w14:paraId="31D756CC" w14:textId="77777777" w:rsidR="00F6483B" w:rsidRPr="00CE3F4F" w:rsidRDefault="00F6483B" w:rsidP="00CE3F4F">
      <w:pPr>
        <w:sectPr w:rsidR="00F6483B" w:rsidRPr="00CE3F4F" w:rsidSect="001E2AEB">
          <w:headerReference w:type="first" r:id="rId74"/>
          <w:footerReference w:type="first" r:id="rId75"/>
          <w:type w:val="oddPage"/>
          <w:pgSz w:w="11907" w:h="16840" w:code="9"/>
          <w:pgMar w:top="2835" w:right="2098" w:bottom="2466" w:left="2098" w:header="1814" w:footer="1814" w:gutter="0"/>
          <w:cols w:space="708"/>
          <w:titlePg/>
          <w:docGrid w:linePitch="360"/>
        </w:sectPr>
      </w:pPr>
    </w:p>
    <w:p w14:paraId="742945D1" w14:textId="48ED97E4" w:rsidR="00406B6D" w:rsidRPr="006534F5" w:rsidRDefault="00551415" w:rsidP="00551415">
      <w:pPr>
        <w:pStyle w:val="ChapterHeading"/>
        <w:spacing w:before="6840"/>
      </w:pPr>
      <w:bookmarkStart w:id="502" w:name="_Toc202193288"/>
      <w:bookmarkStart w:id="503" w:name="_Toc205474306"/>
      <w:bookmarkStart w:id="504" w:name="_Toc207795647"/>
      <w:bookmarkStart w:id="505" w:name="_Toc207796058"/>
      <w:bookmarkStart w:id="506" w:name="_Toc207796931"/>
      <w:bookmarkStart w:id="507" w:name="_Toc208913972"/>
      <w:bookmarkStart w:id="508" w:name="_Toc209424486"/>
      <w:bookmarkStart w:id="509" w:name="_Toc209424590"/>
      <w:bookmarkEnd w:id="492"/>
      <w:bookmarkEnd w:id="493"/>
      <w:bookmarkEnd w:id="494"/>
      <w:r w:rsidRPr="00551415">
        <w:lastRenderedPageBreak/>
        <w:t xml:space="preserve">Performance Assessment: </w:t>
      </w:r>
      <w:r w:rsidR="00406B6D" w:rsidRPr="00406B6D">
        <w:t>Purpose</w:t>
      </w:r>
      <w:r w:rsidR="00406B6D" w:rsidRPr="006534F5">
        <w:t xml:space="preserve"> </w:t>
      </w:r>
      <w:r w:rsidR="00AF539C">
        <w:t>2</w:t>
      </w:r>
      <w:bookmarkEnd w:id="502"/>
      <w:bookmarkEnd w:id="503"/>
      <w:bookmarkEnd w:id="504"/>
      <w:bookmarkEnd w:id="505"/>
      <w:bookmarkEnd w:id="506"/>
      <w:bookmarkEnd w:id="507"/>
      <w:bookmarkEnd w:id="508"/>
      <w:bookmarkEnd w:id="509"/>
    </w:p>
    <w:p w14:paraId="005DD3E6" w14:textId="53146863" w:rsidR="00D26886" w:rsidRDefault="00D26886" w:rsidP="00D26886">
      <w:pPr>
        <w:pStyle w:val="PurposeSubtitle"/>
      </w:pPr>
      <w:r w:rsidRPr="002C223C">
        <w:t>Ensure the government can always meet its cash outlay requirements</w:t>
      </w:r>
    </w:p>
    <w:p w14:paraId="6E684FDE" w14:textId="2A96DA33" w:rsidR="00406B6D" w:rsidRDefault="00406B6D" w:rsidP="00406B6D">
      <w:pPr>
        <w:pStyle w:val="PurposeSubtitle"/>
        <w:keepLines/>
      </w:pPr>
    </w:p>
    <w:p w14:paraId="470EF746" w14:textId="77777777" w:rsidR="00B11B77" w:rsidRDefault="00B11B77" w:rsidP="00CE0BF9">
      <w:pPr>
        <w:pStyle w:val="Heading1"/>
        <w:sectPr w:rsidR="00B11B77" w:rsidSect="001E2AEB">
          <w:headerReference w:type="even" r:id="rId76"/>
          <w:headerReference w:type="default" r:id="rId77"/>
          <w:footerReference w:type="even" r:id="rId78"/>
          <w:headerReference w:type="first" r:id="rId79"/>
          <w:footerReference w:type="first" r:id="rId80"/>
          <w:type w:val="oddPage"/>
          <w:pgSz w:w="11907" w:h="16840" w:code="9"/>
          <w:pgMar w:top="2835" w:right="2098" w:bottom="2466" w:left="2098" w:header="1814" w:footer="1814" w:gutter="0"/>
          <w:cols w:space="708"/>
          <w:titlePg/>
          <w:docGrid w:linePitch="360"/>
        </w:sectPr>
      </w:pPr>
      <w:bookmarkStart w:id="510" w:name="_Toc202192254"/>
      <w:bookmarkStart w:id="511" w:name="_Toc202192969"/>
      <w:bookmarkStart w:id="512" w:name="_Toc202193290"/>
      <w:bookmarkStart w:id="513" w:name="_Toc173327310"/>
      <w:bookmarkStart w:id="514" w:name="_Toc173327763"/>
      <w:bookmarkStart w:id="515" w:name="_Toc173395286"/>
      <w:bookmarkStart w:id="516" w:name="_Toc173395364"/>
      <w:bookmarkStart w:id="517" w:name="_Toc173395698"/>
      <w:bookmarkStart w:id="518" w:name="_Toc173396586"/>
      <w:bookmarkStart w:id="519" w:name="_Toc173397597"/>
      <w:bookmarkStart w:id="520" w:name="_Toc173408148"/>
      <w:bookmarkStart w:id="521" w:name="_Toc173411470"/>
      <w:bookmarkStart w:id="522" w:name="_Toc173479150"/>
      <w:bookmarkStart w:id="523" w:name="_Toc173743057"/>
      <w:bookmarkStart w:id="524" w:name="_Toc173743218"/>
      <w:bookmarkStart w:id="525" w:name="_Toc176160540"/>
      <w:bookmarkStart w:id="526" w:name="_Toc176163168"/>
      <w:bookmarkStart w:id="527" w:name="_Toc205474307"/>
      <w:bookmarkStart w:id="528" w:name="_Toc207792890"/>
      <w:bookmarkStart w:id="529" w:name="_Toc207793926"/>
      <w:bookmarkStart w:id="530" w:name="_Toc207795648"/>
      <w:bookmarkStart w:id="531" w:name="_Toc207796059"/>
      <w:bookmarkStart w:id="532" w:name="_Toc207796932"/>
      <w:bookmarkStart w:id="533" w:name="_Toc207797298"/>
      <w:bookmarkStart w:id="534" w:name="_Toc207800233"/>
      <w:bookmarkStart w:id="535" w:name="_Toc207810811"/>
    </w:p>
    <w:p w14:paraId="3F9CF604" w14:textId="77777777" w:rsidR="00CB3152" w:rsidRDefault="00CB3152" w:rsidP="00CE0BF9">
      <w:pPr>
        <w:pStyle w:val="Heading1"/>
      </w:pPr>
      <w:bookmarkStart w:id="536" w:name="_Toc208913973"/>
      <w:bookmarkStart w:id="537" w:name="_Toc208914090"/>
      <w:bookmarkStart w:id="538" w:name="_Toc209424487"/>
      <w:bookmarkStart w:id="539" w:name="_Toc209424591"/>
      <w:r>
        <w:lastRenderedPageBreak/>
        <w:t>How Purpose 2 is achieved</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71CA6B15" w14:textId="2A802AA1" w:rsidR="00FD6E59" w:rsidRDefault="00FD6E59" w:rsidP="00FD6E59">
      <w:pPr>
        <w:spacing w:line="250" w:lineRule="auto"/>
      </w:pPr>
      <w:r>
        <w:t>To ensure the</w:t>
      </w:r>
      <w:r w:rsidRPr="00322555">
        <w:t xml:space="preserve"> </w:t>
      </w:r>
      <w:r>
        <w:t>g</w:t>
      </w:r>
      <w:r w:rsidRPr="00322555">
        <w:t>overnment</w:t>
      </w:r>
      <w:r>
        <w:t xml:space="preserve"> can always meet its</w:t>
      </w:r>
      <w:r w:rsidRPr="00322555">
        <w:t xml:space="preserve"> cash </w:t>
      </w:r>
      <w:r>
        <w:t xml:space="preserve">outlay requirements, the </w:t>
      </w:r>
      <w:r w:rsidR="0059412E">
        <w:t>Australian Office of Financial Management (</w:t>
      </w:r>
      <w:r>
        <w:t>AOFM</w:t>
      </w:r>
      <w:r w:rsidR="0059412E">
        <w:t>)</w:t>
      </w:r>
      <w:r>
        <w:t xml:space="preserve"> uses forecasts of payments and receipts to project the government</w:t>
      </w:r>
      <w:r w:rsidR="00B84FF2">
        <w:t>’</w:t>
      </w:r>
      <w:r>
        <w:t>s cash position</w:t>
      </w:r>
      <w:r w:rsidR="0059412E">
        <w:t>,</w:t>
      </w:r>
      <w:r>
        <w:t xml:space="preserve"> then implements </w:t>
      </w:r>
      <w:r w:rsidRPr="00322555">
        <w:t>strategies to manage short</w:t>
      </w:r>
      <w:r w:rsidR="00B84FF2">
        <w:noBreakHyphen/>
      </w:r>
      <w:r w:rsidRPr="00322555">
        <w:t>term assets</w:t>
      </w:r>
      <w:r w:rsidRPr="00322555" w:rsidDel="00916D08">
        <w:t xml:space="preserve"> and liabilities</w:t>
      </w:r>
      <w:r>
        <w:t xml:space="preserve"> to reduce liquidity risk</w:t>
      </w:r>
      <w:r w:rsidRPr="00322555">
        <w:t xml:space="preserve">. </w:t>
      </w:r>
    </w:p>
    <w:p w14:paraId="7D7B0221" w14:textId="52A51418" w:rsidR="00FD6E59" w:rsidRPr="00963FB2" w:rsidRDefault="00FD6E59" w:rsidP="00FD6E59">
      <w:pPr>
        <w:spacing w:line="250" w:lineRule="auto"/>
      </w:pPr>
      <w:r w:rsidRPr="00963FB2">
        <w:t xml:space="preserve">The </w:t>
      </w:r>
      <w:r w:rsidRPr="00DF31C0">
        <w:t>AOFM</w:t>
      </w:r>
      <w:r w:rsidRPr="00963FB2">
        <w:rPr>
          <w:b/>
          <w:bCs/>
        </w:rPr>
        <w:t xml:space="preserve"> </w:t>
      </w:r>
      <w:r w:rsidRPr="00963FB2">
        <w:t xml:space="preserve">faces </w:t>
      </w:r>
      <w:r w:rsidR="004A66B9">
        <w:t>2</w:t>
      </w:r>
      <w:r w:rsidRPr="00963FB2">
        <w:t xml:space="preserve"> sources of liquidity risk</w:t>
      </w:r>
      <w:r w:rsidR="0059412E">
        <w:t>.</w:t>
      </w:r>
    </w:p>
    <w:p w14:paraId="730DB5C7" w14:textId="1D6276D9" w:rsidR="00FD6E59" w:rsidRPr="00963FB2" w:rsidRDefault="00FD6E59" w:rsidP="008A0A50">
      <w:pPr>
        <w:pStyle w:val="Bullet"/>
      </w:pPr>
      <w:r w:rsidRPr="00963FB2">
        <w:t xml:space="preserve">Forecasting risk </w:t>
      </w:r>
      <w:r w:rsidR="0059412E">
        <w:t>is t</w:t>
      </w:r>
      <w:r w:rsidRPr="00963FB2">
        <w:t>he risk that the forecast asset balance is incorrect due to realised</w:t>
      </w:r>
      <w:r>
        <w:t xml:space="preserve"> </w:t>
      </w:r>
      <w:r w:rsidRPr="008A0A50">
        <w:t>cash</w:t>
      </w:r>
      <w:r w:rsidR="0059412E">
        <w:t xml:space="preserve"> </w:t>
      </w:r>
      <w:r w:rsidRPr="00B42A95">
        <w:t>flows</w:t>
      </w:r>
      <w:r w:rsidRPr="00963FB2">
        <w:t xml:space="preserve"> not matching forecasts.</w:t>
      </w:r>
    </w:p>
    <w:p w14:paraId="700394FE" w14:textId="6D4BA184" w:rsidR="00FD6E59" w:rsidRPr="00322555" w:rsidRDefault="00FD6E59" w:rsidP="008A0A50">
      <w:pPr>
        <w:pStyle w:val="Bullet"/>
      </w:pPr>
      <w:r w:rsidRPr="008A0A50">
        <w:t>Funding</w:t>
      </w:r>
      <w:r w:rsidRPr="00963FB2">
        <w:t xml:space="preserve"> risk </w:t>
      </w:r>
      <w:r w:rsidR="0059412E">
        <w:t>is t</w:t>
      </w:r>
      <w:r w:rsidRPr="00963FB2">
        <w:t xml:space="preserve">he risk </w:t>
      </w:r>
      <w:r w:rsidR="0059412E">
        <w:t>of</w:t>
      </w:r>
      <w:r w:rsidR="0059412E" w:rsidRPr="00963FB2">
        <w:t xml:space="preserve"> </w:t>
      </w:r>
      <w:r w:rsidRPr="00963FB2">
        <w:t>prevailing market conditions prevent</w:t>
      </w:r>
      <w:r w:rsidR="0059412E">
        <w:t>ing</w:t>
      </w:r>
      <w:r w:rsidRPr="00963FB2">
        <w:t xml:space="preserve"> the planned volume of funds</w:t>
      </w:r>
      <w:r>
        <w:t xml:space="preserve"> </w:t>
      </w:r>
      <w:r w:rsidRPr="00963FB2">
        <w:t>from being raised. Funding risk includes refinancing risk.</w:t>
      </w:r>
    </w:p>
    <w:p w14:paraId="5477BE4C" w14:textId="77777777" w:rsidR="00FD6E59" w:rsidRPr="00322555" w:rsidRDefault="00FD6E59" w:rsidP="00FD6E59">
      <w:pPr>
        <w:spacing w:line="250" w:lineRule="auto"/>
      </w:pPr>
      <w:r w:rsidRPr="00322555">
        <w:t xml:space="preserve">The AOFM has minimal appetite for liquidity risk. The AOFM manages liquidity risk by: </w:t>
      </w:r>
    </w:p>
    <w:p w14:paraId="10CC445A" w14:textId="394133DE" w:rsidR="00FD6E59" w:rsidRPr="008A0A50" w:rsidRDefault="00FD6E59" w:rsidP="008A0A50">
      <w:pPr>
        <w:pStyle w:val="Bullet"/>
      </w:pPr>
      <w:r w:rsidRPr="008A0A50">
        <w:t>maintaining accurate cash flow forecasts informed by liaison with spending agencies, the Australian Taxation Office and the Reserve Bank of Australia</w:t>
      </w:r>
      <w:r w:rsidR="0059412E" w:rsidRPr="008A0A50">
        <w:t xml:space="preserve"> (RBA)</w:t>
      </w:r>
    </w:p>
    <w:p w14:paraId="10117499" w14:textId="77777777" w:rsidR="00826B47" w:rsidRPr="008A0A50" w:rsidRDefault="00826B47" w:rsidP="008A0A50">
      <w:pPr>
        <w:pStyle w:val="Bullet"/>
      </w:pPr>
      <w:r w:rsidRPr="008A0A50">
        <w:t>holding a precautionary liquidity buffer</w:t>
      </w:r>
    </w:p>
    <w:p w14:paraId="08B2D3AC" w14:textId="77777777" w:rsidR="00826B47" w:rsidRPr="008A0A50" w:rsidRDefault="00826B47" w:rsidP="008A0A50">
      <w:pPr>
        <w:pStyle w:val="Bullet"/>
      </w:pPr>
      <w:r w:rsidRPr="008A0A50">
        <w:t>carefully planning the timing of AGS issuance and maturities</w:t>
      </w:r>
    </w:p>
    <w:p w14:paraId="4F6F28E7" w14:textId="30AA40E1" w:rsidR="00826B47" w:rsidRPr="008A0A50" w:rsidRDefault="00826B47" w:rsidP="008A0A50">
      <w:pPr>
        <w:pStyle w:val="Bullet"/>
      </w:pPr>
      <w:r w:rsidRPr="008A0A50">
        <w:t>maintaining access to the short</w:t>
      </w:r>
      <w:r w:rsidR="00B84FF2" w:rsidRPr="008A0A50">
        <w:noBreakHyphen/>
      </w:r>
      <w:r w:rsidRPr="008A0A50">
        <w:t xml:space="preserve">term money market </w:t>
      </w:r>
      <w:r w:rsidR="0059412E" w:rsidRPr="008A0A50">
        <w:t>by</w:t>
      </w:r>
      <w:r w:rsidRPr="008A0A50">
        <w:t xml:space="preserve">: </w:t>
      </w:r>
    </w:p>
    <w:p w14:paraId="76810154" w14:textId="09580546" w:rsidR="00826B47" w:rsidRPr="00322555" w:rsidRDefault="00826B47" w:rsidP="008A0A50">
      <w:pPr>
        <w:pStyle w:val="Dash"/>
      </w:pPr>
      <w:r w:rsidRPr="00B42A95">
        <w:t>regular</w:t>
      </w:r>
      <w:r w:rsidR="0059412E" w:rsidRPr="00B42A95">
        <w:t>ly</w:t>
      </w:r>
      <w:r w:rsidRPr="00322555">
        <w:t xml:space="preserve"> issu</w:t>
      </w:r>
      <w:r w:rsidR="0059412E">
        <w:t>ing</w:t>
      </w:r>
      <w:r w:rsidR="00C039FE">
        <w:t xml:space="preserve"> </w:t>
      </w:r>
      <w:r w:rsidRPr="00322555">
        <w:t>T</w:t>
      </w:r>
      <w:r w:rsidR="00B84FF2">
        <w:noBreakHyphen/>
      </w:r>
      <w:r w:rsidRPr="00322555">
        <w:t>Notes</w:t>
      </w:r>
    </w:p>
    <w:p w14:paraId="4E1CE46F" w14:textId="6E4FCC8F" w:rsidR="00826B47" w:rsidRPr="00322555" w:rsidRDefault="0059412E" w:rsidP="008A0A50">
      <w:pPr>
        <w:pStyle w:val="Dash"/>
      </w:pPr>
      <w:r w:rsidRPr="008A0A50">
        <w:t>having</w:t>
      </w:r>
      <w:r>
        <w:t xml:space="preserve"> </w:t>
      </w:r>
      <w:r w:rsidR="00826B47" w:rsidRPr="00322555">
        <w:t>a floor on the volume of T</w:t>
      </w:r>
      <w:r w:rsidR="00B84FF2">
        <w:noBreakHyphen/>
      </w:r>
      <w:r w:rsidR="00826B47" w:rsidRPr="00322555">
        <w:t>Notes on issue (to maintain investor engagement).</w:t>
      </w:r>
    </w:p>
    <w:p w14:paraId="4007E981" w14:textId="77777777" w:rsidR="00826B47" w:rsidRDefault="00826B47" w:rsidP="008A0A50">
      <w:pPr>
        <w:pStyle w:val="Bullet"/>
      </w:pPr>
      <w:r w:rsidRPr="008A0A50">
        <w:t>maintaining</w:t>
      </w:r>
      <w:r w:rsidRPr="00322555">
        <w:t xml:space="preserve"> access to an overdraft facility at the RBA (considered a measure of last resort).</w:t>
      </w:r>
    </w:p>
    <w:p w14:paraId="6260DC73" w14:textId="26340156" w:rsidR="00406B6D" w:rsidRPr="006534F5" w:rsidRDefault="00406B6D" w:rsidP="00746469">
      <w:pPr>
        <w:pStyle w:val="TableMainHeading"/>
      </w:pPr>
      <w:r w:rsidRPr="00C67419">
        <w:t xml:space="preserve">Table </w:t>
      </w:r>
      <w:r w:rsidR="004621C2">
        <w:t>7</w:t>
      </w:r>
      <w:r w:rsidR="00C73ADD">
        <w:t xml:space="preserve">: </w:t>
      </w:r>
      <w:r w:rsidR="00A32853" w:rsidRPr="0088663D">
        <w:t xml:space="preserve">Performance </w:t>
      </w:r>
      <w:r w:rsidR="00ED1390" w:rsidRPr="0088663D">
        <w:t>measures for Key Activity</w:t>
      </w:r>
      <w:r w:rsidR="0059412E" w:rsidRPr="0088663D">
        <w:t xml:space="preserve"> </w:t>
      </w:r>
      <w:r w:rsidR="00ED1390" w:rsidRPr="0088663D">
        <w:t>2.1</w:t>
      </w:r>
    </w:p>
    <w:tbl>
      <w:tblPr>
        <w:tblStyle w:val="AOFMTablemain"/>
        <w:tblW w:w="5000" w:type="pct"/>
        <w:tblLook w:val="06A0" w:firstRow="1" w:lastRow="0" w:firstColumn="1" w:lastColumn="0" w:noHBand="1" w:noVBand="1"/>
      </w:tblPr>
      <w:tblGrid>
        <w:gridCol w:w="1640"/>
        <w:gridCol w:w="3753"/>
        <w:gridCol w:w="1160"/>
        <w:gridCol w:w="1158"/>
      </w:tblGrid>
      <w:tr w:rsidR="00E15250" w:rsidRPr="00686849" w14:paraId="598930F1" w14:textId="77777777" w:rsidTr="00746469">
        <w:trPr>
          <w:cnfStyle w:val="100000000000" w:firstRow="1" w:lastRow="0" w:firstColumn="0" w:lastColumn="0" w:oddVBand="0" w:evenVBand="0" w:oddHBand="0" w:evenHBand="0" w:firstRowFirstColumn="0" w:firstRowLastColumn="0" w:lastRowFirstColumn="0" w:lastRowLastColumn="0"/>
          <w:trHeight w:val="45"/>
        </w:trPr>
        <w:tc>
          <w:tcPr>
            <w:tcW w:w="5584" w:type="dxa"/>
            <w:gridSpan w:val="2"/>
            <w:vMerge w:val="restart"/>
            <w:tcBorders>
              <w:right w:val="single" w:sz="4" w:space="0" w:color="FFFFFF" w:themeColor="background1"/>
            </w:tcBorders>
            <w:vAlign w:val="bottom"/>
            <w:hideMark/>
          </w:tcPr>
          <w:p w14:paraId="38F6024B" w14:textId="77777777" w:rsidR="00406B6D" w:rsidRPr="00746469" w:rsidRDefault="00406B6D" w:rsidP="00746469">
            <w:pPr>
              <w:pStyle w:val="TableColumnHeadingLeft"/>
            </w:pPr>
            <w:r w:rsidRPr="00746469">
              <w:t>Performance measures</w:t>
            </w:r>
          </w:p>
        </w:tc>
        <w:tc>
          <w:tcPr>
            <w:tcW w:w="2352" w:type="dxa"/>
            <w:gridSpan w:val="2"/>
            <w:tcBorders>
              <w:left w:val="single" w:sz="4" w:space="0" w:color="FFFFFF" w:themeColor="background1"/>
            </w:tcBorders>
            <w:hideMark/>
          </w:tcPr>
          <w:p w14:paraId="50C2BAE8" w14:textId="6B0EB33F" w:rsidR="00406B6D" w:rsidRPr="00746469" w:rsidRDefault="00406B6D" w:rsidP="00746469">
            <w:pPr>
              <w:pStyle w:val="TableColumnHeadingCentred"/>
            </w:pPr>
            <w:r w:rsidRPr="00746469">
              <w:t>202</w:t>
            </w:r>
            <w:r w:rsidR="006F2A36" w:rsidRPr="00746469">
              <w:t>4</w:t>
            </w:r>
            <w:r w:rsidRPr="00746469">
              <w:t>–2</w:t>
            </w:r>
            <w:r w:rsidR="006F2A36" w:rsidRPr="00746469">
              <w:t>5</w:t>
            </w:r>
            <w:r w:rsidRPr="00746469">
              <w:t xml:space="preserve"> Performance </w:t>
            </w:r>
          </w:p>
        </w:tc>
      </w:tr>
      <w:tr w:rsidR="00406B6D" w:rsidRPr="00686849" w14:paraId="2FFA5211" w14:textId="77777777" w:rsidTr="00FE7E22">
        <w:trPr>
          <w:trHeight w:val="45"/>
        </w:trPr>
        <w:tc>
          <w:tcPr>
            <w:tcW w:w="5584" w:type="dxa"/>
            <w:gridSpan w:val="2"/>
            <w:vMerge/>
            <w:tcBorders>
              <w:right w:val="single" w:sz="4" w:space="0" w:color="FFFFFF" w:themeColor="background1"/>
            </w:tcBorders>
            <w:hideMark/>
          </w:tcPr>
          <w:p w14:paraId="7F278582" w14:textId="77777777" w:rsidR="00406B6D" w:rsidRPr="00746469" w:rsidRDefault="00406B6D" w:rsidP="00746469">
            <w:pPr>
              <w:pStyle w:val="TableColumnHeadingLeft"/>
            </w:pPr>
          </w:p>
        </w:tc>
        <w:tc>
          <w:tcPr>
            <w:tcW w:w="1176" w:type="dxa"/>
            <w:tcBorders>
              <w:top w:val="single" w:sz="4" w:space="0" w:color="FFFFFF" w:themeColor="background1"/>
              <w:left w:val="single" w:sz="4" w:space="0" w:color="FFFFFF" w:themeColor="background1"/>
              <w:right w:val="single" w:sz="4" w:space="0" w:color="FFFFFF" w:themeColor="background1"/>
            </w:tcBorders>
            <w:shd w:val="clear" w:color="auto" w:fill="472978" w:themeFill="accent1"/>
            <w:hideMark/>
          </w:tcPr>
          <w:p w14:paraId="2A39C503" w14:textId="77777777" w:rsidR="00406B6D" w:rsidRPr="00746469" w:rsidRDefault="00406B6D" w:rsidP="00746469">
            <w:pPr>
              <w:pStyle w:val="TableColumnHeadingLeft"/>
            </w:pPr>
            <w:r w:rsidRPr="00746469">
              <w:t>Target</w:t>
            </w:r>
          </w:p>
        </w:tc>
        <w:tc>
          <w:tcPr>
            <w:tcW w:w="1176" w:type="dxa"/>
            <w:tcBorders>
              <w:top w:val="single" w:sz="4" w:space="0" w:color="FFFFFF" w:themeColor="background1"/>
              <w:left w:val="single" w:sz="4" w:space="0" w:color="FFFFFF" w:themeColor="background1"/>
            </w:tcBorders>
            <w:shd w:val="clear" w:color="auto" w:fill="472978" w:themeFill="accent1"/>
            <w:hideMark/>
          </w:tcPr>
          <w:p w14:paraId="0547D671" w14:textId="77777777" w:rsidR="00406B6D" w:rsidRPr="00746469" w:rsidRDefault="00406B6D" w:rsidP="00746469">
            <w:pPr>
              <w:pStyle w:val="TableColumnHeadingLeft"/>
            </w:pPr>
            <w:r w:rsidRPr="00746469">
              <w:t>Results</w:t>
            </w:r>
          </w:p>
        </w:tc>
      </w:tr>
      <w:tr w:rsidR="00406B6D" w:rsidRPr="00686849" w14:paraId="65D92258" w14:textId="77777777" w:rsidTr="00FE7E22">
        <w:trPr>
          <w:trHeight w:val="507"/>
        </w:trPr>
        <w:tc>
          <w:tcPr>
            <w:tcW w:w="1688" w:type="dxa"/>
          </w:tcPr>
          <w:p w14:paraId="312B25AD" w14:textId="488E3DA0" w:rsidR="00406B6D" w:rsidRPr="00746469" w:rsidRDefault="00406B6D" w:rsidP="00625DAB">
            <w:pPr>
              <w:pStyle w:val="TableTextLeft"/>
              <w:rPr>
                <w:rStyle w:val="Strong"/>
              </w:rPr>
            </w:pPr>
            <w:r w:rsidRPr="00746469">
              <w:rPr>
                <w:rStyle w:val="Strong"/>
              </w:rPr>
              <w:t>Key Activity</w:t>
            </w:r>
            <w:r w:rsidR="0059412E" w:rsidRPr="00746469">
              <w:rPr>
                <w:rStyle w:val="Strong"/>
              </w:rPr>
              <w:t xml:space="preserve"> </w:t>
            </w:r>
            <w:r w:rsidR="006F2A36" w:rsidRPr="00746469">
              <w:rPr>
                <w:rStyle w:val="Strong"/>
              </w:rPr>
              <w:t>2</w:t>
            </w:r>
            <w:r w:rsidRPr="00746469">
              <w:rPr>
                <w:rStyle w:val="Strong"/>
              </w:rPr>
              <w:t>.1</w:t>
            </w:r>
          </w:p>
        </w:tc>
        <w:tc>
          <w:tcPr>
            <w:tcW w:w="6248" w:type="dxa"/>
            <w:gridSpan w:val="3"/>
          </w:tcPr>
          <w:p w14:paraId="5F512CF8" w14:textId="223BA9CA" w:rsidR="00406B6D" w:rsidRPr="00EF4749" w:rsidRDefault="00406B6D" w:rsidP="00625DAB">
            <w:pPr>
              <w:pStyle w:val="TableTextLeft"/>
              <w:rPr>
                <w:b/>
                <w:bCs/>
              </w:rPr>
            </w:pPr>
            <w:r w:rsidRPr="00EF4749">
              <w:rPr>
                <w:b/>
                <w:bCs/>
              </w:rPr>
              <w:t>Establish</w:t>
            </w:r>
            <w:r w:rsidR="004C0A91" w:rsidRPr="00EF4749">
              <w:rPr>
                <w:b/>
                <w:bCs/>
              </w:rPr>
              <w:t xml:space="preserve"> and execute</w:t>
            </w:r>
            <w:r w:rsidRPr="00EF4749">
              <w:rPr>
                <w:b/>
                <w:bCs/>
              </w:rPr>
              <w:t xml:space="preserve"> a </w:t>
            </w:r>
            <w:r w:rsidR="004C0A91" w:rsidRPr="00EF4749">
              <w:rPr>
                <w:b/>
                <w:bCs/>
              </w:rPr>
              <w:t>liquidity</w:t>
            </w:r>
            <w:r w:rsidRPr="00EF4749">
              <w:rPr>
                <w:b/>
                <w:bCs/>
              </w:rPr>
              <w:t xml:space="preserve"> management strategy:</w:t>
            </w:r>
          </w:p>
          <w:p w14:paraId="48371F1A" w14:textId="413380D5" w:rsidR="00406B6D" w:rsidRPr="006B10ED" w:rsidRDefault="00C83D80" w:rsidP="00625DAB">
            <w:pPr>
              <w:pStyle w:val="Tabletext-bullet"/>
            </w:pPr>
            <w:r w:rsidRPr="006B10ED">
              <w:t xml:space="preserve">that considers the broad outlook for funding </w:t>
            </w:r>
            <w:r w:rsidR="007B28D2" w:rsidRPr="006B10ED">
              <w:t xml:space="preserve">market </w:t>
            </w:r>
            <w:r w:rsidRPr="006B10ED">
              <w:t>conditions</w:t>
            </w:r>
          </w:p>
          <w:p w14:paraId="05B10FB3" w14:textId="5A669EE6" w:rsidR="00406B6D" w:rsidRPr="006B10ED" w:rsidRDefault="00406B6D" w:rsidP="00625DAB">
            <w:pPr>
              <w:pStyle w:val="Tabletext-bullet"/>
            </w:pPr>
            <w:r w:rsidRPr="006B10ED">
              <w:t xml:space="preserve">that </w:t>
            </w:r>
            <w:r w:rsidR="00C83D80" w:rsidRPr="006B10ED">
              <w:t>defines an appropriate liquidity buffer</w:t>
            </w:r>
          </w:p>
          <w:p w14:paraId="1FDEA3C4" w14:textId="77777777" w:rsidR="00406B6D" w:rsidRPr="006B10ED" w:rsidRDefault="00C83D80" w:rsidP="00625DAB">
            <w:pPr>
              <w:pStyle w:val="Tabletext-bullet"/>
            </w:pPr>
            <w:r w:rsidRPr="006B10ED">
              <w:t>designed to maintain access to the Treasury Note market</w:t>
            </w:r>
          </w:p>
          <w:p w14:paraId="2101BA34" w14:textId="02631C08" w:rsidR="006D6877" w:rsidRPr="006B10ED" w:rsidRDefault="006D6877" w:rsidP="00625DAB">
            <w:pPr>
              <w:pStyle w:val="Tabletext-bullet"/>
            </w:pPr>
            <w:r w:rsidRPr="006B10ED">
              <w:t>to always meet government expenditure requirements</w:t>
            </w:r>
          </w:p>
          <w:p w14:paraId="58F26352" w14:textId="5DAA80E5" w:rsidR="00406B6D" w:rsidRPr="006B10ED" w:rsidRDefault="00E430FB" w:rsidP="00625DAB">
            <w:pPr>
              <w:pStyle w:val="Tabletext-bullet"/>
            </w:pPr>
            <w:r w:rsidRPr="006B10ED">
              <w:t xml:space="preserve">to meet minimum </w:t>
            </w:r>
            <w:r w:rsidR="00305A02" w:rsidRPr="006B10ED">
              <w:t>liquidity requirements</w:t>
            </w:r>
            <w:r w:rsidR="00DD285B" w:rsidRPr="006B10ED">
              <w:t>.</w:t>
            </w:r>
          </w:p>
        </w:tc>
      </w:tr>
      <w:tr w:rsidR="00406B6D" w:rsidRPr="00686849" w14:paraId="327DA34A" w14:textId="77777777" w:rsidTr="00746469">
        <w:trPr>
          <w:trHeight w:val="561"/>
        </w:trPr>
        <w:tc>
          <w:tcPr>
            <w:tcW w:w="1688" w:type="dxa"/>
            <w:hideMark/>
          </w:tcPr>
          <w:p w14:paraId="560776D7" w14:textId="55562032" w:rsidR="00406B6D" w:rsidRPr="00746469" w:rsidRDefault="006F2A36" w:rsidP="00625DAB">
            <w:pPr>
              <w:pStyle w:val="TableTextLeft"/>
            </w:pPr>
            <w:r w:rsidRPr="00746469">
              <w:t>2</w:t>
            </w:r>
            <w:r w:rsidR="00406B6D" w:rsidRPr="00746469">
              <w:t>.1.1</w:t>
            </w:r>
          </w:p>
        </w:tc>
        <w:tc>
          <w:tcPr>
            <w:tcW w:w="3896" w:type="dxa"/>
            <w:hideMark/>
          </w:tcPr>
          <w:p w14:paraId="7766ED05" w14:textId="4AB69F31" w:rsidR="00406B6D" w:rsidRPr="00746469" w:rsidRDefault="00D1194C" w:rsidP="00625DAB">
            <w:pPr>
              <w:pStyle w:val="TableTextLeft"/>
            </w:pPr>
            <w:r w:rsidRPr="00746469">
              <w:rPr>
                <w:b/>
                <w:bCs/>
              </w:rPr>
              <w:t>Cash management</w:t>
            </w:r>
            <w:r w:rsidR="00406B6D" w:rsidRPr="00746469">
              <w:rPr>
                <w:b/>
                <w:bCs/>
              </w:rPr>
              <w:t>:</w:t>
            </w:r>
            <w:r w:rsidR="00406B6D" w:rsidRPr="00746469">
              <w:t xml:space="preserve"> </w:t>
            </w:r>
            <w:r w:rsidR="00BD59D7" w:rsidRPr="00746469">
              <w:t xml:space="preserve">Conduct </w:t>
            </w:r>
            <w:r w:rsidR="005B2758" w:rsidRPr="00746469">
              <w:t xml:space="preserve">annual </w:t>
            </w:r>
            <w:r w:rsidR="00BD59D7" w:rsidRPr="00746469">
              <w:t xml:space="preserve">cash management </w:t>
            </w:r>
            <w:r w:rsidR="0061323C" w:rsidRPr="00746469">
              <w:t xml:space="preserve">in accordance with the liquidity </w:t>
            </w:r>
            <w:r w:rsidR="007A0B53" w:rsidRPr="00746469">
              <w:t>management strategy.</w:t>
            </w:r>
            <w:r w:rsidR="00406B6D" w:rsidRPr="00746469">
              <w:t xml:space="preserve"> </w:t>
            </w:r>
          </w:p>
        </w:tc>
        <w:tc>
          <w:tcPr>
            <w:tcW w:w="1176" w:type="dxa"/>
            <w:hideMark/>
          </w:tcPr>
          <w:p w14:paraId="429FCDA1" w14:textId="214DE917" w:rsidR="00406B6D" w:rsidRPr="00746469" w:rsidRDefault="008178CE" w:rsidP="00625DAB">
            <w:pPr>
              <w:pStyle w:val="TableTextLeft"/>
            </w:pPr>
            <w:r w:rsidRPr="00746469">
              <w:t>All approved elements met</w:t>
            </w:r>
          </w:p>
        </w:tc>
        <w:tc>
          <w:tcPr>
            <w:tcW w:w="1176" w:type="dxa"/>
            <w:hideMark/>
          </w:tcPr>
          <w:p w14:paraId="07A07A39" w14:textId="77777777" w:rsidR="00406B6D" w:rsidRPr="00746469" w:rsidRDefault="00406B6D" w:rsidP="00625DAB">
            <w:pPr>
              <w:pStyle w:val="TableTextLeft"/>
            </w:pPr>
            <w:r w:rsidRPr="00746469">
              <w:t>Met</w:t>
            </w:r>
          </w:p>
        </w:tc>
      </w:tr>
    </w:tbl>
    <w:p w14:paraId="45D5DAD2" w14:textId="45E07939" w:rsidR="006F2A36" w:rsidRDefault="006F2A36">
      <w:r>
        <w:br w:type="page"/>
      </w:r>
    </w:p>
    <w:p w14:paraId="171AF6CF" w14:textId="3B9AE885" w:rsidR="00FD7ABA" w:rsidRDefault="00FD7ABA" w:rsidP="00C67F81">
      <w:pPr>
        <w:pStyle w:val="Heading2"/>
      </w:pPr>
      <w:bookmarkStart w:id="540" w:name="_Toc173327311"/>
      <w:bookmarkStart w:id="541" w:name="_Toc173327764"/>
      <w:bookmarkStart w:id="542" w:name="_Toc173395287"/>
      <w:bookmarkStart w:id="543" w:name="_Toc173395365"/>
      <w:bookmarkStart w:id="544" w:name="_Toc173395699"/>
      <w:bookmarkStart w:id="545" w:name="_Toc173396587"/>
      <w:bookmarkStart w:id="546" w:name="_Toc173397598"/>
      <w:bookmarkStart w:id="547" w:name="_Toc173408149"/>
      <w:bookmarkStart w:id="548" w:name="_Toc173411471"/>
      <w:bookmarkStart w:id="549" w:name="_Toc173479151"/>
      <w:bookmarkStart w:id="550" w:name="_Toc173743058"/>
      <w:bookmarkStart w:id="551" w:name="_Toc173743219"/>
      <w:bookmarkStart w:id="552" w:name="_Toc176160541"/>
      <w:bookmarkStart w:id="553" w:name="_Toc176163169"/>
      <w:bookmarkStart w:id="554" w:name="_Toc205474308"/>
      <w:bookmarkStart w:id="555" w:name="_Toc207792891"/>
      <w:bookmarkStart w:id="556" w:name="_Toc207793927"/>
      <w:bookmarkStart w:id="557" w:name="_Toc207796060"/>
      <w:bookmarkStart w:id="558" w:name="_Toc207796933"/>
      <w:bookmarkStart w:id="559" w:name="_Toc207800234"/>
      <w:bookmarkStart w:id="560" w:name="_Toc207810812"/>
      <w:bookmarkStart w:id="561" w:name="_Toc208914091"/>
      <w:bookmarkStart w:id="562" w:name="_Toc209424488"/>
      <w:r w:rsidRPr="00E235E4">
        <w:lastRenderedPageBreak/>
        <w:t>Key Activity</w:t>
      </w:r>
      <w:r w:rsidR="0059412E" w:rsidRPr="00E235E4">
        <w:t xml:space="preserve"> </w:t>
      </w:r>
      <w:r w:rsidRPr="00E235E4">
        <w:t>2.1: Establish</w:t>
      </w:r>
      <w:r w:rsidR="00F61168">
        <w:t xml:space="preserve"> and execute</w:t>
      </w:r>
      <w:r w:rsidRPr="00E235E4">
        <w:t xml:space="preserve"> a liquidity </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t>management</w:t>
      </w:r>
      <w:r w:rsidRPr="579E0F21">
        <w:rPr>
          <w:rFonts w:ascii="Arial" w:hAnsi="Arial" w:cs="Arial"/>
        </w:rPr>
        <w:t> </w:t>
      </w:r>
      <w:r>
        <w:t>strategy</w:t>
      </w:r>
      <w:bookmarkEnd w:id="554"/>
      <w:bookmarkEnd w:id="555"/>
      <w:bookmarkEnd w:id="556"/>
      <w:bookmarkEnd w:id="557"/>
      <w:bookmarkEnd w:id="558"/>
      <w:bookmarkEnd w:id="559"/>
      <w:bookmarkEnd w:id="560"/>
      <w:bookmarkEnd w:id="561"/>
      <w:bookmarkEnd w:id="562"/>
    </w:p>
    <w:p w14:paraId="717756D2" w14:textId="77737103" w:rsidR="00C97FCF" w:rsidRDefault="00C97FCF" w:rsidP="00C97FCF">
      <w:r>
        <w:t>The</w:t>
      </w:r>
      <w:r>
        <w:rPr>
          <w:spacing w:val="-2"/>
        </w:rPr>
        <w:t xml:space="preserve"> </w:t>
      </w:r>
      <w:r>
        <w:t>liquidity management strategy</w:t>
      </w:r>
      <w:r>
        <w:rPr>
          <w:spacing w:val="-2"/>
        </w:rPr>
        <w:t xml:space="preserve"> </w:t>
      </w:r>
      <w:r>
        <w:t>describes</w:t>
      </w:r>
      <w:r>
        <w:rPr>
          <w:spacing w:val="-4"/>
        </w:rPr>
        <w:t xml:space="preserve"> </w:t>
      </w:r>
      <w:r>
        <w:t>the</w:t>
      </w:r>
      <w:r>
        <w:rPr>
          <w:spacing w:val="-4"/>
        </w:rPr>
        <w:t xml:space="preserve"> </w:t>
      </w:r>
      <w:r>
        <w:t>AOFM</w:t>
      </w:r>
      <w:r w:rsidR="00B84FF2">
        <w:t>’</w:t>
      </w:r>
      <w:r>
        <w:t>s</w:t>
      </w:r>
      <w:r>
        <w:rPr>
          <w:spacing w:val="-2"/>
        </w:rPr>
        <w:t xml:space="preserve"> </w:t>
      </w:r>
      <w:r>
        <w:t>approach to</w:t>
      </w:r>
      <w:r>
        <w:rPr>
          <w:spacing w:val="-4"/>
        </w:rPr>
        <w:t xml:space="preserve"> </w:t>
      </w:r>
      <w:r>
        <w:t>managing liquidity risk through the</w:t>
      </w:r>
      <w:r>
        <w:rPr>
          <w:spacing w:val="-2"/>
        </w:rPr>
        <w:t xml:space="preserve"> </w:t>
      </w:r>
      <w:r>
        <w:t xml:space="preserve">year. </w:t>
      </w:r>
      <w:r w:rsidRPr="00602700">
        <w:t>The AOFM Advisory Board is briefed on the strategy</w:t>
      </w:r>
      <w:r w:rsidR="0059412E">
        <w:t>, and t</w:t>
      </w:r>
      <w:r w:rsidRPr="00602700">
        <w:t xml:space="preserve">he Secretary to the Treasury endorses the strategy each year. </w:t>
      </w:r>
      <w:r>
        <w:t>The key elements of the 2024</w:t>
      </w:r>
      <w:r w:rsidR="008A0A50">
        <w:noBreakHyphen/>
      </w:r>
      <w:r>
        <w:t>25 strategy were:</w:t>
      </w:r>
    </w:p>
    <w:p w14:paraId="0A4A9826" w14:textId="06FB996E" w:rsidR="00C97FCF" w:rsidRDefault="0059412E" w:rsidP="00C97FCF">
      <w:pPr>
        <w:pStyle w:val="Bullet"/>
        <w:rPr>
          <w:lang w:val="en-US"/>
        </w:rPr>
      </w:pPr>
      <w:r>
        <w:t>maintaining</w:t>
      </w:r>
      <w:r w:rsidR="00C97FCF">
        <w:t xml:space="preserve"> a $25 billion </w:t>
      </w:r>
      <w:r w:rsidR="00C97FCF" w:rsidRPr="649B7113">
        <w:rPr>
          <w:lang w:val="en-US"/>
        </w:rPr>
        <w:t xml:space="preserve">liquidity buffer to manage the forecasting risk associated with large, unexpected cash requirements (or shortfalls in revenue collections) and the funding risk associated with sudden and severe market constraints on </w:t>
      </w:r>
      <w:r w:rsidR="00C97FCF">
        <w:rPr>
          <w:lang w:val="en-US"/>
        </w:rPr>
        <w:t>the AOFM</w:t>
      </w:r>
      <w:r w:rsidR="00B84FF2">
        <w:rPr>
          <w:lang w:val="en-US"/>
        </w:rPr>
        <w:t>’</w:t>
      </w:r>
      <w:r w:rsidR="00C97FCF">
        <w:rPr>
          <w:lang w:val="en-US"/>
        </w:rPr>
        <w:t>s capacity to issue AGS</w:t>
      </w:r>
    </w:p>
    <w:p w14:paraId="6ABBA5F8" w14:textId="48E77D0F" w:rsidR="00C97FCF" w:rsidRDefault="0059412E" w:rsidP="00C97FCF">
      <w:pPr>
        <w:pStyle w:val="Bullet"/>
        <w:rPr>
          <w:lang w:val="en-US"/>
        </w:rPr>
      </w:pPr>
      <w:r>
        <w:rPr>
          <w:lang w:val="en-US"/>
        </w:rPr>
        <w:t xml:space="preserve">making a </w:t>
      </w:r>
      <w:r w:rsidR="00C97FCF">
        <w:rPr>
          <w:lang w:val="en-US"/>
        </w:rPr>
        <w:t xml:space="preserve">commitment to maintain at least $25 billion of </w:t>
      </w:r>
      <w:r w:rsidR="004C13B0">
        <w:rPr>
          <w:lang w:val="en-US"/>
        </w:rPr>
        <w:t>T</w:t>
      </w:r>
      <w:r w:rsidR="00B84FF2">
        <w:rPr>
          <w:lang w:val="en-US"/>
        </w:rPr>
        <w:noBreakHyphen/>
      </w:r>
      <w:r w:rsidR="00C97FCF">
        <w:rPr>
          <w:lang w:val="en-US"/>
        </w:rPr>
        <w:t>Notes on issue throughout the year</w:t>
      </w:r>
      <w:r>
        <w:rPr>
          <w:lang w:val="en-US"/>
        </w:rPr>
        <w:t>,</w:t>
      </w:r>
      <w:r w:rsidR="00C97FCF">
        <w:rPr>
          <w:lang w:val="en-US"/>
        </w:rPr>
        <w:t xml:space="preserve"> to ensure the market </w:t>
      </w:r>
      <w:r>
        <w:rPr>
          <w:lang w:val="en-US"/>
        </w:rPr>
        <w:t>remains relevant</w:t>
      </w:r>
      <w:r w:rsidR="00C97FCF">
        <w:rPr>
          <w:lang w:val="en-US"/>
        </w:rPr>
        <w:t xml:space="preserve"> to a wide range of investors and is accessible and scalable to</w:t>
      </w:r>
      <w:r>
        <w:rPr>
          <w:lang w:val="en-US"/>
        </w:rPr>
        <w:t xml:space="preserve"> meet</w:t>
      </w:r>
      <w:r w:rsidR="00C97FCF">
        <w:rPr>
          <w:lang w:val="en-US"/>
        </w:rPr>
        <w:t xml:space="preserve"> funding requirements</w:t>
      </w:r>
    </w:p>
    <w:p w14:paraId="3BDB15D4" w14:textId="6372D0A0" w:rsidR="00C97FCF" w:rsidRDefault="0059412E" w:rsidP="00C97FCF">
      <w:pPr>
        <w:pStyle w:val="Bullet"/>
        <w:rPr>
          <w:lang w:val="en-US"/>
        </w:rPr>
      </w:pPr>
      <w:r>
        <w:rPr>
          <w:lang w:val="en-US"/>
        </w:rPr>
        <w:t>not using</w:t>
      </w:r>
      <w:r w:rsidR="00C97FCF">
        <w:rPr>
          <w:lang w:val="en-US"/>
        </w:rPr>
        <w:t xml:space="preserve"> the RBA overdraft </w:t>
      </w:r>
      <w:proofErr w:type="gramStart"/>
      <w:r w:rsidR="00C97FCF">
        <w:rPr>
          <w:lang w:val="en-US"/>
        </w:rPr>
        <w:t>facility</w:t>
      </w:r>
      <w:r w:rsidR="00CF1F59">
        <w:rPr>
          <w:lang w:val="en-US"/>
        </w:rPr>
        <w:t>,</w:t>
      </w:r>
      <w:r w:rsidR="00C97FCF">
        <w:rPr>
          <w:lang w:val="en-US"/>
        </w:rPr>
        <w:t xml:space="preserve"> and</w:t>
      </w:r>
      <w:proofErr w:type="gramEnd"/>
      <w:r w:rsidR="00C97FCF">
        <w:rPr>
          <w:lang w:val="en-US"/>
        </w:rPr>
        <w:t xml:space="preserve"> </w:t>
      </w:r>
      <w:r w:rsidR="00CF1F59">
        <w:rPr>
          <w:lang w:val="en-US"/>
        </w:rPr>
        <w:t>holding</w:t>
      </w:r>
      <w:r w:rsidR="00C97FCF">
        <w:rPr>
          <w:lang w:val="en-US"/>
        </w:rPr>
        <w:t xml:space="preserve"> all assets in the Cash Management Account</w:t>
      </w:r>
      <w:r w:rsidR="00CF1F59">
        <w:rPr>
          <w:lang w:val="en-US"/>
        </w:rPr>
        <w:t xml:space="preserve"> </w:t>
      </w:r>
      <w:r w:rsidR="00C97FCF">
        <w:rPr>
          <w:lang w:val="en-US"/>
        </w:rPr>
        <w:t>(CMA) at the RBA.</w:t>
      </w:r>
    </w:p>
    <w:p w14:paraId="5EE12DB8" w14:textId="3105E5E7" w:rsidR="00C97FCF" w:rsidRDefault="00C97FCF" w:rsidP="00C97FCF">
      <w:pPr>
        <w:pStyle w:val="BodyText"/>
        <w:rPr>
          <w:lang w:val="en-US"/>
        </w:rPr>
      </w:pPr>
      <w:r w:rsidRPr="649B7113">
        <w:rPr>
          <w:lang w:val="en-US"/>
        </w:rPr>
        <w:t xml:space="preserve">Chart </w:t>
      </w:r>
      <w:r w:rsidR="0089449B">
        <w:rPr>
          <w:lang w:val="en-US"/>
        </w:rPr>
        <w:t>10</w:t>
      </w:r>
      <w:r w:rsidRPr="649B7113">
        <w:rPr>
          <w:lang w:val="en-US"/>
        </w:rPr>
        <w:t xml:space="preserve"> shows the movement in cash balances managed by the AOFM</w:t>
      </w:r>
      <w:r w:rsidR="00CF1F59">
        <w:rPr>
          <w:lang w:val="en-US"/>
        </w:rPr>
        <w:t>,</w:t>
      </w:r>
      <w:r w:rsidRPr="649B7113">
        <w:rPr>
          <w:lang w:val="en-US"/>
        </w:rPr>
        <w:t xml:space="preserve"> together with the volume of T</w:t>
      </w:r>
      <w:r w:rsidR="00B84FF2">
        <w:rPr>
          <w:lang w:val="en-US"/>
        </w:rPr>
        <w:noBreakHyphen/>
      </w:r>
      <w:r w:rsidRPr="649B7113">
        <w:rPr>
          <w:lang w:val="en-US"/>
        </w:rPr>
        <w:t>Notes on issue during 2024–25. The AOFM started 2024</w:t>
      </w:r>
      <w:r w:rsidR="00CF1F59">
        <w:rPr>
          <w:lang w:val="en-US"/>
        </w:rPr>
        <w:t>–</w:t>
      </w:r>
      <w:r w:rsidRPr="649B7113">
        <w:rPr>
          <w:lang w:val="en-US"/>
        </w:rPr>
        <w:t>25 with cash balances of $8</w:t>
      </w:r>
      <w:r>
        <w:rPr>
          <w:lang w:val="en-US"/>
        </w:rPr>
        <w:t>5</w:t>
      </w:r>
      <w:r w:rsidRPr="649B7113">
        <w:rPr>
          <w:lang w:val="en-US"/>
        </w:rPr>
        <w:t>.</w:t>
      </w:r>
      <w:r>
        <w:rPr>
          <w:lang w:val="en-US"/>
        </w:rPr>
        <w:t>5</w:t>
      </w:r>
      <w:r w:rsidRPr="649B7113">
        <w:rPr>
          <w:lang w:val="en-US"/>
        </w:rPr>
        <w:t xml:space="preserve"> billion and T</w:t>
      </w:r>
      <w:r w:rsidR="00B84FF2">
        <w:rPr>
          <w:lang w:val="en-US"/>
        </w:rPr>
        <w:noBreakHyphen/>
      </w:r>
      <w:r w:rsidRPr="649B7113">
        <w:rPr>
          <w:lang w:val="en-US"/>
        </w:rPr>
        <w:t xml:space="preserve">Notes on issue of </w:t>
      </w:r>
      <w:proofErr w:type="gramStart"/>
      <w:r w:rsidRPr="649B7113">
        <w:rPr>
          <w:lang w:val="en-US"/>
        </w:rPr>
        <w:t>$2</w:t>
      </w:r>
      <w:r>
        <w:rPr>
          <w:lang w:val="en-US"/>
        </w:rPr>
        <w:t>8</w:t>
      </w:r>
      <w:r w:rsidRPr="0089449B">
        <w:rPr>
          <w:lang w:val="en-US"/>
        </w:rPr>
        <w:t>.0</w:t>
      </w:r>
      <w:r w:rsidRPr="649B7113">
        <w:rPr>
          <w:lang w:val="en-US"/>
        </w:rPr>
        <w:t xml:space="preserve"> billion</w:t>
      </w:r>
      <w:r w:rsidR="00CF1F59">
        <w:rPr>
          <w:lang w:val="en-US"/>
        </w:rPr>
        <w:t>,</w:t>
      </w:r>
      <w:r w:rsidRPr="649B7113">
        <w:rPr>
          <w:lang w:val="en-US"/>
        </w:rPr>
        <w:t xml:space="preserve"> and</w:t>
      </w:r>
      <w:proofErr w:type="gramEnd"/>
      <w:r w:rsidRPr="649B7113">
        <w:rPr>
          <w:lang w:val="en-US"/>
        </w:rPr>
        <w:t xml:space="preserve"> ended 2024–25 with $6</w:t>
      </w:r>
      <w:r>
        <w:rPr>
          <w:lang w:val="en-US"/>
        </w:rPr>
        <w:t>8.4</w:t>
      </w:r>
      <w:r w:rsidRPr="649B7113">
        <w:rPr>
          <w:lang w:val="en-US"/>
        </w:rPr>
        <w:t xml:space="preserve"> billion and $</w:t>
      </w:r>
      <w:r>
        <w:rPr>
          <w:lang w:val="en-US"/>
        </w:rPr>
        <w:t>33</w:t>
      </w:r>
      <w:r w:rsidRPr="649B7113">
        <w:rPr>
          <w:lang w:val="en-US"/>
        </w:rPr>
        <w:t xml:space="preserve"> billion respectively.</w:t>
      </w:r>
    </w:p>
    <w:p w14:paraId="7FA3E586" w14:textId="6D6E6910" w:rsidR="00C97FCF" w:rsidRDefault="00C97FCF" w:rsidP="00DF31C0">
      <w:pPr>
        <w:pStyle w:val="ChartMainHeading"/>
        <w:rPr>
          <w:lang w:val="en-US"/>
        </w:rPr>
      </w:pPr>
      <w:r>
        <w:rPr>
          <w:lang w:val="en-US"/>
        </w:rPr>
        <w:lastRenderedPageBreak/>
        <w:t xml:space="preserve">Chart </w:t>
      </w:r>
      <w:r w:rsidR="00E81C0B">
        <w:rPr>
          <w:lang w:val="en-US"/>
        </w:rPr>
        <w:t>10</w:t>
      </w:r>
      <w:r>
        <w:rPr>
          <w:lang w:val="en-US"/>
        </w:rPr>
        <w:t>: CMA balance and Treasury Notes on issue for 2024</w:t>
      </w:r>
      <w:r w:rsidR="00CF1F59">
        <w:rPr>
          <w:lang w:val="en-US"/>
        </w:rPr>
        <w:t>–</w:t>
      </w:r>
      <w:r>
        <w:rPr>
          <w:lang w:val="en-US"/>
        </w:rPr>
        <w:t>25</w:t>
      </w:r>
    </w:p>
    <w:p w14:paraId="7191B858" w14:textId="200FCDD0" w:rsidR="00265678" w:rsidRDefault="00E81C0B" w:rsidP="00746469">
      <w:pPr>
        <w:pStyle w:val="ChartGraphic"/>
      </w:pPr>
      <w:r w:rsidRPr="00746469">
        <w:rPr>
          <w:noProof/>
        </w:rPr>
        <w:drawing>
          <wp:inline distT="0" distB="0" distL="0" distR="0" wp14:anchorId="19576873" wp14:editId="41D410AB">
            <wp:extent cx="4684395" cy="2888615"/>
            <wp:effectExtent l="0" t="0" r="1905" b="6985"/>
            <wp:docPr id="1598437667" name="Picture 2" descr="Line chart showing the movement of Treasury Notes on issue and the Cash Management Account (CMA) during the 2024-25 financial year with a shaded region representing the $25 billion liquidity buffer. The chart shows there was significant movement in cash balances during the year while beginning with $85.5 billion and ending the year with $68.4 billion in the CMA.">
              <a:extLst xmlns:a="http://schemas.openxmlformats.org/drawingml/2006/main">
                <a:ext uri="{FF2B5EF4-FFF2-40B4-BE49-F238E27FC236}">
                  <a16:creationId xmlns:a16="http://schemas.microsoft.com/office/drawing/2014/main" id="{E014A263-8528-5C8D-2CA8-80ED5D1D5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37667" name="Picture 2" descr="Line chart showing the movement of Treasury Notes on issue and the Cash Management Account (CMA) during the 2024-25 financial year with a shaded region representing the $25 billion liquidity buffer. The chart shows there was significant movement in cash balances during the year while beginning with $85.5 billion and ending the year with $68.4 billion in the CMA.">
                      <a:extLst>
                        <a:ext uri="{FF2B5EF4-FFF2-40B4-BE49-F238E27FC236}">
                          <a16:creationId xmlns:a16="http://schemas.microsoft.com/office/drawing/2014/main" id="{E014A263-8528-5C8D-2CA8-80ED5D1D5046}"/>
                        </a:ext>
                      </a:extLst>
                    </pic:cNvPr>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84395" cy="2888615"/>
                    </a:xfrm>
                    <a:prstGeom prst="rect">
                      <a:avLst/>
                    </a:prstGeom>
                    <a:noFill/>
                    <a:ln>
                      <a:noFill/>
                    </a:ln>
                  </pic:spPr>
                </pic:pic>
              </a:graphicData>
            </a:graphic>
          </wp:inline>
        </w:drawing>
      </w:r>
    </w:p>
    <w:p w14:paraId="62EE2182" w14:textId="12D12458" w:rsidR="00361414" w:rsidRDefault="00AE06B9" w:rsidP="00713231">
      <w:pPr>
        <w:pStyle w:val="Heading3"/>
      </w:pPr>
      <w:bookmarkStart w:id="563" w:name="_Toc207796061"/>
      <w:r>
        <w:t xml:space="preserve">Liquidity management focuses on the </w:t>
      </w:r>
      <w:r w:rsidR="00361414">
        <w:t>Cash Management Portfolio</w:t>
      </w:r>
      <w:bookmarkEnd w:id="563"/>
      <w:r w:rsidR="00361414">
        <w:t xml:space="preserve"> </w:t>
      </w:r>
    </w:p>
    <w:p w14:paraId="0F67EC01" w14:textId="6CE7BC66" w:rsidR="006A4F45" w:rsidRDefault="006A4F45" w:rsidP="006A4F45">
      <w:r>
        <w:t xml:space="preserve">The instruments used for liquidity purposes are captured in the </w:t>
      </w:r>
      <w:r w:rsidR="006B2458">
        <w:t xml:space="preserve">Cash Management Portfolio </w:t>
      </w:r>
      <w:r>
        <w:t>(CMP). The CMP made a net return of 4.32 per cent for 2024</w:t>
      </w:r>
      <w:r w:rsidR="006B2458">
        <w:t>–</w:t>
      </w:r>
      <w:r>
        <w:t xml:space="preserve">25. </w:t>
      </w:r>
    </w:p>
    <w:p w14:paraId="20D5A248" w14:textId="6332DD68" w:rsidR="006A4F45" w:rsidRDefault="006A4F45" w:rsidP="006A4F45">
      <w:pPr>
        <w:pStyle w:val="BodyText"/>
      </w:pPr>
      <w:r>
        <w:rPr>
          <w:lang w:val="en-US"/>
        </w:rPr>
        <w:t>A</w:t>
      </w:r>
      <w:r w:rsidRPr="649B7113">
        <w:rPr>
          <w:lang w:val="en-US"/>
        </w:rPr>
        <w:t xml:space="preserve">ll cash management investments were held in the CMA at the </w:t>
      </w:r>
      <w:r w:rsidR="006B2458">
        <w:rPr>
          <w:lang w:val="en-US"/>
        </w:rPr>
        <w:t>RBA</w:t>
      </w:r>
      <w:r w:rsidRPr="649B7113">
        <w:rPr>
          <w:lang w:val="en-US"/>
        </w:rPr>
        <w:t>. The CMA earns an interest rate equivalent to that earned by the RBA in its open</w:t>
      </w:r>
      <w:r w:rsidR="00B84FF2">
        <w:rPr>
          <w:lang w:val="en-US"/>
        </w:rPr>
        <w:noBreakHyphen/>
      </w:r>
      <w:r w:rsidRPr="649B7113">
        <w:rPr>
          <w:lang w:val="en-US"/>
        </w:rPr>
        <w:t>market operations. The</w:t>
      </w:r>
      <w:r w:rsidR="00AE634A">
        <w:rPr>
          <w:lang w:val="en-US"/>
        </w:rPr>
        <w:t> </w:t>
      </w:r>
      <w:r w:rsidRPr="649B7113">
        <w:rPr>
          <w:lang w:val="en-US"/>
        </w:rPr>
        <w:t>volume of assets in the CMA ranged from a low of $2</w:t>
      </w:r>
      <w:r>
        <w:rPr>
          <w:lang w:val="en-US"/>
        </w:rPr>
        <w:t>2</w:t>
      </w:r>
      <w:r w:rsidRPr="649B7113">
        <w:rPr>
          <w:lang w:val="en-US"/>
        </w:rPr>
        <w:t>.</w:t>
      </w:r>
      <w:r>
        <w:rPr>
          <w:lang w:val="en-US"/>
        </w:rPr>
        <w:t>4</w:t>
      </w:r>
      <w:r w:rsidRPr="649B7113">
        <w:rPr>
          <w:lang w:val="en-US"/>
        </w:rPr>
        <w:t xml:space="preserve"> billion to a peak of $</w:t>
      </w:r>
      <w:r w:rsidRPr="00AB7D63">
        <w:rPr>
          <w:lang w:val="en-US"/>
        </w:rPr>
        <w:t>93.</w:t>
      </w:r>
      <w:r>
        <w:rPr>
          <w:lang w:val="en-US"/>
        </w:rPr>
        <w:t>8</w:t>
      </w:r>
      <w:r w:rsidR="000130F6">
        <w:rPr>
          <w:lang w:val="en-US"/>
        </w:rPr>
        <w:t> </w:t>
      </w:r>
      <w:r w:rsidRPr="649B7113">
        <w:rPr>
          <w:lang w:val="en-US"/>
        </w:rPr>
        <w:t>billion in 2024–25</w:t>
      </w:r>
      <w:r w:rsidR="00B84FF2">
        <w:rPr>
          <w:lang w:val="en-US"/>
        </w:rPr>
        <w:t xml:space="preserve">. </w:t>
      </w:r>
    </w:p>
    <w:p w14:paraId="0889C095" w14:textId="3CAD4AAA" w:rsidR="006A4F45" w:rsidRDefault="006A4F45" w:rsidP="006A4F45">
      <w:pPr>
        <w:rPr>
          <w:lang w:val="en-US"/>
        </w:rPr>
      </w:pPr>
      <w:r w:rsidRPr="649B7113">
        <w:rPr>
          <w:lang w:val="en-US"/>
        </w:rPr>
        <w:t>The volume of T</w:t>
      </w:r>
      <w:r w:rsidR="00B84FF2">
        <w:rPr>
          <w:lang w:val="en-US"/>
        </w:rPr>
        <w:noBreakHyphen/>
      </w:r>
      <w:r w:rsidRPr="649B7113">
        <w:rPr>
          <w:lang w:val="en-US"/>
        </w:rPr>
        <w:t>Notes on issue during 2024–25 ranged from $25 billion to $</w:t>
      </w:r>
      <w:r>
        <w:rPr>
          <w:lang w:val="en-US"/>
        </w:rPr>
        <w:t>50</w:t>
      </w:r>
      <w:r w:rsidRPr="649B7113">
        <w:rPr>
          <w:lang w:val="en-US"/>
        </w:rPr>
        <w:t>.5</w:t>
      </w:r>
      <w:r w:rsidR="008A0A50">
        <w:rPr>
          <w:lang w:val="en-US"/>
        </w:rPr>
        <w:t> </w:t>
      </w:r>
      <w:r w:rsidRPr="649B7113">
        <w:rPr>
          <w:lang w:val="en-US"/>
        </w:rPr>
        <w:t>billion.</w:t>
      </w:r>
    </w:p>
    <w:p w14:paraId="4717A715" w14:textId="77777777" w:rsidR="002F13B5" w:rsidRDefault="002F13B5">
      <w:pPr>
        <w:spacing w:after="0" w:line="240" w:lineRule="auto"/>
        <w:rPr>
          <w:b/>
          <w:lang w:eastAsia="en-AU"/>
        </w:rPr>
      </w:pPr>
      <w:r>
        <w:br w:type="page"/>
      </w:r>
    </w:p>
    <w:p w14:paraId="2111AFC6" w14:textId="67767948" w:rsidR="00492031" w:rsidRPr="00492031" w:rsidRDefault="00787CAE" w:rsidP="00E170D6">
      <w:pPr>
        <w:pStyle w:val="TableMainHeading"/>
      </w:pPr>
      <w:r>
        <w:lastRenderedPageBreak/>
        <w:t xml:space="preserve">Table </w:t>
      </w:r>
      <w:r w:rsidR="006D058E">
        <w:t>8</w:t>
      </w:r>
      <w:r>
        <w:t>: CMP returns (debt servicing costs)</w:t>
      </w:r>
    </w:p>
    <w:tbl>
      <w:tblPr>
        <w:tblStyle w:val="AOFMTablemain"/>
        <w:tblW w:w="5000" w:type="pct"/>
        <w:tblLayout w:type="fixed"/>
        <w:tblLook w:val="06A0" w:firstRow="1" w:lastRow="0" w:firstColumn="1" w:lastColumn="0" w:noHBand="1" w:noVBand="1"/>
      </w:tblPr>
      <w:tblGrid>
        <w:gridCol w:w="1743"/>
        <w:gridCol w:w="992"/>
        <w:gridCol w:w="993"/>
        <w:gridCol w:w="993"/>
        <w:gridCol w:w="993"/>
        <w:gridCol w:w="993"/>
        <w:gridCol w:w="994"/>
        <w:gridCol w:w="10"/>
      </w:tblGrid>
      <w:tr w:rsidR="00843643" w14:paraId="633AAA04" w14:textId="77777777" w:rsidTr="002B4759">
        <w:trPr>
          <w:gridAfter w:val="1"/>
          <w:cnfStyle w:val="100000000000" w:firstRow="1" w:lastRow="0" w:firstColumn="0" w:lastColumn="0" w:oddVBand="0" w:evenVBand="0" w:oddHBand="0" w:evenHBand="0" w:firstRowFirstColumn="0" w:firstRowLastColumn="0" w:lastRowFirstColumn="0" w:lastRowLastColumn="0"/>
          <w:wAfter w:w="10" w:type="dxa"/>
        </w:trPr>
        <w:tc>
          <w:tcPr>
            <w:tcW w:w="1701" w:type="dxa"/>
            <w:tcMar>
              <w:top w:w="57" w:type="dxa"/>
              <w:bottom w:w="57" w:type="dxa"/>
            </w:tcMar>
            <w:vAlign w:val="bottom"/>
          </w:tcPr>
          <w:p w14:paraId="476698CA" w14:textId="77777777" w:rsidR="00E47817" w:rsidRDefault="00E47817" w:rsidP="00E47817">
            <w:pPr>
              <w:pStyle w:val="TableColumnHeadingLeft"/>
            </w:pPr>
            <w:bookmarkStart w:id="564" w:name="_Toc173408150"/>
            <w:bookmarkStart w:id="565" w:name="_Toc173411472"/>
            <w:bookmarkStart w:id="566" w:name="_Toc173479152"/>
          </w:p>
        </w:tc>
        <w:tc>
          <w:tcPr>
            <w:tcW w:w="1936" w:type="dxa"/>
            <w:gridSpan w:val="2"/>
            <w:tcMar>
              <w:top w:w="57" w:type="dxa"/>
              <w:bottom w:w="57" w:type="dxa"/>
            </w:tcMar>
            <w:vAlign w:val="bottom"/>
          </w:tcPr>
          <w:p w14:paraId="17134C64" w14:textId="5E9158A8" w:rsidR="00E47817" w:rsidRDefault="00E47817" w:rsidP="00E47817">
            <w:pPr>
              <w:pStyle w:val="TableColumnHeadingCentred"/>
            </w:pPr>
            <w:r w:rsidRPr="00081941">
              <w:t xml:space="preserve">Return </w:t>
            </w:r>
            <w:r>
              <w:br/>
            </w:r>
            <w:r w:rsidRPr="00081941">
              <w:t>(debt servicing costs)</w:t>
            </w:r>
          </w:p>
        </w:tc>
        <w:tc>
          <w:tcPr>
            <w:tcW w:w="1936" w:type="dxa"/>
            <w:gridSpan w:val="2"/>
            <w:tcMar>
              <w:top w:w="57" w:type="dxa"/>
              <w:bottom w:w="57" w:type="dxa"/>
            </w:tcMar>
            <w:vAlign w:val="bottom"/>
          </w:tcPr>
          <w:p w14:paraId="20A518F3" w14:textId="3FC84CE7" w:rsidR="00E47817" w:rsidRDefault="00E47817" w:rsidP="00E47817">
            <w:pPr>
              <w:pStyle w:val="TableColumnHeadingCentred"/>
            </w:pPr>
            <w:r w:rsidRPr="00081941">
              <w:t>Book volume</w:t>
            </w:r>
          </w:p>
        </w:tc>
        <w:tc>
          <w:tcPr>
            <w:tcW w:w="1937" w:type="dxa"/>
            <w:gridSpan w:val="2"/>
            <w:tcMar>
              <w:top w:w="57" w:type="dxa"/>
              <w:bottom w:w="57" w:type="dxa"/>
            </w:tcMar>
            <w:vAlign w:val="bottom"/>
          </w:tcPr>
          <w:p w14:paraId="376CC7D3" w14:textId="023B14F6" w:rsidR="00E47817" w:rsidRDefault="00E47817" w:rsidP="00E47817">
            <w:pPr>
              <w:pStyle w:val="TableColumnHeadingCentred"/>
            </w:pPr>
            <w:r w:rsidRPr="00081941">
              <w:t>Effective yield</w:t>
            </w:r>
          </w:p>
        </w:tc>
      </w:tr>
      <w:tr w:rsidR="00E47817" w14:paraId="24EBA730" w14:textId="77777777" w:rsidTr="002B4759">
        <w:trPr>
          <w:gridAfter w:val="1"/>
          <w:wAfter w:w="10" w:type="dxa"/>
        </w:trPr>
        <w:tc>
          <w:tcPr>
            <w:tcW w:w="1701" w:type="dxa"/>
            <w:tcMar>
              <w:top w:w="57" w:type="dxa"/>
              <w:bottom w:w="57" w:type="dxa"/>
            </w:tcMar>
          </w:tcPr>
          <w:p w14:paraId="5C99366A" w14:textId="77777777" w:rsidR="00E47817" w:rsidRDefault="00E47817" w:rsidP="00E47817">
            <w:pPr>
              <w:pStyle w:val="TableTextLeft"/>
            </w:pPr>
          </w:p>
        </w:tc>
        <w:tc>
          <w:tcPr>
            <w:tcW w:w="968" w:type="dxa"/>
            <w:tcMar>
              <w:top w:w="57" w:type="dxa"/>
              <w:bottom w:w="57" w:type="dxa"/>
            </w:tcMar>
          </w:tcPr>
          <w:p w14:paraId="7CC96DFA" w14:textId="28D47E53" w:rsidR="00E47817" w:rsidRPr="00E47817" w:rsidRDefault="00E47817" w:rsidP="00E47817">
            <w:pPr>
              <w:pStyle w:val="TableTextCentered"/>
              <w:rPr>
                <w:b/>
                <w:bCs/>
              </w:rPr>
            </w:pPr>
            <w:r w:rsidRPr="00E47817">
              <w:rPr>
                <w:b/>
                <w:bCs/>
              </w:rPr>
              <w:t>2024</w:t>
            </w:r>
            <w:r w:rsidRPr="00E47817">
              <w:rPr>
                <w:rFonts w:cstheme="majorHAnsi"/>
                <w:b/>
                <w:bCs/>
              </w:rPr>
              <w:t>–</w:t>
            </w:r>
            <w:r w:rsidRPr="00E47817">
              <w:rPr>
                <w:b/>
                <w:bCs/>
              </w:rPr>
              <w:t>25</w:t>
            </w:r>
          </w:p>
        </w:tc>
        <w:tc>
          <w:tcPr>
            <w:tcW w:w="968" w:type="dxa"/>
            <w:tcMar>
              <w:top w:w="57" w:type="dxa"/>
              <w:bottom w:w="57" w:type="dxa"/>
            </w:tcMar>
          </w:tcPr>
          <w:p w14:paraId="568CF81F" w14:textId="7AFF0D24" w:rsidR="00E47817" w:rsidRPr="00E47817" w:rsidRDefault="00E47817" w:rsidP="00E47817">
            <w:pPr>
              <w:pStyle w:val="TableTextCentered"/>
              <w:rPr>
                <w:b/>
                <w:bCs/>
              </w:rPr>
            </w:pPr>
            <w:r w:rsidRPr="00E47817">
              <w:rPr>
                <w:b/>
                <w:bCs/>
              </w:rPr>
              <w:t>2023</w:t>
            </w:r>
            <w:r w:rsidRPr="00E47817">
              <w:rPr>
                <w:rFonts w:cstheme="majorHAnsi"/>
                <w:b/>
                <w:bCs/>
              </w:rPr>
              <w:t>–</w:t>
            </w:r>
            <w:r w:rsidRPr="00E47817">
              <w:rPr>
                <w:b/>
                <w:bCs/>
              </w:rPr>
              <w:t>24</w:t>
            </w:r>
          </w:p>
        </w:tc>
        <w:tc>
          <w:tcPr>
            <w:tcW w:w="968" w:type="dxa"/>
            <w:tcMar>
              <w:top w:w="57" w:type="dxa"/>
              <w:bottom w:w="57" w:type="dxa"/>
            </w:tcMar>
          </w:tcPr>
          <w:p w14:paraId="7917911A" w14:textId="25A819DD" w:rsidR="00E47817" w:rsidRPr="00E47817" w:rsidRDefault="00E47817" w:rsidP="00E47817">
            <w:pPr>
              <w:pStyle w:val="TableTextCentered"/>
              <w:rPr>
                <w:b/>
                <w:bCs/>
              </w:rPr>
            </w:pPr>
            <w:r w:rsidRPr="00E47817">
              <w:rPr>
                <w:b/>
                <w:bCs/>
              </w:rPr>
              <w:t>2024</w:t>
            </w:r>
            <w:r w:rsidRPr="00E47817">
              <w:rPr>
                <w:rFonts w:cstheme="majorHAnsi"/>
                <w:b/>
                <w:bCs/>
              </w:rPr>
              <w:t>–</w:t>
            </w:r>
            <w:r w:rsidRPr="00E47817">
              <w:rPr>
                <w:b/>
                <w:bCs/>
              </w:rPr>
              <w:t>25</w:t>
            </w:r>
          </w:p>
        </w:tc>
        <w:tc>
          <w:tcPr>
            <w:tcW w:w="968" w:type="dxa"/>
            <w:tcMar>
              <w:top w:w="57" w:type="dxa"/>
              <w:bottom w:w="57" w:type="dxa"/>
            </w:tcMar>
          </w:tcPr>
          <w:p w14:paraId="18269C77" w14:textId="3CF4E975" w:rsidR="00E47817" w:rsidRPr="00E47817" w:rsidRDefault="00E47817" w:rsidP="00E47817">
            <w:pPr>
              <w:pStyle w:val="TableTextCentered"/>
              <w:rPr>
                <w:b/>
                <w:bCs/>
              </w:rPr>
            </w:pPr>
            <w:r w:rsidRPr="00E47817">
              <w:rPr>
                <w:b/>
                <w:bCs/>
              </w:rPr>
              <w:t>2023</w:t>
            </w:r>
            <w:r w:rsidRPr="00E47817">
              <w:rPr>
                <w:rFonts w:cstheme="majorHAnsi"/>
                <w:b/>
                <w:bCs/>
              </w:rPr>
              <w:t>–</w:t>
            </w:r>
            <w:r w:rsidRPr="00E47817">
              <w:rPr>
                <w:b/>
                <w:bCs/>
              </w:rPr>
              <w:t>24</w:t>
            </w:r>
          </w:p>
        </w:tc>
        <w:tc>
          <w:tcPr>
            <w:tcW w:w="968" w:type="dxa"/>
            <w:tcMar>
              <w:top w:w="57" w:type="dxa"/>
              <w:bottom w:w="57" w:type="dxa"/>
            </w:tcMar>
          </w:tcPr>
          <w:p w14:paraId="1C4D4B30" w14:textId="1AAD13DC" w:rsidR="00E47817" w:rsidRPr="00E47817" w:rsidRDefault="00E47817" w:rsidP="00E47817">
            <w:pPr>
              <w:pStyle w:val="TableTextCentered"/>
              <w:rPr>
                <w:b/>
                <w:bCs/>
              </w:rPr>
            </w:pPr>
            <w:r w:rsidRPr="00E47817">
              <w:rPr>
                <w:b/>
                <w:bCs/>
              </w:rPr>
              <w:t>2024</w:t>
            </w:r>
            <w:r w:rsidRPr="00E47817">
              <w:rPr>
                <w:rFonts w:cstheme="majorHAnsi"/>
                <w:b/>
                <w:bCs/>
              </w:rPr>
              <w:t>–</w:t>
            </w:r>
            <w:r w:rsidRPr="00E47817">
              <w:rPr>
                <w:b/>
                <w:bCs/>
              </w:rPr>
              <w:t>25</w:t>
            </w:r>
          </w:p>
        </w:tc>
        <w:tc>
          <w:tcPr>
            <w:tcW w:w="969" w:type="dxa"/>
            <w:tcMar>
              <w:top w:w="57" w:type="dxa"/>
              <w:bottom w:w="57" w:type="dxa"/>
            </w:tcMar>
          </w:tcPr>
          <w:p w14:paraId="5C4A2EA0" w14:textId="7CDF970A" w:rsidR="00E47817" w:rsidRPr="00E47817" w:rsidRDefault="00E47817" w:rsidP="00E47817">
            <w:pPr>
              <w:pStyle w:val="TableTextCentered"/>
              <w:rPr>
                <w:b/>
                <w:bCs/>
              </w:rPr>
            </w:pPr>
            <w:r w:rsidRPr="00E47817">
              <w:rPr>
                <w:b/>
                <w:bCs/>
              </w:rPr>
              <w:t>2023</w:t>
            </w:r>
            <w:r w:rsidRPr="00E47817">
              <w:rPr>
                <w:rFonts w:cstheme="majorHAnsi"/>
                <w:b/>
                <w:bCs/>
              </w:rPr>
              <w:t>–</w:t>
            </w:r>
            <w:r w:rsidRPr="00E47817">
              <w:rPr>
                <w:b/>
                <w:bCs/>
              </w:rPr>
              <w:t>24</w:t>
            </w:r>
          </w:p>
        </w:tc>
      </w:tr>
      <w:tr w:rsidR="00E47817" w14:paraId="2F012032" w14:textId="77777777" w:rsidTr="002B4759">
        <w:trPr>
          <w:gridAfter w:val="1"/>
          <w:wAfter w:w="10" w:type="dxa"/>
        </w:trPr>
        <w:tc>
          <w:tcPr>
            <w:tcW w:w="1701" w:type="dxa"/>
            <w:tcMar>
              <w:top w:w="57" w:type="dxa"/>
              <w:bottom w:w="57" w:type="dxa"/>
            </w:tcMar>
          </w:tcPr>
          <w:p w14:paraId="7F79A7F6" w14:textId="77777777" w:rsidR="00E47817" w:rsidRDefault="00E47817" w:rsidP="00E47817">
            <w:pPr>
              <w:pStyle w:val="TableTextLeft"/>
            </w:pPr>
          </w:p>
        </w:tc>
        <w:tc>
          <w:tcPr>
            <w:tcW w:w="1936" w:type="dxa"/>
            <w:gridSpan w:val="2"/>
            <w:tcMar>
              <w:top w:w="57" w:type="dxa"/>
              <w:bottom w:w="57" w:type="dxa"/>
            </w:tcMar>
          </w:tcPr>
          <w:p w14:paraId="63671494" w14:textId="08CC336F" w:rsidR="00E47817" w:rsidRPr="00E47817" w:rsidRDefault="00E47817" w:rsidP="00E47817">
            <w:pPr>
              <w:pStyle w:val="TableTextCentered"/>
              <w:rPr>
                <w:b/>
                <w:bCs/>
              </w:rPr>
            </w:pPr>
            <w:r w:rsidRPr="00E47817">
              <w:rPr>
                <w:b/>
                <w:bCs/>
              </w:rPr>
              <w:t>($m)</w:t>
            </w:r>
          </w:p>
        </w:tc>
        <w:tc>
          <w:tcPr>
            <w:tcW w:w="1936" w:type="dxa"/>
            <w:gridSpan w:val="2"/>
            <w:tcMar>
              <w:top w:w="57" w:type="dxa"/>
              <w:bottom w:w="57" w:type="dxa"/>
            </w:tcMar>
          </w:tcPr>
          <w:p w14:paraId="3BB149F2" w14:textId="1CDDE3FF" w:rsidR="00E47817" w:rsidRPr="00E47817" w:rsidRDefault="00E47817" w:rsidP="00E47817">
            <w:pPr>
              <w:pStyle w:val="TableTextCentered"/>
              <w:rPr>
                <w:b/>
                <w:bCs/>
              </w:rPr>
            </w:pPr>
            <w:r w:rsidRPr="00E47817">
              <w:rPr>
                <w:b/>
                <w:bCs/>
              </w:rPr>
              <w:t>($m)</w:t>
            </w:r>
          </w:p>
        </w:tc>
        <w:tc>
          <w:tcPr>
            <w:tcW w:w="1937" w:type="dxa"/>
            <w:gridSpan w:val="2"/>
            <w:tcMar>
              <w:top w:w="57" w:type="dxa"/>
              <w:bottom w:w="57" w:type="dxa"/>
            </w:tcMar>
          </w:tcPr>
          <w:p w14:paraId="7F244F3F" w14:textId="078069BC" w:rsidR="00E47817" w:rsidRPr="00E47817" w:rsidRDefault="00E47817" w:rsidP="00E47817">
            <w:pPr>
              <w:pStyle w:val="TableTextCentered"/>
              <w:rPr>
                <w:b/>
                <w:bCs/>
              </w:rPr>
            </w:pPr>
            <w:r w:rsidRPr="00E47817">
              <w:rPr>
                <w:b/>
                <w:bCs/>
              </w:rPr>
              <w:t>(%)</w:t>
            </w:r>
          </w:p>
        </w:tc>
      </w:tr>
      <w:tr w:rsidR="00E47817" w14:paraId="2165DE54" w14:textId="77777777" w:rsidTr="002B4759">
        <w:tc>
          <w:tcPr>
            <w:tcW w:w="7520" w:type="dxa"/>
            <w:gridSpan w:val="8"/>
            <w:tcMar>
              <w:top w:w="57" w:type="dxa"/>
              <w:bottom w:w="57" w:type="dxa"/>
            </w:tcMar>
          </w:tcPr>
          <w:p w14:paraId="0590DC73" w14:textId="22966F44" w:rsidR="00E47817" w:rsidRDefault="00E47817" w:rsidP="00E47817">
            <w:pPr>
              <w:pStyle w:val="TableSecondHeading"/>
            </w:pPr>
            <w:r w:rsidRPr="00081941">
              <w:t xml:space="preserve">Contribution by </w:t>
            </w:r>
            <w:r w:rsidRPr="005F6E32">
              <w:t>instrument</w:t>
            </w:r>
          </w:p>
        </w:tc>
      </w:tr>
      <w:tr w:rsidR="00E47817" w14:paraId="5F924E03" w14:textId="77777777" w:rsidTr="002B4759">
        <w:trPr>
          <w:gridAfter w:val="1"/>
          <w:wAfter w:w="10" w:type="dxa"/>
        </w:trPr>
        <w:tc>
          <w:tcPr>
            <w:tcW w:w="1701" w:type="dxa"/>
            <w:tcMar>
              <w:top w:w="57" w:type="dxa"/>
              <w:bottom w:w="57" w:type="dxa"/>
            </w:tcMar>
          </w:tcPr>
          <w:p w14:paraId="5C0EF8FB" w14:textId="4FF5C7FD" w:rsidR="00E47817" w:rsidRDefault="00E47817" w:rsidP="00E47817">
            <w:pPr>
              <w:pStyle w:val="TableTextLeft"/>
            </w:pPr>
            <w:r w:rsidRPr="005F6E32">
              <w:t>Deposits with RBA</w:t>
            </w:r>
          </w:p>
        </w:tc>
        <w:tc>
          <w:tcPr>
            <w:tcW w:w="968" w:type="dxa"/>
            <w:tcMar>
              <w:top w:w="57" w:type="dxa"/>
              <w:bottom w:w="57" w:type="dxa"/>
            </w:tcMar>
          </w:tcPr>
          <w:p w14:paraId="4572A56D" w14:textId="23062801" w:rsidR="00E47817" w:rsidRDefault="00E47817" w:rsidP="00E47817">
            <w:pPr>
              <w:pStyle w:val="TableTextRight"/>
            </w:pPr>
            <w:r w:rsidRPr="005F6E32">
              <w:t>2,786</w:t>
            </w:r>
          </w:p>
        </w:tc>
        <w:tc>
          <w:tcPr>
            <w:tcW w:w="968" w:type="dxa"/>
            <w:tcMar>
              <w:top w:w="57" w:type="dxa"/>
              <w:bottom w:w="57" w:type="dxa"/>
            </w:tcMar>
          </w:tcPr>
          <w:p w14:paraId="5A41242F" w14:textId="3E3961D7" w:rsidR="00E47817" w:rsidRDefault="00E47817" w:rsidP="00E47817">
            <w:pPr>
              <w:pStyle w:val="TableTextRight"/>
            </w:pPr>
            <w:r w:rsidRPr="005F6E32">
              <w:t>2,872</w:t>
            </w:r>
          </w:p>
        </w:tc>
        <w:tc>
          <w:tcPr>
            <w:tcW w:w="968" w:type="dxa"/>
            <w:tcMar>
              <w:top w:w="57" w:type="dxa"/>
              <w:bottom w:w="57" w:type="dxa"/>
            </w:tcMar>
          </w:tcPr>
          <w:p w14:paraId="1015F3E5" w14:textId="3A6B46C7" w:rsidR="00E47817" w:rsidRDefault="00E47817" w:rsidP="00E47817">
            <w:pPr>
              <w:pStyle w:val="TableTextRight"/>
            </w:pPr>
            <w:r w:rsidRPr="005F6E32">
              <w:t>64,902</w:t>
            </w:r>
          </w:p>
        </w:tc>
        <w:tc>
          <w:tcPr>
            <w:tcW w:w="968" w:type="dxa"/>
            <w:tcMar>
              <w:top w:w="57" w:type="dxa"/>
              <w:bottom w:w="57" w:type="dxa"/>
            </w:tcMar>
          </w:tcPr>
          <w:p w14:paraId="353A6358" w14:textId="408719AF" w:rsidR="00E47817" w:rsidRDefault="00E47817" w:rsidP="00E47817">
            <w:pPr>
              <w:pStyle w:val="TableTextRight"/>
            </w:pPr>
            <w:r w:rsidRPr="005F6E32">
              <w:t>66,575</w:t>
            </w:r>
          </w:p>
        </w:tc>
        <w:tc>
          <w:tcPr>
            <w:tcW w:w="968" w:type="dxa"/>
            <w:tcMar>
              <w:top w:w="57" w:type="dxa"/>
              <w:bottom w:w="57" w:type="dxa"/>
            </w:tcMar>
          </w:tcPr>
          <w:p w14:paraId="1C0207EE" w14:textId="19F11CCD" w:rsidR="00E47817" w:rsidRDefault="00E47817" w:rsidP="00E47817">
            <w:pPr>
              <w:pStyle w:val="TableTextRight"/>
            </w:pPr>
            <w:r w:rsidRPr="005F6E32">
              <w:t>4.29</w:t>
            </w:r>
          </w:p>
        </w:tc>
        <w:tc>
          <w:tcPr>
            <w:tcW w:w="969" w:type="dxa"/>
            <w:tcMar>
              <w:top w:w="57" w:type="dxa"/>
              <w:bottom w:w="57" w:type="dxa"/>
            </w:tcMar>
          </w:tcPr>
          <w:p w14:paraId="14F6EA97" w14:textId="51EAB039" w:rsidR="00E47817" w:rsidRDefault="00E47817" w:rsidP="00E47817">
            <w:pPr>
              <w:pStyle w:val="TableTextRight"/>
            </w:pPr>
            <w:r w:rsidRPr="005F6E32">
              <w:t>4.31</w:t>
            </w:r>
          </w:p>
        </w:tc>
      </w:tr>
      <w:tr w:rsidR="00E47817" w14:paraId="40302453" w14:textId="77777777" w:rsidTr="002B4759">
        <w:trPr>
          <w:gridAfter w:val="1"/>
          <w:wAfter w:w="10" w:type="dxa"/>
        </w:trPr>
        <w:tc>
          <w:tcPr>
            <w:tcW w:w="1701" w:type="dxa"/>
            <w:tcMar>
              <w:top w:w="57" w:type="dxa"/>
              <w:bottom w:w="57" w:type="dxa"/>
            </w:tcMar>
          </w:tcPr>
          <w:p w14:paraId="0AC7BAE9" w14:textId="33776D0C" w:rsidR="00E47817" w:rsidRDefault="00E47817" w:rsidP="00E47817">
            <w:pPr>
              <w:pStyle w:val="TableTextLeft"/>
            </w:pPr>
            <w:r w:rsidRPr="005F6E32">
              <w:t>T</w:t>
            </w:r>
            <w:r w:rsidRPr="005F6E32">
              <w:noBreakHyphen/>
              <w:t>Notes</w:t>
            </w:r>
          </w:p>
        </w:tc>
        <w:tc>
          <w:tcPr>
            <w:tcW w:w="968" w:type="dxa"/>
            <w:tcMar>
              <w:top w:w="57" w:type="dxa"/>
              <w:bottom w:w="57" w:type="dxa"/>
            </w:tcMar>
          </w:tcPr>
          <w:p w14:paraId="2B5A2CC0" w14:textId="079F463F" w:rsidR="00E47817" w:rsidRDefault="00E47817" w:rsidP="00E47817">
            <w:pPr>
              <w:pStyle w:val="TableTextRight"/>
            </w:pPr>
            <w:r w:rsidRPr="005F6E32">
              <w:t>(1,419)</w:t>
            </w:r>
          </w:p>
        </w:tc>
        <w:tc>
          <w:tcPr>
            <w:tcW w:w="968" w:type="dxa"/>
            <w:tcMar>
              <w:top w:w="57" w:type="dxa"/>
              <w:bottom w:w="57" w:type="dxa"/>
            </w:tcMar>
          </w:tcPr>
          <w:p w14:paraId="3D738CC1" w14:textId="04568D0C" w:rsidR="00E47817" w:rsidRDefault="00E47817" w:rsidP="00E47817">
            <w:pPr>
              <w:pStyle w:val="TableTextRight"/>
            </w:pPr>
            <w:r w:rsidRPr="005F6E32">
              <w:t>(1,141)</w:t>
            </w:r>
          </w:p>
        </w:tc>
        <w:tc>
          <w:tcPr>
            <w:tcW w:w="968" w:type="dxa"/>
            <w:tcMar>
              <w:top w:w="57" w:type="dxa"/>
              <w:bottom w:w="57" w:type="dxa"/>
            </w:tcMar>
          </w:tcPr>
          <w:p w14:paraId="14EB9B23" w14:textId="076DB4A5" w:rsidR="00E47817" w:rsidRDefault="00E47817" w:rsidP="00E47817">
            <w:pPr>
              <w:pStyle w:val="TableTextRight"/>
            </w:pPr>
            <w:r w:rsidRPr="005F6E32">
              <w:t>(33,232)</w:t>
            </w:r>
          </w:p>
        </w:tc>
        <w:tc>
          <w:tcPr>
            <w:tcW w:w="968" w:type="dxa"/>
            <w:tcMar>
              <w:top w:w="57" w:type="dxa"/>
              <w:bottom w:w="57" w:type="dxa"/>
            </w:tcMar>
          </w:tcPr>
          <w:p w14:paraId="2DAB4B15" w14:textId="16B7C2A9" w:rsidR="00E47817" w:rsidRDefault="00E47817" w:rsidP="00E47817">
            <w:pPr>
              <w:pStyle w:val="TableTextRight"/>
            </w:pPr>
            <w:r w:rsidRPr="005F6E32">
              <w:t>(27,006)</w:t>
            </w:r>
          </w:p>
        </w:tc>
        <w:tc>
          <w:tcPr>
            <w:tcW w:w="968" w:type="dxa"/>
            <w:tcMar>
              <w:top w:w="57" w:type="dxa"/>
              <w:bottom w:w="57" w:type="dxa"/>
            </w:tcMar>
          </w:tcPr>
          <w:p w14:paraId="1F6C3567" w14:textId="22B38106" w:rsidR="00E47817" w:rsidRDefault="00E47817" w:rsidP="00E47817">
            <w:pPr>
              <w:pStyle w:val="TableTextRight"/>
            </w:pPr>
            <w:r w:rsidRPr="005F6E32">
              <w:t>4.27</w:t>
            </w:r>
          </w:p>
        </w:tc>
        <w:tc>
          <w:tcPr>
            <w:tcW w:w="969" w:type="dxa"/>
            <w:tcMar>
              <w:top w:w="57" w:type="dxa"/>
              <w:bottom w:w="57" w:type="dxa"/>
            </w:tcMar>
          </w:tcPr>
          <w:p w14:paraId="154982EB" w14:textId="5B697C6C" w:rsidR="00E47817" w:rsidRDefault="00E47817" w:rsidP="00E47817">
            <w:pPr>
              <w:pStyle w:val="TableTextRight"/>
            </w:pPr>
            <w:r w:rsidRPr="005F6E32">
              <w:t>4.23</w:t>
            </w:r>
          </w:p>
        </w:tc>
      </w:tr>
      <w:tr w:rsidR="00E47817" w14:paraId="716CA904" w14:textId="77777777" w:rsidTr="002B4759">
        <w:trPr>
          <w:gridAfter w:val="1"/>
          <w:wAfter w:w="10" w:type="dxa"/>
        </w:trPr>
        <w:tc>
          <w:tcPr>
            <w:tcW w:w="1701" w:type="dxa"/>
            <w:tcMar>
              <w:top w:w="57" w:type="dxa"/>
              <w:bottom w:w="57" w:type="dxa"/>
            </w:tcMar>
          </w:tcPr>
          <w:p w14:paraId="64F59CEA" w14:textId="78D732BE" w:rsidR="00E47817" w:rsidRPr="00E47817" w:rsidRDefault="00E47817" w:rsidP="00E47817">
            <w:pPr>
              <w:pStyle w:val="TableTextLeft"/>
              <w:rPr>
                <w:b/>
                <w:bCs/>
              </w:rPr>
            </w:pPr>
            <w:r w:rsidRPr="00E47817">
              <w:rPr>
                <w:b/>
                <w:bCs/>
              </w:rPr>
              <w:t>Total</w:t>
            </w:r>
          </w:p>
        </w:tc>
        <w:tc>
          <w:tcPr>
            <w:tcW w:w="968" w:type="dxa"/>
            <w:tcMar>
              <w:top w:w="57" w:type="dxa"/>
              <w:bottom w:w="57" w:type="dxa"/>
            </w:tcMar>
          </w:tcPr>
          <w:p w14:paraId="3D91B6C4" w14:textId="72C2985C" w:rsidR="00E47817" w:rsidRDefault="00E47817" w:rsidP="00E47817">
            <w:pPr>
              <w:pStyle w:val="TableTextRight"/>
            </w:pPr>
            <w:r w:rsidRPr="005F6E32">
              <w:rPr>
                <w:b/>
                <w:bCs/>
              </w:rPr>
              <w:t>1,367</w:t>
            </w:r>
          </w:p>
        </w:tc>
        <w:tc>
          <w:tcPr>
            <w:tcW w:w="968" w:type="dxa"/>
            <w:tcMar>
              <w:top w:w="57" w:type="dxa"/>
              <w:bottom w:w="57" w:type="dxa"/>
            </w:tcMar>
          </w:tcPr>
          <w:p w14:paraId="1A1D5D6A" w14:textId="2E5BECA5" w:rsidR="00E47817" w:rsidRDefault="00E47817" w:rsidP="00E47817">
            <w:pPr>
              <w:pStyle w:val="TableTextRight"/>
            </w:pPr>
            <w:r w:rsidRPr="005F6E32">
              <w:rPr>
                <w:b/>
                <w:bCs/>
              </w:rPr>
              <w:t>1,731</w:t>
            </w:r>
          </w:p>
        </w:tc>
        <w:tc>
          <w:tcPr>
            <w:tcW w:w="968" w:type="dxa"/>
            <w:tcMar>
              <w:top w:w="57" w:type="dxa"/>
              <w:bottom w:w="57" w:type="dxa"/>
            </w:tcMar>
          </w:tcPr>
          <w:p w14:paraId="739567AC" w14:textId="17924D16" w:rsidR="00E47817" w:rsidRDefault="00E47817" w:rsidP="00E47817">
            <w:pPr>
              <w:pStyle w:val="TableTextRight"/>
            </w:pPr>
            <w:r w:rsidRPr="005F6E32">
              <w:rPr>
                <w:b/>
                <w:bCs/>
              </w:rPr>
              <w:t>31,670</w:t>
            </w:r>
          </w:p>
        </w:tc>
        <w:tc>
          <w:tcPr>
            <w:tcW w:w="968" w:type="dxa"/>
            <w:tcMar>
              <w:top w:w="57" w:type="dxa"/>
              <w:bottom w:w="57" w:type="dxa"/>
            </w:tcMar>
          </w:tcPr>
          <w:p w14:paraId="45B72C38" w14:textId="62A401FB" w:rsidR="00E47817" w:rsidRDefault="00E47817" w:rsidP="00E47817">
            <w:pPr>
              <w:pStyle w:val="TableTextRight"/>
            </w:pPr>
            <w:r w:rsidRPr="005F6E32">
              <w:rPr>
                <w:b/>
                <w:bCs/>
              </w:rPr>
              <w:t>39,569</w:t>
            </w:r>
          </w:p>
        </w:tc>
        <w:tc>
          <w:tcPr>
            <w:tcW w:w="968" w:type="dxa"/>
            <w:tcMar>
              <w:top w:w="57" w:type="dxa"/>
              <w:bottom w:w="57" w:type="dxa"/>
            </w:tcMar>
          </w:tcPr>
          <w:p w14:paraId="1F282834" w14:textId="48ECF4D7" w:rsidR="00E47817" w:rsidRDefault="00E47817" w:rsidP="00E47817">
            <w:pPr>
              <w:pStyle w:val="TableTextRight"/>
            </w:pPr>
            <w:r w:rsidRPr="005F6E32">
              <w:rPr>
                <w:b/>
                <w:bCs/>
              </w:rPr>
              <w:t>4.32</w:t>
            </w:r>
          </w:p>
        </w:tc>
        <w:tc>
          <w:tcPr>
            <w:tcW w:w="969" w:type="dxa"/>
            <w:tcMar>
              <w:top w:w="57" w:type="dxa"/>
              <w:bottom w:w="57" w:type="dxa"/>
            </w:tcMar>
          </w:tcPr>
          <w:p w14:paraId="629B0DC8" w14:textId="4579C335" w:rsidR="00E47817" w:rsidRDefault="00E47817" w:rsidP="00E47817">
            <w:pPr>
              <w:pStyle w:val="TableTextRight"/>
            </w:pPr>
            <w:r w:rsidRPr="005F6E32">
              <w:rPr>
                <w:b/>
                <w:bCs/>
              </w:rPr>
              <w:t>4.37</w:t>
            </w:r>
          </w:p>
        </w:tc>
      </w:tr>
    </w:tbl>
    <w:p w14:paraId="097FF901" w14:textId="77777777" w:rsidR="0081785C" w:rsidRDefault="0081785C" w:rsidP="00E170D6"/>
    <w:p w14:paraId="4D06E9E3" w14:textId="1A39F710" w:rsidR="00762FE9" w:rsidRDefault="00762FE9" w:rsidP="00713231">
      <w:pPr>
        <w:pStyle w:val="Heading3"/>
      </w:pPr>
      <w:bookmarkStart w:id="567" w:name="_Toc207796062"/>
      <w:r>
        <w:t>Performance for Key Activity 2.1</w:t>
      </w:r>
      <w:bookmarkEnd w:id="564"/>
      <w:bookmarkEnd w:id="565"/>
      <w:bookmarkEnd w:id="566"/>
      <w:bookmarkEnd w:id="567"/>
    </w:p>
    <w:p w14:paraId="30919765" w14:textId="2CE88CEF" w:rsidR="00472972" w:rsidRDefault="00472972" w:rsidP="00713231">
      <w:pPr>
        <w:pStyle w:val="Heading4"/>
      </w:pPr>
      <w:r>
        <w:t xml:space="preserve">Indicator 2.1.1 </w:t>
      </w:r>
      <w:r w:rsidR="00211E16">
        <w:t>Cash management</w:t>
      </w:r>
      <w:r w:rsidR="00E24F01">
        <w:t xml:space="preserve"> strategy</w:t>
      </w:r>
    </w:p>
    <w:tbl>
      <w:tblPr>
        <w:tblW w:w="5000" w:type="pct"/>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11"/>
      </w:tblGrid>
      <w:tr w:rsidR="006B2458" w:rsidRPr="006B2458" w14:paraId="4B07B2C9" w14:textId="77777777" w:rsidTr="00BC234C">
        <w:tc>
          <w:tcPr>
            <w:tcW w:w="5000" w:type="pct"/>
            <w:shd w:val="clear" w:color="auto" w:fill="472978" w:themeFill="accent1"/>
            <w:tcMar>
              <w:top w:w="284" w:type="dxa"/>
              <w:bottom w:w="284" w:type="dxa"/>
            </w:tcMar>
          </w:tcPr>
          <w:p w14:paraId="40EC79C1" w14:textId="280E5B6D" w:rsidR="00222849" w:rsidRPr="00DF5BA1" w:rsidRDefault="00965346" w:rsidP="00E170D6">
            <w:pPr>
              <w:pStyle w:val="Pullquote"/>
            </w:pPr>
            <w:r w:rsidRPr="00DF5BA1">
              <w:t xml:space="preserve">The </w:t>
            </w:r>
            <w:r w:rsidR="00D00DAB">
              <w:t xml:space="preserve">AOFM </w:t>
            </w:r>
            <w:r w:rsidR="00ED4CB8">
              <w:t xml:space="preserve">met the </w:t>
            </w:r>
            <w:r w:rsidRPr="00DF5BA1">
              <w:t xml:space="preserve">target to </w:t>
            </w:r>
            <w:r w:rsidRPr="009216A4">
              <w:t>fulfil</w:t>
            </w:r>
            <w:r w:rsidRPr="00DF5BA1">
              <w:t xml:space="preserve"> all approved targets related to </w:t>
            </w:r>
            <w:r w:rsidR="00B9593B">
              <w:t>our</w:t>
            </w:r>
            <w:r w:rsidRPr="00DF5BA1">
              <w:t xml:space="preserve"> liquidity</w:t>
            </w:r>
            <w:r w:rsidR="00B50A9D">
              <w:t> </w:t>
            </w:r>
            <w:r w:rsidRPr="00DF5BA1">
              <w:t>strategy.</w:t>
            </w:r>
          </w:p>
        </w:tc>
      </w:tr>
    </w:tbl>
    <w:p w14:paraId="6B1AF093" w14:textId="77777777" w:rsidR="00222849" w:rsidRPr="00222849" w:rsidRDefault="00222849" w:rsidP="00E170D6">
      <w:pPr>
        <w:pStyle w:val="SingleReturn"/>
      </w:pPr>
    </w:p>
    <w:p w14:paraId="3B731B04" w14:textId="40397BEF" w:rsidR="00BA49DA" w:rsidRDefault="0064084C" w:rsidP="0064084C">
      <w:pPr>
        <w:rPr>
          <w:lang w:val="en-US"/>
        </w:rPr>
      </w:pPr>
      <w:r w:rsidRPr="649B7113">
        <w:rPr>
          <w:lang w:val="en-US"/>
        </w:rPr>
        <w:t xml:space="preserve">The CMA </w:t>
      </w:r>
      <w:r w:rsidR="00D736A2">
        <w:rPr>
          <w:lang w:val="en-US"/>
        </w:rPr>
        <w:t xml:space="preserve">balance </w:t>
      </w:r>
      <w:r w:rsidRPr="649B7113">
        <w:rPr>
          <w:lang w:val="en-US"/>
        </w:rPr>
        <w:t xml:space="preserve">briefly fell below the </w:t>
      </w:r>
      <w:r w:rsidR="00D736A2">
        <w:rPr>
          <w:lang w:val="en-US"/>
        </w:rPr>
        <w:t xml:space="preserve">approved </w:t>
      </w:r>
      <w:r w:rsidRPr="649B7113">
        <w:rPr>
          <w:lang w:val="en-US"/>
        </w:rPr>
        <w:t xml:space="preserve">buffer </w:t>
      </w:r>
      <w:r w:rsidR="00D736A2">
        <w:rPr>
          <w:lang w:val="en-US"/>
        </w:rPr>
        <w:t xml:space="preserve">level </w:t>
      </w:r>
      <w:r w:rsidRPr="649B7113">
        <w:rPr>
          <w:lang w:val="en-US"/>
        </w:rPr>
        <w:t xml:space="preserve">for a period of </w:t>
      </w:r>
      <w:r w:rsidR="006B2458">
        <w:rPr>
          <w:lang w:val="en-US"/>
        </w:rPr>
        <w:t>6</w:t>
      </w:r>
      <w:r w:rsidR="006B2458" w:rsidRPr="649B7113">
        <w:rPr>
          <w:lang w:val="en-US"/>
        </w:rPr>
        <w:t xml:space="preserve"> </w:t>
      </w:r>
      <w:r w:rsidRPr="649B7113">
        <w:rPr>
          <w:lang w:val="en-US"/>
        </w:rPr>
        <w:t>business days in early January.</w:t>
      </w:r>
      <w:r>
        <w:rPr>
          <w:lang w:val="en-US"/>
        </w:rPr>
        <w:t xml:space="preserve"> </w:t>
      </w:r>
      <w:r w:rsidR="006B2458">
        <w:rPr>
          <w:lang w:val="en-US"/>
        </w:rPr>
        <w:t>The AOFM took c</w:t>
      </w:r>
      <w:r>
        <w:rPr>
          <w:lang w:val="en-US"/>
        </w:rPr>
        <w:t>orrective action</w:t>
      </w:r>
      <w:r w:rsidR="006B2458">
        <w:rPr>
          <w:lang w:val="en-US"/>
        </w:rPr>
        <w:t xml:space="preserve">, issuing </w:t>
      </w:r>
      <w:r>
        <w:rPr>
          <w:lang w:val="en-US"/>
        </w:rPr>
        <w:t>T</w:t>
      </w:r>
      <w:r w:rsidR="00B84FF2">
        <w:rPr>
          <w:lang w:val="en-US"/>
        </w:rPr>
        <w:noBreakHyphen/>
      </w:r>
      <w:r>
        <w:rPr>
          <w:lang w:val="en-US"/>
        </w:rPr>
        <w:t>Note</w:t>
      </w:r>
      <w:r w:rsidR="006B2458">
        <w:rPr>
          <w:lang w:val="en-US"/>
        </w:rPr>
        <w:t>s</w:t>
      </w:r>
      <w:r>
        <w:rPr>
          <w:lang w:val="en-US"/>
        </w:rPr>
        <w:t xml:space="preserve"> to restore the buffer.</w:t>
      </w:r>
      <w:r w:rsidRPr="649B7113">
        <w:rPr>
          <w:lang w:val="en-US"/>
        </w:rPr>
        <w:t xml:space="preserve"> The liquidity buffer operated as intended</w:t>
      </w:r>
      <w:r w:rsidR="001046CB">
        <w:rPr>
          <w:lang w:val="en-US"/>
        </w:rPr>
        <w:t>,</w:t>
      </w:r>
      <w:r w:rsidRPr="649B7113">
        <w:rPr>
          <w:lang w:val="en-US"/>
        </w:rPr>
        <w:t xml:space="preserve"> and </w:t>
      </w:r>
      <w:r w:rsidR="006B2458">
        <w:rPr>
          <w:lang w:val="en-US"/>
        </w:rPr>
        <w:t xml:space="preserve">we did not use </w:t>
      </w:r>
      <w:r w:rsidRPr="649B7113">
        <w:rPr>
          <w:lang w:val="en-US"/>
        </w:rPr>
        <w:t>the RBA overdraft facility in 2024</w:t>
      </w:r>
      <w:r w:rsidR="006B2458">
        <w:rPr>
          <w:lang w:val="en-US"/>
        </w:rPr>
        <w:t>–</w:t>
      </w:r>
      <w:r w:rsidRPr="649B7113">
        <w:rPr>
          <w:lang w:val="en-US"/>
        </w:rPr>
        <w:t>25.</w:t>
      </w:r>
    </w:p>
    <w:p w14:paraId="4FF3181E" w14:textId="56A1B539" w:rsidR="0064084C" w:rsidRDefault="00B82813" w:rsidP="00E36A18">
      <w:pPr>
        <w:pStyle w:val="TableMainHeading"/>
      </w:pPr>
      <w:r>
        <w:t xml:space="preserve">Table </w:t>
      </w:r>
      <w:r w:rsidR="00E36A18">
        <w:t>9</w:t>
      </w:r>
      <w:r>
        <w:t>: Key elements of the 2024</w:t>
      </w:r>
      <w:r w:rsidR="006B2458">
        <w:t>–</w:t>
      </w:r>
      <w:r>
        <w:t>25 L</w:t>
      </w:r>
      <w:r w:rsidR="003D0C4C">
        <w:t xml:space="preserve">iquidity </w:t>
      </w:r>
      <w:r>
        <w:t>M</w:t>
      </w:r>
      <w:r w:rsidR="003D0C4C">
        <w:t xml:space="preserve">anagement </w:t>
      </w:r>
      <w:r>
        <w:t>S</w:t>
      </w:r>
      <w:r w:rsidR="003D0C4C">
        <w:t>tra</w:t>
      </w:r>
      <w:r w:rsidR="00B92352">
        <w:t>tegy</w:t>
      </w:r>
    </w:p>
    <w:tbl>
      <w:tblPr>
        <w:tblStyle w:val="AOFMTablemain"/>
        <w:tblW w:w="5000" w:type="pct"/>
        <w:tblLook w:val="04A0" w:firstRow="1" w:lastRow="0" w:firstColumn="1" w:lastColumn="0" w:noHBand="0" w:noVBand="1"/>
      </w:tblPr>
      <w:tblGrid>
        <w:gridCol w:w="3571"/>
        <w:gridCol w:w="1380"/>
        <w:gridCol w:w="1380"/>
        <w:gridCol w:w="1380"/>
      </w:tblGrid>
      <w:tr w:rsidR="0086383C" w:rsidRPr="00AA14E4" w14:paraId="7917AA1E" w14:textId="77777777" w:rsidTr="00BC234C">
        <w:trPr>
          <w:cnfStyle w:val="100000000000" w:firstRow="1" w:lastRow="0" w:firstColumn="0" w:lastColumn="0" w:oddVBand="0" w:evenVBand="0" w:oddHBand="0" w:evenHBand="0" w:firstRowFirstColumn="0" w:firstRowLastColumn="0" w:lastRowFirstColumn="0" w:lastRowLastColumn="0"/>
          <w:trHeight w:val="122"/>
        </w:trPr>
        <w:tc>
          <w:tcPr>
            <w:tcW w:w="2315" w:type="pct"/>
          </w:tcPr>
          <w:p w14:paraId="5CC21A01" w14:textId="77777777" w:rsidR="00AA14E4" w:rsidRPr="00C05B66" w:rsidRDefault="00AA14E4" w:rsidP="00E170D6">
            <w:pPr>
              <w:pStyle w:val="TableColumnHeadingLeftWhite"/>
            </w:pPr>
            <w:r w:rsidRPr="00C05B66">
              <w:t>Measure</w:t>
            </w:r>
          </w:p>
        </w:tc>
        <w:tc>
          <w:tcPr>
            <w:tcW w:w="895" w:type="pct"/>
          </w:tcPr>
          <w:p w14:paraId="1D6C853D" w14:textId="77777777" w:rsidR="00AA14E4" w:rsidRPr="004B29A8" w:rsidRDefault="00AA14E4" w:rsidP="00E170D6">
            <w:pPr>
              <w:pStyle w:val="TableColumnHeadingLeft"/>
            </w:pPr>
            <w:r w:rsidRPr="004B29A8">
              <w:t>Target</w:t>
            </w:r>
          </w:p>
        </w:tc>
        <w:tc>
          <w:tcPr>
            <w:tcW w:w="895" w:type="pct"/>
          </w:tcPr>
          <w:p w14:paraId="674025B6" w14:textId="77777777" w:rsidR="00AA14E4" w:rsidRPr="004B29A8" w:rsidRDefault="00AA14E4" w:rsidP="00E170D6">
            <w:pPr>
              <w:pStyle w:val="TableColumnHeadingLeft"/>
            </w:pPr>
            <w:r w:rsidRPr="004B29A8">
              <w:t>Indicator</w:t>
            </w:r>
          </w:p>
        </w:tc>
        <w:tc>
          <w:tcPr>
            <w:tcW w:w="895" w:type="pct"/>
          </w:tcPr>
          <w:p w14:paraId="22F3ABEF" w14:textId="77777777" w:rsidR="00AA14E4" w:rsidRPr="004B29A8" w:rsidRDefault="00AA14E4" w:rsidP="00E170D6">
            <w:pPr>
              <w:pStyle w:val="TableColumnHeadingLeft"/>
            </w:pPr>
            <w:r w:rsidRPr="004B29A8">
              <w:t>Result</w:t>
            </w:r>
          </w:p>
        </w:tc>
      </w:tr>
      <w:tr w:rsidR="00AA14E4" w:rsidRPr="00AA14E4" w14:paraId="1F26C7FB" w14:textId="77777777" w:rsidTr="00BC234C">
        <w:trPr>
          <w:trHeight w:val="20"/>
        </w:trPr>
        <w:tc>
          <w:tcPr>
            <w:tcW w:w="2315" w:type="pct"/>
          </w:tcPr>
          <w:p w14:paraId="1BE626E1" w14:textId="77777777" w:rsidR="00AA14E4" w:rsidRPr="00E170D6" w:rsidRDefault="00AA14E4" w:rsidP="00625DAB">
            <w:pPr>
              <w:pStyle w:val="TableTextLeft"/>
            </w:pPr>
            <w:r w:rsidRPr="00E170D6">
              <w:t xml:space="preserve">Maintain a liquidity buffer </w:t>
            </w:r>
          </w:p>
        </w:tc>
        <w:tc>
          <w:tcPr>
            <w:tcW w:w="895" w:type="pct"/>
          </w:tcPr>
          <w:p w14:paraId="676E4174" w14:textId="77777777" w:rsidR="00AA14E4" w:rsidRPr="00AA14E4" w:rsidRDefault="00AA14E4" w:rsidP="00625DAB">
            <w:pPr>
              <w:pStyle w:val="TableTextLeft"/>
            </w:pPr>
            <w:r w:rsidRPr="00AA14E4">
              <w:t>&gt;=$25 billion</w:t>
            </w:r>
          </w:p>
        </w:tc>
        <w:tc>
          <w:tcPr>
            <w:tcW w:w="895" w:type="pct"/>
          </w:tcPr>
          <w:p w14:paraId="0BD1F66E" w14:textId="77777777" w:rsidR="00AA14E4" w:rsidRPr="00AA14E4" w:rsidRDefault="00AA14E4" w:rsidP="00625DAB">
            <w:pPr>
              <w:pStyle w:val="TableTextLeft"/>
            </w:pPr>
            <w:r w:rsidRPr="00AA14E4">
              <w:t>$22.4 billion</w:t>
            </w:r>
          </w:p>
        </w:tc>
        <w:tc>
          <w:tcPr>
            <w:tcW w:w="895" w:type="pct"/>
          </w:tcPr>
          <w:p w14:paraId="10E79409" w14:textId="52E3D9F9" w:rsidR="00AA14E4" w:rsidRPr="00AA14E4" w:rsidRDefault="00AA14E4" w:rsidP="00625DAB">
            <w:pPr>
              <w:pStyle w:val="TableTextLeft"/>
            </w:pPr>
            <w:r w:rsidRPr="00AA14E4">
              <w:t xml:space="preserve">Partially </w:t>
            </w:r>
            <w:r w:rsidR="006B2458">
              <w:t>m</w:t>
            </w:r>
            <w:r w:rsidR="006B2458" w:rsidRPr="00AA14E4">
              <w:t>et</w:t>
            </w:r>
          </w:p>
        </w:tc>
      </w:tr>
      <w:tr w:rsidR="0086383C" w:rsidRPr="00AA14E4" w14:paraId="7FACE5C6" w14:textId="77777777" w:rsidTr="00BC234C">
        <w:trPr>
          <w:cnfStyle w:val="000000010000" w:firstRow="0" w:lastRow="0" w:firstColumn="0" w:lastColumn="0" w:oddVBand="0" w:evenVBand="0" w:oddHBand="0" w:evenHBand="1" w:firstRowFirstColumn="0" w:firstRowLastColumn="0" w:lastRowFirstColumn="0" w:lastRowLastColumn="0"/>
          <w:trHeight w:val="20"/>
        </w:trPr>
        <w:tc>
          <w:tcPr>
            <w:tcW w:w="2315" w:type="pct"/>
          </w:tcPr>
          <w:p w14:paraId="2DD2B031" w14:textId="77777777" w:rsidR="00AA14E4" w:rsidRPr="00E170D6" w:rsidRDefault="00AA14E4" w:rsidP="00625DAB">
            <w:pPr>
              <w:pStyle w:val="TableTextLeft"/>
            </w:pPr>
            <w:r w:rsidRPr="00E170D6">
              <w:t xml:space="preserve">Minimum Treasury Notes on issue </w:t>
            </w:r>
          </w:p>
        </w:tc>
        <w:tc>
          <w:tcPr>
            <w:tcW w:w="895" w:type="pct"/>
          </w:tcPr>
          <w:p w14:paraId="06BE10A3" w14:textId="77777777" w:rsidR="00AA14E4" w:rsidRPr="00AA14E4" w:rsidRDefault="00AA14E4" w:rsidP="00625DAB">
            <w:pPr>
              <w:pStyle w:val="TableTextLeft"/>
            </w:pPr>
            <w:r w:rsidRPr="00AA14E4">
              <w:t>&gt;=$25 billion</w:t>
            </w:r>
          </w:p>
        </w:tc>
        <w:tc>
          <w:tcPr>
            <w:tcW w:w="895" w:type="pct"/>
          </w:tcPr>
          <w:p w14:paraId="4490DF9B" w14:textId="77777777" w:rsidR="00AA14E4" w:rsidRPr="00AA14E4" w:rsidRDefault="00AA14E4" w:rsidP="00625DAB">
            <w:pPr>
              <w:pStyle w:val="TableTextLeft"/>
            </w:pPr>
            <w:r w:rsidRPr="00AA14E4">
              <w:t>$25 billion</w:t>
            </w:r>
          </w:p>
        </w:tc>
        <w:tc>
          <w:tcPr>
            <w:tcW w:w="895" w:type="pct"/>
          </w:tcPr>
          <w:p w14:paraId="04DF2576" w14:textId="77777777" w:rsidR="00AA14E4" w:rsidRPr="00AA14E4" w:rsidRDefault="00AA14E4" w:rsidP="00625DAB">
            <w:pPr>
              <w:pStyle w:val="TableTextLeft"/>
            </w:pPr>
            <w:r w:rsidRPr="00AA14E4">
              <w:t>Met</w:t>
            </w:r>
          </w:p>
        </w:tc>
      </w:tr>
      <w:tr w:rsidR="00AA14E4" w:rsidRPr="00AA14E4" w14:paraId="0BA48876" w14:textId="77777777" w:rsidTr="00BC234C">
        <w:trPr>
          <w:trHeight w:val="20"/>
        </w:trPr>
        <w:tc>
          <w:tcPr>
            <w:tcW w:w="2315" w:type="pct"/>
          </w:tcPr>
          <w:p w14:paraId="26F7C8D4" w14:textId="77777777" w:rsidR="00AA14E4" w:rsidRPr="00E170D6" w:rsidRDefault="00AA14E4" w:rsidP="00625DAB">
            <w:pPr>
              <w:pStyle w:val="TableTextLeft"/>
            </w:pPr>
            <w:r w:rsidRPr="00E170D6">
              <w:t>Prescribed cash management asset type</w:t>
            </w:r>
          </w:p>
        </w:tc>
        <w:tc>
          <w:tcPr>
            <w:tcW w:w="895" w:type="pct"/>
          </w:tcPr>
          <w:p w14:paraId="0AE03613" w14:textId="77777777" w:rsidR="00AA14E4" w:rsidRPr="00AA14E4" w:rsidRDefault="00AA14E4" w:rsidP="00625DAB">
            <w:pPr>
              <w:pStyle w:val="TableTextLeft"/>
            </w:pPr>
            <w:r w:rsidRPr="00AA14E4">
              <w:t>RBA only</w:t>
            </w:r>
          </w:p>
        </w:tc>
        <w:tc>
          <w:tcPr>
            <w:tcW w:w="895" w:type="pct"/>
          </w:tcPr>
          <w:p w14:paraId="56872E33" w14:textId="77777777" w:rsidR="00AA14E4" w:rsidRPr="00AA14E4" w:rsidRDefault="00AA14E4" w:rsidP="00625DAB">
            <w:pPr>
              <w:pStyle w:val="TableTextLeft"/>
            </w:pPr>
            <w:r w:rsidRPr="00AA14E4">
              <w:t>CMA</w:t>
            </w:r>
          </w:p>
        </w:tc>
        <w:tc>
          <w:tcPr>
            <w:tcW w:w="895" w:type="pct"/>
          </w:tcPr>
          <w:p w14:paraId="1B043651" w14:textId="77777777" w:rsidR="00AA14E4" w:rsidRPr="00AA14E4" w:rsidRDefault="00AA14E4" w:rsidP="00625DAB">
            <w:pPr>
              <w:pStyle w:val="TableTextLeft"/>
            </w:pPr>
            <w:r w:rsidRPr="00AA14E4">
              <w:t>Met</w:t>
            </w:r>
          </w:p>
        </w:tc>
      </w:tr>
      <w:tr w:rsidR="0086383C" w:rsidRPr="00AA14E4" w14:paraId="56BA0971" w14:textId="77777777" w:rsidTr="00BC234C">
        <w:trPr>
          <w:cnfStyle w:val="000000010000" w:firstRow="0" w:lastRow="0" w:firstColumn="0" w:lastColumn="0" w:oddVBand="0" w:evenVBand="0" w:oddHBand="0" w:evenHBand="1" w:firstRowFirstColumn="0" w:firstRowLastColumn="0" w:lastRowFirstColumn="0" w:lastRowLastColumn="0"/>
          <w:trHeight w:val="15"/>
        </w:trPr>
        <w:tc>
          <w:tcPr>
            <w:tcW w:w="2315" w:type="pct"/>
          </w:tcPr>
          <w:p w14:paraId="4213D1D6" w14:textId="77777777" w:rsidR="00AA14E4" w:rsidRPr="00E170D6" w:rsidRDefault="00AA14E4" w:rsidP="00625DAB">
            <w:pPr>
              <w:pStyle w:val="TableTextLeft"/>
            </w:pPr>
            <w:r w:rsidRPr="00E170D6">
              <w:t>Usage of overdraft facility</w:t>
            </w:r>
          </w:p>
        </w:tc>
        <w:tc>
          <w:tcPr>
            <w:tcW w:w="895" w:type="pct"/>
          </w:tcPr>
          <w:p w14:paraId="0D65D6B6" w14:textId="77777777" w:rsidR="00AA14E4" w:rsidRPr="00AA14E4" w:rsidRDefault="00AA14E4" w:rsidP="00625DAB">
            <w:pPr>
              <w:pStyle w:val="TableTextLeft"/>
            </w:pPr>
            <w:r w:rsidRPr="00AA14E4">
              <w:t>0</w:t>
            </w:r>
          </w:p>
        </w:tc>
        <w:tc>
          <w:tcPr>
            <w:tcW w:w="895" w:type="pct"/>
          </w:tcPr>
          <w:p w14:paraId="16EAC109" w14:textId="77777777" w:rsidR="00AA14E4" w:rsidRPr="00AA14E4" w:rsidRDefault="00AA14E4" w:rsidP="00625DAB">
            <w:pPr>
              <w:pStyle w:val="TableTextLeft"/>
            </w:pPr>
            <w:r w:rsidRPr="00AA14E4">
              <w:t>0</w:t>
            </w:r>
          </w:p>
        </w:tc>
        <w:tc>
          <w:tcPr>
            <w:tcW w:w="895" w:type="pct"/>
          </w:tcPr>
          <w:p w14:paraId="46FC4398" w14:textId="77777777" w:rsidR="00AA14E4" w:rsidRPr="00AA14E4" w:rsidRDefault="00AA14E4" w:rsidP="00625DAB">
            <w:pPr>
              <w:pStyle w:val="TableTextLeft"/>
            </w:pPr>
            <w:r w:rsidRPr="00AA14E4">
              <w:t>Met</w:t>
            </w:r>
          </w:p>
        </w:tc>
      </w:tr>
    </w:tbl>
    <w:p w14:paraId="059A55A2" w14:textId="7C36B605" w:rsidR="00406B6D" w:rsidRDefault="48D8FCE8" w:rsidP="00DF31C0">
      <w:pPr>
        <w:pStyle w:val="BodyText1"/>
        <w:sectPr w:rsidR="00406B6D" w:rsidSect="001E2AEB">
          <w:headerReference w:type="first" r:id="rId82"/>
          <w:footerReference w:type="first" r:id="rId83"/>
          <w:type w:val="oddPage"/>
          <w:pgSz w:w="11907" w:h="16840" w:code="9"/>
          <w:pgMar w:top="2835" w:right="2098" w:bottom="2466" w:left="2098" w:header="1814" w:footer="1814" w:gutter="0"/>
          <w:cols w:space="708"/>
          <w:titlePg/>
          <w:docGrid w:linePitch="360"/>
        </w:sectPr>
      </w:pPr>
      <w:r>
        <w:br w:type="page"/>
      </w:r>
    </w:p>
    <w:p w14:paraId="0CD3D590" w14:textId="5C41690F" w:rsidR="00406B6D" w:rsidRPr="006534F5" w:rsidRDefault="00551415" w:rsidP="00551415">
      <w:pPr>
        <w:pStyle w:val="ChapterHeading"/>
        <w:spacing w:before="6840"/>
      </w:pPr>
      <w:bookmarkStart w:id="568" w:name="_Toc202193291"/>
      <w:bookmarkStart w:id="569" w:name="_Toc205474309"/>
      <w:bookmarkStart w:id="570" w:name="_Toc207795649"/>
      <w:bookmarkStart w:id="571" w:name="_Toc207796063"/>
      <w:bookmarkStart w:id="572" w:name="_Toc207796934"/>
      <w:bookmarkStart w:id="573" w:name="_Toc208913974"/>
      <w:bookmarkStart w:id="574" w:name="_Toc209424489"/>
      <w:bookmarkStart w:id="575" w:name="_Toc209424592"/>
      <w:r w:rsidRPr="00551415">
        <w:lastRenderedPageBreak/>
        <w:t xml:space="preserve">Performance Assessment: </w:t>
      </w:r>
      <w:r w:rsidR="00406B6D" w:rsidRPr="000041D2">
        <w:t>Purpose</w:t>
      </w:r>
      <w:r w:rsidR="00406B6D" w:rsidRPr="006534F5">
        <w:t xml:space="preserve"> </w:t>
      </w:r>
      <w:r w:rsidR="00AF539C">
        <w:t>3</w:t>
      </w:r>
      <w:bookmarkEnd w:id="568"/>
      <w:bookmarkEnd w:id="569"/>
      <w:bookmarkEnd w:id="570"/>
      <w:bookmarkEnd w:id="571"/>
      <w:bookmarkEnd w:id="572"/>
      <w:bookmarkEnd w:id="573"/>
      <w:bookmarkEnd w:id="574"/>
      <w:bookmarkEnd w:id="575"/>
    </w:p>
    <w:p w14:paraId="6D4677BC" w14:textId="6E3FB297" w:rsidR="002740CF" w:rsidRDefault="002740CF" w:rsidP="002740CF">
      <w:pPr>
        <w:pStyle w:val="PurposeSubtitle"/>
        <w:keepLines/>
      </w:pPr>
      <w:r w:rsidRPr="002C223C">
        <w:t>Conduct market</w:t>
      </w:r>
      <w:r w:rsidR="00B84FF2">
        <w:noBreakHyphen/>
      </w:r>
      <w:r w:rsidRPr="002C223C">
        <w:t>facing activities in a manner that supports a well</w:t>
      </w:r>
      <w:r w:rsidR="00B84FF2">
        <w:noBreakHyphen/>
      </w:r>
      <w:r w:rsidRPr="002C223C">
        <w:t>functioning A</w:t>
      </w:r>
      <w:r w:rsidR="00F45D96">
        <w:t xml:space="preserve">ustralian </w:t>
      </w:r>
      <w:r w:rsidRPr="002C223C">
        <w:t>G</w:t>
      </w:r>
      <w:r w:rsidR="00F45D96">
        <w:t xml:space="preserve">overnment </w:t>
      </w:r>
      <w:r w:rsidRPr="002C223C">
        <w:t>S</w:t>
      </w:r>
      <w:r w:rsidR="00F45D96">
        <w:t>ecurities</w:t>
      </w:r>
      <w:r w:rsidRPr="002C223C">
        <w:rPr>
          <w:rFonts w:ascii="Arial" w:hAnsi="Arial" w:cs="Arial"/>
        </w:rPr>
        <w:t> </w:t>
      </w:r>
      <w:r w:rsidRPr="002C223C">
        <w:t>market</w:t>
      </w:r>
    </w:p>
    <w:p w14:paraId="19669A64" w14:textId="77777777" w:rsidR="00952A47" w:rsidRDefault="00952A47" w:rsidP="00CE0BF9">
      <w:pPr>
        <w:pStyle w:val="Heading1"/>
        <w:sectPr w:rsidR="00952A47" w:rsidSect="001E2AEB">
          <w:headerReference w:type="even" r:id="rId84"/>
          <w:headerReference w:type="default" r:id="rId85"/>
          <w:footerReference w:type="even" r:id="rId86"/>
          <w:footerReference w:type="default" r:id="rId87"/>
          <w:headerReference w:type="first" r:id="rId88"/>
          <w:footerReference w:type="first" r:id="rId89"/>
          <w:pgSz w:w="11907" w:h="16840" w:code="9"/>
          <w:pgMar w:top="2835" w:right="2098" w:bottom="2466" w:left="2098" w:header="1814" w:footer="1814" w:gutter="0"/>
          <w:cols w:space="708"/>
          <w:titlePg/>
          <w:docGrid w:linePitch="360"/>
        </w:sectPr>
      </w:pPr>
      <w:bookmarkStart w:id="576" w:name="_Toc173327314"/>
      <w:bookmarkStart w:id="577" w:name="_Toc173327767"/>
      <w:bookmarkStart w:id="578" w:name="_Toc173395290"/>
      <w:bookmarkStart w:id="579" w:name="_Toc173395368"/>
      <w:bookmarkStart w:id="580" w:name="_Toc173395702"/>
      <w:bookmarkStart w:id="581" w:name="_Toc173396590"/>
      <w:bookmarkStart w:id="582" w:name="_Toc173397601"/>
      <w:bookmarkStart w:id="583" w:name="_Toc173408154"/>
      <w:bookmarkStart w:id="584" w:name="_Toc173411476"/>
      <w:bookmarkStart w:id="585" w:name="_Toc173479156"/>
      <w:bookmarkStart w:id="586" w:name="_Toc173743061"/>
      <w:bookmarkStart w:id="587" w:name="_Toc173743222"/>
      <w:bookmarkStart w:id="588" w:name="_Toc176160544"/>
      <w:bookmarkStart w:id="589" w:name="_Toc176163172"/>
      <w:bookmarkStart w:id="590" w:name="_Toc205474310"/>
      <w:bookmarkStart w:id="591" w:name="_Toc207792892"/>
      <w:bookmarkStart w:id="592" w:name="_Toc207793929"/>
      <w:bookmarkStart w:id="593" w:name="_Toc207795650"/>
      <w:bookmarkStart w:id="594" w:name="_Toc207796064"/>
      <w:bookmarkStart w:id="595" w:name="_Toc207796935"/>
      <w:bookmarkStart w:id="596" w:name="_Toc207797300"/>
      <w:bookmarkStart w:id="597" w:name="_Toc207800236"/>
      <w:bookmarkStart w:id="598" w:name="_Toc207810814"/>
      <w:bookmarkStart w:id="599" w:name="_Toc202192256"/>
      <w:bookmarkStart w:id="600" w:name="_Toc202192972"/>
      <w:bookmarkStart w:id="601" w:name="_Toc202193293"/>
    </w:p>
    <w:p w14:paraId="7C1E4B89" w14:textId="77777777" w:rsidR="00025E4E" w:rsidRDefault="00025E4E" w:rsidP="00CE0BF9">
      <w:pPr>
        <w:pStyle w:val="Heading1"/>
      </w:pPr>
      <w:bookmarkStart w:id="602" w:name="_Toc208913975"/>
      <w:bookmarkStart w:id="603" w:name="_Toc208914093"/>
      <w:bookmarkStart w:id="604" w:name="_Toc209424490"/>
      <w:bookmarkStart w:id="605" w:name="_Toc209424593"/>
      <w:r>
        <w:lastRenderedPageBreak/>
        <w:t>How Purpose 3 is achieved</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602"/>
      <w:bookmarkEnd w:id="603"/>
      <w:bookmarkEnd w:id="604"/>
      <w:bookmarkEnd w:id="605"/>
    </w:p>
    <w:bookmarkEnd w:id="599"/>
    <w:bookmarkEnd w:id="600"/>
    <w:bookmarkEnd w:id="601"/>
    <w:p w14:paraId="196D9E6D" w14:textId="2422B4D6" w:rsidR="00203B79" w:rsidRPr="00203B79" w:rsidRDefault="00BE086C" w:rsidP="00203B79">
      <w:r>
        <w:t xml:space="preserve">The </w:t>
      </w:r>
      <w:r w:rsidR="000A687B">
        <w:t>Australian Office of Financial Management (</w:t>
      </w:r>
      <w:r>
        <w:t>AOFM</w:t>
      </w:r>
      <w:r w:rsidR="000A687B">
        <w:t>)</w:t>
      </w:r>
      <w:r w:rsidR="00203B79" w:rsidRPr="00203B79">
        <w:t xml:space="preserve"> regularly engage</w:t>
      </w:r>
      <w:r w:rsidR="00472D76">
        <w:t>s</w:t>
      </w:r>
      <w:r w:rsidR="00203B79" w:rsidRPr="00203B79">
        <w:t xml:space="preserve"> with </w:t>
      </w:r>
      <w:r w:rsidR="00E651C3">
        <w:t>intermediaries and investors</w:t>
      </w:r>
      <w:r w:rsidR="00203B79" w:rsidRPr="00203B79">
        <w:t xml:space="preserve"> to ensure we have a comprehensive understanding of market</w:t>
      </w:r>
      <w:r w:rsidR="00B84FF2">
        <w:noBreakHyphen/>
      </w:r>
      <w:r w:rsidR="00203B79" w:rsidRPr="00203B79">
        <w:t>related issues. This helps us</w:t>
      </w:r>
      <w:r w:rsidR="003811DB">
        <w:t xml:space="preserve"> </w:t>
      </w:r>
      <w:r w:rsidR="00203B79" w:rsidRPr="00203B79">
        <w:t xml:space="preserve">achieve our core goals. </w:t>
      </w:r>
      <w:r>
        <w:t xml:space="preserve">We </w:t>
      </w:r>
      <w:r w:rsidR="00203B79" w:rsidRPr="00203B79">
        <w:t xml:space="preserve">monitor </w:t>
      </w:r>
      <w:r>
        <w:t>aspects including</w:t>
      </w:r>
      <w:r w:rsidR="00203B79" w:rsidRPr="00203B79">
        <w:t xml:space="preserve"> changing global circumstances</w:t>
      </w:r>
      <w:r>
        <w:t>,</w:t>
      </w:r>
      <w:r w:rsidR="00203B79" w:rsidRPr="00203B79">
        <w:t xml:space="preserve"> major government fiscal announcements</w:t>
      </w:r>
      <w:r>
        <w:t>,</w:t>
      </w:r>
      <w:r w:rsidR="00203B79" w:rsidRPr="00203B79">
        <w:t xml:space="preserve"> influences on global capital flows</w:t>
      </w:r>
      <w:r>
        <w:t>,</w:t>
      </w:r>
      <w:r w:rsidR="00203B79" w:rsidRPr="00203B79">
        <w:t xml:space="preserve"> changing investor preferences and the performance of intermediaries, particularly in the primary </w:t>
      </w:r>
      <w:r w:rsidR="00F45D96">
        <w:t>Australian Government Securities (</w:t>
      </w:r>
      <w:r w:rsidR="00203B79" w:rsidRPr="00203B79">
        <w:t>AGS</w:t>
      </w:r>
      <w:r w:rsidR="00F45D96">
        <w:t>)</w:t>
      </w:r>
      <w:r w:rsidR="00203B79" w:rsidRPr="00203B79">
        <w:t xml:space="preserve"> market.</w:t>
      </w:r>
    </w:p>
    <w:p w14:paraId="4FE2FD9A" w14:textId="15D130B7" w:rsidR="00956E23" w:rsidRDefault="00956E23" w:rsidP="00D52642">
      <w:pPr>
        <w:pStyle w:val="TableMainHeading"/>
      </w:pPr>
      <w:r>
        <w:t xml:space="preserve">Table </w:t>
      </w:r>
      <w:r w:rsidR="00D52642">
        <w:t>10</w:t>
      </w:r>
      <w:r w:rsidR="00EF5E55">
        <w:t>:</w:t>
      </w:r>
      <w:r>
        <w:t xml:space="preserve"> Summary of performance for Purpose 3</w:t>
      </w:r>
    </w:p>
    <w:tbl>
      <w:tblPr>
        <w:tblStyle w:val="AOFMTablemain"/>
        <w:tblW w:w="5000" w:type="pct"/>
        <w:tblLook w:val="06A0" w:firstRow="1" w:lastRow="0" w:firstColumn="1" w:lastColumn="0" w:noHBand="1" w:noVBand="1"/>
      </w:tblPr>
      <w:tblGrid>
        <w:gridCol w:w="1544"/>
        <w:gridCol w:w="2850"/>
        <w:gridCol w:w="1675"/>
        <w:gridCol w:w="1642"/>
      </w:tblGrid>
      <w:tr w:rsidR="00843643" w:rsidRPr="00723656" w14:paraId="39291ACA" w14:textId="77777777" w:rsidTr="004350FD">
        <w:trPr>
          <w:cnfStyle w:val="100000000000" w:firstRow="1" w:lastRow="0" w:firstColumn="0" w:lastColumn="0" w:oddVBand="0" w:evenVBand="0" w:oddHBand="0" w:evenHBand="0" w:firstRowFirstColumn="0" w:firstRowLastColumn="0" w:lastRowFirstColumn="0" w:lastRowLastColumn="0"/>
          <w:trHeight w:val="45"/>
        </w:trPr>
        <w:tc>
          <w:tcPr>
            <w:tcW w:w="0" w:type="dxa"/>
            <w:gridSpan w:val="2"/>
            <w:vMerge w:val="restart"/>
            <w:tcBorders>
              <w:bottom w:val="single" w:sz="4" w:space="0" w:color="FFFFFF" w:themeColor="background1"/>
              <w:right w:val="single" w:sz="4" w:space="0" w:color="FFFFFF" w:themeColor="background1"/>
            </w:tcBorders>
            <w:hideMark/>
          </w:tcPr>
          <w:p w14:paraId="5F4809A3" w14:textId="77777777" w:rsidR="0024718F" w:rsidRPr="002534D4" w:rsidRDefault="0024718F" w:rsidP="00E0474F">
            <w:pPr>
              <w:pStyle w:val="TableColumnHeadingLeft"/>
            </w:pPr>
            <w:r w:rsidRPr="002534D4">
              <w:t xml:space="preserve">Performance </w:t>
            </w:r>
            <w:r w:rsidRPr="00E0474F">
              <w:t>measures</w:t>
            </w:r>
          </w:p>
        </w:tc>
        <w:tc>
          <w:tcPr>
            <w:tcW w:w="0" w:type="dxa"/>
            <w:gridSpan w:val="2"/>
            <w:tcBorders>
              <w:left w:val="single" w:sz="4" w:space="0" w:color="FFFFFF" w:themeColor="background1"/>
              <w:bottom w:val="single" w:sz="4" w:space="0" w:color="FFFFFF" w:themeColor="background1"/>
            </w:tcBorders>
            <w:hideMark/>
          </w:tcPr>
          <w:p w14:paraId="69A6A587" w14:textId="5A26EEB0" w:rsidR="0024718F" w:rsidRPr="00E0474F" w:rsidRDefault="0024718F" w:rsidP="00E0474F">
            <w:pPr>
              <w:pStyle w:val="TableColumnHeadingLeft"/>
            </w:pPr>
            <w:r w:rsidRPr="00E0474F">
              <w:t>202</w:t>
            </w:r>
            <w:r w:rsidR="00EA51F2" w:rsidRPr="00E0474F">
              <w:t>4</w:t>
            </w:r>
            <w:r w:rsidRPr="00E0474F">
              <w:t>–2</w:t>
            </w:r>
            <w:r w:rsidR="00EA51F2" w:rsidRPr="00E0474F">
              <w:t>5</w:t>
            </w:r>
            <w:r w:rsidRPr="00E0474F">
              <w:t xml:space="preserve"> Performance</w:t>
            </w:r>
            <w:r w:rsidR="003811DB" w:rsidRPr="00E0474F">
              <w:t xml:space="preserve"> </w:t>
            </w:r>
          </w:p>
        </w:tc>
      </w:tr>
      <w:tr w:rsidR="004350FD" w:rsidRPr="00723656" w14:paraId="62BAC23B" w14:textId="77777777" w:rsidTr="004350FD">
        <w:trPr>
          <w:trHeight w:val="45"/>
        </w:trPr>
        <w:tc>
          <w:tcPr>
            <w:tcW w:w="0" w:type="dxa"/>
            <w:gridSpan w:val="2"/>
            <w:vMerge/>
            <w:tcBorders>
              <w:top w:val="single" w:sz="4" w:space="0" w:color="FFFFFF" w:themeColor="background1"/>
              <w:right w:val="single" w:sz="4" w:space="0" w:color="FFFFFF" w:themeColor="background1"/>
            </w:tcBorders>
            <w:shd w:val="clear" w:color="auto" w:fill="472978" w:themeFill="accent1"/>
            <w:hideMark/>
          </w:tcPr>
          <w:p w14:paraId="78F57CB0" w14:textId="77777777" w:rsidR="0024718F" w:rsidRPr="002534D4" w:rsidRDefault="0024718F">
            <w:pPr>
              <w:pStyle w:val="TableColumnHeadingLeft"/>
              <w:rPr>
                <w:szCs w:val="18"/>
              </w:rPr>
            </w:pPr>
          </w:p>
        </w:tc>
        <w:tc>
          <w:tcPr>
            <w:tcW w:w="0" w:type="dxa"/>
            <w:tcBorders>
              <w:top w:val="single" w:sz="4" w:space="0" w:color="FFFFFF" w:themeColor="background1"/>
              <w:left w:val="single" w:sz="4" w:space="0" w:color="FFFFFF" w:themeColor="background1"/>
              <w:right w:val="single" w:sz="4" w:space="0" w:color="FFFFFF" w:themeColor="background1"/>
            </w:tcBorders>
            <w:shd w:val="clear" w:color="auto" w:fill="472978" w:themeFill="accent1"/>
            <w:hideMark/>
          </w:tcPr>
          <w:p w14:paraId="7CBD6CD0" w14:textId="77777777" w:rsidR="0024718F" w:rsidRPr="00E0474F" w:rsidRDefault="0024718F" w:rsidP="00E0474F">
            <w:pPr>
              <w:pStyle w:val="TableColumnHeadingLeft"/>
            </w:pPr>
            <w:r w:rsidRPr="00E0474F">
              <w:t>Target</w:t>
            </w:r>
          </w:p>
        </w:tc>
        <w:tc>
          <w:tcPr>
            <w:tcW w:w="0" w:type="dxa"/>
            <w:tcBorders>
              <w:top w:val="single" w:sz="4" w:space="0" w:color="FFFFFF" w:themeColor="background1"/>
              <w:left w:val="single" w:sz="4" w:space="0" w:color="FFFFFF" w:themeColor="background1"/>
            </w:tcBorders>
            <w:shd w:val="clear" w:color="auto" w:fill="472978" w:themeFill="accent1"/>
            <w:hideMark/>
          </w:tcPr>
          <w:p w14:paraId="0A045197" w14:textId="77777777" w:rsidR="0024718F" w:rsidRPr="00E0474F" w:rsidRDefault="0024718F" w:rsidP="00E0474F">
            <w:pPr>
              <w:pStyle w:val="TableColumnHeadingLeft"/>
            </w:pPr>
            <w:r w:rsidRPr="00E0474F">
              <w:t>Results</w:t>
            </w:r>
          </w:p>
        </w:tc>
      </w:tr>
      <w:tr w:rsidR="0024718F" w:rsidRPr="00723656" w14:paraId="1B12AC64" w14:textId="77777777" w:rsidTr="00B50A9D">
        <w:tc>
          <w:tcPr>
            <w:tcW w:w="0" w:type="dxa"/>
            <w:tcBorders>
              <w:bottom w:val="single" w:sz="4" w:space="0" w:color="29114B" w:themeColor="text2"/>
            </w:tcBorders>
          </w:tcPr>
          <w:p w14:paraId="31BA2A00" w14:textId="67884487" w:rsidR="0024718F" w:rsidRPr="00E0474F" w:rsidRDefault="0024718F" w:rsidP="00625DAB">
            <w:pPr>
              <w:pStyle w:val="TableTextLeft"/>
              <w:rPr>
                <w:rStyle w:val="Strong"/>
              </w:rPr>
            </w:pPr>
            <w:r w:rsidRPr="00E0474F">
              <w:rPr>
                <w:rStyle w:val="Strong"/>
              </w:rPr>
              <w:t>Key Activity</w:t>
            </w:r>
            <w:r w:rsidR="003811DB" w:rsidRPr="00E0474F">
              <w:rPr>
                <w:rStyle w:val="Strong"/>
              </w:rPr>
              <w:t xml:space="preserve"> </w:t>
            </w:r>
            <w:r w:rsidR="00EA51F2" w:rsidRPr="00E0474F">
              <w:rPr>
                <w:rStyle w:val="Strong"/>
              </w:rPr>
              <w:t>3</w:t>
            </w:r>
            <w:r w:rsidRPr="00E0474F">
              <w:rPr>
                <w:rStyle w:val="Strong"/>
              </w:rPr>
              <w:t>.1</w:t>
            </w:r>
          </w:p>
        </w:tc>
        <w:tc>
          <w:tcPr>
            <w:tcW w:w="0" w:type="dxa"/>
            <w:gridSpan w:val="3"/>
            <w:tcBorders>
              <w:bottom w:val="single" w:sz="4" w:space="0" w:color="29114B" w:themeColor="text2"/>
            </w:tcBorders>
          </w:tcPr>
          <w:p w14:paraId="6B32DE69" w14:textId="3FD9925A" w:rsidR="0024718F" w:rsidRPr="00EF4749" w:rsidRDefault="00476FB6" w:rsidP="00625DAB">
            <w:pPr>
              <w:pStyle w:val="TableTextLeft"/>
              <w:rPr>
                <w:b/>
                <w:bCs/>
              </w:rPr>
            </w:pPr>
            <w:r w:rsidRPr="00EF4749">
              <w:rPr>
                <w:b/>
                <w:bCs/>
              </w:rPr>
              <w:t xml:space="preserve">Conduct a market engagement </w:t>
            </w:r>
            <w:r w:rsidR="00117A59" w:rsidRPr="00EF4749">
              <w:rPr>
                <w:b/>
                <w:bCs/>
              </w:rPr>
              <w:t>program</w:t>
            </w:r>
            <w:r w:rsidR="006C44C4" w:rsidRPr="00EF4749">
              <w:rPr>
                <w:b/>
                <w:bCs/>
              </w:rPr>
              <w:t>:</w:t>
            </w:r>
          </w:p>
          <w:p w14:paraId="5826F83A" w14:textId="77777777" w:rsidR="00742AAF" w:rsidRPr="00BE1ADD" w:rsidRDefault="00326404" w:rsidP="00BE1ADD">
            <w:pPr>
              <w:pStyle w:val="Tabletext-bullet"/>
            </w:pPr>
            <w:r w:rsidRPr="00BE1ADD">
              <w:t xml:space="preserve">in accordance with an annually revised </w:t>
            </w:r>
            <w:r w:rsidR="00742AAF" w:rsidRPr="00BE1ADD">
              <w:t xml:space="preserve">plan </w:t>
            </w:r>
          </w:p>
          <w:p w14:paraId="612D1F32" w14:textId="394CA440" w:rsidR="0024718F" w:rsidRPr="00B92352" w:rsidRDefault="002A2348" w:rsidP="00BE1ADD">
            <w:pPr>
              <w:pStyle w:val="Tabletext-bullet"/>
            </w:pPr>
            <w:r w:rsidRPr="00BE1ADD">
              <w:t>through periodic engagement</w:t>
            </w:r>
            <w:r w:rsidR="003811DB" w:rsidRPr="00BE1ADD">
              <w:t xml:space="preserve"> </w:t>
            </w:r>
            <w:r w:rsidR="007E3AF2" w:rsidRPr="00BE1ADD">
              <w:t>with financial market intermediaries and key investors</w:t>
            </w:r>
            <w:r w:rsidR="00F83404" w:rsidRPr="00BE1ADD">
              <w:t xml:space="preserve"> (domestic and offshore)</w:t>
            </w:r>
          </w:p>
        </w:tc>
      </w:tr>
      <w:tr w:rsidR="00AD64B0" w:rsidRPr="00723656" w14:paraId="624E4E07" w14:textId="77777777" w:rsidTr="00B50A9D">
        <w:tc>
          <w:tcPr>
            <w:tcW w:w="0" w:type="dxa"/>
            <w:tcBorders>
              <w:top w:val="single" w:sz="4" w:space="0" w:color="29114B" w:themeColor="text2"/>
              <w:bottom w:val="single" w:sz="4" w:space="0" w:color="FFFFFF" w:themeColor="background1"/>
            </w:tcBorders>
            <w:tcMar>
              <w:bottom w:w="0" w:type="dxa"/>
            </w:tcMar>
          </w:tcPr>
          <w:p w14:paraId="5AC9110B" w14:textId="695FE145" w:rsidR="00AD64B0" w:rsidRPr="00E0474F" w:rsidRDefault="00AD64B0" w:rsidP="00625DAB">
            <w:pPr>
              <w:pStyle w:val="TableTextLeft"/>
            </w:pPr>
            <w:r w:rsidRPr="00E0474F">
              <w:t>3.1.1</w:t>
            </w:r>
          </w:p>
        </w:tc>
        <w:tc>
          <w:tcPr>
            <w:tcW w:w="0" w:type="dxa"/>
            <w:tcBorders>
              <w:top w:val="single" w:sz="4" w:space="0" w:color="29114B" w:themeColor="text2"/>
              <w:bottom w:val="single" w:sz="4" w:space="0" w:color="FFFFFF" w:themeColor="background1"/>
            </w:tcBorders>
            <w:tcMar>
              <w:bottom w:w="0" w:type="dxa"/>
            </w:tcMar>
          </w:tcPr>
          <w:p w14:paraId="6E9FADBB" w14:textId="1E51FE78" w:rsidR="00AD64B0" w:rsidRPr="00AD64B0" w:rsidRDefault="00AD64B0" w:rsidP="00625DAB">
            <w:pPr>
              <w:pStyle w:val="TableTextLeft"/>
            </w:pPr>
            <w:r w:rsidRPr="00274792">
              <w:rPr>
                <w:b/>
                <w:bCs/>
              </w:rPr>
              <w:t>Annual investor relations plan</w:t>
            </w:r>
            <w:r w:rsidRPr="00B92352">
              <w:t>:</w:t>
            </w:r>
            <w:r>
              <w:t xml:space="preserve"> C</w:t>
            </w:r>
            <w:r w:rsidRPr="00405293">
              <w:t>onduct investor outreach in accordance with the annual investor relations plan</w:t>
            </w:r>
            <w:r w:rsidRPr="00BA49DA">
              <w:rPr>
                <w:bCs/>
              </w:rPr>
              <w:t>:</w:t>
            </w:r>
          </w:p>
        </w:tc>
        <w:tc>
          <w:tcPr>
            <w:tcW w:w="0" w:type="dxa"/>
            <w:tcBorders>
              <w:top w:val="single" w:sz="4" w:space="0" w:color="29114B" w:themeColor="text2"/>
              <w:bottom w:val="single" w:sz="4" w:space="0" w:color="FFFFFF" w:themeColor="background1"/>
            </w:tcBorders>
            <w:tcMar>
              <w:bottom w:w="0" w:type="dxa"/>
            </w:tcMar>
          </w:tcPr>
          <w:p w14:paraId="3E573ED7" w14:textId="77777777" w:rsidR="00AD64B0" w:rsidRPr="00B92352" w:rsidRDefault="00AD64B0" w:rsidP="00625DAB">
            <w:pPr>
              <w:pStyle w:val="TableTextLeft"/>
            </w:pPr>
            <w:r w:rsidRPr="00B92352">
              <w:t>All elements met</w:t>
            </w:r>
            <w:r>
              <w:t>:</w:t>
            </w:r>
          </w:p>
          <w:p w14:paraId="7ED8DDDC" w14:textId="77777777" w:rsidR="00AD64B0" w:rsidRPr="00B92352" w:rsidRDefault="00AD64B0" w:rsidP="00625DAB">
            <w:pPr>
              <w:pStyle w:val="TableTextLeft"/>
            </w:pPr>
          </w:p>
        </w:tc>
        <w:tc>
          <w:tcPr>
            <w:tcW w:w="0" w:type="dxa"/>
            <w:tcBorders>
              <w:top w:val="single" w:sz="4" w:space="0" w:color="29114B" w:themeColor="text2"/>
              <w:bottom w:val="single" w:sz="4" w:space="0" w:color="FFFFFF" w:themeColor="background1"/>
            </w:tcBorders>
            <w:tcMar>
              <w:bottom w:w="0" w:type="dxa"/>
            </w:tcMar>
          </w:tcPr>
          <w:p w14:paraId="60C435BC" w14:textId="59A3E2AE" w:rsidR="00AD64B0" w:rsidRDefault="00AD64B0" w:rsidP="00625DAB">
            <w:pPr>
              <w:pStyle w:val="TableTextLeft"/>
            </w:pPr>
            <w:r>
              <w:t>Met</w:t>
            </w:r>
          </w:p>
        </w:tc>
      </w:tr>
      <w:tr w:rsidR="00AD64B0" w:rsidRPr="00723656" w14:paraId="6DAA77CC" w14:textId="77777777" w:rsidTr="00B50A9D">
        <w:tc>
          <w:tcPr>
            <w:tcW w:w="0" w:type="dxa"/>
            <w:tcBorders>
              <w:top w:val="single" w:sz="4" w:space="0" w:color="FFFFFF" w:themeColor="background1"/>
              <w:bottom w:val="single" w:sz="4" w:space="0" w:color="FFFFFF" w:themeColor="background1"/>
            </w:tcBorders>
            <w:tcMar>
              <w:top w:w="0" w:type="dxa"/>
              <w:bottom w:w="0" w:type="dxa"/>
            </w:tcMar>
          </w:tcPr>
          <w:p w14:paraId="3747A95A" w14:textId="77777777" w:rsidR="00AD64B0" w:rsidRPr="00E0474F" w:rsidRDefault="00AD64B0" w:rsidP="00625DAB">
            <w:pPr>
              <w:pStyle w:val="TableTextLeft"/>
            </w:pPr>
          </w:p>
        </w:tc>
        <w:tc>
          <w:tcPr>
            <w:tcW w:w="0" w:type="dxa"/>
            <w:tcBorders>
              <w:top w:val="single" w:sz="4" w:space="0" w:color="FFFFFF" w:themeColor="background1"/>
              <w:bottom w:val="single" w:sz="4" w:space="0" w:color="FFFFFF" w:themeColor="background1"/>
            </w:tcBorders>
            <w:tcMar>
              <w:top w:w="0" w:type="dxa"/>
              <w:bottom w:w="0" w:type="dxa"/>
            </w:tcMar>
          </w:tcPr>
          <w:p w14:paraId="5338B983" w14:textId="597D8BDA" w:rsidR="00AD64B0" w:rsidRPr="00BE1ADD" w:rsidRDefault="00AD64B0" w:rsidP="00BE1ADD">
            <w:pPr>
              <w:pStyle w:val="Tabletext-bullet"/>
            </w:pPr>
            <w:r w:rsidRPr="00BE1ADD">
              <w:t>One</w:t>
            </w:r>
            <w:r w:rsidRPr="00BE1ADD">
              <w:noBreakHyphen/>
              <w:t>on</w:t>
            </w:r>
            <w:r w:rsidRPr="00BE1ADD">
              <w:noBreakHyphen/>
              <w:t>one engagement with investors</w:t>
            </w:r>
          </w:p>
        </w:tc>
        <w:tc>
          <w:tcPr>
            <w:tcW w:w="0" w:type="dxa"/>
            <w:tcBorders>
              <w:top w:val="single" w:sz="4" w:space="0" w:color="FFFFFF" w:themeColor="background1"/>
              <w:bottom w:val="single" w:sz="4" w:space="0" w:color="FFFFFF" w:themeColor="background1"/>
            </w:tcBorders>
            <w:tcMar>
              <w:top w:w="0" w:type="dxa"/>
              <w:bottom w:w="0" w:type="dxa"/>
            </w:tcMar>
          </w:tcPr>
          <w:p w14:paraId="4231ABEF" w14:textId="7444CE52" w:rsidR="00AD64B0" w:rsidRPr="00B92352" w:rsidRDefault="00AD64B0" w:rsidP="00625DAB">
            <w:pPr>
              <w:pStyle w:val="TableTextLeft"/>
            </w:pPr>
            <w:r w:rsidRPr="00B92352">
              <w:t>100</w:t>
            </w:r>
          </w:p>
        </w:tc>
        <w:tc>
          <w:tcPr>
            <w:tcW w:w="0" w:type="dxa"/>
            <w:tcBorders>
              <w:top w:val="single" w:sz="4" w:space="0" w:color="FFFFFF" w:themeColor="background1"/>
              <w:bottom w:val="single" w:sz="4" w:space="0" w:color="FFFFFF" w:themeColor="background1"/>
            </w:tcBorders>
            <w:tcMar>
              <w:top w:w="0" w:type="dxa"/>
              <w:bottom w:w="0" w:type="dxa"/>
            </w:tcMar>
          </w:tcPr>
          <w:p w14:paraId="069DC565" w14:textId="77777777" w:rsidR="00AD64B0" w:rsidRDefault="00AD64B0" w:rsidP="00625DAB">
            <w:pPr>
              <w:pStyle w:val="TableTextLeft"/>
            </w:pPr>
          </w:p>
        </w:tc>
      </w:tr>
      <w:tr w:rsidR="00AD64B0" w:rsidRPr="00723656" w14:paraId="7089BE81" w14:textId="77777777" w:rsidTr="00B50A9D">
        <w:tc>
          <w:tcPr>
            <w:tcW w:w="0" w:type="dxa"/>
            <w:tcBorders>
              <w:top w:val="single" w:sz="4" w:space="0" w:color="FFFFFF" w:themeColor="background1"/>
              <w:bottom w:val="single" w:sz="4" w:space="0" w:color="FFFFFF" w:themeColor="background1"/>
            </w:tcBorders>
            <w:tcMar>
              <w:top w:w="0" w:type="dxa"/>
              <w:bottom w:w="0" w:type="dxa"/>
            </w:tcMar>
          </w:tcPr>
          <w:p w14:paraId="30D74666" w14:textId="77777777" w:rsidR="00AD64B0" w:rsidRPr="00E0474F" w:rsidRDefault="00AD64B0" w:rsidP="00625DAB">
            <w:pPr>
              <w:pStyle w:val="TableTextLeft"/>
            </w:pPr>
          </w:p>
        </w:tc>
        <w:tc>
          <w:tcPr>
            <w:tcW w:w="0" w:type="dxa"/>
            <w:tcBorders>
              <w:top w:val="single" w:sz="4" w:space="0" w:color="FFFFFF" w:themeColor="background1"/>
              <w:bottom w:val="single" w:sz="4" w:space="0" w:color="FFFFFF" w:themeColor="background1"/>
            </w:tcBorders>
            <w:tcMar>
              <w:top w:w="0" w:type="dxa"/>
              <w:bottom w:w="0" w:type="dxa"/>
            </w:tcMar>
          </w:tcPr>
          <w:p w14:paraId="4DB48188" w14:textId="079BA873" w:rsidR="00AD64B0" w:rsidRPr="00BE1ADD" w:rsidRDefault="00AD64B0" w:rsidP="00BE1ADD">
            <w:pPr>
              <w:pStyle w:val="Tabletext-bullet"/>
            </w:pPr>
            <w:r w:rsidRPr="00BE1ADD">
              <w:t>Presentations at investment forums</w:t>
            </w:r>
          </w:p>
        </w:tc>
        <w:tc>
          <w:tcPr>
            <w:tcW w:w="0" w:type="dxa"/>
            <w:tcBorders>
              <w:top w:val="single" w:sz="4" w:space="0" w:color="FFFFFF" w:themeColor="background1"/>
              <w:bottom w:val="single" w:sz="4" w:space="0" w:color="FFFFFF" w:themeColor="background1"/>
            </w:tcBorders>
            <w:tcMar>
              <w:top w:w="0" w:type="dxa"/>
              <w:bottom w:w="0" w:type="dxa"/>
            </w:tcMar>
          </w:tcPr>
          <w:p w14:paraId="20DA2D61" w14:textId="042CC072" w:rsidR="00AD64B0" w:rsidRPr="00B92352" w:rsidRDefault="00AD64B0" w:rsidP="00625DAB">
            <w:pPr>
              <w:pStyle w:val="TableTextLeft"/>
            </w:pPr>
            <w:r w:rsidRPr="00B92352">
              <w:t>6–8</w:t>
            </w:r>
          </w:p>
        </w:tc>
        <w:tc>
          <w:tcPr>
            <w:tcW w:w="0" w:type="dxa"/>
            <w:tcBorders>
              <w:top w:val="single" w:sz="4" w:space="0" w:color="FFFFFF" w:themeColor="background1"/>
              <w:bottom w:val="single" w:sz="4" w:space="0" w:color="FFFFFF" w:themeColor="background1"/>
            </w:tcBorders>
            <w:tcMar>
              <w:top w:w="0" w:type="dxa"/>
              <w:bottom w:w="0" w:type="dxa"/>
            </w:tcMar>
          </w:tcPr>
          <w:p w14:paraId="6D0B9616" w14:textId="77777777" w:rsidR="00AD64B0" w:rsidRDefault="00AD64B0" w:rsidP="00625DAB">
            <w:pPr>
              <w:pStyle w:val="TableTextLeft"/>
            </w:pPr>
          </w:p>
        </w:tc>
      </w:tr>
      <w:tr w:rsidR="0024718F" w:rsidRPr="00723656" w14:paraId="4FC4D339" w14:textId="77777777" w:rsidTr="00B50A9D">
        <w:trPr>
          <w:trHeight w:val="60"/>
        </w:trPr>
        <w:tc>
          <w:tcPr>
            <w:tcW w:w="0" w:type="dxa"/>
            <w:tcBorders>
              <w:top w:val="single" w:sz="4" w:space="0" w:color="FFFFFF" w:themeColor="background1"/>
            </w:tcBorders>
            <w:hideMark/>
          </w:tcPr>
          <w:p w14:paraId="366C2908" w14:textId="289EA655" w:rsidR="0024718F" w:rsidRPr="00E0474F" w:rsidRDefault="0024718F" w:rsidP="00625DAB">
            <w:pPr>
              <w:pStyle w:val="TableTextLeft"/>
            </w:pPr>
          </w:p>
        </w:tc>
        <w:tc>
          <w:tcPr>
            <w:tcW w:w="0" w:type="dxa"/>
            <w:tcBorders>
              <w:top w:val="single" w:sz="4" w:space="0" w:color="FFFFFF" w:themeColor="background1"/>
            </w:tcBorders>
            <w:hideMark/>
          </w:tcPr>
          <w:p w14:paraId="6E6EF44A" w14:textId="5882B0BD" w:rsidR="0024718F" w:rsidRPr="00BE1ADD" w:rsidRDefault="00A109D6" w:rsidP="00BE1ADD">
            <w:pPr>
              <w:pStyle w:val="Tabletext-bullet"/>
            </w:pPr>
            <w:r w:rsidRPr="00BE1ADD">
              <w:t>Investor insight publications</w:t>
            </w:r>
          </w:p>
        </w:tc>
        <w:tc>
          <w:tcPr>
            <w:tcW w:w="0" w:type="dxa"/>
            <w:tcBorders>
              <w:top w:val="single" w:sz="4" w:space="0" w:color="FFFFFF" w:themeColor="background1"/>
            </w:tcBorders>
            <w:hideMark/>
          </w:tcPr>
          <w:p w14:paraId="319EB9AA" w14:textId="0208191F" w:rsidR="0024718F" w:rsidRPr="00B92352" w:rsidRDefault="001A1D2E" w:rsidP="00625DAB">
            <w:pPr>
              <w:pStyle w:val="TableTextLeft"/>
            </w:pPr>
            <w:r w:rsidRPr="00B92352">
              <w:t>Up to 4</w:t>
            </w:r>
          </w:p>
        </w:tc>
        <w:tc>
          <w:tcPr>
            <w:tcW w:w="0" w:type="dxa"/>
            <w:tcBorders>
              <w:top w:val="single" w:sz="4" w:space="0" w:color="FFFFFF" w:themeColor="background1"/>
            </w:tcBorders>
            <w:hideMark/>
          </w:tcPr>
          <w:p w14:paraId="31456F1F" w14:textId="43DF922E" w:rsidR="0024718F" w:rsidRPr="00B92352" w:rsidRDefault="0024718F" w:rsidP="00625DAB">
            <w:pPr>
              <w:pStyle w:val="TableTextLeft"/>
            </w:pPr>
          </w:p>
        </w:tc>
      </w:tr>
      <w:tr w:rsidR="0024718F" w:rsidRPr="00723656" w14:paraId="0172AD45" w14:textId="77777777" w:rsidTr="00B50A9D">
        <w:tc>
          <w:tcPr>
            <w:tcW w:w="0" w:type="dxa"/>
            <w:hideMark/>
          </w:tcPr>
          <w:p w14:paraId="4CE81F2D" w14:textId="7FE65190" w:rsidR="0024718F" w:rsidRPr="00B50A9D" w:rsidRDefault="0024718F" w:rsidP="00625DAB">
            <w:pPr>
              <w:pStyle w:val="TableTextLeft"/>
              <w:rPr>
                <w:b/>
                <w:bCs/>
              </w:rPr>
            </w:pPr>
            <w:r w:rsidRPr="00B50A9D">
              <w:rPr>
                <w:b/>
                <w:bCs/>
              </w:rPr>
              <w:t>Key Activity</w:t>
            </w:r>
            <w:r w:rsidR="003811DB" w:rsidRPr="00B50A9D">
              <w:rPr>
                <w:b/>
                <w:bCs/>
              </w:rPr>
              <w:t xml:space="preserve"> </w:t>
            </w:r>
            <w:r w:rsidR="00365862" w:rsidRPr="00B50A9D">
              <w:rPr>
                <w:b/>
                <w:bCs/>
              </w:rPr>
              <w:t>3</w:t>
            </w:r>
            <w:r w:rsidRPr="00B50A9D">
              <w:rPr>
                <w:b/>
                <w:bCs/>
              </w:rPr>
              <w:t>.2</w:t>
            </w:r>
          </w:p>
        </w:tc>
        <w:tc>
          <w:tcPr>
            <w:tcW w:w="0" w:type="dxa"/>
            <w:gridSpan w:val="3"/>
            <w:hideMark/>
          </w:tcPr>
          <w:p w14:paraId="1516057C" w14:textId="45A6AD70" w:rsidR="004B09A9" w:rsidRPr="00EF4749" w:rsidRDefault="004B09A9" w:rsidP="00625DAB">
            <w:pPr>
              <w:pStyle w:val="TableTextLeft"/>
              <w:rPr>
                <w:b/>
                <w:bCs/>
              </w:rPr>
            </w:pPr>
            <w:r w:rsidRPr="00EF4749">
              <w:rPr>
                <w:b/>
                <w:bCs/>
              </w:rPr>
              <w:t xml:space="preserve">Support </w:t>
            </w:r>
            <w:r w:rsidR="003B694A" w:rsidRPr="00EF4749">
              <w:rPr>
                <w:b/>
                <w:bCs/>
              </w:rPr>
              <w:t>financial</w:t>
            </w:r>
            <w:r w:rsidRPr="00EF4749">
              <w:rPr>
                <w:b/>
                <w:bCs/>
              </w:rPr>
              <w:t xml:space="preserve"> market liquidity:</w:t>
            </w:r>
          </w:p>
          <w:p w14:paraId="3E105926" w14:textId="2C02A3B6" w:rsidR="0024718F" w:rsidRPr="00B92352" w:rsidRDefault="003735AC" w:rsidP="00BE1ADD">
            <w:pPr>
              <w:pStyle w:val="Tabletext-bullet"/>
            </w:pPr>
            <w:r w:rsidRPr="00B92352">
              <w:t>by monitoring secondary market activity</w:t>
            </w:r>
          </w:p>
          <w:p w14:paraId="6189CFB7" w14:textId="0B8ED965" w:rsidR="004B09A9" w:rsidRPr="00B92352" w:rsidRDefault="004B09A9" w:rsidP="00BE1ADD">
            <w:pPr>
              <w:pStyle w:val="Tabletext-bullet"/>
            </w:pPr>
            <w:r w:rsidRPr="00B92352">
              <w:t xml:space="preserve">through </w:t>
            </w:r>
            <w:r w:rsidR="004129E1">
              <w:t xml:space="preserve">regular </w:t>
            </w:r>
            <w:r w:rsidRPr="00B92352">
              <w:t>weekly issuance</w:t>
            </w:r>
            <w:r w:rsidR="004129E1">
              <w:t>,</w:t>
            </w:r>
            <w:r w:rsidRPr="00B92352" w:rsidDel="004129E1">
              <w:t xml:space="preserve"> </w:t>
            </w:r>
            <w:r w:rsidR="004129E1">
              <w:t xml:space="preserve">having considered market </w:t>
            </w:r>
            <w:r w:rsidRPr="00B92352" w:rsidDel="004129E1">
              <w:t>conditions</w:t>
            </w:r>
          </w:p>
          <w:p w14:paraId="788AD74D" w14:textId="46EF4F1B" w:rsidR="0024718F" w:rsidRPr="00B92352" w:rsidRDefault="00D95D7F" w:rsidP="00BE1ADD">
            <w:pPr>
              <w:pStyle w:val="Tabletext-bullet"/>
            </w:pPr>
            <w:r w:rsidRPr="00B92352">
              <w:t>by maintaining a securities lending facility</w:t>
            </w:r>
            <w:r w:rsidR="00EA1101" w:rsidRPr="00B92352">
              <w:t>.</w:t>
            </w:r>
          </w:p>
        </w:tc>
      </w:tr>
      <w:tr w:rsidR="0024718F" w:rsidRPr="00723656" w14:paraId="4860EB15" w14:textId="77777777" w:rsidTr="00B50A9D">
        <w:tc>
          <w:tcPr>
            <w:tcW w:w="0" w:type="dxa"/>
            <w:hideMark/>
          </w:tcPr>
          <w:p w14:paraId="276DF321" w14:textId="44E8D353" w:rsidR="0024718F" w:rsidRPr="00E0474F" w:rsidRDefault="00B64326" w:rsidP="00625DAB">
            <w:pPr>
              <w:pStyle w:val="TableTextLeft"/>
            </w:pPr>
            <w:r w:rsidRPr="00E0474F">
              <w:t>3</w:t>
            </w:r>
            <w:r w:rsidR="0024718F" w:rsidRPr="00E0474F">
              <w:t>.2</w:t>
            </w:r>
            <w:r w:rsidR="001970DF" w:rsidRPr="00E0474F">
              <w:t>.1</w:t>
            </w:r>
          </w:p>
        </w:tc>
        <w:tc>
          <w:tcPr>
            <w:tcW w:w="0" w:type="dxa"/>
            <w:hideMark/>
          </w:tcPr>
          <w:p w14:paraId="40150245" w14:textId="6F8C71F7" w:rsidR="0024718F" w:rsidRPr="00B92352" w:rsidRDefault="00BB4DE3" w:rsidP="00625DAB">
            <w:pPr>
              <w:pStyle w:val="TableTextLeft"/>
            </w:pPr>
            <w:r w:rsidRPr="00B92352">
              <w:rPr>
                <w:b/>
                <w:bCs/>
              </w:rPr>
              <w:t>Turnover ratio</w:t>
            </w:r>
            <w:r w:rsidR="0024718F" w:rsidRPr="00B92352">
              <w:rPr>
                <w:b/>
                <w:bCs/>
              </w:rPr>
              <w:t>:</w:t>
            </w:r>
            <w:r w:rsidR="0024718F" w:rsidRPr="00B92352">
              <w:t xml:space="preserve"> </w:t>
            </w:r>
            <w:r w:rsidR="002267B7" w:rsidRPr="00B92352">
              <w:t>A</w:t>
            </w:r>
            <w:r w:rsidR="00117A59" w:rsidRPr="00B92352">
              <w:t xml:space="preserve">nnual reported secondary market </w:t>
            </w:r>
            <w:r w:rsidR="005F48B0" w:rsidRPr="00B92352">
              <w:t xml:space="preserve">turnover for Treasury Bonds and </w:t>
            </w:r>
            <w:r w:rsidR="003811DB" w:rsidRPr="00B92352">
              <w:t>Treasury Indexed Bonds (TIBs)</w:t>
            </w:r>
            <w:r w:rsidR="005F48B0" w:rsidRPr="00B92352">
              <w:t xml:space="preserve"> as a proportion of debt on issue.</w:t>
            </w:r>
          </w:p>
        </w:tc>
        <w:tc>
          <w:tcPr>
            <w:tcW w:w="0" w:type="dxa"/>
            <w:hideMark/>
          </w:tcPr>
          <w:p w14:paraId="0104E8C6" w14:textId="5EF1075F" w:rsidR="0024718F" w:rsidRPr="00B92352" w:rsidRDefault="00E668ED" w:rsidP="00625DAB">
            <w:pPr>
              <w:pStyle w:val="TableTextLeft"/>
            </w:pPr>
            <w:r w:rsidRPr="00B92352">
              <w:t>Greater than 1</w:t>
            </w:r>
          </w:p>
        </w:tc>
        <w:tc>
          <w:tcPr>
            <w:tcW w:w="0" w:type="dxa"/>
            <w:hideMark/>
          </w:tcPr>
          <w:p w14:paraId="3462ABAD" w14:textId="3CECE140" w:rsidR="0024718F" w:rsidRPr="00B92352" w:rsidRDefault="00E668ED" w:rsidP="00625DAB">
            <w:pPr>
              <w:pStyle w:val="TableTextLeft"/>
            </w:pPr>
            <w:r w:rsidRPr="00B92352">
              <w:t>Met</w:t>
            </w:r>
          </w:p>
        </w:tc>
      </w:tr>
    </w:tbl>
    <w:p w14:paraId="33E30A1B" w14:textId="7A39190E" w:rsidR="00B50A9D" w:rsidRDefault="00B50A9D" w:rsidP="00B26BFC">
      <w:bookmarkStart w:id="606" w:name="_Toc173327315"/>
      <w:bookmarkStart w:id="607" w:name="_Toc173327768"/>
      <w:bookmarkStart w:id="608" w:name="_Toc173395291"/>
      <w:bookmarkStart w:id="609" w:name="_Toc173395369"/>
      <w:bookmarkStart w:id="610" w:name="_Toc173395703"/>
      <w:bookmarkStart w:id="611" w:name="_Toc173396591"/>
      <w:bookmarkStart w:id="612" w:name="_Toc173397602"/>
      <w:bookmarkStart w:id="613" w:name="_Toc173408155"/>
      <w:bookmarkStart w:id="614" w:name="_Toc173411477"/>
      <w:bookmarkStart w:id="615" w:name="_Toc173479157"/>
      <w:bookmarkStart w:id="616" w:name="_Toc173743062"/>
      <w:bookmarkStart w:id="617" w:name="_Toc173743223"/>
      <w:bookmarkStart w:id="618" w:name="_Toc176160545"/>
      <w:bookmarkStart w:id="619" w:name="_Toc176163173"/>
      <w:bookmarkStart w:id="620" w:name="_Toc205474311"/>
    </w:p>
    <w:p w14:paraId="7B832EE2" w14:textId="77777777" w:rsidR="00B50A9D" w:rsidRDefault="00B50A9D">
      <w:pPr>
        <w:spacing w:after="0" w:line="240" w:lineRule="auto"/>
      </w:pPr>
      <w:r>
        <w:br w:type="page"/>
      </w:r>
    </w:p>
    <w:p w14:paraId="622C943E" w14:textId="4C03410A" w:rsidR="00B64326" w:rsidRDefault="00956321" w:rsidP="00C67F81">
      <w:pPr>
        <w:pStyle w:val="Heading2"/>
      </w:pPr>
      <w:bookmarkStart w:id="621" w:name="_Toc207792893"/>
      <w:bookmarkStart w:id="622" w:name="_Toc207793930"/>
      <w:bookmarkStart w:id="623" w:name="_Toc207796065"/>
      <w:bookmarkStart w:id="624" w:name="_Toc207796936"/>
      <w:bookmarkStart w:id="625" w:name="_Toc207800237"/>
      <w:bookmarkStart w:id="626" w:name="_Toc207810815"/>
      <w:bookmarkStart w:id="627" w:name="_Toc208914094"/>
      <w:bookmarkStart w:id="628" w:name="_Toc209424491"/>
      <w:r w:rsidRPr="00993551">
        <w:lastRenderedPageBreak/>
        <w:t>Key Activity</w:t>
      </w:r>
      <w:r w:rsidR="00F45D96" w:rsidRPr="00993551">
        <w:t xml:space="preserve"> </w:t>
      </w:r>
      <w:r w:rsidRPr="00993551">
        <w:t>3.</w:t>
      </w:r>
      <w:r>
        <w:t>1</w:t>
      </w:r>
      <w:r w:rsidRPr="00993551">
        <w:t xml:space="preserve">: </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00413C64">
        <w:t>Conduct a market engagement program</w:t>
      </w:r>
      <w:bookmarkEnd w:id="620"/>
      <w:bookmarkEnd w:id="621"/>
      <w:bookmarkEnd w:id="622"/>
      <w:bookmarkEnd w:id="623"/>
      <w:bookmarkEnd w:id="624"/>
      <w:bookmarkEnd w:id="625"/>
      <w:bookmarkEnd w:id="626"/>
      <w:bookmarkEnd w:id="627"/>
      <w:bookmarkEnd w:id="628"/>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0E2015" w14:paraId="76C56B46" w14:textId="77777777">
        <w:tc>
          <w:tcPr>
            <w:tcW w:w="7700" w:type="dxa"/>
            <w:tcBorders>
              <w:bottom w:val="single" w:sz="24" w:space="0" w:color="472978" w:themeColor="accent1"/>
            </w:tcBorders>
            <w:shd w:val="clear" w:color="auto" w:fill="E7DCF7" w:themeFill="text2" w:themeFillTint="1A"/>
          </w:tcPr>
          <w:p w14:paraId="04D14659" w14:textId="71EE31B0" w:rsidR="00EC49A3" w:rsidRPr="00EC49A3" w:rsidRDefault="00EC49A3" w:rsidP="00AD64B0">
            <w:pPr>
              <w:pStyle w:val="Boxheading"/>
            </w:pPr>
            <w:r w:rsidRPr="00EC49A3">
              <w:t xml:space="preserve">Why is market </w:t>
            </w:r>
            <w:r w:rsidRPr="00AD64B0">
              <w:t>engagement</w:t>
            </w:r>
            <w:r w:rsidRPr="00EC49A3">
              <w:t xml:space="preserve"> important? </w:t>
            </w:r>
          </w:p>
          <w:p w14:paraId="43ED53B8" w14:textId="7CB3CC34" w:rsidR="00EC49A3" w:rsidRPr="00AD64B0" w:rsidRDefault="00F16707" w:rsidP="00AD64B0">
            <w:pPr>
              <w:pStyle w:val="BoxText"/>
            </w:pPr>
            <w:r w:rsidRPr="00AD64B0">
              <w:t>R</w:t>
            </w:r>
            <w:r w:rsidR="00EC49A3" w:rsidRPr="00AD64B0">
              <w:t xml:space="preserve">egular </w:t>
            </w:r>
            <w:r w:rsidR="00983BEF" w:rsidRPr="00AD64B0">
              <w:t xml:space="preserve">market </w:t>
            </w:r>
            <w:r w:rsidR="00EC49A3" w:rsidRPr="00AD64B0">
              <w:t>engagement</w:t>
            </w:r>
            <w:r w:rsidR="00A056B5" w:rsidRPr="00AD64B0">
              <w:t xml:space="preserve"> provides </w:t>
            </w:r>
            <w:r w:rsidR="007F2BB9" w:rsidRPr="00AD64B0">
              <w:t xml:space="preserve">valuable market insights </w:t>
            </w:r>
            <w:r w:rsidR="003108AB" w:rsidRPr="00AD64B0">
              <w:t xml:space="preserve">that </w:t>
            </w:r>
            <w:r w:rsidR="00EC49A3" w:rsidRPr="00AD64B0">
              <w:t>inform our decision</w:t>
            </w:r>
            <w:r w:rsidR="00B84FF2" w:rsidRPr="00AD64B0">
              <w:noBreakHyphen/>
            </w:r>
            <w:r w:rsidR="00EC49A3" w:rsidRPr="00AD64B0">
              <w:t>making</w:t>
            </w:r>
            <w:r w:rsidR="00856189" w:rsidRPr="00AD64B0">
              <w:t xml:space="preserve"> and</w:t>
            </w:r>
            <w:r w:rsidR="00EC49A3" w:rsidRPr="00AD64B0">
              <w:t xml:space="preserve"> </w:t>
            </w:r>
            <w:r w:rsidR="003108AB" w:rsidRPr="00AD64B0">
              <w:t>enhance our</w:t>
            </w:r>
            <w:r w:rsidR="00EC49A3" w:rsidRPr="00AD64B0">
              <w:t xml:space="preserve"> understand</w:t>
            </w:r>
            <w:r w:rsidR="003108AB" w:rsidRPr="00AD64B0">
              <w:t>ing of</w:t>
            </w:r>
            <w:r w:rsidR="00EC49A3" w:rsidRPr="00AD64B0">
              <w:t xml:space="preserve">: </w:t>
            </w:r>
          </w:p>
          <w:p w14:paraId="7202E0A0" w14:textId="001BFF42" w:rsidR="00EC49A3" w:rsidRPr="00AD64B0" w:rsidRDefault="001C6413" w:rsidP="00753C3D">
            <w:pPr>
              <w:pStyle w:val="Boxbullet0"/>
            </w:pPr>
            <w:r w:rsidRPr="00AD64B0">
              <w:t>investor sentiment and market perceptions</w:t>
            </w:r>
            <w:r w:rsidR="00EC49A3" w:rsidRPr="00AD64B0">
              <w:t xml:space="preserve"> </w:t>
            </w:r>
          </w:p>
          <w:p w14:paraId="41AA1F93" w14:textId="4D6E97A9" w:rsidR="00EC49A3" w:rsidRPr="00AD64B0" w:rsidRDefault="00EC49A3" w:rsidP="00753C3D">
            <w:pPr>
              <w:pStyle w:val="Boxbullet0"/>
            </w:pPr>
            <w:r w:rsidRPr="00AD64B0">
              <w:t xml:space="preserve">demand for AGS, </w:t>
            </w:r>
            <w:r w:rsidR="0045675A" w:rsidRPr="00AD64B0">
              <w:t>including emerging trends</w:t>
            </w:r>
          </w:p>
          <w:p w14:paraId="54FA78E9" w14:textId="2B011C12" w:rsidR="00EC49A3" w:rsidRPr="00AD64B0" w:rsidRDefault="00EC49A3" w:rsidP="00753C3D">
            <w:pPr>
              <w:pStyle w:val="Boxbullet0"/>
            </w:pPr>
            <w:r w:rsidRPr="00AD64B0">
              <w:t>intermediaries</w:t>
            </w:r>
            <w:r w:rsidR="00B84FF2" w:rsidRPr="00AD64B0">
              <w:t>’</w:t>
            </w:r>
            <w:r w:rsidRPr="00AD64B0">
              <w:t xml:space="preserve"> relationships with and knowledge of investors</w:t>
            </w:r>
          </w:p>
          <w:p w14:paraId="7D222944" w14:textId="30CAFBED" w:rsidR="003F3D5E" w:rsidRDefault="004A6192" w:rsidP="00753C3D">
            <w:pPr>
              <w:pStyle w:val="Boxbullet0"/>
            </w:pPr>
            <w:r w:rsidRPr="00AD64B0">
              <w:t xml:space="preserve">broader </w:t>
            </w:r>
            <w:r w:rsidR="00EC49A3" w:rsidRPr="00AD64B0">
              <w:t>market dynamics and conditions</w:t>
            </w:r>
            <w:r w:rsidR="00B84FF2" w:rsidRPr="00AD64B0">
              <w:t xml:space="preserve">. </w:t>
            </w:r>
          </w:p>
          <w:p w14:paraId="16F295FC" w14:textId="77777777" w:rsidR="00753C3D" w:rsidRPr="00AD64B0" w:rsidRDefault="00753C3D" w:rsidP="00753C3D">
            <w:pPr>
              <w:pStyle w:val="SingleReturn"/>
            </w:pPr>
          </w:p>
          <w:p w14:paraId="22960965" w14:textId="6391FBE1" w:rsidR="003F3D5E" w:rsidRPr="00AD64B0" w:rsidRDefault="004A6192" w:rsidP="00AD64B0">
            <w:pPr>
              <w:pStyle w:val="BoxText"/>
            </w:pPr>
            <w:r w:rsidRPr="00AD64B0">
              <w:t>A</w:t>
            </w:r>
            <w:r w:rsidR="00EC49A3" w:rsidRPr="00AD64B0">
              <w:t xml:space="preserve"> deeper understanding of our investor base </w:t>
            </w:r>
            <w:r w:rsidR="00CB427F" w:rsidRPr="00AD64B0">
              <w:t>allows</w:t>
            </w:r>
            <w:r w:rsidR="00EC49A3" w:rsidRPr="00AD64B0">
              <w:t xml:space="preserve"> us </w:t>
            </w:r>
            <w:r w:rsidR="007F6C95" w:rsidRPr="00AD64B0">
              <w:t xml:space="preserve">to </w:t>
            </w:r>
            <w:r w:rsidR="00EC49A3" w:rsidRPr="00AD64B0">
              <w:t xml:space="preserve">identify </w:t>
            </w:r>
            <w:r w:rsidR="00B94C28" w:rsidRPr="00AD64B0">
              <w:t xml:space="preserve">key </w:t>
            </w:r>
            <w:r w:rsidR="00EC49A3" w:rsidRPr="00AD64B0">
              <w:t xml:space="preserve">investors </w:t>
            </w:r>
            <w:r w:rsidR="006F2FD7" w:rsidRPr="00AD64B0">
              <w:t>in</w:t>
            </w:r>
            <w:r w:rsidR="00EC49A3" w:rsidRPr="00AD64B0">
              <w:t xml:space="preserve"> the AGS market and assess their level of influence. Th</w:t>
            </w:r>
            <w:r w:rsidR="00A032E7" w:rsidRPr="00AD64B0">
              <w:t>ese insights</w:t>
            </w:r>
            <w:r w:rsidR="008A085C" w:rsidRPr="00AD64B0">
              <w:t xml:space="preserve"> inform</w:t>
            </w:r>
            <w:r w:rsidR="006476DF" w:rsidRPr="00AD64B0">
              <w:t xml:space="preserve"> the</w:t>
            </w:r>
            <w:r w:rsidR="00EC49A3" w:rsidRPr="00AD64B0">
              <w:t xml:space="preserve"> develop</w:t>
            </w:r>
            <w:r w:rsidR="00AA18D9" w:rsidRPr="00AD64B0">
              <w:t>ment of</w:t>
            </w:r>
            <w:r w:rsidR="00B042B3" w:rsidRPr="00AD64B0">
              <w:t xml:space="preserve"> a</w:t>
            </w:r>
            <w:r w:rsidR="00EC49A3" w:rsidRPr="00AD64B0">
              <w:t xml:space="preserve"> targeted investor engagement program, </w:t>
            </w:r>
            <w:r w:rsidR="008A085C" w:rsidRPr="00AD64B0">
              <w:t>guide</w:t>
            </w:r>
            <w:r w:rsidR="00EC49A3" w:rsidRPr="00AD64B0">
              <w:t xml:space="preserve"> decisions </w:t>
            </w:r>
            <w:r w:rsidR="005216C6" w:rsidRPr="00AD64B0">
              <w:t>around</w:t>
            </w:r>
            <w:r w:rsidR="00EC49A3" w:rsidRPr="00AD64B0">
              <w:t xml:space="preserve"> weekly bond issuance</w:t>
            </w:r>
            <w:r w:rsidR="000A687B" w:rsidRPr="00AD64B0">
              <w:t>,</w:t>
            </w:r>
            <w:r w:rsidR="00EC49A3" w:rsidRPr="00AD64B0">
              <w:t xml:space="preserve"> and influence the scaling of investor bids when bond syndications are oversubscribed.</w:t>
            </w:r>
          </w:p>
          <w:p w14:paraId="6821E119" w14:textId="51E85F9C" w:rsidR="000E2015" w:rsidRPr="006574CB" w:rsidRDefault="003F3D5E" w:rsidP="00AD64B0">
            <w:pPr>
              <w:pStyle w:val="BoxText"/>
            </w:pPr>
            <w:r w:rsidRPr="00AD64B0">
              <w:t xml:space="preserve">The AOFM </w:t>
            </w:r>
            <w:r w:rsidR="003E7420" w:rsidRPr="00AD64B0">
              <w:t>engages</w:t>
            </w:r>
            <w:r w:rsidRPr="00AD64B0">
              <w:t xml:space="preserve"> with intermediaries and investors through </w:t>
            </w:r>
            <w:r w:rsidR="000A687B" w:rsidRPr="00AD64B0">
              <w:t>d</w:t>
            </w:r>
            <w:r w:rsidRPr="00AD64B0">
              <w:t xml:space="preserve">irect interactions and indirect communication. </w:t>
            </w:r>
            <w:r w:rsidR="00D154DA" w:rsidRPr="00AD64B0">
              <w:t>This e</w:t>
            </w:r>
            <w:r w:rsidRPr="00AD64B0">
              <w:t xml:space="preserve">ngagement </w:t>
            </w:r>
            <w:r w:rsidR="000A687B" w:rsidRPr="00AD64B0">
              <w:t xml:space="preserve">– </w:t>
            </w:r>
            <w:r w:rsidR="0048655D" w:rsidRPr="00AD64B0">
              <w:t xml:space="preserve">primarily conducted by </w:t>
            </w:r>
            <w:r w:rsidR="001A491A" w:rsidRPr="00AD64B0">
              <w:t xml:space="preserve">the front office and our </w:t>
            </w:r>
            <w:r w:rsidR="000A687B" w:rsidRPr="00AD64B0">
              <w:t>Chief Executive Officer (</w:t>
            </w:r>
            <w:r w:rsidR="001A491A" w:rsidRPr="00AD64B0">
              <w:t>CEO</w:t>
            </w:r>
            <w:r w:rsidR="000A687B" w:rsidRPr="00AD64B0">
              <w:t xml:space="preserve">) – </w:t>
            </w:r>
            <w:r w:rsidR="001A491A" w:rsidRPr="00AD64B0">
              <w:t xml:space="preserve">includes </w:t>
            </w:r>
            <w:r w:rsidR="007072F3" w:rsidRPr="00AD64B0">
              <w:t xml:space="preserve">regular dialogue with </w:t>
            </w:r>
            <w:r w:rsidRPr="00AD64B0">
              <w:t>banks, investors and other market participants</w:t>
            </w:r>
            <w:r w:rsidR="007072F3" w:rsidRPr="00AD64B0">
              <w:t>.</w:t>
            </w:r>
          </w:p>
        </w:tc>
      </w:tr>
    </w:tbl>
    <w:p w14:paraId="21018CCB" w14:textId="77777777" w:rsidR="000E2015" w:rsidRPr="000E2015" w:rsidRDefault="000E2015" w:rsidP="0098198B">
      <w:pPr>
        <w:pStyle w:val="SingleReturn"/>
      </w:pPr>
    </w:p>
    <w:p w14:paraId="318D01F2" w14:textId="347C5C4C" w:rsidR="00F217FA" w:rsidRDefault="00F217FA" w:rsidP="00F217FA">
      <w:bookmarkStart w:id="629" w:name="_Toc173327316"/>
      <w:bookmarkStart w:id="630" w:name="_Toc173327769"/>
      <w:bookmarkStart w:id="631" w:name="_Toc173395292"/>
      <w:bookmarkStart w:id="632" w:name="_Toc173395370"/>
      <w:bookmarkStart w:id="633" w:name="_Toc173395704"/>
      <w:bookmarkStart w:id="634" w:name="_Toc173396592"/>
      <w:bookmarkStart w:id="635" w:name="_Toc173397603"/>
      <w:bookmarkStart w:id="636" w:name="_Toc173408156"/>
      <w:bookmarkStart w:id="637" w:name="_Toc173411478"/>
      <w:bookmarkStart w:id="638" w:name="_Toc173479158"/>
      <w:bookmarkStart w:id="639" w:name="_Toc173743063"/>
      <w:bookmarkStart w:id="640" w:name="_Toc173743224"/>
      <w:bookmarkStart w:id="641" w:name="_Toc176160546"/>
      <w:bookmarkStart w:id="642" w:name="_Toc176163174"/>
      <w:r>
        <w:t>The AOFM</w:t>
      </w:r>
      <w:r w:rsidR="00B84FF2">
        <w:t>’</w:t>
      </w:r>
      <w:r>
        <w:t>s</w:t>
      </w:r>
      <w:r w:rsidR="00850A3F">
        <w:t xml:space="preserve"> approach to</w:t>
      </w:r>
      <w:r w:rsidR="003B4F4E">
        <w:t xml:space="preserve"> </w:t>
      </w:r>
      <w:r>
        <w:t xml:space="preserve">investor engagement </w:t>
      </w:r>
      <w:r w:rsidR="00C32C09">
        <w:t>employs</w:t>
      </w:r>
      <w:r>
        <w:t xml:space="preserve"> several </w:t>
      </w:r>
      <w:r w:rsidR="00850A3F">
        <w:t>methods</w:t>
      </w:r>
      <w:r>
        <w:t>. The</w:t>
      </w:r>
      <w:r w:rsidR="00D230E9">
        <w:t xml:space="preserve"> main metho</w:t>
      </w:r>
      <w:r w:rsidR="009710C3">
        <w:t>d</w:t>
      </w:r>
      <w:r w:rsidR="00173BEB">
        <w:t>s</w:t>
      </w:r>
      <w:r w:rsidR="009710C3">
        <w:t xml:space="preserve"> of </w:t>
      </w:r>
      <w:r w:rsidR="00C92932">
        <w:t xml:space="preserve">engagement </w:t>
      </w:r>
      <w:r w:rsidR="00173BEB">
        <w:t>are</w:t>
      </w:r>
      <w:r w:rsidR="000A687B">
        <w:t xml:space="preserve"> </w:t>
      </w:r>
      <w:r>
        <w:t>investor</w:t>
      </w:r>
      <w:r w:rsidR="00C92932">
        <w:t xml:space="preserve"> </w:t>
      </w:r>
      <w:r w:rsidR="00E33719">
        <w:t>meeting</w:t>
      </w:r>
      <w:r w:rsidR="00E35E6F">
        <w:t>s</w:t>
      </w:r>
      <w:r w:rsidR="00FF004A">
        <w:t>,</w:t>
      </w:r>
      <w:r>
        <w:t xml:space="preserve"> and </w:t>
      </w:r>
      <w:r w:rsidR="000A687B">
        <w:t xml:space="preserve">participation </w:t>
      </w:r>
      <w:r w:rsidR="00F9225C">
        <w:t xml:space="preserve">at industry </w:t>
      </w:r>
      <w:r>
        <w:t xml:space="preserve">forums </w:t>
      </w:r>
      <w:r w:rsidR="000A687B">
        <w:t xml:space="preserve">that </w:t>
      </w:r>
      <w:r w:rsidR="00DC5671">
        <w:t>target our investor base</w:t>
      </w:r>
      <w:r>
        <w:t xml:space="preserve">. The </w:t>
      </w:r>
      <w:r w:rsidR="0045095F">
        <w:t xml:space="preserve">market </w:t>
      </w:r>
      <w:r w:rsidR="00FF004A">
        <w:t xml:space="preserve">engagement </w:t>
      </w:r>
      <w:r>
        <w:t xml:space="preserve">program is underpinned by an </w:t>
      </w:r>
      <w:r w:rsidR="005703EC">
        <w:t xml:space="preserve">overarching </w:t>
      </w:r>
      <w:r>
        <w:t>investor relations strategy and an annual investor relations</w:t>
      </w:r>
      <w:r w:rsidR="00854A9F">
        <w:t xml:space="preserve"> </w:t>
      </w:r>
      <w:r>
        <w:t xml:space="preserve">plan. The timing of engagement can vary, but typically we begin a cycle of offshore meetings soon after </w:t>
      </w:r>
      <w:r w:rsidR="00A66767">
        <w:t xml:space="preserve">the </w:t>
      </w:r>
      <w:r w:rsidR="000C4961">
        <w:t xml:space="preserve">Australian </w:t>
      </w:r>
      <w:r w:rsidR="00173BEB">
        <w:t xml:space="preserve">Government releases its </w:t>
      </w:r>
      <w:r>
        <w:t>Budget updates.</w:t>
      </w:r>
    </w:p>
    <w:p w14:paraId="0FA4B0FE" w14:textId="6390BE81" w:rsidR="00B50A9D" w:rsidRDefault="00F217FA" w:rsidP="00F217FA">
      <w:r>
        <w:t xml:space="preserve"> </w:t>
      </w:r>
    </w:p>
    <w:p w14:paraId="42E93407" w14:textId="77777777" w:rsidR="00B50A9D" w:rsidRDefault="00B50A9D">
      <w:pPr>
        <w:spacing w:after="0" w:line="240" w:lineRule="auto"/>
      </w:pPr>
      <w:r>
        <w:br w:type="page"/>
      </w:r>
    </w:p>
    <w:p w14:paraId="1BCF20D3" w14:textId="5ADAE07B" w:rsidR="00EE743B" w:rsidRDefault="00EE743B" w:rsidP="00713231">
      <w:pPr>
        <w:pStyle w:val="Heading3"/>
        <w:rPr>
          <w:lang w:eastAsia="en-AU"/>
        </w:rPr>
      </w:pPr>
      <w:bookmarkStart w:id="643" w:name="_Toc207796066"/>
      <w:r w:rsidRPr="007E06E1">
        <w:rPr>
          <w:lang w:eastAsia="en-AU"/>
        </w:rPr>
        <w:lastRenderedPageBreak/>
        <w:t>Performance for Key Activity</w:t>
      </w:r>
      <w:r w:rsidR="00FF004A" w:rsidRPr="007E06E1">
        <w:rPr>
          <w:lang w:eastAsia="en-AU"/>
        </w:rPr>
        <w:t xml:space="preserve"> </w:t>
      </w:r>
      <w:r w:rsidRPr="007E06E1">
        <w:rPr>
          <w:lang w:eastAsia="en-AU"/>
        </w:rPr>
        <w:t>3.1</w:t>
      </w:r>
      <w:bookmarkEnd w:id="643"/>
      <w:r w:rsidRPr="007E06E1">
        <w:rPr>
          <w:lang w:eastAsia="en-AU"/>
        </w:rPr>
        <w:t> </w:t>
      </w:r>
    </w:p>
    <w:p w14:paraId="742AFC77" w14:textId="25F73746" w:rsidR="00EE743B" w:rsidRPr="00BA3AF2" w:rsidRDefault="00EE743B" w:rsidP="00713231">
      <w:pPr>
        <w:pStyle w:val="Heading4"/>
      </w:pPr>
      <w:r w:rsidRPr="007E06E1">
        <w:t>Indicator 3.</w:t>
      </w:r>
      <w:r>
        <w:t>1</w:t>
      </w:r>
      <w:r w:rsidR="0045095F">
        <w:t>:</w:t>
      </w:r>
      <w:r w:rsidRPr="007E06E1">
        <w:t xml:space="preserve"> </w:t>
      </w:r>
      <w:r>
        <w:t>Annual investor relations plan</w:t>
      </w:r>
      <w:r w:rsidRPr="007E06E1">
        <w:t> </w:t>
      </w:r>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EE743B" w14:paraId="0C83FA3B" w14:textId="77777777">
        <w:tc>
          <w:tcPr>
            <w:tcW w:w="7700" w:type="dxa"/>
            <w:shd w:val="clear" w:color="auto" w:fill="472978" w:themeFill="accent1"/>
            <w:tcMar>
              <w:top w:w="284" w:type="dxa"/>
              <w:bottom w:w="284" w:type="dxa"/>
            </w:tcMar>
          </w:tcPr>
          <w:p w14:paraId="7DE31AB1" w14:textId="60ACB75D" w:rsidR="00EE743B" w:rsidRPr="006F7A5F" w:rsidRDefault="0096135D" w:rsidP="00AD64B0">
            <w:pPr>
              <w:pStyle w:val="Pullquote"/>
            </w:pPr>
            <w:r>
              <w:t xml:space="preserve">The </w:t>
            </w:r>
            <w:r w:rsidRPr="00AD64B0">
              <w:t>AOFM</w:t>
            </w:r>
            <w:r>
              <w:t xml:space="preserve"> </w:t>
            </w:r>
            <w:r w:rsidR="00795F7A">
              <w:t xml:space="preserve">met the </w:t>
            </w:r>
            <w:r w:rsidR="00671060">
              <w:t xml:space="preserve">target and </w:t>
            </w:r>
            <w:r>
              <w:t>c</w:t>
            </w:r>
            <w:r w:rsidR="00CB74E9">
              <w:t>onduct</w:t>
            </w:r>
            <w:r>
              <w:t>ed</w:t>
            </w:r>
            <w:r w:rsidR="00CB74E9">
              <w:t xml:space="preserve"> investor outreach in accordance with the annual investor relations plan.</w:t>
            </w:r>
          </w:p>
        </w:tc>
      </w:tr>
    </w:tbl>
    <w:p w14:paraId="5F9BC0B6" w14:textId="55B387C7" w:rsidR="00F217FA" w:rsidRDefault="00F217FA" w:rsidP="00713231">
      <w:pPr>
        <w:pStyle w:val="Heading3"/>
      </w:pPr>
      <w:bookmarkStart w:id="644" w:name="_Toc207796067"/>
      <w:r>
        <w:t>Summary of 2024–25 investor engagement activities</w:t>
      </w:r>
      <w:bookmarkEnd w:id="644"/>
      <w:r>
        <w:t xml:space="preserve"> </w:t>
      </w:r>
    </w:p>
    <w:p w14:paraId="0B0E4475" w14:textId="394229F2" w:rsidR="00BC23C3" w:rsidRDefault="00BC23C3" w:rsidP="00BC23C3">
      <w:r>
        <w:t>The AOFM</w:t>
      </w:r>
      <w:r w:rsidR="0045095F">
        <w:t xml:space="preserve"> carried out its 2024–25</w:t>
      </w:r>
      <w:r>
        <w:t xml:space="preserve"> investor engagement </w:t>
      </w:r>
      <w:r w:rsidR="00580B28">
        <w:t xml:space="preserve">activities </w:t>
      </w:r>
      <w:r w:rsidR="0045095F">
        <w:t>consistent with</w:t>
      </w:r>
      <w:r w:rsidR="008B4D89">
        <w:t xml:space="preserve"> </w:t>
      </w:r>
      <w:r w:rsidR="0045095F">
        <w:t>our</w:t>
      </w:r>
      <w:r w:rsidR="00C0651E">
        <w:t xml:space="preserve"> investor relations plan</w:t>
      </w:r>
      <w:r w:rsidR="00546536">
        <w:t xml:space="preserve">. </w:t>
      </w:r>
      <w:r w:rsidR="00EC5028">
        <w:t>Throughout the year</w:t>
      </w:r>
      <w:r>
        <w:t xml:space="preserve">, </w:t>
      </w:r>
      <w:r w:rsidR="00E41E9E">
        <w:t>we</w:t>
      </w:r>
      <w:r>
        <w:t xml:space="preserve"> met with investors both domestically and across </w:t>
      </w:r>
      <w:r w:rsidR="00B31F19">
        <w:t>several</w:t>
      </w:r>
      <w:r>
        <w:t xml:space="preserve"> offshore regions includ</w:t>
      </w:r>
      <w:r w:rsidR="0045095F">
        <w:t>ing</w:t>
      </w:r>
      <w:r>
        <w:t xml:space="preserve"> North America, North Asia, the United Kingdom, Europe, the Middle East and India.</w:t>
      </w:r>
    </w:p>
    <w:p w14:paraId="3D64FCF1" w14:textId="3B7AE225" w:rsidR="00BC23C3" w:rsidRDefault="00727C9C" w:rsidP="00BC23C3">
      <w:r w:rsidRPr="00727C9C">
        <w:t xml:space="preserve">A major highlight of the year was </w:t>
      </w:r>
      <w:r w:rsidR="0045095F">
        <w:t>our</w:t>
      </w:r>
      <w:r w:rsidR="0045095F" w:rsidRPr="00727C9C">
        <w:t xml:space="preserve"> </w:t>
      </w:r>
      <w:r w:rsidRPr="00727C9C">
        <w:t xml:space="preserve">organisation and delivery of the sixth Australian Government Fixed Income Forum, held </w:t>
      </w:r>
      <w:r w:rsidR="00BC23C3">
        <w:t xml:space="preserve">in Tokyo in June 2025. The </w:t>
      </w:r>
      <w:r w:rsidR="006260CC">
        <w:t>f</w:t>
      </w:r>
      <w:r w:rsidR="00BC23C3">
        <w:t xml:space="preserve">orum </w:t>
      </w:r>
      <w:r w:rsidR="006260CC">
        <w:t>featured</w:t>
      </w:r>
      <w:r w:rsidR="00BC23C3">
        <w:t xml:space="preserve"> several senior Australian officials</w:t>
      </w:r>
      <w:r w:rsidR="006260CC">
        <w:t xml:space="preserve">, </w:t>
      </w:r>
      <w:r w:rsidR="00BC23C3">
        <w:t xml:space="preserve">including the Deputy Secretary of the Treasury, Head of Domestic Markets at the </w:t>
      </w:r>
      <w:r w:rsidR="0045095F">
        <w:t>Reserve Bank of Australia</w:t>
      </w:r>
      <w:r w:rsidR="00697490">
        <w:t xml:space="preserve"> (RBA)</w:t>
      </w:r>
      <w:r w:rsidR="00BC23C3">
        <w:t xml:space="preserve">, CEOs from the five largest </w:t>
      </w:r>
      <w:r w:rsidR="0045095F">
        <w:t xml:space="preserve">state </w:t>
      </w:r>
      <w:r w:rsidR="00BC23C3">
        <w:t xml:space="preserve">borrowing authorities, the CEO of the Australian Securitisation Forum and the CEO of the AOFM. </w:t>
      </w:r>
      <w:r w:rsidR="00BE54D6">
        <w:t>The event attracted a</w:t>
      </w:r>
      <w:r w:rsidR="00BC23C3">
        <w:t>pproximately 85 individual investors.</w:t>
      </w:r>
    </w:p>
    <w:p w14:paraId="66488B7B" w14:textId="31E15C9C" w:rsidR="00BC23C3" w:rsidRDefault="008B04AF" w:rsidP="00BC23C3">
      <w:r w:rsidRPr="008B04AF">
        <w:t xml:space="preserve">In addition to the </w:t>
      </w:r>
      <w:r w:rsidR="0045095F">
        <w:t>f</w:t>
      </w:r>
      <w:r w:rsidR="0045095F" w:rsidRPr="008B04AF">
        <w:t>orum</w:t>
      </w:r>
      <w:r w:rsidRPr="008B04AF">
        <w:t xml:space="preserve">, the AOFM participated in a range of industry events throughout the year. </w:t>
      </w:r>
      <w:r>
        <w:t xml:space="preserve">These included </w:t>
      </w:r>
      <w:r w:rsidR="000B4C43">
        <w:t xml:space="preserve">our </w:t>
      </w:r>
      <w:r w:rsidR="00BC23C3">
        <w:t>CEO</w:t>
      </w:r>
      <w:r w:rsidR="00B84FF2">
        <w:t>’</w:t>
      </w:r>
      <w:r w:rsidR="00BC23C3">
        <w:t>s annual address to</w:t>
      </w:r>
      <w:r w:rsidR="0045095F">
        <w:t xml:space="preserve"> the</w:t>
      </w:r>
      <w:r w:rsidR="00BC23C3">
        <w:t xml:space="preserve"> Australia</w:t>
      </w:r>
      <w:r w:rsidR="0045095F">
        <w:t>n</w:t>
      </w:r>
      <w:r w:rsidR="00BC23C3">
        <w:t xml:space="preserve"> Business Economists</w:t>
      </w:r>
      <w:r w:rsidR="0045095F">
        <w:t xml:space="preserve"> (ABE)</w:t>
      </w:r>
      <w:r w:rsidR="00BC23C3">
        <w:t xml:space="preserve"> </w:t>
      </w:r>
      <w:r w:rsidR="00641566">
        <w:t>l</w:t>
      </w:r>
      <w:r w:rsidR="0045095F">
        <w:t>unch</w:t>
      </w:r>
      <w:r w:rsidR="00641566">
        <w:t>eon</w:t>
      </w:r>
      <w:r w:rsidR="0045095F">
        <w:t>;</w:t>
      </w:r>
      <w:r w:rsidR="00BC23C3">
        <w:t xml:space="preserve"> the Asian Development Bank</w:t>
      </w:r>
      <w:r w:rsidR="0009785C">
        <w:t xml:space="preserve"> (ADB)</w:t>
      </w:r>
      <w:r w:rsidR="00BC23C3">
        <w:t xml:space="preserve"> Regional Forum on Investment Management of Foreign Exchange Reserves</w:t>
      </w:r>
      <w:r w:rsidR="0045095F">
        <w:t>;</w:t>
      </w:r>
      <w:r w:rsidR="00BC23C3">
        <w:t xml:space="preserve"> and several bank</w:t>
      </w:r>
      <w:r w:rsidR="00B84FF2">
        <w:noBreakHyphen/>
      </w:r>
      <w:r w:rsidR="00941AB0">
        <w:t>hosted</w:t>
      </w:r>
      <w:r w:rsidR="00BC23C3">
        <w:t xml:space="preserve"> fixed income conferences, investor tours and roundtable discussions. </w:t>
      </w:r>
    </w:p>
    <w:p w14:paraId="60D13CB8" w14:textId="3C2338EE" w:rsidR="00AD64B0" w:rsidRDefault="00DE35F7" w:rsidP="001D704D">
      <w:r>
        <w:t>We</w:t>
      </w:r>
      <w:r w:rsidR="009C187D">
        <w:t xml:space="preserve"> also published 2</w:t>
      </w:r>
      <w:r w:rsidR="00BC23C3">
        <w:t xml:space="preserve"> editions of the AOFM</w:t>
      </w:r>
      <w:r w:rsidR="00B84FF2">
        <w:t>’</w:t>
      </w:r>
      <w:r w:rsidR="00BC23C3">
        <w:t xml:space="preserve">s </w:t>
      </w:r>
      <w:r w:rsidR="00B84FF2">
        <w:t>‘</w:t>
      </w:r>
      <w:r w:rsidR="00BC23C3">
        <w:t>Investor Insights</w:t>
      </w:r>
      <w:r w:rsidR="00B84FF2">
        <w:t>’</w:t>
      </w:r>
      <w:r w:rsidR="00417D46">
        <w:t xml:space="preserve"> series</w:t>
      </w:r>
      <w:r w:rsidR="00BC23C3">
        <w:t xml:space="preserve"> during the year</w:t>
      </w:r>
      <w:r w:rsidR="009F2E43">
        <w:t>. These editions</w:t>
      </w:r>
      <w:r w:rsidR="00BC23C3">
        <w:t xml:space="preserve"> cover</w:t>
      </w:r>
      <w:r w:rsidR="009F2E43">
        <w:t>ed</w:t>
      </w:r>
      <w:r w:rsidR="00BC23C3">
        <w:t xml:space="preserve"> </w:t>
      </w:r>
      <w:r w:rsidR="009A2BB5">
        <w:t xml:space="preserve">our </w:t>
      </w:r>
      <w:r w:rsidR="00BC23C3">
        <w:t>inaugural Green Treasury Bond syndication and the role of joint lead managers in syndications</w:t>
      </w:r>
      <w:r w:rsidR="00B33850">
        <w:t>, providing investors with deeper transparency and conte</w:t>
      </w:r>
      <w:r w:rsidR="00976933">
        <w:t>x</w:t>
      </w:r>
      <w:r w:rsidR="00B33850">
        <w:t>t around these</w:t>
      </w:r>
      <w:r w:rsidR="00976933">
        <w:t xml:space="preserve"> topics</w:t>
      </w:r>
      <w:r w:rsidR="001D704D">
        <w:t>.</w:t>
      </w:r>
      <w:r w:rsidR="00F9704B">
        <w:t xml:space="preserve"> </w:t>
      </w:r>
      <w:r w:rsidR="0045095F">
        <w:t xml:space="preserve">We have made these </w:t>
      </w:r>
      <w:hyperlink r:id="rId90" w:history="1">
        <w:r w:rsidR="00F9704B" w:rsidRPr="00E725BC">
          <w:rPr>
            <w:rStyle w:val="Hyperlink"/>
          </w:rPr>
          <w:t>publications available on the AOFM website</w:t>
        </w:r>
      </w:hyperlink>
      <w:r w:rsidR="00E85C7E">
        <w:t>.</w:t>
      </w:r>
      <w:r w:rsidR="00E725BC">
        <w:rPr>
          <w:rStyle w:val="FootnoteReference"/>
        </w:rPr>
        <w:footnoteReference w:id="3"/>
      </w:r>
    </w:p>
    <w:p w14:paraId="4DC4AD6B" w14:textId="77777777" w:rsidR="00AD64B0" w:rsidRDefault="00AD64B0">
      <w:pPr>
        <w:spacing w:after="0" w:line="240" w:lineRule="auto"/>
      </w:pPr>
      <w:r>
        <w:br w:type="page"/>
      </w:r>
    </w:p>
    <w:p w14:paraId="01B99A4E" w14:textId="30928B26" w:rsidR="001D704D" w:rsidRPr="008A2D81" w:rsidRDefault="008A2D81" w:rsidP="00C731AA">
      <w:pPr>
        <w:pStyle w:val="TableMainHeading"/>
      </w:pPr>
      <w:r w:rsidRPr="008A2D81">
        <w:lastRenderedPageBreak/>
        <w:t xml:space="preserve">Table </w:t>
      </w:r>
      <w:r w:rsidR="00900ABE">
        <w:t>1</w:t>
      </w:r>
      <w:r w:rsidR="00D52642">
        <w:t>1</w:t>
      </w:r>
      <w:r w:rsidRPr="008A2D81">
        <w:t xml:space="preserve">: </w:t>
      </w:r>
      <w:r w:rsidR="001D704D" w:rsidRPr="008A2D81">
        <w:t>Summary of investor relation</w:t>
      </w:r>
      <w:r w:rsidR="006E27FC">
        <w:t>s</w:t>
      </w:r>
      <w:r w:rsidR="001D704D" w:rsidRPr="008A2D81">
        <w:t xml:space="preserve"> activities in 2024</w:t>
      </w:r>
      <w:r w:rsidR="0045095F">
        <w:t>–</w:t>
      </w:r>
      <w:r w:rsidR="001D704D" w:rsidRPr="008A2D81">
        <w:t>25</w:t>
      </w:r>
    </w:p>
    <w:tbl>
      <w:tblPr>
        <w:tblStyle w:val="AOFMTablemain"/>
        <w:tblW w:w="5000" w:type="pct"/>
        <w:tblLook w:val="04A0" w:firstRow="1" w:lastRow="0" w:firstColumn="1" w:lastColumn="0" w:noHBand="0" w:noVBand="1"/>
      </w:tblPr>
      <w:tblGrid>
        <w:gridCol w:w="3346"/>
        <w:gridCol w:w="4365"/>
      </w:tblGrid>
      <w:tr w:rsidR="00F217FA" w:rsidRPr="00C14458" w14:paraId="7CD5D318" w14:textId="77777777" w:rsidTr="00284B62">
        <w:trPr>
          <w:cnfStyle w:val="100000000000" w:firstRow="1" w:lastRow="0" w:firstColumn="0" w:lastColumn="0" w:oddVBand="0" w:evenVBand="0" w:oddHBand="0" w:evenHBand="0" w:firstRowFirstColumn="0" w:firstRowLastColumn="0" w:lastRowFirstColumn="0" w:lastRowLastColumn="0"/>
        </w:trPr>
        <w:tc>
          <w:tcPr>
            <w:tcW w:w="3442" w:type="dxa"/>
          </w:tcPr>
          <w:p w14:paraId="753CFF93" w14:textId="187143BB" w:rsidR="00F217FA" w:rsidRPr="00C14458" w:rsidRDefault="00907A8A" w:rsidP="0038759E">
            <w:pPr>
              <w:pStyle w:val="TableColumnHeadingLeftWhite"/>
              <w:rPr>
                <w:rFonts w:ascii="Arial Nova" w:hAnsi="Arial Nova"/>
                <w:szCs w:val="18"/>
              </w:rPr>
            </w:pPr>
            <w:r w:rsidRPr="00C14458">
              <w:rPr>
                <w:rFonts w:ascii="Arial Nova" w:hAnsi="Arial Nova"/>
                <w:szCs w:val="18"/>
              </w:rPr>
              <w:t>Activity</w:t>
            </w:r>
          </w:p>
        </w:tc>
        <w:tc>
          <w:tcPr>
            <w:tcW w:w="4494" w:type="dxa"/>
          </w:tcPr>
          <w:p w14:paraId="4025951A" w14:textId="2515842B" w:rsidR="00F217FA" w:rsidRPr="00C14458" w:rsidRDefault="00907A8A" w:rsidP="0038759E">
            <w:pPr>
              <w:pStyle w:val="TableColumnHeadingLeftWhite"/>
              <w:rPr>
                <w:rFonts w:ascii="Arial Nova" w:hAnsi="Arial Nova"/>
                <w:szCs w:val="18"/>
              </w:rPr>
            </w:pPr>
            <w:r w:rsidRPr="00C14458">
              <w:rPr>
                <w:rFonts w:ascii="Arial Nova" w:hAnsi="Arial Nova"/>
                <w:szCs w:val="18"/>
              </w:rPr>
              <w:t>Details</w:t>
            </w:r>
          </w:p>
        </w:tc>
      </w:tr>
      <w:tr w:rsidR="00654C06" w:rsidRPr="00C14458" w14:paraId="43DBD2EE" w14:textId="77777777" w:rsidTr="004350FD">
        <w:trPr>
          <w:trHeight w:val="115"/>
        </w:trPr>
        <w:tc>
          <w:tcPr>
            <w:tcW w:w="3442" w:type="dxa"/>
          </w:tcPr>
          <w:p w14:paraId="6BC68C22" w14:textId="29C2812A" w:rsidR="00654C06" w:rsidRPr="00B20F02" w:rsidRDefault="00654C06" w:rsidP="00625DAB">
            <w:pPr>
              <w:pStyle w:val="TableTextLeft"/>
            </w:pPr>
            <w:r w:rsidRPr="00B20F02">
              <w:t>Investor meetings (domestic and offshore)</w:t>
            </w:r>
          </w:p>
        </w:tc>
        <w:tc>
          <w:tcPr>
            <w:tcW w:w="4494" w:type="dxa"/>
          </w:tcPr>
          <w:p w14:paraId="3AFAD576" w14:textId="003B6615" w:rsidR="00654C06" w:rsidRPr="007078E7" w:rsidRDefault="00654C06" w:rsidP="00625DAB">
            <w:pPr>
              <w:pStyle w:val="TableTextLeft"/>
            </w:pPr>
            <w:r w:rsidRPr="007078E7">
              <w:t>1</w:t>
            </w:r>
            <w:r w:rsidR="000409B4">
              <w:t>53</w:t>
            </w:r>
          </w:p>
        </w:tc>
      </w:tr>
      <w:tr w:rsidR="00654C06" w:rsidRPr="00C14458" w14:paraId="685175DC" w14:textId="77777777" w:rsidTr="00284B62">
        <w:trPr>
          <w:cnfStyle w:val="000000010000" w:firstRow="0" w:lastRow="0" w:firstColumn="0" w:lastColumn="0" w:oddVBand="0" w:evenVBand="0" w:oddHBand="0" w:evenHBand="1" w:firstRowFirstColumn="0" w:firstRowLastColumn="0" w:lastRowFirstColumn="0" w:lastRowLastColumn="0"/>
        </w:trPr>
        <w:tc>
          <w:tcPr>
            <w:tcW w:w="3442" w:type="dxa"/>
          </w:tcPr>
          <w:p w14:paraId="643DDA02" w14:textId="63B489AF" w:rsidR="00654C06" w:rsidRPr="00B20F02" w:rsidRDefault="00654C06" w:rsidP="00625DAB">
            <w:pPr>
              <w:pStyle w:val="TableTextLeft"/>
            </w:pPr>
            <w:r w:rsidRPr="00B20F02">
              <w:t>Presentations: large engagements</w:t>
            </w:r>
          </w:p>
        </w:tc>
        <w:tc>
          <w:tcPr>
            <w:tcW w:w="4494" w:type="dxa"/>
          </w:tcPr>
          <w:p w14:paraId="3F2031D3" w14:textId="77777777" w:rsidR="00654C06" w:rsidRPr="007078E7" w:rsidRDefault="00BC23C3" w:rsidP="00625DAB">
            <w:pPr>
              <w:pStyle w:val="TableTextLeft"/>
            </w:pPr>
            <w:r w:rsidRPr="007078E7">
              <w:t>8</w:t>
            </w:r>
            <w:r w:rsidR="00654C06" w:rsidRPr="007078E7">
              <w:t xml:space="preserve"> presentations </w:t>
            </w:r>
          </w:p>
          <w:p w14:paraId="237BF84D" w14:textId="2283A504" w:rsidR="002A0591" w:rsidRPr="007078E7" w:rsidRDefault="00654C06" w:rsidP="00625DAB">
            <w:pPr>
              <w:pStyle w:val="Tabletext-bullet"/>
            </w:pPr>
            <w:r w:rsidRPr="007078E7">
              <w:t>ABE Luncheon</w:t>
            </w:r>
            <w:r w:rsidR="002A0591" w:rsidRPr="007078E7">
              <w:t xml:space="preserve"> </w:t>
            </w:r>
          </w:p>
          <w:p w14:paraId="65F159CB" w14:textId="77777777" w:rsidR="002A0591" w:rsidRPr="007078E7" w:rsidRDefault="00654C06" w:rsidP="00625DAB">
            <w:pPr>
              <w:pStyle w:val="Tabletext-bullet"/>
            </w:pPr>
            <w:r w:rsidRPr="007078E7">
              <w:t>Environmental Finance Conference</w:t>
            </w:r>
            <w:r w:rsidR="002A0591" w:rsidRPr="007078E7">
              <w:t xml:space="preserve"> </w:t>
            </w:r>
          </w:p>
          <w:p w14:paraId="770EA6F2" w14:textId="77777777" w:rsidR="002A0591" w:rsidRPr="007078E7" w:rsidRDefault="00654C06" w:rsidP="00625DAB">
            <w:pPr>
              <w:pStyle w:val="Tabletext-bullet"/>
            </w:pPr>
            <w:r w:rsidRPr="007078E7">
              <w:t>ADB Regional Forum on Investment Management of Foreign Exchange Reserves</w:t>
            </w:r>
          </w:p>
          <w:p w14:paraId="3770FDD1" w14:textId="77777777" w:rsidR="002A0591" w:rsidRPr="007078E7" w:rsidRDefault="00654C06" w:rsidP="00625DAB">
            <w:pPr>
              <w:pStyle w:val="Tabletext-bullet"/>
            </w:pPr>
            <w:r w:rsidRPr="007078E7">
              <w:t>Australian Government Fixed Income Forum</w:t>
            </w:r>
          </w:p>
          <w:p w14:paraId="33E160F5" w14:textId="0973B846" w:rsidR="00654C06" w:rsidRPr="00947239" w:rsidRDefault="002A0591" w:rsidP="00625DAB">
            <w:pPr>
              <w:pStyle w:val="Tabletext-bullet"/>
            </w:pPr>
            <w:r w:rsidRPr="007078E7">
              <w:t>4</w:t>
            </w:r>
            <w:r w:rsidR="00654C06" w:rsidRPr="007078E7">
              <w:t xml:space="preserve"> bank investor conferences</w:t>
            </w:r>
          </w:p>
        </w:tc>
      </w:tr>
      <w:tr w:rsidR="00654C06" w:rsidRPr="00C14458" w14:paraId="10182CC2" w14:textId="77777777" w:rsidTr="00284B62">
        <w:tc>
          <w:tcPr>
            <w:tcW w:w="3442" w:type="dxa"/>
          </w:tcPr>
          <w:p w14:paraId="3D338FDB" w14:textId="7472D444" w:rsidR="00654C06" w:rsidRPr="00B20F02" w:rsidRDefault="00654C06" w:rsidP="00625DAB">
            <w:pPr>
              <w:pStyle w:val="TableTextLeft"/>
            </w:pPr>
            <w:r w:rsidRPr="00B20F02">
              <w:t>Presentations: small engagements</w:t>
            </w:r>
          </w:p>
        </w:tc>
        <w:tc>
          <w:tcPr>
            <w:tcW w:w="4494" w:type="dxa"/>
          </w:tcPr>
          <w:p w14:paraId="1F0226EA" w14:textId="77777777" w:rsidR="00654C06" w:rsidRPr="007078E7" w:rsidRDefault="00654C06" w:rsidP="00625DAB">
            <w:pPr>
              <w:pStyle w:val="TableTextLeft"/>
            </w:pPr>
            <w:r w:rsidRPr="007078E7">
              <w:t xml:space="preserve">3 presentations </w:t>
            </w:r>
          </w:p>
          <w:p w14:paraId="095B8039" w14:textId="78B0BD14" w:rsidR="00EC0CF9" w:rsidRPr="007078E7" w:rsidRDefault="00654C06" w:rsidP="0098198B">
            <w:pPr>
              <w:pStyle w:val="Tabletext-bullet"/>
            </w:pPr>
            <w:proofErr w:type="spellStart"/>
            <w:r w:rsidRPr="007078E7">
              <w:t>KangaNews</w:t>
            </w:r>
            <w:proofErr w:type="spellEnd"/>
            <w:r w:rsidRPr="007078E7">
              <w:t xml:space="preserve"> </w:t>
            </w:r>
            <w:r w:rsidRPr="0098198B">
              <w:t>Annual</w:t>
            </w:r>
            <w:r w:rsidRPr="007078E7">
              <w:t xml:space="preserve"> Sovereign Roundtable</w:t>
            </w:r>
          </w:p>
          <w:p w14:paraId="7E22976D" w14:textId="7E880530" w:rsidR="00654C06" w:rsidRPr="005E5729" w:rsidRDefault="00654C06" w:rsidP="00625DAB">
            <w:pPr>
              <w:pStyle w:val="Tabletext-bullet"/>
            </w:pPr>
            <w:r w:rsidRPr="007078E7">
              <w:t>2 domestic investor presentations</w:t>
            </w:r>
          </w:p>
        </w:tc>
      </w:tr>
      <w:tr w:rsidR="00654C06" w:rsidRPr="00C14458" w14:paraId="1094B406" w14:textId="77777777" w:rsidTr="00284B62">
        <w:trPr>
          <w:cnfStyle w:val="000000010000" w:firstRow="0" w:lastRow="0" w:firstColumn="0" w:lastColumn="0" w:oddVBand="0" w:evenVBand="0" w:oddHBand="0" w:evenHBand="1" w:firstRowFirstColumn="0" w:firstRowLastColumn="0" w:lastRowFirstColumn="0" w:lastRowLastColumn="0"/>
        </w:trPr>
        <w:tc>
          <w:tcPr>
            <w:tcW w:w="3442" w:type="dxa"/>
          </w:tcPr>
          <w:p w14:paraId="078E07BD" w14:textId="05F69054" w:rsidR="00654C06" w:rsidRPr="00B20F02" w:rsidRDefault="00654C06" w:rsidP="00625DAB">
            <w:pPr>
              <w:pStyle w:val="TableTextLeft"/>
            </w:pPr>
            <w:r w:rsidRPr="00B20F02">
              <w:t>AOFM staff participation in investor relations activities</w:t>
            </w:r>
          </w:p>
        </w:tc>
        <w:tc>
          <w:tcPr>
            <w:tcW w:w="4494" w:type="dxa"/>
          </w:tcPr>
          <w:p w14:paraId="265B3F33" w14:textId="5E511C8C" w:rsidR="00BE16B5" w:rsidRPr="007078E7" w:rsidRDefault="00654C06" w:rsidP="00625DAB">
            <w:pPr>
              <w:pStyle w:val="Tabletext-bullet"/>
            </w:pPr>
            <w:r w:rsidRPr="007078E7">
              <w:t>CEO</w:t>
            </w:r>
          </w:p>
          <w:p w14:paraId="7AC06F24" w14:textId="5FA67B23" w:rsidR="007B1FF2" w:rsidRPr="007078E7" w:rsidRDefault="00654C06" w:rsidP="00625DAB">
            <w:pPr>
              <w:pStyle w:val="Tabletext-bullet"/>
            </w:pPr>
            <w:r w:rsidRPr="007078E7">
              <w:t>Head of Investor Relations</w:t>
            </w:r>
          </w:p>
          <w:p w14:paraId="4374B582" w14:textId="77777777" w:rsidR="007B1FF2" w:rsidRPr="007078E7" w:rsidRDefault="00654C06" w:rsidP="00625DAB">
            <w:pPr>
              <w:pStyle w:val="Tabletext-bullet"/>
            </w:pPr>
            <w:r w:rsidRPr="007078E7">
              <w:t>Head of Funding, Strategy and Research</w:t>
            </w:r>
            <w:r w:rsidR="007B1FF2" w:rsidRPr="007078E7">
              <w:t xml:space="preserve"> </w:t>
            </w:r>
          </w:p>
          <w:p w14:paraId="6F6418C3" w14:textId="77777777" w:rsidR="007B1FF2" w:rsidRPr="007078E7" w:rsidRDefault="00654C06" w:rsidP="00625DAB">
            <w:pPr>
              <w:pStyle w:val="Tabletext-bullet"/>
            </w:pPr>
            <w:r w:rsidRPr="007078E7">
              <w:t>Head of Sustainable Finance</w:t>
            </w:r>
          </w:p>
          <w:p w14:paraId="6E16D730" w14:textId="77777777" w:rsidR="007B1FF2" w:rsidRPr="007078E7" w:rsidRDefault="00654C06" w:rsidP="00625DAB">
            <w:pPr>
              <w:pStyle w:val="Tabletext-bullet"/>
            </w:pPr>
            <w:r w:rsidRPr="007078E7">
              <w:t>Manager – Investor Relations</w:t>
            </w:r>
            <w:r w:rsidR="007B1FF2" w:rsidRPr="007078E7">
              <w:t xml:space="preserve"> </w:t>
            </w:r>
          </w:p>
          <w:p w14:paraId="6ECB8405" w14:textId="7D4A516F" w:rsidR="00654C06" w:rsidRPr="00C82546" w:rsidRDefault="00654C06" w:rsidP="00625DAB">
            <w:pPr>
              <w:pStyle w:val="Tabletext-bullet"/>
            </w:pPr>
            <w:r w:rsidRPr="007078E7">
              <w:t>Senior Analyst – Investor Relations</w:t>
            </w:r>
          </w:p>
        </w:tc>
      </w:tr>
      <w:tr w:rsidR="00654C06" w:rsidRPr="00C14458" w14:paraId="3D874A62" w14:textId="77777777" w:rsidTr="00284B62">
        <w:tc>
          <w:tcPr>
            <w:tcW w:w="3442" w:type="dxa"/>
          </w:tcPr>
          <w:p w14:paraId="679BEFB7" w14:textId="2847529C" w:rsidR="00654C06" w:rsidRPr="00B20F02" w:rsidRDefault="00654C06" w:rsidP="00625DAB">
            <w:pPr>
              <w:pStyle w:val="TableTextLeft"/>
            </w:pPr>
            <w:r w:rsidRPr="00B20F02">
              <w:t xml:space="preserve">Hosting banks: investor </w:t>
            </w:r>
            <w:r w:rsidR="00AB2F0C" w:rsidRPr="00B20F02">
              <w:t>trips</w:t>
            </w:r>
            <w:r w:rsidRPr="00B20F02">
              <w:t>, conferences, roundtables, Tokyo Forum</w:t>
            </w:r>
          </w:p>
        </w:tc>
        <w:tc>
          <w:tcPr>
            <w:tcW w:w="4494" w:type="dxa"/>
          </w:tcPr>
          <w:p w14:paraId="330F989D" w14:textId="77777777" w:rsidR="0068255C" w:rsidRPr="0098198B" w:rsidRDefault="00654C06" w:rsidP="0098198B">
            <w:pPr>
              <w:pStyle w:val="Tabletext-bullet"/>
            </w:pPr>
            <w:r w:rsidRPr="0098198B">
              <w:t>ANZ</w:t>
            </w:r>
          </w:p>
          <w:p w14:paraId="785E7AFA" w14:textId="77777777" w:rsidR="0068255C" w:rsidRPr="0098198B" w:rsidRDefault="00654C06" w:rsidP="0098198B">
            <w:pPr>
              <w:pStyle w:val="Tabletext-bullet"/>
            </w:pPr>
            <w:r w:rsidRPr="0098198B">
              <w:t>Barrenjoey</w:t>
            </w:r>
          </w:p>
          <w:p w14:paraId="5BA0AEA6" w14:textId="77777777" w:rsidR="0068255C" w:rsidRPr="0098198B" w:rsidRDefault="00654C06" w:rsidP="0098198B">
            <w:pPr>
              <w:pStyle w:val="Tabletext-bullet"/>
            </w:pPr>
            <w:r w:rsidRPr="0098198B">
              <w:t>CBA</w:t>
            </w:r>
          </w:p>
          <w:p w14:paraId="3E58EA73" w14:textId="77777777" w:rsidR="0068255C" w:rsidRPr="0098198B" w:rsidRDefault="00654C06" w:rsidP="0098198B">
            <w:pPr>
              <w:pStyle w:val="Tabletext-bullet"/>
            </w:pPr>
            <w:r w:rsidRPr="0098198B">
              <w:t>Citi</w:t>
            </w:r>
          </w:p>
          <w:p w14:paraId="742716F0" w14:textId="77777777" w:rsidR="0068255C" w:rsidRPr="0098198B" w:rsidRDefault="0068255C" w:rsidP="0098198B">
            <w:pPr>
              <w:pStyle w:val="Tabletext-bullet"/>
            </w:pPr>
            <w:r w:rsidRPr="0098198B">
              <w:t>Deutsche Bank</w:t>
            </w:r>
          </w:p>
          <w:p w14:paraId="1AA7FB3D" w14:textId="77777777" w:rsidR="0068255C" w:rsidRPr="0098198B" w:rsidRDefault="00654C06" w:rsidP="0098198B">
            <w:pPr>
              <w:pStyle w:val="Tabletext-bullet"/>
            </w:pPr>
            <w:r w:rsidRPr="0098198B">
              <w:t>J.P.</w:t>
            </w:r>
            <w:r w:rsidR="0068255C" w:rsidRPr="0098198B">
              <w:t> Morgan</w:t>
            </w:r>
          </w:p>
          <w:p w14:paraId="395E04FD" w14:textId="77777777" w:rsidR="0068255C" w:rsidRPr="0098198B" w:rsidRDefault="00654C06" w:rsidP="0098198B">
            <w:pPr>
              <w:pStyle w:val="Tabletext-bullet"/>
            </w:pPr>
            <w:r w:rsidRPr="0098198B">
              <w:t>National Australia Bank</w:t>
            </w:r>
          </w:p>
          <w:p w14:paraId="66F22FBB" w14:textId="77777777" w:rsidR="0068255C" w:rsidRPr="0098198B" w:rsidRDefault="00654C06" w:rsidP="0098198B">
            <w:pPr>
              <w:pStyle w:val="Tabletext-bullet"/>
            </w:pPr>
            <w:r w:rsidRPr="0098198B">
              <w:t>Nomura</w:t>
            </w:r>
          </w:p>
          <w:p w14:paraId="741E0042" w14:textId="77777777" w:rsidR="0068255C" w:rsidRPr="0098198B" w:rsidRDefault="00654C06" w:rsidP="0098198B">
            <w:pPr>
              <w:pStyle w:val="Tabletext-bullet"/>
            </w:pPr>
            <w:r w:rsidRPr="0098198B">
              <w:t>UBS</w:t>
            </w:r>
          </w:p>
          <w:p w14:paraId="64481CD7" w14:textId="3DFCD053" w:rsidR="00654C06" w:rsidRPr="007078E7" w:rsidRDefault="00654C06" w:rsidP="0098198B">
            <w:pPr>
              <w:pStyle w:val="Tabletext-bullet"/>
            </w:pPr>
            <w:r w:rsidRPr="0098198B">
              <w:t>Westpac</w:t>
            </w:r>
          </w:p>
        </w:tc>
      </w:tr>
    </w:tbl>
    <w:p w14:paraId="6337BDBD" w14:textId="05F4DFD0" w:rsidR="0095542B" w:rsidRDefault="0095542B" w:rsidP="00F217FA"/>
    <w:p w14:paraId="1E3AD12F" w14:textId="77777777" w:rsidR="0095542B" w:rsidRDefault="0095542B">
      <w:pPr>
        <w:spacing w:after="0" w:line="240" w:lineRule="auto"/>
      </w:pPr>
      <w:r>
        <w:br w:type="page"/>
      </w:r>
    </w:p>
    <w:tbl>
      <w:tblPr>
        <w:tblW w:w="0" w:type="auto"/>
        <w:tblBorders>
          <w:bottom w:val="single" w:sz="24" w:space="0" w:color="D7CAED" w:themeColor="accent1" w:themeTint="33"/>
        </w:tblBorders>
        <w:shd w:val="clear" w:color="auto" w:fill="E7DCF7" w:themeFill="text2" w:themeFillTint="1A"/>
        <w:tblCellMar>
          <w:top w:w="28" w:type="dxa"/>
          <w:left w:w="284" w:type="dxa"/>
          <w:bottom w:w="142" w:type="dxa"/>
          <w:right w:w="284" w:type="dxa"/>
        </w:tblCellMar>
        <w:tblLook w:val="04A0" w:firstRow="1" w:lastRow="0" w:firstColumn="1" w:lastColumn="0" w:noHBand="0" w:noVBand="1"/>
      </w:tblPr>
      <w:tblGrid>
        <w:gridCol w:w="7711"/>
      </w:tblGrid>
      <w:tr w:rsidR="002E6BF5" w14:paraId="0D881095" w14:textId="77777777" w:rsidTr="00E3573A">
        <w:tc>
          <w:tcPr>
            <w:tcW w:w="7918" w:type="dxa"/>
            <w:tcBorders>
              <w:bottom w:val="single" w:sz="24" w:space="0" w:color="472978" w:themeColor="accent1"/>
            </w:tcBorders>
            <w:shd w:val="clear" w:color="auto" w:fill="E7DCF7" w:themeFill="text2" w:themeFillTint="1A"/>
            <w:tcMar>
              <w:top w:w="284" w:type="dxa"/>
              <w:bottom w:w="284" w:type="dxa"/>
            </w:tcMar>
          </w:tcPr>
          <w:p w14:paraId="2B52A0F9" w14:textId="65B5E969" w:rsidR="00BF3D3F" w:rsidRPr="004350FD" w:rsidRDefault="00BF3D3F" w:rsidP="004350FD">
            <w:pPr>
              <w:pStyle w:val="Boxheading"/>
            </w:pPr>
            <w:r w:rsidRPr="004350FD">
              <w:lastRenderedPageBreak/>
              <w:t>What is the Australian Government Fixed Income Forum and why does the AOFM hold it?</w:t>
            </w:r>
          </w:p>
          <w:p w14:paraId="51E65EC8" w14:textId="184073EA" w:rsidR="00BF3D3F" w:rsidRPr="004350FD" w:rsidRDefault="00BF3D3F" w:rsidP="004350FD">
            <w:pPr>
              <w:pStyle w:val="BoxText"/>
            </w:pPr>
            <w:r w:rsidRPr="004350FD">
              <w:t>The Australian Government Fixed Income Forum is a half</w:t>
            </w:r>
            <w:r w:rsidR="00B84FF2" w:rsidRPr="004350FD">
              <w:noBreakHyphen/>
            </w:r>
            <w:r w:rsidRPr="004350FD">
              <w:t xml:space="preserve">day event </w:t>
            </w:r>
            <w:r w:rsidR="003E48C7" w:rsidRPr="004350FD">
              <w:t xml:space="preserve">dedicated to </w:t>
            </w:r>
            <w:r w:rsidR="003775EB" w:rsidRPr="004350FD">
              <w:t xml:space="preserve">Australian dollar fixed income markets, with a specific </w:t>
            </w:r>
            <w:r w:rsidRPr="004350FD">
              <w:t xml:space="preserve">focus on </w:t>
            </w:r>
            <w:r w:rsidR="00AF103A" w:rsidRPr="004350FD">
              <w:t>Australia</w:t>
            </w:r>
            <w:r w:rsidR="00B84FF2" w:rsidRPr="004350FD">
              <w:t>’</w:t>
            </w:r>
            <w:r w:rsidR="00AF103A" w:rsidRPr="004350FD">
              <w:t xml:space="preserve">s </w:t>
            </w:r>
            <w:r w:rsidR="008C7762" w:rsidRPr="004350FD">
              <w:t>g</w:t>
            </w:r>
            <w:r w:rsidRPr="004350FD">
              <w:t>overnment issuers</w:t>
            </w:r>
            <w:r w:rsidR="00005E9C" w:rsidRPr="004350FD">
              <w:t xml:space="preserve">. The forum </w:t>
            </w:r>
            <w:r w:rsidR="007E42CC" w:rsidRPr="004350FD">
              <w:t xml:space="preserve">is tailored </w:t>
            </w:r>
            <w:r w:rsidR="00690BE0" w:rsidRPr="004350FD">
              <w:t>for</w:t>
            </w:r>
            <w:r w:rsidRPr="004350FD">
              <w:t xml:space="preserve"> </w:t>
            </w:r>
            <w:r w:rsidR="008153BB" w:rsidRPr="004350FD">
              <w:t>J</w:t>
            </w:r>
            <w:r w:rsidRPr="004350FD">
              <w:t>apan</w:t>
            </w:r>
            <w:r w:rsidR="008153BB" w:rsidRPr="004350FD">
              <w:t>ese institutional investors</w:t>
            </w:r>
            <w:r w:rsidR="00B53721" w:rsidRPr="004350FD">
              <w:t xml:space="preserve">, featuring </w:t>
            </w:r>
            <w:r w:rsidR="001A4505" w:rsidRPr="004350FD">
              <w:t>present</w:t>
            </w:r>
            <w:r w:rsidR="00DE6F09" w:rsidRPr="004350FD">
              <w:t>ation</w:t>
            </w:r>
            <w:r w:rsidR="00143747" w:rsidRPr="004350FD">
              <w:t>s</w:t>
            </w:r>
            <w:r w:rsidR="00DE6F09" w:rsidRPr="004350FD">
              <w:t xml:space="preserve"> from</w:t>
            </w:r>
            <w:r w:rsidRPr="004350FD">
              <w:t xml:space="preserve"> senior government officials </w:t>
            </w:r>
            <w:r w:rsidR="00F40F8A" w:rsidRPr="004350FD">
              <w:t xml:space="preserve">representing </w:t>
            </w:r>
            <w:r w:rsidRPr="004350FD">
              <w:t xml:space="preserve">the AOFM, Treasury, </w:t>
            </w:r>
            <w:r w:rsidR="00697490" w:rsidRPr="004350FD">
              <w:t>RBA</w:t>
            </w:r>
            <w:r w:rsidRPr="004350FD">
              <w:t xml:space="preserve"> and state borrowing authorities. The </w:t>
            </w:r>
            <w:r w:rsidR="00FE3060" w:rsidRPr="004350FD">
              <w:t>f</w:t>
            </w:r>
            <w:r w:rsidRPr="004350FD">
              <w:t>orum provides an opportunity for Japan</w:t>
            </w:r>
            <w:r w:rsidR="003F149C" w:rsidRPr="004350FD">
              <w:t>ese investors</w:t>
            </w:r>
            <w:r w:rsidRPr="004350FD">
              <w:t xml:space="preserve"> to</w:t>
            </w:r>
            <w:r w:rsidR="009D2851" w:rsidRPr="004350FD">
              <w:t xml:space="preserve"> hear directly </w:t>
            </w:r>
            <w:r w:rsidR="00800C94" w:rsidRPr="004350FD">
              <w:t>from</w:t>
            </w:r>
            <w:r w:rsidRPr="004350FD">
              <w:t xml:space="preserve"> Australia</w:t>
            </w:r>
            <w:r w:rsidR="00B84FF2" w:rsidRPr="004350FD">
              <w:t>’</w:t>
            </w:r>
            <w:r w:rsidR="00683B3F" w:rsidRPr="004350FD">
              <w:t xml:space="preserve">s </w:t>
            </w:r>
            <w:r w:rsidRPr="004350FD">
              <w:t>government issuers</w:t>
            </w:r>
            <w:r w:rsidR="00683B3F" w:rsidRPr="004350FD">
              <w:t xml:space="preserve"> and</w:t>
            </w:r>
            <w:r w:rsidR="00E73D3E" w:rsidRPr="004350FD">
              <w:t xml:space="preserve"> major economic </w:t>
            </w:r>
            <w:r w:rsidR="00416051" w:rsidRPr="004350FD">
              <w:t>departments</w:t>
            </w:r>
            <w:r w:rsidR="00B54F4F" w:rsidRPr="004350FD">
              <w:t xml:space="preserve"> about </w:t>
            </w:r>
            <w:r w:rsidR="002220C0" w:rsidRPr="004350FD">
              <w:t xml:space="preserve">market </w:t>
            </w:r>
            <w:r w:rsidR="00EA79FA" w:rsidRPr="004350FD">
              <w:t>developments</w:t>
            </w:r>
            <w:r w:rsidR="00677480" w:rsidRPr="004350FD">
              <w:t xml:space="preserve"> and </w:t>
            </w:r>
            <w:r w:rsidR="00B3341E" w:rsidRPr="004350FD">
              <w:t>policy settings</w:t>
            </w:r>
            <w:r w:rsidRPr="004350FD">
              <w:t xml:space="preserve">. </w:t>
            </w:r>
            <w:r w:rsidR="00DB4B6A" w:rsidRPr="004350FD">
              <w:t>Attendance</w:t>
            </w:r>
            <w:r w:rsidR="00C67BB1" w:rsidRPr="004350FD">
              <w:t xml:space="preserve"> has consistently been strong</w:t>
            </w:r>
            <w:r w:rsidR="00610E84" w:rsidRPr="004350FD">
              <w:t xml:space="preserve">, reflecting a high level of </w:t>
            </w:r>
            <w:r w:rsidR="00290A34" w:rsidRPr="004350FD">
              <w:t xml:space="preserve">interest </w:t>
            </w:r>
            <w:r w:rsidR="00552917" w:rsidRPr="004350FD">
              <w:t xml:space="preserve">among </w:t>
            </w:r>
            <w:r w:rsidR="00DB4B6A" w:rsidRPr="004350FD">
              <w:t>Japanese investors</w:t>
            </w:r>
            <w:r w:rsidR="00B84FF2" w:rsidRPr="004350FD">
              <w:t xml:space="preserve">. </w:t>
            </w:r>
            <w:r w:rsidRPr="004350FD">
              <w:t> </w:t>
            </w:r>
          </w:p>
          <w:p w14:paraId="5961E353" w14:textId="45E6D83F" w:rsidR="00BF3D3F" w:rsidRPr="004350FD" w:rsidRDefault="008164C9" w:rsidP="004350FD">
            <w:pPr>
              <w:pStyle w:val="BoxText"/>
            </w:pPr>
            <w:r w:rsidRPr="004350FD">
              <w:t xml:space="preserve">Tokyo </w:t>
            </w:r>
            <w:r w:rsidR="0005011D" w:rsidRPr="004350FD">
              <w:t>i</w:t>
            </w:r>
            <w:r w:rsidRPr="004350FD">
              <w:t xml:space="preserve">s the chosen location for the </w:t>
            </w:r>
            <w:r w:rsidR="00143747" w:rsidRPr="004350FD">
              <w:t>f</w:t>
            </w:r>
            <w:r w:rsidRPr="004350FD">
              <w:t>orum due to the significant p</w:t>
            </w:r>
            <w:r w:rsidR="00143747" w:rsidRPr="004350FD">
              <w:t>articipation</w:t>
            </w:r>
            <w:r w:rsidRPr="004350FD">
              <w:t xml:space="preserve"> of Japanese investors in both AGS and </w:t>
            </w:r>
            <w:r w:rsidR="00F426EA" w:rsidRPr="004350FD">
              <w:t xml:space="preserve">state </w:t>
            </w:r>
            <w:r w:rsidRPr="004350FD">
              <w:t>government bonds</w:t>
            </w:r>
            <w:r w:rsidR="00F426EA" w:rsidRPr="004350FD">
              <w:t xml:space="preserve">. Indeed, </w:t>
            </w:r>
            <w:r w:rsidRPr="004350FD">
              <w:t>Japan represents the largest cohort of investors by</w:t>
            </w:r>
            <w:r w:rsidR="006606BB" w:rsidRPr="004350FD">
              <w:t xml:space="preserve"> country</w:t>
            </w:r>
            <w:r w:rsidR="00F426EA" w:rsidRPr="004350FD">
              <w:t xml:space="preserve">, and </w:t>
            </w:r>
            <w:r w:rsidR="00BF3D3F" w:rsidRPr="004350FD">
              <w:t>Japanese investors have historically been long</w:t>
            </w:r>
            <w:r w:rsidR="00B84FF2" w:rsidRPr="004350FD">
              <w:noBreakHyphen/>
            </w:r>
            <w:r w:rsidR="00BF3D3F" w:rsidRPr="004350FD">
              <w:t xml:space="preserve">term holders of </w:t>
            </w:r>
            <w:r w:rsidR="00AE7440" w:rsidRPr="004350FD">
              <w:t>these securities</w:t>
            </w:r>
            <w:r w:rsidR="00BF3D3F" w:rsidRPr="004350FD">
              <w:t>. This strong interest includes a retail bid through fund managers and life insurance companies based in Japan</w:t>
            </w:r>
            <w:r w:rsidR="00B84FF2" w:rsidRPr="004350FD">
              <w:t xml:space="preserve">. </w:t>
            </w:r>
            <w:r w:rsidR="00BF3D3F" w:rsidRPr="004350FD">
              <w:t> </w:t>
            </w:r>
          </w:p>
          <w:p w14:paraId="53350AC2" w14:textId="4870DC3D" w:rsidR="002E6BF5" w:rsidRPr="004350FD" w:rsidRDefault="00D00331" w:rsidP="004350FD">
            <w:pPr>
              <w:pStyle w:val="BoxText"/>
            </w:pPr>
            <w:r w:rsidRPr="004350FD">
              <w:t xml:space="preserve">Since its inception in December 2013, the AOFM has hosted </w:t>
            </w:r>
            <w:r w:rsidR="00D912AB" w:rsidRPr="004350FD">
              <w:t>6 f</w:t>
            </w:r>
            <w:r w:rsidRPr="004350FD">
              <w:t>orums, the most recent on 12 June 2025.</w:t>
            </w:r>
          </w:p>
          <w:p w14:paraId="3ED85D82" w14:textId="6B52B64F" w:rsidR="009A1A38" w:rsidRPr="009F3304" w:rsidRDefault="009A1A38" w:rsidP="004350FD">
            <w:pPr>
              <w:pStyle w:val="ChartGraphic"/>
              <w:rPr>
                <w:rFonts w:ascii="Segoe UI" w:hAnsi="Segoe UI"/>
                <w:sz w:val="18"/>
                <w:szCs w:val="18"/>
              </w:rPr>
            </w:pPr>
            <w:r>
              <w:rPr>
                <w:rStyle w:val="normaltextrun"/>
                <w:rFonts w:cs="Segoe UI"/>
                <w:noProof/>
                <w:color w:val="auto"/>
              </w:rPr>
              <w:drawing>
                <wp:inline distT="0" distB="0" distL="0" distR="0" wp14:anchorId="5F28E278" wp14:editId="54EC09D0">
                  <wp:extent cx="4511615" cy="3010586"/>
                  <wp:effectExtent l="0" t="0" r="3810" b="0"/>
                  <wp:docPr id="1257967458" name="Picture 1" descr="Picture of the presenters at the foru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67458" name="Picture 1" descr="Picture of the presenters at the forum.">
                            <a:extLst>
                              <a:ext uri="{C183D7F6-B498-43B3-948B-1728B52AA6E4}">
                                <adec:decorative xmlns:adec="http://schemas.microsoft.com/office/drawing/2017/decorative" val="0"/>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33955" cy="3025493"/>
                          </a:xfrm>
                          <a:prstGeom prst="rect">
                            <a:avLst/>
                          </a:prstGeom>
                          <a:noFill/>
                          <a:ln>
                            <a:noFill/>
                          </a:ln>
                        </pic:spPr>
                      </pic:pic>
                    </a:graphicData>
                  </a:graphic>
                </wp:inline>
              </w:drawing>
            </w:r>
          </w:p>
        </w:tc>
      </w:tr>
    </w:tbl>
    <w:p w14:paraId="39B8FB80" w14:textId="0B7682CE" w:rsidR="00D05A1B" w:rsidRDefault="005E59F5" w:rsidP="00C67F81">
      <w:pPr>
        <w:pStyle w:val="Heading2"/>
      </w:pPr>
      <w:bookmarkStart w:id="645" w:name="_Toc173327317"/>
      <w:bookmarkStart w:id="646" w:name="_Toc173327770"/>
      <w:bookmarkStart w:id="647" w:name="_Toc173395293"/>
      <w:bookmarkStart w:id="648" w:name="_Toc173395371"/>
      <w:bookmarkStart w:id="649" w:name="_Toc173395705"/>
      <w:bookmarkStart w:id="650" w:name="_Toc173396593"/>
      <w:bookmarkStart w:id="651" w:name="_Toc173397604"/>
      <w:bookmarkStart w:id="652" w:name="_Toc173408158"/>
      <w:bookmarkStart w:id="653" w:name="_Toc173411480"/>
      <w:bookmarkStart w:id="654" w:name="_Toc173479160"/>
      <w:bookmarkStart w:id="655" w:name="_Toc173743064"/>
      <w:bookmarkStart w:id="656" w:name="_Toc173743225"/>
      <w:bookmarkStart w:id="657" w:name="_Toc176160547"/>
      <w:bookmarkStart w:id="658" w:name="_Toc176163175"/>
      <w:bookmarkStart w:id="659" w:name="_Toc205474312"/>
      <w:bookmarkStart w:id="660" w:name="_Toc207792894"/>
      <w:bookmarkStart w:id="661" w:name="_Toc207793931"/>
      <w:bookmarkStart w:id="662" w:name="_Toc207796068"/>
      <w:bookmarkStart w:id="663" w:name="_Toc207796937"/>
      <w:bookmarkStart w:id="664" w:name="_Toc207800238"/>
      <w:bookmarkStart w:id="665" w:name="_Toc207810816"/>
      <w:bookmarkStart w:id="666" w:name="_Toc208914095"/>
      <w:bookmarkStart w:id="667" w:name="_Toc209424492"/>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sidRPr="00993551">
        <w:lastRenderedPageBreak/>
        <w:t>Key Activity</w:t>
      </w:r>
      <w:r w:rsidR="00F426EA" w:rsidRPr="00993551">
        <w:t xml:space="preserve"> </w:t>
      </w:r>
      <w:r w:rsidRPr="00993551">
        <w:t>3.</w:t>
      </w:r>
      <w:r>
        <w:t>2</w:t>
      </w:r>
      <w:r w:rsidRPr="00993551">
        <w:t xml:space="preserve">: </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rsidR="007167D8">
        <w:t xml:space="preserve">Support </w:t>
      </w:r>
      <w:r w:rsidR="009F1974">
        <w:t>financial</w:t>
      </w:r>
      <w:r w:rsidR="007167D8">
        <w:t xml:space="preserve"> market </w:t>
      </w:r>
      <w:r w:rsidR="000E2015">
        <w:t>liquidity</w:t>
      </w:r>
      <w:bookmarkEnd w:id="659"/>
      <w:bookmarkEnd w:id="660"/>
      <w:bookmarkEnd w:id="661"/>
      <w:bookmarkEnd w:id="662"/>
      <w:bookmarkEnd w:id="663"/>
      <w:bookmarkEnd w:id="664"/>
      <w:bookmarkEnd w:id="665"/>
      <w:bookmarkEnd w:id="666"/>
      <w:bookmarkEnd w:id="667"/>
    </w:p>
    <w:p w14:paraId="320E221A" w14:textId="77777777" w:rsidR="003E5127" w:rsidRDefault="003E5127" w:rsidP="003E5127">
      <w:r>
        <w:t xml:space="preserve">Market liquidity is important to the AOFM, intermediaries and investors. Smooth functioning of the AGS market relies on strong liquidity. While there is no single definition of liquidity, it can be considered as the ability to buy and sell meaningful volumes of AGS as needed, without affecting the price. </w:t>
      </w:r>
    </w:p>
    <w:p w14:paraId="633F02F4" w14:textId="77777777" w:rsidR="003E5127" w:rsidRDefault="003E5127" w:rsidP="003E5127">
      <w:r>
        <w:t xml:space="preserve">Ample liquidity should be reflected in narrow bid–ask spreads, the confidence to take positions in AGS and high levels of turnover. The AOFM supports liquidity by monitoring market demand, which informs regular issuance across the yield curve. </w:t>
      </w:r>
    </w:p>
    <w:p w14:paraId="03613DBC" w14:textId="5AB42513" w:rsidR="003E5127" w:rsidRDefault="00732FC0" w:rsidP="003E5127">
      <w:r>
        <w:t xml:space="preserve">We </w:t>
      </w:r>
      <w:r w:rsidR="003E5127">
        <w:t>also encourage market liquidity by supporting Treasury Bond futures contracts. Regular</w:t>
      </w:r>
      <w:r w:rsidR="00B37AFE">
        <w:t>ly</w:t>
      </w:r>
      <w:r w:rsidR="003E5127">
        <w:t xml:space="preserve"> </w:t>
      </w:r>
      <w:r w:rsidR="00B37AFE">
        <w:t xml:space="preserve">issuing </w:t>
      </w:r>
      <w:r w:rsidR="003E5127">
        <w:t xml:space="preserve">and trading the underlying bonds enhances the liquidity of the futures contracts, which </w:t>
      </w:r>
      <w:r w:rsidR="00B37AFE">
        <w:t xml:space="preserve">is </w:t>
      </w:r>
      <w:r w:rsidR="003E5127">
        <w:t xml:space="preserve">important for managing interest rate risk in Australia. </w:t>
      </w:r>
    </w:p>
    <w:p w14:paraId="60449BAC" w14:textId="4E77DC14" w:rsidR="00813AC4" w:rsidRPr="00813AC4" w:rsidRDefault="003E5127" w:rsidP="00813AC4">
      <w:r w:rsidRPr="00E00CA6">
        <w:t xml:space="preserve">Additionally, the AOFM offers a securities lending facility, which enables smooth intermediation and reduces the risk of failed </w:t>
      </w:r>
      <w:r w:rsidRPr="00C278A4">
        <w:t xml:space="preserve">settlements. </w:t>
      </w:r>
      <w:r w:rsidR="00A97EA8">
        <w:t>T</w:t>
      </w:r>
      <w:r w:rsidR="00B37AFE">
        <w:t>he</w:t>
      </w:r>
      <w:r w:rsidR="00B37AFE" w:rsidRPr="00C278A4">
        <w:t xml:space="preserve"> </w:t>
      </w:r>
      <w:r w:rsidRPr="00C278A4">
        <w:t xml:space="preserve">facility </w:t>
      </w:r>
      <w:r w:rsidR="00A97EA8">
        <w:t xml:space="preserve">was used </w:t>
      </w:r>
      <w:r w:rsidRPr="00C278A4">
        <w:t>18 times in 2024</w:t>
      </w:r>
      <w:r w:rsidR="00B37AFE">
        <w:t>–</w:t>
      </w:r>
      <w:r w:rsidRPr="00C278A4">
        <w:t>25</w:t>
      </w:r>
      <w:r w:rsidR="009D3591">
        <w:t xml:space="preserve"> </w:t>
      </w:r>
      <w:r w:rsidR="009D3591" w:rsidRPr="00C278A4">
        <w:t>(based on transaction end dates)</w:t>
      </w:r>
      <w:r w:rsidRPr="00C278A4">
        <w:t xml:space="preserve">, </w:t>
      </w:r>
      <w:r w:rsidR="005F3149">
        <w:t xml:space="preserve">with counterparties borrowing </w:t>
      </w:r>
      <w:r w:rsidRPr="00C278A4">
        <w:t>a total face value of around $1.</w:t>
      </w:r>
      <w:r w:rsidR="00B37AFE" w:rsidRPr="00C278A4">
        <w:t>05</w:t>
      </w:r>
      <w:r w:rsidR="00B37AFE">
        <w:t> </w:t>
      </w:r>
      <w:r w:rsidRPr="00C278A4">
        <w:t>billion.</w:t>
      </w:r>
    </w:p>
    <w:p w14:paraId="3038EA08" w14:textId="56FD6833" w:rsidR="003B7A33" w:rsidRDefault="002C0998" w:rsidP="00713231">
      <w:pPr>
        <w:pStyle w:val="Heading3"/>
      </w:pPr>
      <w:bookmarkStart w:id="668" w:name="_Toc173327318"/>
      <w:bookmarkStart w:id="669" w:name="_Toc173327771"/>
      <w:bookmarkStart w:id="670" w:name="_Toc173395294"/>
      <w:bookmarkStart w:id="671" w:name="_Toc173395372"/>
      <w:bookmarkStart w:id="672" w:name="_Toc173395706"/>
      <w:bookmarkStart w:id="673" w:name="_Toc173396594"/>
      <w:bookmarkStart w:id="674" w:name="_Toc173397605"/>
      <w:bookmarkStart w:id="675" w:name="_Toc173408160"/>
      <w:bookmarkStart w:id="676" w:name="_Toc173411482"/>
      <w:bookmarkStart w:id="677" w:name="_Toc173479162"/>
      <w:bookmarkStart w:id="678" w:name="_Toc173743065"/>
      <w:bookmarkStart w:id="679" w:name="_Toc173743226"/>
      <w:bookmarkStart w:id="680" w:name="_Toc176160548"/>
      <w:bookmarkStart w:id="681" w:name="_Toc176163176"/>
      <w:bookmarkStart w:id="682" w:name="_Toc207796069"/>
      <w:r>
        <w:t>Performance for Key Activity</w:t>
      </w:r>
      <w:r w:rsidR="009D3591">
        <w:t xml:space="preserve"> </w:t>
      </w:r>
      <w:r>
        <w:t>3.2</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t xml:space="preserve"> </w:t>
      </w:r>
    </w:p>
    <w:p w14:paraId="6C737DA2" w14:textId="6B2F525D" w:rsidR="003A1FBA" w:rsidRPr="003A1FBA" w:rsidRDefault="003A1FBA" w:rsidP="003A1FBA">
      <w:r>
        <w:t>One indicator of market liquidity is the amount of secondary market turnover. The AOFM collects monthly survey turnover data for Treasury Bonds and TIBs from intermediaries.</w:t>
      </w:r>
    </w:p>
    <w:p w14:paraId="383789F8" w14:textId="7CF22B8E" w:rsidR="00436F4A" w:rsidRDefault="00436F4A" w:rsidP="00713231">
      <w:pPr>
        <w:pStyle w:val="Heading4"/>
      </w:pPr>
      <w:bookmarkStart w:id="683" w:name="_Toc173408161"/>
      <w:bookmarkStart w:id="684" w:name="_Toc173411483"/>
      <w:bookmarkStart w:id="685" w:name="_Toc173479163"/>
      <w:r>
        <w:t>Indicator 3.2</w:t>
      </w:r>
      <w:r w:rsidR="00EA1B12">
        <w:t>:</w:t>
      </w:r>
      <w:r>
        <w:t xml:space="preserve"> </w:t>
      </w:r>
      <w:bookmarkEnd w:id="683"/>
      <w:bookmarkEnd w:id="684"/>
      <w:bookmarkEnd w:id="685"/>
      <w:r w:rsidR="00CA4B0B">
        <w:t>T</w:t>
      </w:r>
      <w:r w:rsidR="00FE091F">
        <w:t>urnover</w:t>
      </w:r>
      <w:r>
        <w:t xml:space="preserve"> </w:t>
      </w:r>
      <w:r w:rsidR="00CA4B0B">
        <w:t>ratio</w:t>
      </w:r>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436F4A" w14:paraId="0C18C06A" w14:textId="77777777">
        <w:tc>
          <w:tcPr>
            <w:tcW w:w="7700" w:type="dxa"/>
            <w:shd w:val="clear" w:color="auto" w:fill="472978" w:themeFill="accent1"/>
            <w:tcMar>
              <w:top w:w="284" w:type="dxa"/>
              <w:bottom w:w="284" w:type="dxa"/>
            </w:tcMar>
          </w:tcPr>
          <w:p w14:paraId="0BCB2A0C" w14:textId="6742C421" w:rsidR="00436F4A" w:rsidRPr="004350FD" w:rsidRDefault="008E6660" w:rsidP="004350FD">
            <w:pPr>
              <w:pStyle w:val="Pullquote"/>
            </w:pPr>
            <w:r w:rsidRPr="004350FD">
              <w:t xml:space="preserve">The </w:t>
            </w:r>
            <w:r w:rsidR="00FC4FED" w:rsidRPr="004350FD">
              <w:t xml:space="preserve">AOFM met the </w:t>
            </w:r>
            <w:r w:rsidRPr="004350FD">
              <w:t xml:space="preserve">target for annual reported secondary market turnover for Treasury Bonds and </w:t>
            </w:r>
            <w:r w:rsidR="00EA1B12" w:rsidRPr="004350FD">
              <w:t>TIBs</w:t>
            </w:r>
            <w:r w:rsidRPr="004350FD">
              <w:t xml:space="preserve"> to be larger than the volume of debt on issue</w:t>
            </w:r>
            <w:r w:rsidR="00EA1B12" w:rsidRPr="004350FD">
              <w:t>.</w:t>
            </w:r>
          </w:p>
        </w:tc>
      </w:tr>
    </w:tbl>
    <w:p w14:paraId="2DFAF12E" w14:textId="77777777" w:rsidR="00B41B98" w:rsidRDefault="00B41B98" w:rsidP="00B41B98">
      <w:pPr>
        <w:pStyle w:val="SingleReturn"/>
      </w:pPr>
    </w:p>
    <w:p w14:paraId="5C8C9E20" w14:textId="3AC83736" w:rsidR="00584641" w:rsidRDefault="00584641" w:rsidP="00584641">
      <w:r w:rsidRPr="00612301">
        <w:t xml:space="preserve">Chart </w:t>
      </w:r>
      <w:r>
        <w:t>11</w:t>
      </w:r>
      <w:r w:rsidRPr="00612301">
        <w:t xml:space="preserve"> shows secondary market turnover for Treasury Bonds </w:t>
      </w:r>
      <w:r>
        <w:t xml:space="preserve">and </w:t>
      </w:r>
      <w:r w:rsidR="00EA1B12">
        <w:t>TIBs</w:t>
      </w:r>
      <w:r w:rsidRPr="00612301">
        <w:t xml:space="preserve">. </w:t>
      </w:r>
      <w:r>
        <w:t xml:space="preserve">The turnover ratio </w:t>
      </w:r>
      <w:r w:rsidRPr="00837C9A">
        <w:t xml:space="preserve">was </w:t>
      </w:r>
      <w:r w:rsidR="0075752D" w:rsidRPr="00837C9A">
        <w:t>1</w:t>
      </w:r>
      <w:r w:rsidRPr="00837C9A">
        <w:t>.</w:t>
      </w:r>
      <w:r w:rsidR="0075752D" w:rsidRPr="00837C9A">
        <w:t>8</w:t>
      </w:r>
      <w:r w:rsidRPr="00837C9A">
        <w:t xml:space="preserve"> </w:t>
      </w:r>
      <w:r>
        <w:t xml:space="preserve">times, </w:t>
      </w:r>
      <w:r w:rsidR="00EA1B12">
        <w:t>reflecting</w:t>
      </w:r>
      <w:r>
        <w:t xml:space="preserve"> turnover adjusted for the volume of debt on issue. This indicates regular trading of AGS. </w:t>
      </w:r>
    </w:p>
    <w:p w14:paraId="72D19940" w14:textId="032C14FC" w:rsidR="00F77515" w:rsidRDefault="00584641" w:rsidP="00F77515">
      <w:r>
        <w:lastRenderedPageBreak/>
        <w:t>In absolute terms, Treasury Bond turnover</w:t>
      </w:r>
      <w:r w:rsidRPr="00612301">
        <w:t xml:space="preserve"> </w:t>
      </w:r>
      <w:r>
        <w:t>in 2024</w:t>
      </w:r>
      <w:r w:rsidR="00B335EF">
        <w:t>–</w:t>
      </w:r>
      <w:r>
        <w:t>2</w:t>
      </w:r>
      <w:r w:rsidRPr="007217FD">
        <w:t>5 was $1.6 trillion, very similar to 2023</w:t>
      </w:r>
      <w:r w:rsidR="00B335EF" w:rsidRPr="007217FD">
        <w:t>–</w:t>
      </w:r>
      <w:r w:rsidRPr="007217FD">
        <w:t>24. TIB turnover was around $45 billion</w:t>
      </w:r>
      <w:r w:rsidRPr="00612301">
        <w:t xml:space="preserve"> in 2024–25, an increase of around $7</w:t>
      </w:r>
      <w:r w:rsidR="0098198B">
        <w:t> </w:t>
      </w:r>
      <w:r>
        <w:t>billion</w:t>
      </w:r>
      <w:r w:rsidRPr="00612301">
        <w:t xml:space="preserve"> from 2023–24.</w:t>
      </w:r>
    </w:p>
    <w:p w14:paraId="1CAEE7D6" w14:textId="3E993D4B" w:rsidR="00127FAC" w:rsidRDefault="006A05CC" w:rsidP="00F77515">
      <w:pPr>
        <w:pStyle w:val="ChartMainHeading"/>
      </w:pPr>
      <w:r>
        <w:t xml:space="preserve">Chart 11: Annual </w:t>
      </w:r>
      <w:r w:rsidR="00B335EF">
        <w:t xml:space="preserve">turnover </w:t>
      </w:r>
      <w:r>
        <w:t xml:space="preserve">for Treasury Bonds and </w:t>
      </w:r>
      <w:r w:rsidR="00B335EF">
        <w:t>T</w:t>
      </w:r>
      <w:r w:rsidR="00EB3433">
        <w:t xml:space="preserve">reasury </w:t>
      </w:r>
      <w:r w:rsidR="00B335EF">
        <w:t>I</w:t>
      </w:r>
      <w:r w:rsidR="00EB3433">
        <w:t xml:space="preserve">ndexed </w:t>
      </w:r>
      <w:r w:rsidR="00B335EF">
        <w:t>B</w:t>
      </w:r>
      <w:r w:rsidR="00EB3433">
        <w:t>ond</w:t>
      </w:r>
      <w:r w:rsidR="00B335EF">
        <w:t>s</w:t>
      </w:r>
    </w:p>
    <w:p w14:paraId="5784EFDD" w14:textId="7EB5DE18" w:rsidR="00CE556C" w:rsidRDefault="00CE556C" w:rsidP="004350FD">
      <w:pPr>
        <w:pStyle w:val="ChartGraphic"/>
      </w:pPr>
      <w:r>
        <w:rPr>
          <w:noProof/>
        </w:rPr>
        <w:drawing>
          <wp:inline distT="0" distB="0" distL="0" distR="0" wp14:anchorId="79365AAA" wp14:editId="55F7B90D">
            <wp:extent cx="4680000" cy="2880000"/>
            <wp:effectExtent l="0" t="0" r="6350" b="0"/>
            <wp:docPr id="6" name="Picture 5" descr="Stacked bar chart showing the secondary market turnover for Treasury Bonds and Treasury Indexed Bonds by financial year combined with a line showing the combined turnover ratio indicator. The chart shows that the volume of turnover in 2024-25 was similar to the year prior.">
              <a:extLst xmlns:a="http://schemas.openxmlformats.org/drawingml/2006/main">
                <a:ext uri="{FF2B5EF4-FFF2-40B4-BE49-F238E27FC236}">
                  <a16:creationId xmlns:a16="http://schemas.microsoft.com/office/drawing/2014/main" id="{4B774FF5-B063-4010-9CAD-7A583DAE1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tacked bar chart showing the secondary market turnover for Treasury Bonds and Treasury Indexed Bonds by financial year combined with a line showing the combined turnover ratio indicator. The chart shows that the volume of turnover in 2024-25 was similar to the year prior.">
                      <a:extLst>
                        <a:ext uri="{FF2B5EF4-FFF2-40B4-BE49-F238E27FC236}">
                          <a16:creationId xmlns:a16="http://schemas.microsoft.com/office/drawing/2014/main" id="{4B774FF5-B063-4010-9CAD-7A583DAE1294}"/>
                        </a:ext>
                      </a:extLst>
                    </pic:cNvPr>
                    <pic:cNvPicPr>
                      <a:picLocks noChangeAspect="1"/>
                    </pic:cNvPicPr>
                  </pic:nvPicPr>
                  <pic:blipFill>
                    <a:blip r:embed="rId92"/>
                    <a:stretch>
                      <a:fillRect/>
                    </a:stretch>
                  </pic:blipFill>
                  <pic:spPr>
                    <a:xfrm>
                      <a:off x="0" y="0"/>
                      <a:ext cx="4680000" cy="2880000"/>
                    </a:xfrm>
                    <a:prstGeom prst="rect">
                      <a:avLst/>
                    </a:prstGeom>
                  </pic:spPr>
                </pic:pic>
              </a:graphicData>
            </a:graphic>
          </wp:inline>
        </w:drawing>
      </w:r>
    </w:p>
    <w:p w14:paraId="51C5E861" w14:textId="77777777" w:rsidR="00994093" w:rsidRDefault="00994093" w:rsidP="00994093">
      <w:pPr>
        <w:pStyle w:val="ChartGraphic"/>
        <w:jc w:val="left"/>
      </w:pPr>
    </w:p>
    <w:p w14:paraId="46CFFB9F" w14:textId="77777777" w:rsidR="00994093" w:rsidRDefault="00994093" w:rsidP="00994093">
      <w:pPr>
        <w:pStyle w:val="ChartGraphic"/>
        <w:jc w:val="left"/>
        <w:sectPr w:rsidR="00994093" w:rsidSect="001E2AEB">
          <w:headerReference w:type="first" r:id="rId93"/>
          <w:footerReference w:type="first" r:id="rId94"/>
          <w:type w:val="oddPage"/>
          <w:pgSz w:w="11907" w:h="16840" w:code="9"/>
          <w:pgMar w:top="2835" w:right="2098" w:bottom="2466" w:left="2098" w:header="1814" w:footer="1814" w:gutter="0"/>
          <w:cols w:space="708"/>
          <w:titlePg/>
          <w:docGrid w:linePitch="360"/>
        </w:sectPr>
      </w:pPr>
    </w:p>
    <w:p w14:paraId="49D224C0" w14:textId="77777777" w:rsidR="00994093" w:rsidRPr="00DF31C0" w:rsidRDefault="00994093" w:rsidP="00994093">
      <w:pPr>
        <w:pStyle w:val="ChartGraphic"/>
        <w:jc w:val="left"/>
      </w:pPr>
    </w:p>
    <w:p w14:paraId="08A21047" w14:textId="163276C7" w:rsidR="00406B6D" w:rsidRPr="007062FB" w:rsidRDefault="00551415" w:rsidP="00551415">
      <w:pPr>
        <w:pStyle w:val="ChapterHeading"/>
        <w:spacing w:before="6720"/>
      </w:pPr>
      <w:bookmarkStart w:id="686" w:name="_Toc202192973"/>
      <w:bookmarkStart w:id="687" w:name="_Toc202193294"/>
      <w:bookmarkStart w:id="688" w:name="_Toc205474313"/>
      <w:bookmarkStart w:id="689" w:name="_Toc207795651"/>
      <w:bookmarkStart w:id="690" w:name="_Toc207796070"/>
      <w:bookmarkStart w:id="691" w:name="_Toc207796938"/>
      <w:bookmarkStart w:id="692" w:name="_Toc208913976"/>
      <w:bookmarkStart w:id="693" w:name="_Toc209424493"/>
      <w:bookmarkStart w:id="694" w:name="_Toc209424594"/>
      <w:r w:rsidRPr="00551415">
        <w:t xml:space="preserve">Performance Assessment: </w:t>
      </w:r>
      <w:r w:rsidR="00406B6D" w:rsidRPr="000D0FB5">
        <w:t>Purpose</w:t>
      </w:r>
      <w:r w:rsidR="00406B6D" w:rsidRPr="007062FB">
        <w:t xml:space="preserve"> </w:t>
      </w:r>
      <w:r w:rsidR="00AF539C" w:rsidRPr="007062FB">
        <w:t>4</w:t>
      </w:r>
      <w:bookmarkEnd w:id="686"/>
      <w:bookmarkEnd w:id="687"/>
      <w:bookmarkEnd w:id="688"/>
      <w:bookmarkEnd w:id="689"/>
      <w:bookmarkEnd w:id="690"/>
      <w:bookmarkEnd w:id="691"/>
      <w:bookmarkEnd w:id="692"/>
      <w:bookmarkEnd w:id="693"/>
      <w:bookmarkEnd w:id="694"/>
    </w:p>
    <w:p w14:paraId="29771243" w14:textId="1A9F4A27" w:rsidR="00E600FA" w:rsidRDefault="00E600FA" w:rsidP="000D0FB5">
      <w:pPr>
        <w:pStyle w:val="PurposeSubtitle"/>
      </w:pPr>
      <w:r w:rsidRPr="007062FB">
        <w:t xml:space="preserve">Meet the </w:t>
      </w:r>
      <w:r w:rsidRPr="000D0FB5">
        <w:t>priorities</w:t>
      </w:r>
      <w:r w:rsidRPr="007062FB">
        <w:t xml:space="preserve"> of the A</w:t>
      </w:r>
      <w:r w:rsidR="002C5491" w:rsidRPr="007062FB">
        <w:t>u</w:t>
      </w:r>
      <w:sdt>
        <w:sdtPr>
          <w:id w:val="-206797653"/>
          <w:docPartObj>
            <w:docPartGallery w:val="Page Numbers (Bottom of Page)"/>
            <w:docPartUnique/>
          </w:docPartObj>
        </w:sdtPr>
        <w:sdtEndPr/>
        <w:sdtContent/>
      </w:sdt>
      <w:r w:rsidR="002C5491" w:rsidRPr="007062FB">
        <w:t xml:space="preserve">stralian </w:t>
      </w:r>
      <w:r w:rsidRPr="007062FB">
        <w:t>B</w:t>
      </w:r>
      <w:r w:rsidR="00635353" w:rsidRPr="007062FB">
        <w:t xml:space="preserve">usiness </w:t>
      </w:r>
      <w:r w:rsidRPr="007062FB">
        <w:t>S</w:t>
      </w:r>
      <w:r w:rsidR="00635353" w:rsidRPr="007062FB">
        <w:t xml:space="preserve">ecuritisation </w:t>
      </w:r>
      <w:r w:rsidRPr="007062FB">
        <w:t>F</w:t>
      </w:r>
      <w:r w:rsidR="00635353" w:rsidRPr="007062FB">
        <w:t>orum</w:t>
      </w:r>
      <w:r w:rsidRPr="007062FB">
        <w:t xml:space="preserve"> and S</w:t>
      </w:r>
      <w:r w:rsidR="002437A1" w:rsidRPr="007062FB">
        <w:t xml:space="preserve">tructured </w:t>
      </w:r>
      <w:r w:rsidRPr="007062FB">
        <w:t>F</w:t>
      </w:r>
      <w:r w:rsidR="002437A1" w:rsidRPr="007062FB">
        <w:t xml:space="preserve">inance </w:t>
      </w:r>
      <w:r w:rsidRPr="007062FB">
        <w:t>S</w:t>
      </w:r>
      <w:r w:rsidR="002437A1" w:rsidRPr="007062FB">
        <w:t>upport</w:t>
      </w:r>
      <w:r w:rsidR="00551415">
        <w:t> </w:t>
      </w:r>
      <w:r w:rsidRPr="007062FB">
        <w:t>F</w:t>
      </w:r>
      <w:r w:rsidR="002437A1" w:rsidRPr="007062FB">
        <w:t>und</w:t>
      </w:r>
    </w:p>
    <w:p w14:paraId="710FA8C5" w14:textId="77777777" w:rsidR="002F492E" w:rsidRDefault="002F492E" w:rsidP="00CE0BF9">
      <w:pPr>
        <w:pStyle w:val="Heading1"/>
        <w:sectPr w:rsidR="002F492E" w:rsidSect="001E2AEB">
          <w:headerReference w:type="even" r:id="rId95"/>
          <w:footerReference w:type="even" r:id="rId96"/>
          <w:headerReference w:type="first" r:id="rId97"/>
          <w:footerReference w:type="first" r:id="rId98"/>
          <w:type w:val="oddPage"/>
          <w:pgSz w:w="11907" w:h="16840" w:code="9"/>
          <w:pgMar w:top="2835" w:right="2098" w:bottom="2466" w:left="2098" w:header="1814" w:footer="1814" w:gutter="0"/>
          <w:cols w:space="708"/>
          <w:titlePg/>
          <w:docGrid w:linePitch="360"/>
        </w:sectPr>
      </w:pPr>
      <w:bookmarkStart w:id="695" w:name="_Toc173327321"/>
      <w:bookmarkStart w:id="696" w:name="_Toc173327774"/>
      <w:bookmarkStart w:id="697" w:name="_Toc173395297"/>
      <w:bookmarkStart w:id="698" w:name="_Toc173395375"/>
      <w:bookmarkStart w:id="699" w:name="_Toc173395709"/>
      <w:bookmarkStart w:id="700" w:name="_Toc173396597"/>
      <w:bookmarkStart w:id="701" w:name="_Toc173397608"/>
      <w:bookmarkStart w:id="702" w:name="_Toc173408165"/>
      <w:bookmarkStart w:id="703" w:name="_Toc173411487"/>
      <w:bookmarkStart w:id="704" w:name="_Toc173479167"/>
      <w:bookmarkStart w:id="705" w:name="_Toc173743068"/>
      <w:bookmarkStart w:id="706" w:name="_Toc173743229"/>
      <w:bookmarkStart w:id="707" w:name="_Toc176160551"/>
      <w:bookmarkStart w:id="708" w:name="_Toc176163179"/>
      <w:bookmarkStart w:id="709" w:name="_Toc205474314"/>
      <w:bookmarkStart w:id="710" w:name="_Toc207792895"/>
      <w:bookmarkStart w:id="711" w:name="_Toc207793933"/>
      <w:bookmarkStart w:id="712" w:name="_Toc207795652"/>
      <w:bookmarkStart w:id="713" w:name="_Toc207796071"/>
      <w:bookmarkStart w:id="714" w:name="_Toc207796939"/>
      <w:bookmarkStart w:id="715" w:name="_Toc207797302"/>
      <w:bookmarkStart w:id="716" w:name="_Toc207800240"/>
      <w:bookmarkStart w:id="717" w:name="_Toc207810818"/>
      <w:bookmarkStart w:id="718" w:name="_Toc202192258"/>
      <w:bookmarkStart w:id="719" w:name="_Toc202192975"/>
      <w:bookmarkStart w:id="720" w:name="_Toc202193296"/>
    </w:p>
    <w:p w14:paraId="577A6F05" w14:textId="77777777" w:rsidR="001F0387" w:rsidRDefault="001F0387" w:rsidP="003C623B">
      <w:pPr>
        <w:pStyle w:val="Heading1"/>
      </w:pPr>
      <w:bookmarkStart w:id="721" w:name="_Toc208913977"/>
      <w:bookmarkStart w:id="722" w:name="_Toc208914097"/>
      <w:bookmarkStart w:id="723" w:name="_Toc209424494"/>
      <w:bookmarkStart w:id="724" w:name="_Toc209424595"/>
      <w:r w:rsidRPr="003C623B">
        <w:lastRenderedPageBreak/>
        <w:t>How</w:t>
      </w:r>
      <w:r>
        <w:t xml:space="preserve"> Purpose 4 is achieved</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21"/>
      <w:bookmarkEnd w:id="722"/>
      <w:bookmarkEnd w:id="723"/>
      <w:bookmarkEnd w:id="724"/>
    </w:p>
    <w:p w14:paraId="1D89BA60" w14:textId="77777777" w:rsidR="00420299" w:rsidRPr="006534F5" w:rsidRDefault="00420299" w:rsidP="00C67F81">
      <w:pPr>
        <w:pStyle w:val="Heading2"/>
      </w:pPr>
      <w:bookmarkStart w:id="725" w:name="_Toc205474315"/>
      <w:bookmarkStart w:id="726" w:name="_Toc207792896"/>
      <w:bookmarkStart w:id="727" w:name="_Toc207793934"/>
      <w:bookmarkStart w:id="728" w:name="_Toc207796072"/>
      <w:bookmarkStart w:id="729" w:name="_Toc207796940"/>
      <w:bookmarkStart w:id="730" w:name="_Toc207800241"/>
      <w:bookmarkStart w:id="731" w:name="_Toc207810819"/>
      <w:bookmarkStart w:id="732" w:name="_Toc208914098"/>
      <w:bookmarkStart w:id="733" w:name="_Toc209424495"/>
      <w:bookmarkStart w:id="734" w:name="_Toc145684515"/>
      <w:bookmarkStart w:id="735" w:name="_Toc145685115"/>
      <w:bookmarkStart w:id="736" w:name="_Toc145686068"/>
      <w:bookmarkStart w:id="737" w:name="_Toc145686267"/>
      <w:bookmarkStart w:id="738" w:name="_Toc145686466"/>
      <w:bookmarkStart w:id="739" w:name="_Toc145686767"/>
      <w:bookmarkStart w:id="740" w:name="_Toc173408166"/>
      <w:bookmarkStart w:id="741" w:name="_Toc173411488"/>
      <w:bookmarkStart w:id="742" w:name="_Toc173479168"/>
      <w:bookmarkEnd w:id="718"/>
      <w:bookmarkEnd w:id="719"/>
      <w:bookmarkEnd w:id="720"/>
      <w:r w:rsidRPr="006534F5">
        <w:t>Australian Business Securitisation Fund</w:t>
      </w:r>
      <w:bookmarkEnd w:id="725"/>
      <w:bookmarkEnd w:id="726"/>
      <w:bookmarkEnd w:id="727"/>
      <w:bookmarkEnd w:id="728"/>
      <w:bookmarkEnd w:id="729"/>
      <w:bookmarkEnd w:id="730"/>
      <w:bookmarkEnd w:id="731"/>
      <w:bookmarkEnd w:id="732"/>
      <w:bookmarkEnd w:id="733"/>
      <w:r w:rsidRPr="006534F5">
        <w:t xml:space="preserve"> </w:t>
      </w:r>
      <w:bookmarkEnd w:id="734"/>
      <w:bookmarkEnd w:id="735"/>
      <w:bookmarkEnd w:id="736"/>
      <w:bookmarkEnd w:id="737"/>
      <w:bookmarkEnd w:id="738"/>
      <w:bookmarkEnd w:id="739"/>
      <w:bookmarkEnd w:id="740"/>
      <w:bookmarkEnd w:id="741"/>
      <w:bookmarkEnd w:id="742"/>
    </w:p>
    <w:p w14:paraId="2C455E92" w14:textId="7CC2DD07" w:rsidR="430D0071" w:rsidRDefault="430D0071" w:rsidP="0F107EF8">
      <w:r>
        <w:t>The</w:t>
      </w:r>
      <w:r w:rsidR="00143B07">
        <w:t xml:space="preserve"> Australian </w:t>
      </w:r>
      <w:r>
        <w:t xml:space="preserve">Business Securitisation Fund (ABSF) was established in 2019 to increase the availability </w:t>
      </w:r>
      <w:r w:rsidR="00EF5793">
        <w:t xml:space="preserve">– </w:t>
      </w:r>
      <w:r>
        <w:t xml:space="preserve">and reduce the cost </w:t>
      </w:r>
      <w:r w:rsidR="00EF5793">
        <w:t xml:space="preserve">– </w:t>
      </w:r>
      <w:r>
        <w:t xml:space="preserve">of credit provided to </w:t>
      </w:r>
      <w:r w:rsidR="00143B07">
        <w:t>small and medium enterprises (</w:t>
      </w:r>
      <w:r>
        <w:t>SMEs</w:t>
      </w:r>
      <w:r w:rsidR="00143B07">
        <w:t>)</w:t>
      </w:r>
      <w:r>
        <w:t>.</w:t>
      </w:r>
    </w:p>
    <w:p w14:paraId="3E3B04F2" w14:textId="2904991E" w:rsidR="430D0071" w:rsidRDefault="430D0071" w:rsidP="0F107EF8">
      <w:r>
        <w:t xml:space="preserve">The AOFM has used the ABSF to try </w:t>
      </w:r>
      <w:r w:rsidR="00EF5793">
        <w:t xml:space="preserve">and </w:t>
      </w:r>
      <w:r>
        <w:t>support the development of the Australian securitisation market</w:t>
      </w:r>
      <w:r w:rsidR="00EF5793">
        <w:t>,</w:t>
      </w:r>
      <w:r>
        <w:t xml:space="preserve"> so </w:t>
      </w:r>
      <w:r w:rsidR="00EF5793">
        <w:t>the market</w:t>
      </w:r>
      <w:r>
        <w:t xml:space="preserve"> can finance new and emerging types of lending</w:t>
      </w:r>
      <w:r w:rsidR="00EF5793">
        <w:t xml:space="preserve"> – </w:t>
      </w:r>
      <w:r>
        <w:t>including unsecured lending</w:t>
      </w:r>
      <w:r w:rsidR="00EF5793">
        <w:t xml:space="preserve"> –</w:t>
      </w:r>
      <w:r>
        <w:t xml:space="preserve"> to SMEs.</w:t>
      </w:r>
    </w:p>
    <w:p w14:paraId="4E7F6EE0" w14:textId="1C1CE19C" w:rsidR="430D0071" w:rsidRDefault="430D0071" w:rsidP="020C593E">
      <w:r>
        <w:t>A key part of our strategy has been to assist with establishing a track record for new types of SME lending. This has involved helping to standardise the format in which loan performance data is presented to rating agencies and investors, which should make the credit assessment process more efficient. In time, this is expected to attract new capital to the sector</w:t>
      </w:r>
      <w:r w:rsidR="003C3A79">
        <w:t xml:space="preserve"> and support </w:t>
      </w:r>
      <w:r w:rsidR="00BF6591">
        <w:t>more competition in pricing</w:t>
      </w:r>
      <w:r>
        <w:t>.</w:t>
      </w:r>
    </w:p>
    <w:p w14:paraId="47BE0C2E" w14:textId="7188C2B3" w:rsidR="430D0071" w:rsidRDefault="430D0071" w:rsidP="020C593E">
      <w:r>
        <w:t>The Australian Securitisation Forum (ASF), the securitisation industry</w:t>
      </w:r>
      <w:r w:rsidR="00B84FF2">
        <w:t>’</w:t>
      </w:r>
      <w:r>
        <w:t xml:space="preserve">s peak body, has been leading work on </w:t>
      </w:r>
      <w:r w:rsidR="00B65ECE">
        <w:t>the</w:t>
      </w:r>
      <w:r w:rsidR="00EF5793">
        <w:t xml:space="preserve"> </w:t>
      </w:r>
      <w:r w:rsidR="00B65ECE">
        <w:t>ASF</w:t>
      </w:r>
      <w:r>
        <w:t xml:space="preserve"> SME loan data template</w:t>
      </w:r>
      <w:r w:rsidR="00EF5793">
        <w:t>. W</w:t>
      </w:r>
      <w:r>
        <w:t>e contributed to the design and development of</w:t>
      </w:r>
      <w:r w:rsidR="00EF5793">
        <w:t xml:space="preserve"> the template, the first version of which t</w:t>
      </w:r>
      <w:r>
        <w:t xml:space="preserve">he ASF published in 2021, </w:t>
      </w:r>
      <w:r w:rsidR="00EF5793">
        <w:t xml:space="preserve">followed by </w:t>
      </w:r>
      <w:r>
        <w:t>a second version</w:t>
      </w:r>
      <w:r w:rsidR="00EF5793">
        <w:t xml:space="preserve"> – more closely aligned with the European data standard –</w:t>
      </w:r>
      <w:r>
        <w:t xml:space="preserve"> in July 2023. We continue to sponsor the adoption of the ASF</w:t>
      </w:r>
      <w:r w:rsidR="00B84FF2">
        <w:t>’</w:t>
      </w:r>
      <w:r>
        <w:t>s template through the ABSF. ABSF proponents are asked to commit to implementing the template in a timely manner as a condition of ABSF investment. In return</w:t>
      </w:r>
      <w:r w:rsidR="00B8554F">
        <w:t xml:space="preserve"> for this commitment</w:t>
      </w:r>
      <w:r>
        <w:t>, we are prepared to temporarily accept a below</w:t>
      </w:r>
      <w:r w:rsidR="00B84FF2">
        <w:noBreakHyphen/>
      </w:r>
      <w:r>
        <w:t>market rate of return to subsidise implementation costs.</w:t>
      </w:r>
    </w:p>
    <w:p w14:paraId="78C61571" w14:textId="3DCF2492" w:rsidR="3629C7C6" w:rsidRDefault="430D0071" w:rsidP="3629C7C6">
      <w:r>
        <w:t>The AOFM has also supported the development of the market for public asset</w:t>
      </w:r>
      <w:r w:rsidR="00B84FF2">
        <w:noBreakHyphen/>
      </w:r>
      <w:r>
        <w:t>backed securities (ABS) collateralised by underdeveloped types of SME lending. We do this by partially underwriting suitable ABS transactions to reduce execution risk.</w:t>
      </w:r>
    </w:p>
    <w:p w14:paraId="3C883582" w14:textId="682E2470" w:rsidR="005D21DF" w:rsidRDefault="005D21DF" w:rsidP="002F492E">
      <w:pPr>
        <w:pStyle w:val="Heading2"/>
      </w:pPr>
      <w:bookmarkStart w:id="743" w:name="_Toc205474316"/>
      <w:bookmarkStart w:id="744" w:name="_Toc207792897"/>
      <w:bookmarkStart w:id="745" w:name="_Toc207793935"/>
      <w:bookmarkStart w:id="746" w:name="_Toc207796073"/>
      <w:bookmarkStart w:id="747" w:name="_Toc207796941"/>
      <w:bookmarkStart w:id="748" w:name="_Toc207800242"/>
      <w:bookmarkStart w:id="749" w:name="_Toc207810820"/>
      <w:bookmarkStart w:id="750" w:name="_Toc208914099"/>
      <w:bookmarkStart w:id="751" w:name="_Toc209424496"/>
      <w:r w:rsidRPr="002F492E">
        <w:t>Structured</w:t>
      </w:r>
      <w:r w:rsidRPr="006534F5">
        <w:t xml:space="preserve"> Finance Support Fund</w:t>
      </w:r>
      <w:bookmarkEnd w:id="743"/>
      <w:bookmarkEnd w:id="744"/>
      <w:bookmarkEnd w:id="745"/>
      <w:bookmarkEnd w:id="746"/>
      <w:bookmarkEnd w:id="747"/>
      <w:bookmarkEnd w:id="748"/>
      <w:bookmarkEnd w:id="749"/>
      <w:bookmarkEnd w:id="750"/>
      <w:bookmarkEnd w:id="751"/>
    </w:p>
    <w:p w14:paraId="4342C12B" w14:textId="7E495F3B" w:rsidR="0911F556" w:rsidRDefault="0911F556" w:rsidP="6AD28F37">
      <w:r w:rsidRPr="231084C0">
        <w:rPr>
          <w:rFonts w:eastAsia="Arial Nova" w:cs="Arial Nova"/>
        </w:rPr>
        <w:t>The</w:t>
      </w:r>
      <w:r w:rsidR="00C9711B" w:rsidRPr="231084C0">
        <w:rPr>
          <w:rFonts w:eastAsia="Arial Nova" w:cs="Arial Nova"/>
        </w:rPr>
        <w:t xml:space="preserve"> </w:t>
      </w:r>
      <w:r w:rsidRPr="231084C0">
        <w:rPr>
          <w:rFonts w:eastAsia="Arial Nova" w:cs="Arial Nova"/>
        </w:rPr>
        <w:t>Structured Finance Support Fund (SFSF) was established in March 2020 to ensure continued access to funding markets impacted by the economic effects of the COVID‑19 pandemic, and to mitigate their impacts on competition in consumer and business lending markets.</w:t>
      </w:r>
    </w:p>
    <w:p w14:paraId="704EDCC1" w14:textId="379FAE77" w:rsidR="0911F556" w:rsidRDefault="0911F556" w:rsidP="7FB5F66C">
      <w:r w:rsidRPr="231084C0">
        <w:rPr>
          <w:rFonts w:eastAsia="Arial Nova" w:cs="Arial Nova"/>
        </w:rPr>
        <w:lastRenderedPageBreak/>
        <w:t>A total of $15 billion was credited to the SFSF</w:t>
      </w:r>
      <w:r w:rsidR="00B84FF2">
        <w:rPr>
          <w:rFonts w:eastAsia="Arial Nova" w:cs="Arial Nova"/>
        </w:rPr>
        <w:t>’</w:t>
      </w:r>
      <w:r w:rsidRPr="231084C0">
        <w:rPr>
          <w:rFonts w:eastAsia="Arial Nova" w:cs="Arial Nova"/>
        </w:rPr>
        <w:t xml:space="preserve">s special account in 2020, </w:t>
      </w:r>
      <w:r w:rsidR="00C9711B">
        <w:rPr>
          <w:rFonts w:eastAsia="Arial Nova" w:cs="Arial Nova"/>
        </w:rPr>
        <w:t>with</w:t>
      </w:r>
      <w:r w:rsidRPr="231084C0">
        <w:rPr>
          <w:rFonts w:eastAsia="Arial Nova" w:cs="Arial Nova"/>
        </w:rPr>
        <w:t xml:space="preserve"> a peak </w:t>
      </w:r>
      <w:r w:rsidR="00C9711B" w:rsidRPr="231084C0">
        <w:rPr>
          <w:rFonts w:eastAsia="Arial Nova" w:cs="Arial Nova"/>
        </w:rPr>
        <w:t xml:space="preserve">of $3.8 billion </w:t>
      </w:r>
      <w:r w:rsidRPr="231084C0">
        <w:rPr>
          <w:rFonts w:eastAsia="Arial Nova" w:cs="Arial Nova"/>
        </w:rPr>
        <w:t>in approved commitments in 2020–21.</w:t>
      </w:r>
    </w:p>
    <w:p w14:paraId="1CC03326" w14:textId="6E26D059" w:rsidR="0911F556" w:rsidRDefault="0911F556" w:rsidP="231084C0">
      <w:pPr>
        <w:rPr>
          <w:rFonts w:eastAsia="Arial Nova" w:cs="Arial Nova"/>
        </w:rPr>
      </w:pPr>
      <w:r w:rsidRPr="231084C0">
        <w:rPr>
          <w:rFonts w:eastAsia="Arial Nova" w:cs="Arial Nova"/>
        </w:rPr>
        <w:t>As proponents are required to demonstrate a loss of access to finance resulting from the COVID</w:t>
      </w:r>
      <w:r w:rsidR="00B84FF2">
        <w:rPr>
          <w:rFonts w:eastAsia="Arial Nova" w:cs="Arial Nova"/>
        </w:rPr>
        <w:noBreakHyphen/>
      </w:r>
      <w:r w:rsidRPr="231084C0">
        <w:rPr>
          <w:rFonts w:eastAsia="Arial Nova" w:cs="Arial Nova"/>
        </w:rPr>
        <w:t xml:space="preserve">19 pandemic as a precondition of support, the SFSF has made no new investments since 2021 and </w:t>
      </w:r>
      <w:r w:rsidRPr="53CCF009">
        <w:rPr>
          <w:rFonts w:eastAsia="Arial Nova" w:cs="Arial Nova"/>
        </w:rPr>
        <w:t>was</w:t>
      </w:r>
      <w:r w:rsidRPr="231084C0">
        <w:rPr>
          <w:rFonts w:eastAsia="Arial Nova" w:cs="Arial Nova"/>
        </w:rPr>
        <w:t xml:space="preserve"> effectively in runoff</w:t>
      </w:r>
      <w:r w:rsidR="00C9711B">
        <w:rPr>
          <w:rFonts w:eastAsia="Arial Nova" w:cs="Arial Nova"/>
        </w:rPr>
        <w:t xml:space="preserve"> since then</w:t>
      </w:r>
      <w:r w:rsidRPr="231084C0">
        <w:rPr>
          <w:rFonts w:eastAsia="Arial Nova" w:cs="Arial Nova"/>
        </w:rPr>
        <w:t>.</w:t>
      </w:r>
      <w:r w:rsidR="64E98B92" w:rsidRPr="53CCF009">
        <w:rPr>
          <w:rFonts w:eastAsia="Arial Nova" w:cs="Arial Nova"/>
        </w:rPr>
        <w:t xml:space="preserve"> </w:t>
      </w:r>
      <w:r w:rsidR="64E98B92" w:rsidRPr="64A0E53A">
        <w:rPr>
          <w:rFonts w:eastAsia="Arial Nova" w:cs="Arial Nova"/>
        </w:rPr>
        <w:t xml:space="preserve">In January 2025, the AOFM sold its remaining SFSF investments via a market auction </w:t>
      </w:r>
      <w:r w:rsidR="64E98B92" w:rsidRPr="4937CAAB">
        <w:rPr>
          <w:rFonts w:eastAsia="Arial Nova" w:cs="Arial Nova"/>
        </w:rPr>
        <w:t xml:space="preserve">process. The sale of these assets left the AOFM </w:t>
      </w:r>
      <w:r w:rsidR="64E98B92" w:rsidRPr="71196763">
        <w:rPr>
          <w:rFonts w:eastAsia="Arial Nova" w:cs="Arial Nova"/>
        </w:rPr>
        <w:t xml:space="preserve">with no </w:t>
      </w:r>
      <w:r w:rsidR="7DC55C35" w:rsidRPr="71196763">
        <w:rPr>
          <w:rFonts w:eastAsia="Arial Nova" w:cs="Arial Nova"/>
        </w:rPr>
        <w:t>SFSF investments or commitments to invest</w:t>
      </w:r>
      <w:r w:rsidR="7DC55C35" w:rsidRPr="046B6DCB">
        <w:rPr>
          <w:rFonts w:eastAsia="Arial Nova" w:cs="Arial Nova"/>
        </w:rPr>
        <w:t>.</w:t>
      </w:r>
    </w:p>
    <w:p w14:paraId="0E1417B0" w14:textId="28264BFE" w:rsidR="00406B6D" w:rsidRDefault="008A2D81" w:rsidP="000D0FF3">
      <w:pPr>
        <w:pStyle w:val="TableMainHeading"/>
      </w:pPr>
      <w:r>
        <w:t>Table 1</w:t>
      </w:r>
      <w:r w:rsidR="00D84FB7">
        <w:t>2</w:t>
      </w:r>
      <w:r>
        <w:t xml:space="preserve">: </w:t>
      </w:r>
      <w:r w:rsidR="0911F556" w:rsidRPr="000D0FF3">
        <w:t>Summary</w:t>
      </w:r>
      <w:r w:rsidR="0911F556">
        <w:t xml:space="preserve"> of performance for Purpose 4</w:t>
      </w:r>
    </w:p>
    <w:tbl>
      <w:tblPr>
        <w:tblStyle w:val="AOFMTablemain"/>
        <w:tblW w:w="8032" w:type="dxa"/>
        <w:tblLook w:val="06A0" w:firstRow="1" w:lastRow="0" w:firstColumn="1" w:lastColumn="0" w:noHBand="1" w:noVBand="1"/>
      </w:tblPr>
      <w:tblGrid>
        <w:gridCol w:w="1402"/>
        <w:gridCol w:w="3701"/>
        <w:gridCol w:w="1663"/>
        <w:gridCol w:w="1266"/>
      </w:tblGrid>
      <w:tr w:rsidR="008E6117" w14:paraId="6E57F1CD" w14:textId="3099C636" w:rsidTr="008E6117">
        <w:trPr>
          <w:cnfStyle w:val="100000000000" w:firstRow="1" w:lastRow="0" w:firstColumn="0" w:lastColumn="0" w:oddVBand="0" w:evenVBand="0" w:oddHBand="0" w:evenHBand="0" w:firstRowFirstColumn="0" w:firstRowLastColumn="0" w:lastRowFirstColumn="0" w:lastRowLastColumn="0"/>
          <w:trHeight w:val="242"/>
        </w:trPr>
        <w:tc>
          <w:tcPr>
            <w:tcW w:w="3177" w:type="pct"/>
            <w:gridSpan w:val="2"/>
            <w:vMerge w:val="restart"/>
            <w:tcBorders>
              <w:right w:val="single" w:sz="4" w:space="0" w:color="FFFFFF" w:themeColor="background1"/>
            </w:tcBorders>
          </w:tcPr>
          <w:p w14:paraId="3A1A1266" w14:textId="565867DB" w:rsidR="008E6117" w:rsidRDefault="008E6117" w:rsidP="008E355A">
            <w:pPr>
              <w:pStyle w:val="TableSecondHeading"/>
            </w:pPr>
            <w:r w:rsidRPr="00190BB7">
              <w:rPr>
                <w:b/>
                <w:bCs/>
                <w:color w:val="FFFFFF" w:themeColor="background1"/>
              </w:rPr>
              <w:t>Performance Measures</w:t>
            </w:r>
          </w:p>
        </w:tc>
        <w:tc>
          <w:tcPr>
            <w:tcW w:w="1823" w:type="pct"/>
            <w:gridSpan w:val="2"/>
            <w:tcBorders>
              <w:left w:val="single" w:sz="4" w:space="0" w:color="FFFFFF" w:themeColor="background1"/>
            </w:tcBorders>
          </w:tcPr>
          <w:p w14:paraId="1655E2C2" w14:textId="154AEAC5" w:rsidR="008E6117" w:rsidRDefault="008E6117" w:rsidP="008E355A">
            <w:pPr>
              <w:pStyle w:val="TableColumnHeadingLeft"/>
            </w:pPr>
            <w:r w:rsidRPr="00DF31C0">
              <w:t>2024–25 Performance</w:t>
            </w:r>
          </w:p>
        </w:tc>
      </w:tr>
      <w:tr w:rsidR="008E6117" w14:paraId="1EBF6A58" w14:textId="77E8D77B" w:rsidTr="008E6117">
        <w:trPr>
          <w:trHeight w:val="237"/>
        </w:trPr>
        <w:tc>
          <w:tcPr>
            <w:tcW w:w="3177" w:type="pct"/>
            <w:gridSpan w:val="2"/>
            <w:vMerge/>
            <w:tcBorders>
              <w:right w:val="single" w:sz="4" w:space="0" w:color="FFFFFF" w:themeColor="background1"/>
            </w:tcBorders>
            <w:shd w:val="clear" w:color="auto" w:fill="472978" w:themeFill="accent1"/>
          </w:tcPr>
          <w:p w14:paraId="515E28B4" w14:textId="2B5A20AE" w:rsidR="008E6117" w:rsidRPr="00190BB7" w:rsidRDefault="008E6117" w:rsidP="008E355A">
            <w:pPr>
              <w:pStyle w:val="TableSecondHeading"/>
              <w:rPr>
                <w:b/>
                <w:bCs/>
                <w:color w:val="FFFFFF" w:themeColor="background1"/>
              </w:rPr>
            </w:pPr>
          </w:p>
        </w:tc>
        <w:tc>
          <w:tcPr>
            <w:tcW w:w="1035" w:type="pct"/>
            <w:tcBorders>
              <w:top w:val="single" w:sz="4" w:space="0" w:color="FFFFFF" w:themeColor="background1"/>
              <w:left w:val="single" w:sz="4" w:space="0" w:color="FFFFFF" w:themeColor="background1"/>
              <w:right w:val="single" w:sz="4" w:space="0" w:color="FFFFFF" w:themeColor="background1"/>
            </w:tcBorders>
            <w:shd w:val="clear" w:color="auto" w:fill="472978" w:themeFill="accent1"/>
          </w:tcPr>
          <w:p w14:paraId="244C50AB" w14:textId="1F00E023" w:rsidR="008E6117" w:rsidRPr="00190BB7" w:rsidRDefault="008E6117" w:rsidP="008E355A">
            <w:pPr>
              <w:pStyle w:val="TableSecondHeading"/>
              <w:rPr>
                <w:b/>
                <w:bCs/>
                <w:color w:val="FFFFFF" w:themeColor="background1"/>
              </w:rPr>
            </w:pPr>
            <w:r w:rsidRPr="00190BB7">
              <w:rPr>
                <w:b/>
                <w:bCs/>
                <w:color w:val="FFFFFF" w:themeColor="background1"/>
                <w:szCs w:val="18"/>
              </w:rPr>
              <w:t>Target</w:t>
            </w:r>
          </w:p>
        </w:tc>
        <w:tc>
          <w:tcPr>
            <w:tcW w:w="788" w:type="pct"/>
            <w:tcBorders>
              <w:top w:val="single" w:sz="4" w:space="0" w:color="FFFFFF" w:themeColor="background1"/>
              <w:left w:val="single" w:sz="4" w:space="0" w:color="FFFFFF" w:themeColor="background1"/>
            </w:tcBorders>
            <w:shd w:val="clear" w:color="auto" w:fill="472978" w:themeFill="accent1"/>
          </w:tcPr>
          <w:p w14:paraId="3A9F93ED" w14:textId="7FA355A2" w:rsidR="008E6117" w:rsidRPr="00190BB7" w:rsidRDefault="008E6117" w:rsidP="008E355A">
            <w:pPr>
              <w:pStyle w:val="TableSecondHeading"/>
              <w:rPr>
                <w:b/>
                <w:bCs/>
                <w:color w:val="FFFFFF" w:themeColor="background1"/>
              </w:rPr>
            </w:pPr>
            <w:r w:rsidRPr="00190BB7">
              <w:rPr>
                <w:b/>
                <w:bCs/>
                <w:color w:val="FFFFFF" w:themeColor="background1"/>
                <w:szCs w:val="18"/>
              </w:rPr>
              <w:t>Results</w:t>
            </w:r>
          </w:p>
        </w:tc>
      </w:tr>
      <w:tr w:rsidR="006F51DD" w14:paraId="27D2E4D2" w14:textId="16FAC9E3" w:rsidTr="008E6117">
        <w:tc>
          <w:tcPr>
            <w:tcW w:w="873" w:type="pct"/>
          </w:tcPr>
          <w:p w14:paraId="305F6A9E" w14:textId="6001951C" w:rsidR="006F51DD" w:rsidRDefault="006F51DD" w:rsidP="00625DAB">
            <w:pPr>
              <w:pStyle w:val="TableTextLeft"/>
            </w:pPr>
            <w:r w:rsidRPr="002C395F">
              <w:rPr>
                <w:rStyle w:val="Strong"/>
                <w:szCs w:val="16"/>
              </w:rPr>
              <w:t>Key Activity 4.1</w:t>
            </w:r>
          </w:p>
        </w:tc>
        <w:tc>
          <w:tcPr>
            <w:tcW w:w="2304" w:type="pct"/>
          </w:tcPr>
          <w:p w14:paraId="0AF8B581" w14:textId="77777777" w:rsidR="006F51DD" w:rsidRPr="00EF4749" w:rsidRDefault="006F51DD" w:rsidP="00625DAB">
            <w:pPr>
              <w:pStyle w:val="TableTextLeft"/>
              <w:rPr>
                <w:b/>
                <w:bCs/>
              </w:rPr>
            </w:pPr>
            <w:r w:rsidRPr="00EF4749">
              <w:rPr>
                <w:b/>
                <w:bCs/>
              </w:rPr>
              <w:t>Manage the ABSF program by:</w:t>
            </w:r>
          </w:p>
          <w:p w14:paraId="0257BDA8" w14:textId="77777777" w:rsidR="006F51DD" w:rsidRPr="002C395F" w:rsidRDefault="006F51DD" w:rsidP="00625DAB">
            <w:pPr>
              <w:pStyle w:val="Tabletext-bullet"/>
            </w:pPr>
            <w:r w:rsidRPr="002C395F">
              <w:t>seeking ABSF proposals from relevant market participants</w:t>
            </w:r>
          </w:p>
          <w:p w14:paraId="7B137473" w14:textId="77777777" w:rsidR="006F51DD" w:rsidRPr="002C395F" w:rsidRDefault="006F51DD" w:rsidP="00625DAB">
            <w:pPr>
              <w:pStyle w:val="Tabletext-bullet"/>
            </w:pPr>
            <w:r w:rsidRPr="002C395F">
              <w:t>making investment in suitable proposals</w:t>
            </w:r>
          </w:p>
          <w:p w14:paraId="3467563E" w14:textId="77777777" w:rsidR="006F51DD" w:rsidRPr="002C395F" w:rsidRDefault="006F51DD" w:rsidP="00625DAB">
            <w:pPr>
              <w:pStyle w:val="Tabletext-bullet"/>
            </w:pPr>
            <w:r w:rsidRPr="002C395F">
              <w:t>meeting subscription notices</w:t>
            </w:r>
          </w:p>
          <w:p w14:paraId="5789EF29" w14:textId="7B6459AB" w:rsidR="006F51DD" w:rsidRDefault="006F51DD" w:rsidP="00625DAB">
            <w:pPr>
              <w:pStyle w:val="Tabletext-bullet"/>
            </w:pPr>
            <w:r w:rsidRPr="002C395F">
              <w:t>monitoring investment performance.</w:t>
            </w:r>
          </w:p>
        </w:tc>
        <w:tc>
          <w:tcPr>
            <w:tcW w:w="1035" w:type="pct"/>
          </w:tcPr>
          <w:p w14:paraId="61A8E7D6" w14:textId="77777777" w:rsidR="006F51DD" w:rsidRPr="008E355A" w:rsidRDefault="006F51DD" w:rsidP="00625DAB">
            <w:pPr>
              <w:pStyle w:val="TableTextLeft"/>
            </w:pPr>
          </w:p>
        </w:tc>
        <w:tc>
          <w:tcPr>
            <w:tcW w:w="788" w:type="pct"/>
          </w:tcPr>
          <w:p w14:paraId="2E1FB453" w14:textId="77777777" w:rsidR="006F51DD" w:rsidRPr="008E355A" w:rsidRDefault="006F51DD" w:rsidP="00625DAB">
            <w:pPr>
              <w:pStyle w:val="TableTextLeft"/>
            </w:pPr>
          </w:p>
        </w:tc>
      </w:tr>
      <w:tr w:rsidR="006F51DD" w14:paraId="784B4973" w14:textId="1155AA19" w:rsidTr="008E6117">
        <w:tc>
          <w:tcPr>
            <w:tcW w:w="873" w:type="pct"/>
          </w:tcPr>
          <w:p w14:paraId="60A10B3A" w14:textId="37C22F1C" w:rsidR="006F51DD" w:rsidRDefault="006F51DD" w:rsidP="00625DAB">
            <w:pPr>
              <w:pStyle w:val="TableTextLeft"/>
            </w:pPr>
            <w:r w:rsidRPr="002C395F">
              <w:t>4.1.1</w:t>
            </w:r>
          </w:p>
        </w:tc>
        <w:tc>
          <w:tcPr>
            <w:tcW w:w="2304" w:type="pct"/>
          </w:tcPr>
          <w:p w14:paraId="1D38A017" w14:textId="2B6D3FA6" w:rsidR="006F51DD" w:rsidRDefault="006F51DD" w:rsidP="00625DAB">
            <w:pPr>
              <w:pStyle w:val="TableTextLeft"/>
            </w:pPr>
            <w:r w:rsidRPr="002C395F">
              <w:rPr>
                <w:b/>
                <w:bCs/>
              </w:rPr>
              <w:t>ABSF rate of return:</w:t>
            </w:r>
            <w:r w:rsidRPr="002C395F">
              <w:t xml:space="preserve"> The accrual earnings (net of losses) for a fiscal year divided by the average drawn (invested) amount in percentage point terms. </w:t>
            </w:r>
          </w:p>
        </w:tc>
        <w:tc>
          <w:tcPr>
            <w:tcW w:w="1035" w:type="pct"/>
          </w:tcPr>
          <w:p w14:paraId="20625B0A" w14:textId="192F9EA5" w:rsidR="006F51DD" w:rsidRPr="008E355A" w:rsidRDefault="006F51DD" w:rsidP="00625DAB">
            <w:pPr>
              <w:pStyle w:val="TableTextLeft"/>
            </w:pPr>
            <w:r w:rsidRPr="008E355A">
              <w:t xml:space="preserve">Greater than Bloomberg </w:t>
            </w:r>
            <w:proofErr w:type="spellStart"/>
            <w:r w:rsidRPr="008E355A">
              <w:t>AusBond</w:t>
            </w:r>
            <w:proofErr w:type="spellEnd"/>
            <w:r w:rsidRPr="008E355A">
              <w:t xml:space="preserve"> Treasury 0</w:t>
            </w:r>
            <w:r w:rsidRPr="008E355A">
              <w:noBreakHyphen/>
              <w:t>1 Yr Index</w:t>
            </w:r>
          </w:p>
        </w:tc>
        <w:tc>
          <w:tcPr>
            <w:tcW w:w="788" w:type="pct"/>
          </w:tcPr>
          <w:p w14:paraId="1E6B41AC" w14:textId="52E5E387" w:rsidR="006F51DD" w:rsidRPr="008E355A" w:rsidRDefault="006F51DD" w:rsidP="00625DAB">
            <w:pPr>
              <w:pStyle w:val="TableTextLeft"/>
            </w:pPr>
            <w:r w:rsidRPr="008E355A">
              <w:t>Met</w:t>
            </w:r>
          </w:p>
        </w:tc>
      </w:tr>
      <w:tr w:rsidR="006F51DD" w14:paraId="1873DDAB" w14:textId="13C32CFE" w:rsidTr="008E6117">
        <w:tc>
          <w:tcPr>
            <w:tcW w:w="873" w:type="pct"/>
          </w:tcPr>
          <w:p w14:paraId="7B4DB12B" w14:textId="2F961A24" w:rsidR="006F51DD" w:rsidRPr="00EF4749" w:rsidRDefault="006F51DD" w:rsidP="00625DAB">
            <w:pPr>
              <w:pStyle w:val="TableTextLeft"/>
              <w:rPr>
                <w:b/>
                <w:bCs/>
              </w:rPr>
            </w:pPr>
            <w:r w:rsidRPr="00EF4749">
              <w:rPr>
                <w:b/>
                <w:bCs/>
              </w:rPr>
              <w:t>Key Activity 4.2</w:t>
            </w:r>
          </w:p>
        </w:tc>
        <w:tc>
          <w:tcPr>
            <w:tcW w:w="2304" w:type="pct"/>
          </w:tcPr>
          <w:p w14:paraId="0EFF73F4" w14:textId="77777777" w:rsidR="006F51DD" w:rsidRPr="00EF4749" w:rsidRDefault="006F51DD" w:rsidP="00625DAB">
            <w:pPr>
              <w:pStyle w:val="TableTextLeft"/>
              <w:rPr>
                <w:b/>
                <w:bCs/>
              </w:rPr>
            </w:pPr>
            <w:r w:rsidRPr="00EF4749">
              <w:rPr>
                <w:b/>
                <w:bCs/>
              </w:rPr>
              <w:t>Manage the SFSF program by:</w:t>
            </w:r>
          </w:p>
          <w:p w14:paraId="790FFEE7" w14:textId="77777777" w:rsidR="006F51DD" w:rsidRPr="002C395F" w:rsidRDefault="006F51DD" w:rsidP="00625DAB">
            <w:pPr>
              <w:pStyle w:val="Tabletext-bullet"/>
            </w:pPr>
            <w:r w:rsidRPr="002C395F">
              <w:t>meeting subscription notices</w:t>
            </w:r>
          </w:p>
          <w:p w14:paraId="75B2DBA7" w14:textId="77777777" w:rsidR="006F51DD" w:rsidRPr="002C395F" w:rsidRDefault="006F51DD" w:rsidP="00625DAB">
            <w:pPr>
              <w:pStyle w:val="Tabletext-bullet"/>
            </w:pPr>
            <w:r w:rsidRPr="002C395F">
              <w:t>exiting warehouse financing facilities in an orderly fashion on expiry of arrangements</w:t>
            </w:r>
          </w:p>
          <w:p w14:paraId="6E92AA24" w14:textId="69A179B2" w:rsidR="006F51DD" w:rsidRDefault="006F51DD" w:rsidP="00625DAB">
            <w:pPr>
              <w:pStyle w:val="Tabletext-bullet"/>
            </w:pPr>
            <w:r w:rsidRPr="002C395F">
              <w:t>monitoring investment performance.</w:t>
            </w:r>
          </w:p>
        </w:tc>
        <w:tc>
          <w:tcPr>
            <w:tcW w:w="1035" w:type="pct"/>
          </w:tcPr>
          <w:p w14:paraId="0B961A19" w14:textId="77777777" w:rsidR="006F51DD" w:rsidRPr="008E355A" w:rsidRDefault="006F51DD" w:rsidP="00625DAB">
            <w:pPr>
              <w:pStyle w:val="TableTextLeft"/>
            </w:pPr>
          </w:p>
        </w:tc>
        <w:tc>
          <w:tcPr>
            <w:tcW w:w="788" w:type="pct"/>
          </w:tcPr>
          <w:p w14:paraId="41A1C704" w14:textId="77777777" w:rsidR="006F51DD" w:rsidRPr="008E355A" w:rsidRDefault="006F51DD" w:rsidP="00625DAB">
            <w:pPr>
              <w:pStyle w:val="TableTextLeft"/>
            </w:pPr>
          </w:p>
        </w:tc>
      </w:tr>
      <w:tr w:rsidR="006F51DD" w14:paraId="177A0A80" w14:textId="765CCDE0" w:rsidTr="008E6117">
        <w:tc>
          <w:tcPr>
            <w:tcW w:w="873" w:type="pct"/>
          </w:tcPr>
          <w:p w14:paraId="300B9F85" w14:textId="24976577" w:rsidR="006F51DD" w:rsidRDefault="008E355A" w:rsidP="00625DAB">
            <w:pPr>
              <w:pStyle w:val="TableTextLeft"/>
            </w:pPr>
            <w:r w:rsidRPr="002C395F">
              <w:t>4.2.1</w:t>
            </w:r>
          </w:p>
        </w:tc>
        <w:tc>
          <w:tcPr>
            <w:tcW w:w="2304" w:type="pct"/>
          </w:tcPr>
          <w:p w14:paraId="48F38636" w14:textId="6121D4E5" w:rsidR="006F51DD" w:rsidRDefault="006F51DD" w:rsidP="00625DAB">
            <w:pPr>
              <w:pStyle w:val="TableTextLeft"/>
            </w:pPr>
            <w:r w:rsidRPr="002C395F">
              <w:rPr>
                <w:b/>
                <w:bCs/>
              </w:rPr>
              <w:t>SFSF losses:</w:t>
            </w:r>
            <w:r w:rsidRPr="002C395F">
              <w:t xml:space="preserve"> Gross credit losses for a fiscal year divided by the average drawn (invested) amount in percentage point terms.</w:t>
            </w:r>
          </w:p>
        </w:tc>
        <w:tc>
          <w:tcPr>
            <w:tcW w:w="1035" w:type="pct"/>
          </w:tcPr>
          <w:p w14:paraId="417097BD" w14:textId="69F14DC0" w:rsidR="006F51DD" w:rsidRPr="008E355A" w:rsidRDefault="006F51DD" w:rsidP="00625DAB">
            <w:pPr>
              <w:pStyle w:val="TableTextLeft"/>
            </w:pPr>
            <w:r w:rsidRPr="008E355A">
              <w:t>Zero</w:t>
            </w:r>
          </w:p>
        </w:tc>
        <w:tc>
          <w:tcPr>
            <w:tcW w:w="788" w:type="pct"/>
          </w:tcPr>
          <w:p w14:paraId="6152FA04" w14:textId="6940A28D" w:rsidR="006F51DD" w:rsidRPr="008E355A" w:rsidRDefault="006F51DD" w:rsidP="00625DAB">
            <w:pPr>
              <w:pStyle w:val="TableTextLeft"/>
            </w:pPr>
            <w:r w:rsidRPr="008E355A">
              <w:t>Met</w:t>
            </w:r>
          </w:p>
        </w:tc>
      </w:tr>
    </w:tbl>
    <w:p w14:paraId="6B8E4CCB" w14:textId="77777777" w:rsidR="000D0FF3" w:rsidRDefault="000D0FF3" w:rsidP="000D0FF3">
      <w:bookmarkStart w:id="752" w:name="_Toc107329237"/>
      <w:bookmarkStart w:id="753" w:name="_Toc107329506"/>
      <w:bookmarkStart w:id="754" w:name="_Toc144813579"/>
      <w:bookmarkStart w:id="755" w:name="_Toc145684517"/>
      <w:bookmarkStart w:id="756" w:name="_Toc145685117"/>
      <w:bookmarkStart w:id="757" w:name="_Toc145686070"/>
      <w:bookmarkStart w:id="758" w:name="_Toc145686269"/>
      <w:bookmarkStart w:id="759" w:name="_Toc145686468"/>
      <w:bookmarkStart w:id="760" w:name="_Toc145686769"/>
      <w:bookmarkStart w:id="761" w:name="_Toc173327322"/>
      <w:bookmarkStart w:id="762" w:name="_Toc173327775"/>
      <w:bookmarkStart w:id="763" w:name="_Toc173395298"/>
      <w:bookmarkStart w:id="764" w:name="_Toc173395376"/>
      <w:bookmarkStart w:id="765" w:name="_Toc173395710"/>
      <w:bookmarkStart w:id="766" w:name="_Toc173396598"/>
      <w:bookmarkStart w:id="767" w:name="_Toc173397609"/>
      <w:bookmarkStart w:id="768" w:name="_Toc173408168"/>
      <w:bookmarkStart w:id="769" w:name="_Toc173411490"/>
      <w:bookmarkStart w:id="770" w:name="_Toc173479170"/>
      <w:bookmarkStart w:id="771" w:name="_Toc173743069"/>
      <w:bookmarkStart w:id="772" w:name="_Toc173743230"/>
      <w:bookmarkStart w:id="773" w:name="_Toc176160552"/>
      <w:bookmarkStart w:id="774" w:name="_Toc176163180"/>
      <w:bookmarkStart w:id="775" w:name="_Toc205474317"/>
    </w:p>
    <w:p w14:paraId="1E47A2B4" w14:textId="77777777" w:rsidR="000D0FF3" w:rsidRDefault="000D0FF3" w:rsidP="000D0FF3">
      <w:pPr>
        <w:rPr>
          <w:shd w:val="clear" w:color="auto" w:fill="FFFFFF"/>
        </w:rPr>
      </w:pPr>
      <w:r>
        <w:br w:type="page"/>
      </w:r>
    </w:p>
    <w:p w14:paraId="1B4C7044" w14:textId="4D24F7EA" w:rsidR="000C6B1B" w:rsidRDefault="000C6B1B" w:rsidP="00C67F81">
      <w:pPr>
        <w:pStyle w:val="Heading2"/>
      </w:pPr>
      <w:bookmarkStart w:id="776" w:name="_Toc207792898"/>
      <w:bookmarkStart w:id="777" w:name="_Toc207793936"/>
      <w:bookmarkStart w:id="778" w:name="_Toc207796074"/>
      <w:bookmarkStart w:id="779" w:name="_Toc207796942"/>
      <w:bookmarkStart w:id="780" w:name="_Toc207800243"/>
      <w:bookmarkStart w:id="781" w:name="_Toc207810821"/>
      <w:bookmarkStart w:id="782" w:name="_Toc208914100"/>
      <w:bookmarkStart w:id="783" w:name="_Toc209424497"/>
      <w:r w:rsidRPr="006534F5">
        <w:lastRenderedPageBreak/>
        <w:t>Key Activity</w:t>
      </w:r>
      <w:r w:rsidR="00C9711B" w:rsidRPr="006534F5">
        <w:t xml:space="preserve"> </w:t>
      </w:r>
      <w:r w:rsidRPr="006534F5">
        <w:t xml:space="preserve">4.1: </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00491686">
        <w:t>Manage the ABSF program</w:t>
      </w:r>
      <w:bookmarkEnd w:id="775"/>
      <w:bookmarkEnd w:id="776"/>
      <w:bookmarkEnd w:id="777"/>
      <w:bookmarkEnd w:id="778"/>
      <w:bookmarkEnd w:id="779"/>
      <w:bookmarkEnd w:id="780"/>
      <w:bookmarkEnd w:id="781"/>
      <w:bookmarkEnd w:id="782"/>
      <w:bookmarkEnd w:id="783"/>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422F6D" w14:paraId="2527C9E2" w14:textId="77777777">
        <w:tc>
          <w:tcPr>
            <w:tcW w:w="7700" w:type="dxa"/>
            <w:tcBorders>
              <w:bottom w:val="single" w:sz="24" w:space="0" w:color="472978" w:themeColor="accent1"/>
            </w:tcBorders>
            <w:shd w:val="clear" w:color="auto" w:fill="E7DCF7" w:themeFill="text2" w:themeFillTint="1A"/>
          </w:tcPr>
          <w:p w14:paraId="3ED7077C" w14:textId="24DE8A2F" w:rsidR="00422F6D" w:rsidRPr="00EC49A3" w:rsidRDefault="00EB059B" w:rsidP="003A25F9">
            <w:pPr>
              <w:pStyle w:val="Boxheading"/>
            </w:pPr>
            <w:bookmarkStart w:id="784" w:name="_Hlk203472808"/>
            <w:r>
              <w:t>Why is managing the ABSF important</w:t>
            </w:r>
            <w:r w:rsidR="00422F6D" w:rsidRPr="00EC49A3">
              <w:t xml:space="preserve">? </w:t>
            </w:r>
          </w:p>
          <w:p w14:paraId="1BD863F8" w14:textId="7E614E57" w:rsidR="0077603C" w:rsidRPr="00234606" w:rsidRDefault="00422F6D" w:rsidP="00234606">
            <w:pPr>
              <w:pStyle w:val="BoxText"/>
            </w:pPr>
            <w:r w:rsidRPr="00234606">
              <w:t xml:space="preserve">The </w:t>
            </w:r>
            <w:r w:rsidR="00926210" w:rsidRPr="00234606">
              <w:t xml:space="preserve">ABSF </w:t>
            </w:r>
            <w:r w:rsidR="009A5511" w:rsidRPr="00234606">
              <w:t xml:space="preserve">is an </w:t>
            </w:r>
            <w:r w:rsidR="0033140E" w:rsidRPr="00234606">
              <w:t xml:space="preserve">opportunity to build a performance </w:t>
            </w:r>
            <w:r w:rsidR="00366835" w:rsidRPr="00234606">
              <w:t xml:space="preserve">track record </w:t>
            </w:r>
            <w:r w:rsidR="0033140E" w:rsidRPr="00234606">
              <w:t>for lenders to SME</w:t>
            </w:r>
            <w:r w:rsidR="00370DFC" w:rsidRPr="00234606">
              <w:t>s</w:t>
            </w:r>
            <w:r w:rsidR="0033140E" w:rsidRPr="00234606">
              <w:t xml:space="preserve"> in less well</w:t>
            </w:r>
            <w:r w:rsidR="00B84FF2" w:rsidRPr="00234606">
              <w:noBreakHyphen/>
            </w:r>
            <w:r w:rsidR="0033140E" w:rsidRPr="00234606">
              <w:t>developed segments of the marke</w:t>
            </w:r>
            <w:r w:rsidR="001445B5" w:rsidRPr="00234606">
              <w:t>t</w:t>
            </w:r>
            <w:r w:rsidR="001445B5" w:rsidRPr="0098198B">
              <w:rPr>
                <w:rStyle w:val="FootnoteReference"/>
              </w:rPr>
              <w:footnoteReference w:id="4"/>
            </w:r>
            <w:r w:rsidR="0033140E" w:rsidRPr="00234606">
              <w:t xml:space="preserve"> </w:t>
            </w:r>
            <w:r w:rsidR="009A5511" w:rsidRPr="00234606">
              <w:t xml:space="preserve">in a systematic </w:t>
            </w:r>
            <w:r w:rsidR="0077603C" w:rsidRPr="00234606">
              <w:t>manner</w:t>
            </w:r>
            <w:r w:rsidR="00366835" w:rsidRPr="00234606">
              <w:t xml:space="preserve">. </w:t>
            </w:r>
          </w:p>
          <w:p w14:paraId="228F6B64" w14:textId="2DA80705" w:rsidR="00CA68CD" w:rsidRPr="00234606" w:rsidRDefault="0097130B" w:rsidP="00234606">
            <w:pPr>
              <w:pStyle w:val="BoxText"/>
            </w:pPr>
            <w:r w:rsidRPr="00234606">
              <w:t xml:space="preserve">A track record </w:t>
            </w:r>
            <w:r w:rsidR="00A5338B" w:rsidRPr="00234606">
              <w:t>is important</w:t>
            </w:r>
            <w:r w:rsidR="00755232" w:rsidRPr="00234606">
              <w:t>,</w:t>
            </w:r>
            <w:r w:rsidR="00A5338B" w:rsidRPr="00234606">
              <w:t xml:space="preserve"> as it inform</w:t>
            </w:r>
            <w:r w:rsidR="0077603C" w:rsidRPr="00234606">
              <w:t>s</w:t>
            </w:r>
            <w:r w:rsidR="00A5338B" w:rsidRPr="00234606">
              <w:t xml:space="preserve"> wholesale investors, rating agencies and other parties of </w:t>
            </w:r>
            <w:r w:rsidR="004E18E7" w:rsidRPr="00234606">
              <w:t>the</w:t>
            </w:r>
            <w:r w:rsidR="00D55C30" w:rsidRPr="00234606">
              <w:t xml:space="preserve"> risks </w:t>
            </w:r>
            <w:r w:rsidR="0077603C" w:rsidRPr="00234606">
              <w:t xml:space="preserve">associated with </w:t>
            </w:r>
            <w:r w:rsidR="005D78B3" w:rsidRPr="00234606">
              <w:t xml:space="preserve">SME </w:t>
            </w:r>
            <w:r w:rsidR="0077603C" w:rsidRPr="00234606">
              <w:t>lender</w:t>
            </w:r>
            <w:r w:rsidR="00F12D7B" w:rsidRPr="00234606">
              <w:t>s</w:t>
            </w:r>
            <w:r w:rsidR="0077603C" w:rsidRPr="00234606">
              <w:t xml:space="preserve"> </w:t>
            </w:r>
            <w:r w:rsidR="00D55C30" w:rsidRPr="00234606">
              <w:t xml:space="preserve">and </w:t>
            </w:r>
            <w:r w:rsidR="00F12D7B" w:rsidRPr="00234606">
              <w:t xml:space="preserve">their activities. </w:t>
            </w:r>
            <w:r w:rsidR="006577BE" w:rsidRPr="00234606">
              <w:t xml:space="preserve">A better understanding of these risks </w:t>
            </w:r>
            <w:r w:rsidR="004D44C2" w:rsidRPr="00234606">
              <w:t xml:space="preserve">supports price formation when SME lenders approach capital markets for </w:t>
            </w:r>
            <w:r w:rsidR="006577BE" w:rsidRPr="00234606">
              <w:t>wholesale finance.</w:t>
            </w:r>
            <w:r w:rsidR="004D44C2" w:rsidRPr="00234606">
              <w:t xml:space="preserve"> </w:t>
            </w:r>
          </w:p>
          <w:p w14:paraId="4D0E2C3E" w14:textId="12D6C6AD" w:rsidR="008A14A7" w:rsidRPr="00234606" w:rsidRDefault="006577BE" w:rsidP="00234606">
            <w:pPr>
              <w:pStyle w:val="BoxText"/>
            </w:pPr>
            <w:r w:rsidRPr="00234606">
              <w:t>S</w:t>
            </w:r>
            <w:r w:rsidR="00366835" w:rsidRPr="00234606">
              <w:t xml:space="preserve">uch a track record could be </w:t>
            </w:r>
            <w:r w:rsidR="00F02192" w:rsidRPr="00234606">
              <w:t xml:space="preserve">reasonably </w:t>
            </w:r>
            <w:r w:rsidR="00366835" w:rsidRPr="00234606">
              <w:t xml:space="preserve">expected to develop </w:t>
            </w:r>
            <w:r w:rsidR="0026311E" w:rsidRPr="00234606">
              <w:t>organically</w:t>
            </w:r>
            <w:r w:rsidR="00FD3000" w:rsidRPr="00234606">
              <w:t xml:space="preserve">, but it may </w:t>
            </w:r>
            <w:r w:rsidR="00E31B00" w:rsidRPr="00234606">
              <w:t>be slow to develop</w:t>
            </w:r>
            <w:r w:rsidR="00CE5DD8" w:rsidRPr="00234606">
              <w:t xml:space="preserve"> </w:t>
            </w:r>
            <w:r w:rsidR="0031613B" w:rsidRPr="00234606">
              <w:t xml:space="preserve">and/or </w:t>
            </w:r>
            <w:r w:rsidR="002E4D05" w:rsidRPr="00234606">
              <w:t>evolve</w:t>
            </w:r>
            <w:r w:rsidR="00742AA0" w:rsidRPr="00234606">
              <w:t xml:space="preserve"> in </w:t>
            </w:r>
            <w:r w:rsidR="00FD3000" w:rsidRPr="00234606">
              <w:t xml:space="preserve">a </w:t>
            </w:r>
            <w:r w:rsidR="00742AA0" w:rsidRPr="00234606">
              <w:t>non</w:t>
            </w:r>
            <w:r w:rsidR="00B84FF2" w:rsidRPr="00234606">
              <w:noBreakHyphen/>
            </w:r>
            <w:r w:rsidR="00FD3000" w:rsidRPr="00234606">
              <w:t>systematic</w:t>
            </w:r>
            <w:r w:rsidR="00116219" w:rsidRPr="00234606">
              <w:t xml:space="preserve"> fashion</w:t>
            </w:r>
            <w:r w:rsidR="00FD3000" w:rsidRPr="00234606">
              <w:t xml:space="preserve">. </w:t>
            </w:r>
            <w:r w:rsidR="00116219" w:rsidRPr="00234606">
              <w:t xml:space="preserve">The AOFM, working with the </w:t>
            </w:r>
            <w:r w:rsidR="00EE1F83" w:rsidRPr="00234606">
              <w:t>Australian Securitisation Forum</w:t>
            </w:r>
            <w:r w:rsidR="000F7435" w:rsidRPr="00234606">
              <w:t xml:space="preserve"> (ASF)</w:t>
            </w:r>
            <w:r w:rsidR="00EE1F83" w:rsidRPr="00234606">
              <w:t xml:space="preserve">, </w:t>
            </w:r>
            <w:r w:rsidR="00B25EED" w:rsidRPr="00234606">
              <w:t xml:space="preserve">has </w:t>
            </w:r>
            <w:r w:rsidR="004340C4" w:rsidRPr="00234606">
              <w:t>supported</w:t>
            </w:r>
            <w:r w:rsidR="00B25EED" w:rsidRPr="00234606">
              <w:t xml:space="preserve"> </w:t>
            </w:r>
            <w:r w:rsidR="00A915D9" w:rsidRPr="00234606">
              <w:t xml:space="preserve">the development of a standardised </w:t>
            </w:r>
            <w:r w:rsidR="00B25EED" w:rsidRPr="00234606">
              <w:t>reporting form</w:t>
            </w:r>
            <w:r w:rsidR="008731FC" w:rsidRPr="00234606">
              <w:t>a</w:t>
            </w:r>
            <w:r w:rsidR="00B25EED" w:rsidRPr="00234606">
              <w:t xml:space="preserve">t for SME lenders. </w:t>
            </w:r>
            <w:r w:rsidR="002703FB" w:rsidRPr="00234606">
              <w:t>In addition, t</w:t>
            </w:r>
            <w:r w:rsidR="00B25EED" w:rsidRPr="00234606">
              <w:t xml:space="preserve">he AOFM </w:t>
            </w:r>
            <w:r w:rsidR="000B17FC" w:rsidRPr="00234606">
              <w:t xml:space="preserve">also </w:t>
            </w:r>
            <w:r w:rsidR="00B25EED" w:rsidRPr="00234606">
              <w:t>has some capacity, through the ABSF, to offer</w:t>
            </w:r>
            <w:r w:rsidR="00DC7E09" w:rsidRPr="00234606">
              <w:t xml:space="preserve"> a</w:t>
            </w:r>
            <w:r w:rsidR="00B25EED" w:rsidRPr="00234606">
              <w:t xml:space="preserve"> subsidy to </w:t>
            </w:r>
            <w:r w:rsidR="005739AB" w:rsidRPr="00234606">
              <w:t xml:space="preserve">SME </w:t>
            </w:r>
            <w:r w:rsidR="00B25EED" w:rsidRPr="00234606">
              <w:t>lenders</w:t>
            </w:r>
            <w:r w:rsidR="005739AB" w:rsidRPr="00234606">
              <w:t xml:space="preserve"> funded by ABSF</w:t>
            </w:r>
            <w:r w:rsidR="000B17FC" w:rsidRPr="00234606">
              <w:t xml:space="preserve"> investment</w:t>
            </w:r>
            <w:r w:rsidR="00B25EED" w:rsidRPr="00234606">
              <w:t>.</w:t>
            </w:r>
            <w:r w:rsidR="005739AB" w:rsidRPr="00234606">
              <w:t xml:space="preserve"> This subsidy </w:t>
            </w:r>
            <w:r w:rsidR="00C41332" w:rsidRPr="00234606">
              <w:t>offset</w:t>
            </w:r>
            <w:r w:rsidR="00DC7E09" w:rsidRPr="00234606">
              <w:t>s</w:t>
            </w:r>
            <w:r w:rsidR="00C41332" w:rsidRPr="00234606">
              <w:t xml:space="preserve"> </w:t>
            </w:r>
            <w:r w:rsidR="00115620" w:rsidRPr="00234606">
              <w:t xml:space="preserve">the costs incurred </w:t>
            </w:r>
            <w:r w:rsidR="0025076C" w:rsidRPr="00234606">
              <w:t>when a</w:t>
            </w:r>
            <w:r w:rsidR="00DC7E09" w:rsidRPr="00234606">
              <w:t>n</w:t>
            </w:r>
            <w:r w:rsidR="0025076C" w:rsidRPr="00234606">
              <w:t xml:space="preserve"> </w:t>
            </w:r>
            <w:r w:rsidR="000B17FC" w:rsidRPr="00234606">
              <w:t>SME lender</w:t>
            </w:r>
            <w:r w:rsidR="0025076C" w:rsidRPr="00234606">
              <w:t xml:space="preserve"> </w:t>
            </w:r>
            <w:r w:rsidR="009472C3" w:rsidRPr="00234606">
              <w:t>develops</w:t>
            </w:r>
            <w:r w:rsidR="0025076C" w:rsidRPr="00234606">
              <w:t xml:space="preserve"> </w:t>
            </w:r>
            <w:r w:rsidR="00DC7E09" w:rsidRPr="00234606">
              <w:t xml:space="preserve">its </w:t>
            </w:r>
            <w:r w:rsidR="009472C3" w:rsidRPr="00234606">
              <w:t>reporting</w:t>
            </w:r>
            <w:r w:rsidR="00DC7E09" w:rsidRPr="00234606">
              <w:t>,</w:t>
            </w:r>
            <w:r w:rsidR="0025076C" w:rsidRPr="00234606">
              <w:t xml:space="preserve"> </w:t>
            </w:r>
            <w:r w:rsidR="00DC7E09" w:rsidRPr="00234606">
              <w:t>encouraging the lender to</w:t>
            </w:r>
            <w:r w:rsidR="0025076C" w:rsidRPr="00234606">
              <w:t xml:space="preserve"> </w:t>
            </w:r>
            <w:r w:rsidR="000B17FC" w:rsidRPr="00234606">
              <w:t xml:space="preserve">report </w:t>
            </w:r>
            <w:r w:rsidR="00DC7E09" w:rsidRPr="00234606">
              <w:t xml:space="preserve">using </w:t>
            </w:r>
            <w:r w:rsidR="00037593" w:rsidRPr="00234606">
              <w:t xml:space="preserve">the ASF SME </w:t>
            </w:r>
            <w:r w:rsidR="00EF1E38" w:rsidRPr="00234606">
              <w:t>loan d</w:t>
            </w:r>
            <w:r w:rsidR="008A14A7" w:rsidRPr="00234606">
              <w:t xml:space="preserve">ata </w:t>
            </w:r>
            <w:r w:rsidR="00EF1E38" w:rsidRPr="00234606">
              <w:t>t</w:t>
            </w:r>
            <w:r w:rsidR="008A14A7" w:rsidRPr="00234606">
              <w:t>emplate.</w:t>
            </w:r>
          </w:p>
          <w:p w14:paraId="770BE120" w14:textId="4C48AE71" w:rsidR="0033140E" w:rsidRPr="00234606" w:rsidRDefault="000A5BE9" w:rsidP="00234606">
            <w:pPr>
              <w:pStyle w:val="BoxText"/>
            </w:pPr>
            <w:r w:rsidRPr="00234606">
              <w:t xml:space="preserve">Jointly, a standardised reporting format and </w:t>
            </w:r>
            <w:r w:rsidR="009472C3" w:rsidRPr="00234606">
              <w:t>investments</w:t>
            </w:r>
            <w:r w:rsidRPr="00234606">
              <w:t xml:space="preserve"> </w:t>
            </w:r>
            <w:r w:rsidR="00DC7E09" w:rsidRPr="00234606">
              <w:t xml:space="preserve">that </w:t>
            </w:r>
            <w:r w:rsidRPr="00234606">
              <w:t xml:space="preserve">encourage reporting </w:t>
            </w:r>
            <w:r w:rsidR="00DC7E09" w:rsidRPr="00234606">
              <w:t xml:space="preserve">in </w:t>
            </w:r>
            <w:r w:rsidRPr="00234606">
              <w:t>that format</w:t>
            </w:r>
            <w:r w:rsidR="00035DA2" w:rsidRPr="00234606">
              <w:t xml:space="preserve"> </w:t>
            </w:r>
            <w:r w:rsidR="00B928C5" w:rsidRPr="00234606">
              <w:t>should</w:t>
            </w:r>
            <w:r w:rsidR="00035DA2" w:rsidRPr="00234606">
              <w:t xml:space="preserve"> accelerate the development of a </w:t>
            </w:r>
            <w:r w:rsidR="005D6582" w:rsidRPr="00234606">
              <w:t xml:space="preserve">standardised </w:t>
            </w:r>
            <w:r w:rsidR="00EC6A53" w:rsidRPr="00234606">
              <w:t>track record for SME lenders</w:t>
            </w:r>
            <w:r w:rsidR="00996D96" w:rsidRPr="00234606">
              <w:t xml:space="preserve">. </w:t>
            </w:r>
            <w:r w:rsidR="00DC7E09" w:rsidRPr="00234606">
              <w:t>This should</w:t>
            </w:r>
            <w:r w:rsidR="004222DC" w:rsidRPr="00234606">
              <w:t xml:space="preserve"> bring forward </w:t>
            </w:r>
            <w:r w:rsidR="00F843B0" w:rsidRPr="00234606">
              <w:t xml:space="preserve">rating agency </w:t>
            </w:r>
            <w:r w:rsidR="007B53F8" w:rsidRPr="00234606">
              <w:t>re</w:t>
            </w:r>
            <w:r w:rsidR="00B84FF2" w:rsidRPr="00234606">
              <w:noBreakHyphen/>
            </w:r>
            <w:r w:rsidR="007B53F8" w:rsidRPr="00234606">
              <w:t xml:space="preserve">evaluation of rating methodologies for SME lenders who fund through securitisation. </w:t>
            </w:r>
            <w:r w:rsidR="00DC7E09" w:rsidRPr="00234606">
              <w:t>We also</w:t>
            </w:r>
            <w:r w:rsidR="007B53F8" w:rsidRPr="00234606">
              <w:t xml:space="preserve"> expect</w:t>
            </w:r>
            <w:r w:rsidR="00DC7E09" w:rsidRPr="00234606">
              <w:t xml:space="preserve"> it to provide</w:t>
            </w:r>
            <w:r w:rsidR="007B53F8" w:rsidRPr="00234606">
              <w:t xml:space="preserve"> </w:t>
            </w:r>
            <w:r w:rsidR="001032E7" w:rsidRPr="00234606">
              <w:t>better inform</w:t>
            </w:r>
            <w:r w:rsidR="00DC7E09" w:rsidRPr="00234606">
              <w:t>ation for</w:t>
            </w:r>
            <w:r w:rsidR="001032E7" w:rsidRPr="00234606">
              <w:t xml:space="preserve"> investor</w:t>
            </w:r>
            <w:r w:rsidR="001210D8" w:rsidRPr="00234606">
              <w:t>s</w:t>
            </w:r>
            <w:r w:rsidR="001032E7" w:rsidRPr="00234606">
              <w:t xml:space="preserve"> </w:t>
            </w:r>
            <w:r w:rsidR="006C5E60" w:rsidRPr="00234606">
              <w:t>consider</w:t>
            </w:r>
            <w:r w:rsidR="00DC7E09" w:rsidRPr="00234606">
              <w:t>ing</w:t>
            </w:r>
            <w:r w:rsidR="006C5E60" w:rsidRPr="00234606">
              <w:t xml:space="preserve"> </w:t>
            </w:r>
            <w:r w:rsidR="00DC7E09" w:rsidRPr="00234606">
              <w:t xml:space="preserve">investment </w:t>
            </w:r>
            <w:r w:rsidR="001032E7" w:rsidRPr="00234606">
              <w:t>in SME securitisations.</w:t>
            </w:r>
            <w:r w:rsidR="00F02192" w:rsidRPr="00234606">
              <w:t xml:space="preserve"> </w:t>
            </w:r>
          </w:p>
          <w:p w14:paraId="08F11E65" w14:textId="731BD0A6" w:rsidR="00422F6D" w:rsidRPr="006574CB" w:rsidRDefault="00DC7E09" w:rsidP="00234606">
            <w:pPr>
              <w:pStyle w:val="BoxText"/>
            </w:pPr>
            <w:r w:rsidRPr="00234606">
              <w:t>We</w:t>
            </w:r>
            <w:r w:rsidR="003B6184" w:rsidRPr="00234606">
              <w:t xml:space="preserve"> anticipate that t</w:t>
            </w:r>
            <w:r w:rsidR="009053DE" w:rsidRPr="00234606">
              <w:t xml:space="preserve">hese </w:t>
            </w:r>
            <w:r w:rsidR="005F4847" w:rsidRPr="00234606">
              <w:t xml:space="preserve">types of market developments </w:t>
            </w:r>
            <w:r w:rsidR="003B6184" w:rsidRPr="00234606">
              <w:t>will</w:t>
            </w:r>
            <w:r w:rsidR="005943F8" w:rsidRPr="00234606">
              <w:t xml:space="preserve"> </w:t>
            </w:r>
            <w:r w:rsidR="003127D4" w:rsidRPr="00234606">
              <w:t xml:space="preserve">sponsor </w:t>
            </w:r>
            <w:r w:rsidR="00E8504E" w:rsidRPr="00234606">
              <w:t>greater</w:t>
            </w:r>
            <w:r w:rsidR="004D05BB" w:rsidRPr="00234606">
              <w:t xml:space="preserve"> investor competition for SME lender securitisation </w:t>
            </w:r>
            <w:r w:rsidR="005F1227" w:rsidRPr="00234606">
              <w:t>transactions</w:t>
            </w:r>
            <w:r w:rsidR="00103C34" w:rsidRPr="00234606">
              <w:t xml:space="preserve">. </w:t>
            </w:r>
            <w:r w:rsidR="00C1796E" w:rsidRPr="00234606">
              <w:t xml:space="preserve">Increasing competition </w:t>
            </w:r>
            <w:r w:rsidR="007D3762" w:rsidRPr="00234606">
              <w:t xml:space="preserve">should, </w:t>
            </w:r>
            <w:r w:rsidRPr="00234606">
              <w:t>if all other conditions remain the same</w:t>
            </w:r>
            <w:r w:rsidR="00C95407" w:rsidRPr="00234606">
              <w:t xml:space="preserve">, result in lower interest rate </w:t>
            </w:r>
            <w:r w:rsidR="00935852" w:rsidRPr="00234606">
              <w:t>loans to</w:t>
            </w:r>
            <w:r w:rsidR="00C95407" w:rsidRPr="00234606">
              <w:t xml:space="preserve"> </w:t>
            </w:r>
            <w:r w:rsidR="00A417FB" w:rsidRPr="00234606">
              <w:t>SME</w:t>
            </w:r>
            <w:r w:rsidR="00935852" w:rsidRPr="00234606">
              <w:t>s.</w:t>
            </w:r>
          </w:p>
        </w:tc>
      </w:tr>
    </w:tbl>
    <w:p w14:paraId="309EF495" w14:textId="77777777" w:rsidR="00DC7E09" w:rsidRDefault="00DC7E09" w:rsidP="000D0FF3">
      <w:pPr>
        <w:pStyle w:val="SingleReturn"/>
      </w:pPr>
      <w:bookmarkStart w:id="785" w:name="_Toc173411491"/>
      <w:bookmarkStart w:id="786" w:name="_Toc173479171"/>
      <w:bookmarkStart w:id="787" w:name="_Toc173743070"/>
      <w:bookmarkStart w:id="788" w:name="_Toc173743231"/>
      <w:bookmarkStart w:id="789" w:name="_Toc176160553"/>
      <w:bookmarkStart w:id="790" w:name="_Toc176163181"/>
      <w:bookmarkEnd w:id="784"/>
    </w:p>
    <w:p w14:paraId="44FE1743" w14:textId="78B5CCD8" w:rsidR="00F44CAE" w:rsidRPr="00E66DC4" w:rsidRDefault="00906AD9" w:rsidP="00FE721D">
      <w:r w:rsidRPr="00E66DC4">
        <w:t>The Australian public securitisation market strengthened throughout the 2024</w:t>
      </w:r>
      <w:r w:rsidR="00FE721D">
        <w:t>–</w:t>
      </w:r>
      <w:r w:rsidRPr="00E66DC4">
        <w:t>25 financial year</w:t>
      </w:r>
      <w:r w:rsidR="00917A4D" w:rsidRPr="00E66DC4">
        <w:t xml:space="preserve"> but did suffer some short</w:t>
      </w:r>
      <w:r w:rsidR="00B84FF2">
        <w:noBreakHyphen/>
      </w:r>
      <w:r w:rsidR="00917A4D" w:rsidRPr="00E66DC4">
        <w:t>term volatility around tariff day in early April 2025</w:t>
      </w:r>
      <w:r w:rsidRPr="00E66DC4">
        <w:t xml:space="preserve">. </w:t>
      </w:r>
      <w:r w:rsidR="00917A4D" w:rsidRPr="00E66DC4">
        <w:t>This period is relevant</w:t>
      </w:r>
      <w:r w:rsidR="00F05502">
        <w:t>,</w:t>
      </w:r>
      <w:r w:rsidR="00917A4D" w:rsidRPr="00E66DC4">
        <w:t xml:space="preserve"> as t</w:t>
      </w:r>
      <w:r w:rsidRPr="00E66DC4">
        <w:t xml:space="preserve">he AOFM offered to partially underwrite </w:t>
      </w:r>
      <w:r w:rsidR="005735D4">
        <w:t>a</w:t>
      </w:r>
      <w:r w:rsidRPr="00E66DC4">
        <w:t xml:space="preserve"> public ABS transaction backed by suitable SME loans in the second half of the financial year. </w:t>
      </w:r>
      <w:r w:rsidR="007D4A22" w:rsidRPr="00E66DC4">
        <w:t xml:space="preserve">This underwrite occurred </w:t>
      </w:r>
      <w:r w:rsidR="00ED604B">
        <w:t>in</w:t>
      </w:r>
      <w:r w:rsidR="00ED604B" w:rsidRPr="00E66DC4">
        <w:t xml:space="preserve"> </w:t>
      </w:r>
      <w:r w:rsidR="007D4A22" w:rsidRPr="00E66DC4">
        <w:t xml:space="preserve">early April 2025 and </w:t>
      </w:r>
      <w:r w:rsidR="002353DC" w:rsidRPr="00E66DC4">
        <w:t xml:space="preserve">the </w:t>
      </w:r>
      <w:r w:rsidRPr="00E66DC4">
        <w:t xml:space="preserve">ABSF </w:t>
      </w:r>
      <w:r w:rsidR="00A50B5A" w:rsidRPr="00E66DC4">
        <w:t xml:space="preserve">was partially filled </w:t>
      </w:r>
      <w:r w:rsidR="002F301E" w:rsidRPr="00E66DC4">
        <w:t>on this underwrite.</w:t>
      </w:r>
      <w:r w:rsidR="00917A4D" w:rsidRPr="00E66DC4">
        <w:t xml:space="preserve"> </w:t>
      </w:r>
      <w:r w:rsidR="008A056A" w:rsidRPr="00E66DC4">
        <w:t>The</w:t>
      </w:r>
      <w:r w:rsidR="00CA3B58" w:rsidRPr="00E66DC4">
        <w:t xml:space="preserve"> A</w:t>
      </w:r>
      <w:r w:rsidR="005735D4">
        <w:t>BSF</w:t>
      </w:r>
      <w:r w:rsidR="00CA3B58" w:rsidRPr="00E66DC4">
        <w:t xml:space="preserve"> commitment to the underwrite ensured that the SME lender </w:t>
      </w:r>
      <w:r w:rsidR="00035488" w:rsidRPr="00E66DC4">
        <w:t xml:space="preserve">conducting </w:t>
      </w:r>
      <w:r w:rsidR="008A60FC" w:rsidRPr="00E66DC4">
        <w:t xml:space="preserve">the issue was able to </w:t>
      </w:r>
      <w:r w:rsidR="005735D4">
        <w:t xml:space="preserve">complete </w:t>
      </w:r>
      <w:r w:rsidR="00ED604B">
        <w:t xml:space="preserve">its </w:t>
      </w:r>
      <w:r w:rsidR="005735D4">
        <w:t>funding task</w:t>
      </w:r>
      <w:r w:rsidR="009F3EC4" w:rsidRPr="00E66DC4">
        <w:t>. A secondary</w:t>
      </w:r>
      <w:r w:rsidR="00ED604B">
        <w:t xml:space="preserve"> and</w:t>
      </w:r>
      <w:r w:rsidR="00ED604B" w:rsidRPr="00E66DC4">
        <w:t xml:space="preserve"> </w:t>
      </w:r>
      <w:r w:rsidR="00A0259A" w:rsidRPr="00E66DC4">
        <w:t xml:space="preserve">broader </w:t>
      </w:r>
      <w:r w:rsidR="009F3EC4" w:rsidRPr="00E66DC4">
        <w:t>benefit</w:t>
      </w:r>
      <w:r w:rsidR="00A0259A" w:rsidRPr="00E66DC4">
        <w:t xml:space="preserve"> </w:t>
      </w:r>
      <w:r w:rsidR="00EA0C07" w:rsidRPr="00E66DC4">
        <w:t>to the market</w:t>
      </w:r>
      <w:r w:rsidR="009F3EC4" w:rsidRPr="00E66DC4">
        <w:t xml:space="preserve"> </w:t>
      </w:r>
      <w:r w:rsidR="00EA0C07" w:rsidRPr="00E66DC4">
        <w:t xml:space="preserve">was that the transaction provided a </w:t>
      </w:r>
      <w:r w:rsidR="007407A0">
        <w:t xml:space="preserve">public </w:t>
      </w:r>
      <w:r w:rsidR="00EA0C07" w:rsidRPr="00E66DC4">
        <w:t xml:space="preserve">price point for other </w:t>
      </w:r>
      <w:proofErr w:type="gramStart"/>
      <w:r w:rsidR="00CB73E7" w:rsidRPr="00E66DC4">
        <w:lastRenderedPageBreak/>
        <w:t>issuers</w:t>
      </w:r>
      <w:r w:rsidR="00ED604B">
        <w:t>,</w:t>
      </w:r>
      <w:r w:rsidR="00CB73E7" w:rsidRPr="00E66DC4">
        <w:t xml:space="preserve"> and</w:t>
      </w:r>
      <w:proofErr w:type="gramEnd"/>
      <w:r w:rsidR="008C4921">
        <w:t xml:space="preserve"> may have </w:t>
      </w:r>
      <w:r w:rsidR="00D547BD" w:rsidRPr="00E66DC4">
        <w:t>alleviat</w:t>
      </w:r>
      <w:r w:rsidR="008C4921">
        <w:t>ed</w:t>
      </w:r>
      <w:r w:rsidR="00D547BD" w:rsidRPr="00E66DC4">
        <w:t xml:space="preserve"> some of the </w:t>
      </w:r>
      <w:r w:rsidR="008C4921">
        <w:t xml:space="preserve">price </w:t>
      </w:r>
      <w:r w:rsidR="00D547BD" w:rsidRPr="00E66DC4">
        <w:t>uncertainty present in the market at that time</w:t>
      </w:r>
      <w:r w:rsidR="00B84FF2">
        <w:t xml:space="preserve">. </w:t>
      </w:r>
    </w:p>
    <w:p w14:paraId="4AD72FDD" w14:textId="5C0CE2AE" w:rsidR="00906AD9" w:rsidRPr="00E66DC4" w:rsidRDefault="00906AD9" w:rsidP="00FE721D">
      <w:r w:rsidRPr="00E66DC4">
        <w:t xml:space="preserve">As </w:t>
      </w:r>
      <w:proofErr w:type="gramStart"/>
      <w:r w:rsidRPr="00E66DC4">
        <w:t>at</w:t>
      </w:r>
      <w:proofErr w:type="gramEnd"/>
      <w:r w:rsidRPr="00E66DC4">
        <w:t xml:space="preserve"> 30 June 202</w:t>
      </w:r>
      <w:r w:rsidR="00C00269" w:rsidRPr="00E66DC4">
        <w:t>5</w:t>
      </w:r>
      <w:r w:rsidRPr="00E66DC4">
        <w:t xml:space="preserve">, the ABSF was party to </w:t>
      </w:r>
      <w:r w:rsidR="004F46AB">
        <w:t>3</w:t>
      </w:r>
      <w:r w:rsidRPr="00E66DC4">
        <w:t xml:space="preserve"> revolving warehouse facilities, with a total committed volume of $</w:t>
      </w:r>
      <w:r w:rsidR="00E479AA" w:rsidRPr="00E66DC4">
        <w:t>377</w:t>
      </w:r>
      <w:r w:rsidRPr="00E66DC4">
        <w:t xml:space="preserve">.5 million. </w:t>
      </w:r>
      <w:r w:rsidR="00C30699">
        <w:t xml:space="preserve">Total commitments </w:t>
      </w:r>
      <w:r w:rsidR="00147BF9">
        <w:t xml:space="preserve">as </w:t>
      </w:r>
      <w:proofErr w:type="gramStart"/>
      <w:r w:rsidR="00147BF9">
        <w:t>at</w:t>
      </w:r>
      <w:proofErr w:type="gramEnd"/>
      <w:r w:rsidR="00147BF9">
        <w:t xml:space="preserve"> 30</w:t>
      </w:r>
      <w:r w:rsidR="0098198B">
        <w:t> </w:t>
      </w:r>
      <w:r w:rsidR="00147BF9">
        <w:t>June</w:t>
      </w:r>
      <w:r w:rsidR="00383782">
        <w:t xml:space="preserve"> were $407.</w:t>
      </w:r>
      <w:r w:rsidR="00ED604B">
        <w:t>5 </w:t>
      </w:r>
      <w:r w:rsidR="00383782">
        <w:t>million.</w:t>
      </w:r>
      <w:r w:rsidR="00147BF9">
        <w:t xml:space="preserve"> </w:t>
      </w:r>
      <w:r w:rsidR="00E03BA9" w:rsidRPr="00E66DC4">
        <w:t xml:space="preserve">The </w:t>
      </w:r>
      <w:r w:rsidR="00602900">
        <w:t>ABSF</w:t>
      </w:r>
      <w:r w:rsidR="00B84FF2">
        <w:t>’</w:t>
      </w:r>
      <w:r w:rsidR="00602900">
        <w:t xml:space="preserve">s first </w:t>
      </w:r>
      <w:r w:rsidRPr="00E66DC4">
        <w:t>public ABS investment</w:t>
      </w:r>
      <w:r w:rsidR="00602900">
        <w:t>,</w:t>
      </w:r>
      <w:r w:rsidRPr="00E66DC4">
        <w:t xml:space="preserve"> </w:t>
      </w:r>
      <w:r w:rsidR="005C7C26" w:rsidRPr="00E66DC4">
        <w:t>which</w:t>
      </w:r>
      <w:r w:rsidR="00602900">
        <w:t xml:space="preserve"> had a face</w:t>
      </w:r>
      <w:r w:rsidR="00553793">
        <w:t xml:space="preserve"> </w:t>
      </w:r>
      <w:r w:rsidR="00602900">
        <w:t xml:space="preserve">value </w:t>
      </w:r>
      <w:r w:rsidR="00D845B2">
        <w:t>of $</w:t>
      </w:r>
      <w:r w:rsidR="00ED604B">
        <w:t>95 </w:t>
      </w:r>
      <w:r w:rsidR="00D845B2">
        <w:t xml:space="preserve">million and had been </w:t>
      </w:r>
      <w:r w:rsidR="005C7C26" w:rsidRPr="00E66DC4">
        <w:t>amortising</w:t>
      </w:r>
      <w:r w:rsidR="00D845B2">
        <w:t xml:space="preserve">, was paid out by the issuer in December 2024. The </w:t>
      </w:r>
      <w:r w:rsidR="00383782">
        <w:t>ABSF</w:t>
      </w:r>
      <w:r w:rsidR="00B84FF2">
        <w:t>’</w:t>
      </w:r>
      <w:r w:rsidR="00383782">
        <w:t xml:space="preserve">s </w:t>
      </w:r>
      <w:r w:rsidR="002C5E79">
        <w:t>second public investment</w:t>
      </w:r>
      <w:r w:rsidR="00EB0482">
        <w:t>, with a face</w:t>
      </w:r>
      <w:r w:rsidR="00553793">
        <w:t xml:space="preserve"> </w:t>
      </w:r>
      <w:r w:rsidR="00EB0482">
        <w:t>value of $46.8 million</w:t>
      </w:r>
      <w:r w:rsidR="00231100">
        <w:t>, started amortising in June 2025</w:t>
      </w:r>
      <w:r w:rsidR="0033690F">
        <w:t xml:space="preserve"> with a first principal repayment of </w:t>
      </w:r>
      <w:r w:rsidR="00617746">
        <w:t>just under $1 million</w:t>
      </w:r>
      <w:r w:rsidR="0033690F">
        <w:t>.</w:t>
      </w:r>
    </w:p>
    <w:p w14:paraId="318F7C51" w14:textId="34837ABB" w:rsidR="000C6B1B" w:rsidRDefault="00AF4A82" w:rsidP="00713231">
      <w:pPr>
        <w:pStyle w:val="Heading3"/>
      </w:pPr>
      <w:bookmarkStart w:id="791" w:name="_Toc207796075"/>
      <w:r w:rsidRPr="006534F5">
        <w:t>Performance for Key Activity</w:t>
      </w:r>
      <w:r w:rsidR="00ED604B" w:rsidRPr="006534F5">
        <w:t xml:space="preserve"> </w:t>
      </w:r>
      <w:r w:rsidRPr="006534F5">
        <w:t>4.1</w:t>
      </w:r>
      <w:bookmarkEnd w:id="785"/>
      <w:bookmarkEnd w:id="786"/>
      <w:bookmarkEnd w:id="787"/>
      <w:bookmarkEnd w:id="788"/>
      <w:bookmarkEnd w:id="789"/>
      <w:bookmarkEnd w:id="790"/>
      <w:bookmarkEnd w:id="791"/>
    </w:p>
    <w:p w14:paraId="79B8CEDC" w14:textId="38C660E0" w:rsidR="00A21E3E" w:rsidRDefault="00A21E3E" w:rsidP="00713231">
      <w:pPr>
        <w:pStyle w:val="Heading4"/>
      </w:pPr>
      <w:bookmarkStart w:id="792" w:name="_Toc145684519"/>
      <w:bookmarkStart w:id="793" w:name="_Toc145685119"/>
      <w:bookmarkStart w:id="794" w:name="_Toc145686072"/>
      <w:bookmarkStart w:id="795" w:name="_Toc145686271"/>
      <w:bookmarkStart w:id="796" w:name="_Toc145686470"/>
      <w:bookmarkStart w:id="797" w:name="_Toc145686771"/>
      <w:bookmarkStart w:id="798" w:name="_Toc173408170"/>
      <w:bookmarkStart w:id="799" w:name="_Toc173411492"/>
      <w:bookmarkStart w:id="800" w:name="_Toc173479172"/>
      <w:r w:rsidRPr="006534F5">
        <w:t>Indicator 4.1.1</w:t>
      </w:r>
      <w:r w:rsidR="00ED604B">
        <w:t>:</w:t>
      </w:r>
      <w:r w:rsidRPr="006534F5">
        <w:t xml:space="preserve"> ABSF rate of return</w:t>
      </w:r>
      <w:bookmarkEnd w:id="792"/>
      <w:bookmarkEnd w:id="793"/>
      <w:bookmarkEnd w:id="794"/>
      <w:bookmarkEnd w:id="795"/>
      <w:bookmarkEnd w:id="796"/>
      <w:bookmarkEnd w:id="797"/>
      <w:bookmarkEnd w:id="798"/>
      <w:bookmarkEnd w:id="799"/>
      <w:bookmarkEnd w:id="800"/>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AA17C3" w14:paraId="575E459C" w14:textId="77777777">
        <w:tc>
          <w:tcPr>
            <w:tcW w:w="7700" w:type="dxa"/>
            <w:shd w:val="clear" w:color="auto" w:fill="472978" w:themeFill="accent1"/>
            <w:tcMar>
              <w:top w:w="284" w:type="dxa"/>
              <w:bottom w:w="284" w:type="dxa"/>
            </w:tcMar>
          </w:tcPr>
          <w:p w14:paraId="28EE41C7" w14:textId="4BF08931" w:rsidR="00AA17C3" w:rsidRPr="000D0FF3" w:rsidRDefault="2AF1DC9B" w:rsidP="000D0FF3">
            <w:pPr>
              <w:pStyle w:val="Pullquote"/>
            </w:pPr>
            <w:r w:rsidRPr="000D0FF3">
              <w:t xml:space="preserve">The </w:t>
            </w:r>
            <w:r w:rsidR="00850EE0" w:rsidRPr="000D0FF3">
              <w:t xml:space="preserve">AOFM </w:t>
            </w:r>
            <w:r w:rsidR="00764BCE" w:rsidRPr="000D0FF3">
              <w:t xml:space="preserve">exceeded the </w:t>
            </w:r>
            <w:r w:rsidRPr="000D0FF3">
              <w:t xml:space="preserve">performance benchmark for the ABSF during </w:t>
            </w:r>
            <w:r w:rsidR="004B7B98" w:rsidRPr="000D0FF3">
              <w:t xml:space="preserve">      </w:t>
            </w:r>
            <w:r w:rsidRPr="000D0FF3">
              <w:t>202</w:t>
            </w:r>
            <w:r w:rsidR="00574C8E" w:rsidRPr="000D0FF3">
              <w:t>4</w:t>
            </w:r>
            <w:r w:rsidR="00ED604B" w:rsidRPr="000D0FF3">
              <w:t>–</w:t>
            </w:r>
            <w:r w:rsidRPr="000D0FF3">
              <w:t>2</w:t>
            </w:r>
            <w:r w:rsidR="00BF7B53" w:rsidRPr="000D0FF3">
              <w:t>5</w:t>
            </w:r>
            <w:r w:rsidRPr="000D0FF3">
              <w:t>.</w:t>
            </w:r>
          </w:p>
        </w:tc>
      </w:tr>
    </w:tbl>
    <w:p w14:paraId="0D8B0292" w14:textId="77777777" w:rsidR="00AA17C3" w:rsidRDefault="00AA17C3" w:rsidP="000D0FF3">
      <w:pPr>
        <w:pStyle w:val="SingleReturn"/>
      </w:pPr>
    </w:p>
    <w:p w14:paraId="73A3743C" w14:textId="5D2EDF3B" w:rsidR="00CA54D3" w:rsidRDefault="2AF1DC9B" w:rsidP="050E21E0">
      <w:pPr>
        <w:rPr>
          <w:rFonts w:eastAsia="Arial Nova" w:cs="Arial Nova"/>
        </w:rPr>
      </w:pPr>
      <w:r w:rsidRPr="3C4E563D">
        <w:rPr>
          <w:rFonts w:eastAsia="Arial Nova" w:cs="Arial Nova"/>
        </w:rPr>
        <w:t>The ABSF</w:t>
      </w:r>
      <w:r w:rsidR="00B84FF2">
        <w:rPr>
          <w:rFonts w:eastAsia="Arial Nova" w:cs="Arial Nova"/>
        </w:rPr>
        <w:t>’</w:t>
      </w:r>
      <w:r w:rsidRPr="3C4E563D">
        <w:rPr>
          <w:rFonts w:eastAsia="Arial Nova" w:cs="Arial Nova"/>
        </w:rPr>
        <w:t xml:space="preserve">s return benchmark is set out in the ABSF Investment Mandate Directions (2019). The ABSF achieved a gross return on average drawn funds of </w:t>
      </w:r>
      <w:r w:rsidR="009466E5">
        <w:rPr>
          <w:rFonts w:eastAsia="Arial Nova" w:cs="Arial Nova"/>
        </w:rPr>
        <w:t>7.98</w:t>
      </w:r>
      <w:r w:rsidR="0098198B">
        <w:rPr>
          <w:rFonts w:eastAsia="Arial Nova" w:cs="Arial Nova"/>
        </w:rPr>
        <w:t> </w:t>
      </w:r>
      <w:r w:rsidR="00ED604B">
        <w:rPr>
          <w:rFonts w:eastAsia="Arial Nova" w:cs="Arial Nova"/>
        </w:rPr>
        <w:t>per</w:t>
      </w:r>
      <w:r w:rsidR="0098198B">
        <w:rPr>
          <w:rFonts w:eastAsia="Arial Nova" w:cs="Arial Nova"/>
        </w:rPr>
        <w:t> </w:t>
      </w:r>
      <w:r w:rsidR="00ED604B">
        <w:rPr>
          <w:rFonts w:eastAsia="Arial Nova" w:cs="Arial Nova"/>
        </w:rPr>
        <w:t>cent</w:t>
      </w:r>
      <w:r w:rsidR="00ED604B" w:rsidRPr="3C4E563D">
        <w:rPr>
          <w:rFonts w:eastAsia="Arial Nova" w:cs="Arial Nova"/>
        </w:rPr>
        <w:t xml:space="preserve"> </w:t>
      </w:r>
      <w:r w:rsidRPr="3C4E563D">
        <w:rPr>
          <w:rFonts w:eastAsia="Arial Nova" w:cs="Arial Nova"/>
        </w:rPr>
        <w:t xml:space="preserve">for the financial year ending 30 June 2025, compared to a benchmark return of </w:t>
      </w:r>
      <w:r w:rsidR="009466E5">
        <w:rPr>
          <w:rFonts w:eastAsia="Arial Nova" w:cs="Arial Nova"/>
        </w:rPr>
        <w:t>4.5</w:t>
      </w:r>
      <w:r w:rsidR="00F83796">
        <w:rPr>
          <w:rFonts w:eastAsia="Arial Nova" w:cs="Arial Nova"/>
        </w:rPr>
        <w:t>0</w:t>
      </w:r>
      <w:r w:rsidR="00ED604B">
        <w:rPr>
          <w:rFonts w:eastAsia="Arial Nova" w:cs="Arial Nova"/>
        </w:rPr>
        <w:t> per</w:t>
      </w:r>
      <w:r w:rsidR="0098198B">
        <w:rPr>
          <w:rFonts w:eastAsia="Arial Nova" w:cs="Arial Nova"/>
        </w:rPr>
        <w:t> </w:t>
      </w:r>
      <w:r w:rsidR="00ED604B">
        <w:rPr>
          <w:rFonts w:eastAsia="Arial Nova" w:cs="Arial Nova"/>
        </w:rPr>
        <w:t>cent</w:t>
      </w:r>
      <w:r w:rsidR="00ED604B" w:rsidRPr="3C4E563D">
        <w:rPr>
          <w:rFonts w:eastAsia="Arial Nova" w:cs="Arial Nova"/>
        </w:rPr>
        <w:t xml:space="preserve">. </w:t>
      </w:r>
    </w:p>
    <w:p w14:paraId="13707264" w14:textId="3E831B6B" w:rsidR="002E380F" w:rsidRDefault="2AF1DC9B" w:rsidP="050E21E0">
      <w:pPr>
        <w:rPr>
          <w:rFonts w:eastAsia="Arial Nova" w:cs="Arial Nova"/>
        </w:rPr>
      </w:pPr>
      <w:r w:rsidRPr="3C4E563D">
        <w:rPr>
          <w:rFonts w:eastAsia="Arial Nova" w:cs="Arial Nova"/>
        </w:rPr>
        <w:t>The key driver of the ABSF</w:t>
      </w:r>
      <w:r w:rsidR="00B84FF2">
        <w:rPr>
          <w:rFonts w:eastAsia="Arial Nova" w:cs="Arial Nova"/>
        </w:rPr>
        <w:t>’</w:t>
      </w:r>
      <w:r w:rsidRPr="3C4E563D">
        <w:rPr>
          <w:rFonts w:eastAsia="Arial Nova" w:cs="Arial Nova"/>
        </w:rPr>
        <w:t>s financial outperformance in 202</w:t>
      </w:r>
      <w:r w:rsidR="00FE373F">
        <w:rPr>
          <w:rFonts w:eastAsia="Arial Nova" w:cs="Arial Nova"/>
        </w:rPr>
        <w:t>4</w:t>
      </w:r>
      <w:r w:rsidRPr="3C4E563D">
        <w:rPr>
          <w:rFonts w:eastAsia="Arial Nova" w:cs="Arial Nova"/>
        </w:rPr>
        <w:t>–2</w:t>
      </w:r>
      <w:r w:rsidR="00FE373F">
        <w:rPr>
          <w:rFonts w:eastAsia="Arial Nova" w:cs="Arial Nova"/>
        </w:rPr>
        <w:t>5</w:t>
      </w:r>
      <w:r w:rsidRPr="3C4E563D">
        <w:rPr>
          <w:rFonts w:eastAsia="Arial Nova" w:cs="Arial Nova"/>
        </w:rPr>
        <w:t xml:space="preserve"> was the roughly </w:t>
      </w:r>
      <w:r w:rsidR="00431690">
        <w:rPr>
          <w:rFonts w:eastAsia="Arial Nova" w:cs="Arial Nova"/>
        </w:rPr>
        <w:t>3.</w:t>
      </w:r>
      <w:r w:rsidR="00ED604B">
        <w:rPr>
          <w:rFonts w:eastAsia="Arial Nova" w:cs="Arial Nova"/>
        </w:rPr>
        <w:t>5 </w:t>
      </w:r>
      <w:r w:rsidRPr="3C4E563D">
        <w:rPr>
          <w:rFonts w:eastAsia="Arial Nova" w:cs="Arial Nova"/>
        </w:rPr>
        <w:t xml:space="preserve">percentage point average margin it </w:t>
      </w:r>
      <w:r w:rsidR="003860FB">
        <w:rPr>
          <w:rFonts w:eastAsia="Arial Nova" w:cs="Arial Nova"/>
        </w:rPr>
        <w:t>wa</w:t>
      </w:r>
      <w:r w:rsidRPr="3C4E563D">
        <w:rPr>
          <w:rFonts w:eastAsia="Arial Nova" w:cs="Arial Nova"/>
        </w:rPr>
        <w:t>s earning over the floating interest rate benchmark (1</w:t>
      </w:r>
      <w:r w:rsidR="00B84FF2">
        <w:rPr>
          <w:rFonts w:eastAsia="Arial Nova" w:cs="Arial Nova"/>
        </w:rPr>
        <w:noBreakHyphen/>
      </w:r>
      <w:r w:rsidRPr="3C4E563D">
        <w:rPr>
          <w:rFonts w:eastAsia="Arial Nova" w:cs="Arial Nova"/>
        </w:rPr>
        <w:t>month Bank Bill Swap Rate)</w:t>
      </w:r>
      <w:r w:rsidR="003860FB">
        <w:rPr>
          <w:rFonts w:eastAsia="Arial Nova" w:cs="Arial Nova"/>
        </w:rPr>
        <w:t xml:space="preserve"> for much of </w:t>
      </w:r>
      <w:r w:rsidR="00703F5E">
        <w:rPr>
          <w:rFonts w:eastAsia="Arial Nova" w:cs="Arial Nova"/>
        </w:rPr>
        <w:t>2024</w:t>
      </w:r>
      <w:r w:rsidR="00ED604B">
        <w:rPr>
          <w:rFonts w:eastAsia="Arial Nova" w:cs="Arial Nova"/>
        </w:rPr>
        <w:t>–</w:t>
      </w:r>
      <w:r w:rsidR="00FE373F">
        <w:rPr>
          <w:rFonts w:eastAsia="Arial Nova" w:cs="Arial Nova"/>
        </w:rPr>
        <w:t>25</w:t>
      </w:r>
      <w:r w:rsidRPr="3C4E563D">
        <w:rPr>
          <w:rFonts w:eastAsia="Arial Nova" w:cs="Arial Nova"/>
        </w:rPr>
        <w:t xml:space="preserve">. </w:t>
      </w:r>
      <w:r w:rsidR="00CA54D3">
        <w:rPr>
          <w:rFonts w:eastAsia="Arial Nova" w:cs="Arial Nova"/>
        </w:rPr>
        <w:t xml:space="preserve">This margin </w:t>
      </w:r>
      <w:r w:rsidR="00645373">
        <w:rPr>
          <w:rFonts w:eastAsia="Arial Nova" w:cs="Arial Nova"/>
        </w:rPr>
        <w:t>had started declining through the first quarter of 2025</w:t>
      </w:r>
      <w:r w:rsidR="009E6E85">
        <w:rPr>
          <w:rFonts w:eastAsia="Arial Nova" w:cs="Arial Nova"/>
        </w:rPr>
        <w:t>. This was an intentional change</w:t>
      </w:r>
      <w:r w:rsidR="006024D7">
        <w:rPr>
          <w:rFonts w:eastAsia="Arial Nova" w:cs="Arial Nova"/>
        </w:rPr>
        <w:t xml:space="preserve">, with </w:t>
      </w:r>
      <w:r w:rsidR="00CA54D3">
        <w:rPr>
          <w:rFonts w:eastAsia="Arial Nova" w:cs="Arial Nova"/>
        </w:rPr>
        <w:t xml:space="preserve">the AOFM </w:t>
      </w:r>
      <w:r w:rsidR="00CA7D48">
        <w:rPr>
          <w:rFonts w:eastAsia="Arial Nova" w:cs="Arial Nova"/>
        </w:rPr>
        <w:t>gradually manag</w:t>
      </w:r>
      <w:r w:rsidR="006024D7">
        <w:rPr>
          <w:rFonts w:eastAsia="Arial Nova" w:cs="Arial Nova"/>
        </w:rPr>
        <w:t>ing out lower rated investments</w:t>
      </w:r>
      <w:r w:rsidR="000D43F2">
        <w:rPr>
          <w:rFonts w:eastAsia="Arial Nova" w:cs="Arial Nova"/>
        </w:rPr>
        <w:t xml:space="preserve"> to improve the overall credit profile of the ABSF</w:t>
      </w:r>
      <w:r w:rsidR="00ED604B">
        <w:rPr>
          <w:rFonts w:eastAsia="Arial Nova" w:cs="Arial Nova"/>
        </w:rPr>
        <w:t>.</w:t>
      </w:r>
      <w:r w:rsidR="00D923C7">
        <w:rPr>
          <w:rStyle w:val="FootnoteReference"/>
          <w:rFonts w:eastAsia="Arial Nova" w:cs="Arial Nova"/>
        </w:rPr>
        <w:footnoteReference w:id="5"/>
      </w:r>
      <w:r w:rsidR="00A00940">
        <w:rPr>
          <w:rFonts w:eastAsia="Arial Nova" w:cs="Arial Nova"/>
        </w:rPr>
        <w:t xml:space="preserve"> </w:t>
      </w:r>
      <w:r w:rsidR="00777279">
        <w:rPr>
          <w:rFonts w:eastAsia="Arial Nova" w:cs="Arial Nova"/>
        </w:rPr>
        <w:t>As l</w:t>
      </w:r>
      <w:r w:rsidR="000251AA">
        <w:rPr>
          <w:rFonts w:eastAsia="Arial Nova" w:cs="Arial Nova"/>
        </w:rPr>
        <w:t>ower rated investments pay investors a higher margin than more highly rated investments</w:t>
      </w:r>
      <w:r w:rsidR="00777279">
        <w:rPr>
          <w:rFonts w:eastAsia="Arial Nova" w:cs="Arial Nova"/>
        </w:rPr>
        <w:t>, r</w:t>
      </w:r>
      <w:r w:rsidR="004D0D8C">
        <w:rPr>
          <w:rFonts w:eastAsia="Arial Nova" w:cs="Arial Nova"/>
        </w:rPr>
        <w:t xml:space="preserve">educing exposure to lower rated investments </w:t>
      </w:r>
      <w:r w:rsidR="004745C6">
        <w:rPr>
          <w:rFonts w:eastAsia="Arial Nova" w:cs="Arial Nova"/>
        </w:rPr>
        <w:t xml:space="preserve">will lead to a reduction in the overall </w:t>
      </w:r>
      <w:r w:rsidR="00E90EED">
        <w:rPr>
          <w:rFonts w:eastAsia="Arial Nova" w:cs="Arial Nova"/>
        </w:rPr>
        <w:t xml:space="preserve">margin </w:t>
      </w:r>
      <w:r w:rsidR="00716D2F">
        <w:rPr>
          <w:rFonts w:eastAsia="Arial Nova" w:cs="Arial Nova"/>
        </w:rPr>
        <w:t>earnt by the ABSF.</w:t>
      </w:r>
      <w:r w:rsidR="00F56B51">
        <w:rPr>
          <w:rFonts w:eastAsia="Arial Nova" w:cs="Arial Nova"/>
        </w:rPr>
        <w:t xml:space="preserve"> </w:t>
      </w:r>
    </w:p>
    <w:p w14:paraId="3002660F" w14:textId="5AA4017A" w:rsidR="002E380F" w:rsidRDefault="002E380F" w:rsidP="002E380F">
      <w:r>
        <w:rPr>
          <w:rFonts w:eastAsia="Arial Nova" w:cs="Arial Nova"/>
        </w:rPr>
        <w:t>A second driver for the ABSF return was short</w:t>
      </w:r>
      <w:r w:rsidR="00B84FF2">
        <w:rPr>
          <w:rFonts w:eastAsia="Arial Nova" w:cs="Arial Nova"/>
        </w:rPr>
        <w:noBreakHyphen/>
      </w:r>
      <w:r>
        <w:rPr>
          <w:rFonts w:eastAsia="Arial Nova" w:cs="Arial Nova"/>
        </w:rPr>
        <w:t>term interest rates</w:t>
      </w:r>
      <w:r w:rsidR="00ED604B">
        <w:rPr>
          <w:rFonts w:eastAsia="Arial Nova" w:cs="Arial Nova"/>
        </w:rPr>
        <w:t>, which</w:t>
      </w:r>
      <w:r w:rsidR="00AC7C97">
        <w:rPr>
          <w:rFonts w:eastAsia="Arial Nova" w:cs="Arial Nova"/>
        </w:rPr>
        <w:t xml:space="preserve"> peaked in </w:t>
      </w:r>
      <w:r w:rsidRPr="3C4E563D">
        <w:rPr>
          <w:rFonts w:eastAsia="Arial Nova" w:cs="Arial Nova"/>
        </w:rPr>
        <w:t>202</w:t>
      </w:r>
      <w:r>
        <w:rPr>
          <w:rFonts w:eastAsia="Arial Nova" w:cs="Arial Nova"/>
        </w:rPr>
        <w:t>4</w:t>
      </w:r>
      <w:r w:rsidR="00FE721D">
        <w:t>–‍</w:t>
      </w:r>
      <w:r w:rsidRPr="3C4E563D">
        <w:rPr>
          <w:rFonts w:eastAsia="Arial Nova" w:cs="Arial Nova"/>
        </w:rPr>
        <w:t>2</w:t>
      </w:r>
      <w:r>
        <w:rPr>
          <w:rFonts w:eastAsia="Arial Nova" w:cs="Arial Nova"/>
        </w:rPr>
        <w:t>5</w:t>
      </w:r>
      <w:r w:rsidRPr="3C4E563D">
        <w:rPr>
          <w:rFonts w:eastAsia="Arial Nova" w:cs="Arial Nova"/>
        </w:rPr>
        <w:t xml:space="preserve">, </w:t>
      </w:r>
      <w:r>
        <w:rPr>
          <w:rFonts w:eastAsia="Arial Nova" w:cs="Arial Nova"/>
        </w:rPr>
        <w:t>supporting higher returns</w:t>
      </w:r>
      <w:r w:rsidRPr="3C4E563D">
        <w:rPr>
          <w:rFonts w:eastAsia="Arial Nova" w:cs="Arial Nova"/>
        </w:rPr>
        <w:t xml:space="preserve"> both in absolute terms and relative to the benchmark.</w:t>
      </w:r>
    </w:p>
    <w:p w14:paraId="1598133B" w14:textId="5E5D498C" w:rsidR="71919D70" w:rsidRDefault="00716D2F" w:rsidP="050E21E0">
      <w:r>
        <w:rPr>
          <w:rFonts w:eastAsia="Arial Nova" w:cs="Arial Nova"/>
        </w:rPr>
        <w:t xml:space="preserve">When pricing investments, </w:t>
      </w:r>
      <w:r w:rsidR="00A00940">
        <w:rPr>
          <w:rFonts w:eastAsia="Arial Nova" w:cs="Arial Nova"/>
        </w:rPr>
        <w:t>t</w:t>
      </w:r>
      <w:r w:rsidR="00A00940" w:rsidRPr="3C4E563D">
        <w:rPr>
          <w:rFonts w:eastAsia="Arial Nova" w:cs="Arial Nova"/>
        </w:rPr>
        <w:t xml:space="preserve">he </w:t>
      </w:r>
      <w:r w:rsidR="2AF1DC9B" w:rsidRPr="3C4E563D">
        <w:rPr>
          <w:rFonts w:eastAsia="Arial Nova" w:cs="Arial Nova"/>
        </w:rPr>
        <w:t xml:space="preserve">AOFM seeks to </w:t>
      </w:r>
      <w:r w:rsidR="00ED604B">
        <w:rPr>
          <w:rFonts w:eastAsia="Arial Nova" w:cs="Arial Nova"/>
        </w:rPr>
        <w:t>do so</w:t>
      </w:r>
      <w:r w:rsidR="2AF1DC9B" w:rsidRPr="3C4E563D">
        <w:rPr>
          <w:rFonts w:eastAsia="Arial Nova" w:cs="Arial Nova"/>
        </w:rPr>
        <w:t xml:space="preserve"> at a market rate, less any subsidy applied to </w:t>
      </w:r>
      <w:r w:rsidR="00534DE2" w:rsidRPr="3C4E563D">
        <w:rPr>
          <w:rFonts w:eastAsia="Arial Nova" w:cs="Arial Nova"/>
        </w:rPr>
        <w:t>reduc</w:t>
      </w:r>
      <w:r w:rsidR="00534DE2">
        <w:rPr>
          <w:rFonts w:eastAsia="Arial Nova" w:cs="Arial Nova"/>
        </w:rPr>
        <w:t>e</w:t>
      </w:r>
      <w:r w:rsidR="00534DE2" w:rsidRPr="3C4E563D">
        <w:rPr>
          <w:rFonts w:eastAsia="Arial Nova" w:cs="Arial Nova"/>
        </w:rPr>
        <w:t xml:space="preserve"> </w:t>
      </w:r>
      <w:r w:rsidR="2AF1DC9B" w:rsidRPr="3C4E563D">
        <w:rPr>
          <w:rFonts w:eastAsia="Arial Nova" w:cs="Arial Nova"/>
        </w:rPr>
        <w:t xml:space="preserve">the cost of adopting the </w:t>
      </w:r>
      <w:r w:rsidR="00EF1E38">
        <w:rPr>
          <w:rFonts w:eastAsia="Arial Nova" w:cs="Arial Nova"/>
        </w:rPr>
        <w:t xml:space="preserve">ASF </w:t>
      </w:r>
      <w:r w:rsidR="2AF1DC9B" w:rsidRPr="3C4E563D">
        <w:rPr>
          <w:rFonts w:eastAsia="Arial Nova" w:cs="Arial Nova"/>
        </w:rPr>
        <w:t xml:space="preserve">SME loan data template. In doing so, </w:t>
      </w:r>
      <w:r w:rsidR="2AF1DC9B" w:rsidRPr="3C4E563D">
        <w:rPr>
          <w:rFonts w:eastAsia="Arial Nova" w:cs="Arial Nova"/>
        </w:rPr>
        <w:lastRenderedPageBreak/>
        <w:t>we seek to avoid distorting the competitive landscape in the SME lending</w:t>
      </w:r>
      <w:r w:rsidR="00534DE2">
        <w:rPr>
          <w:rFonts w:eastAsia="Arial Nova" w:cs="Arial Nova"/>
        </w:rPr>
        <w:t xml:space="preserve"> market</w:t>
      </w:r>
      <w:r w:rsidR="2AF1DC9B" w:rsidRPr="3C4E563D">
        <w:rPr>
          <w:rFonts w:eastAsia="Arial Nova" w:cs="Arial Nova"/>
        </w:rPr>
        <w:t xml:space="preserve"> and crowding out private sector investment from this segment of the market.</w:t>
      </w:r>
    </w:p>
    <w:p w14:paraId="4CC0498F" w14:textId="5AB1185F" w:rsidR="007F39EE" w:rsidRDefault="007F39EE" w:rsidP="00C67F81">
      <w:pPr>
        <w:pStyle w:val="Heading2"/>
      </w:pPr>
      <w:bookmarkStart w:id="801" w:name="_Toc107329239"/>
      <w:bookmarkStart w:id="802" w:name="_Toc107329508"/>
      <w:bookmarkStart w:id="803" w:name="_Toc144813581"/>
      <w:bookmarkStart w:id="804" w:name="_Toc145684520"/>
      <w:bookmarkStart w:id="805" w:name="_Toc145685120"/>
      <w:bookmarkStart w:id="806" w:name="_Toc145686073"/>
      <w:bookmarkStart w:id="807" w:name="_Toc145686272"/>
      <w:bookmarkStart w:id="808" w:name="_Toc145686471"/>
      <w:bookmarkStart w:id="809" w:name="_Toc145686772"/>
      <w:bookmarkStart w:id="810" w:name="_Toc173327324"/>
      <w:bookmarkStart w:id="811" w:name="_Toc173327777"/>
      <w:bookmarkStart w:id="812" w:name="_Toc173395300"/>
      <w:bookmarkStart w:id="813" w:name="_Toc173395378"/>
      <w:bookmarkStart w:id="814" w:name="_Toc173395712"/>
      <w:bookmarkStart w:id="815" w:name="_Toc173396600"/>
      <w:bookmarkStart w:id="816" w:name="_Toc173397611"/>
      <w:bookmarkStart w:id="817" w:name="_Toc173408171"/>
      <w:bookmarkStart w:id="818" w:name="_Toc173411493"/>
      <w:bookmarkStart w:id="819" w:name="_Toc173479173"/>
      <w:bookmarkStart w:id="820" w:name="_Toc173743071"/>
      <w:bookmarkStart w:id="821" w:name="_Toc173743232"/>
      <w:bookmarkStart w:id="822" w:name="_Toc176160554"/>
      <w:bookmarkStart w:id="823" w:name="_Toc176163182"/>
      <w:bookmarkStart w:id="824" w:name="_Toc205474318"/>
      <w:bookmarkStart w:id="825" w:name="_Toc207792899"/>
      <w:bookmarkStart w:id="826" w:name="_Toc207793937"/>
      <w:bookmarkStart w:id="827" w:name="_Toc207796076"/>
      <w:bookmarkStart w:id="828" w:name="_Toc207796943"/>
      <w:bookmarkStart w:id="829" w:name="_Toc207800244"/>
      <w:bookmarkStart w:id="830" w:name="_Toc207810822"/>
      <w:bookmarkStart w:id="831" w:name="_Toc208914101"/>
      <w:bookmarkStart w:id="832" w:name="_Toc209424498"/>
      <w:r w:rsidRPr="006534F5">
        <w:t>Key Activity 4.2: Manage the SFSF program</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71DD8A2B" w14:textId="1C4E324B" w:rsidR="008E5B33" w:rsidRDefault="00534DE2" w:rsidP="00B17A32">
      <w:r>
        <w:t>At the start of the 2024–25 financial year</w:t>
      </w:r>
      <w:r w:rsidRPr="005B0D34">
        <w:t xml:space="preserve"> </w:t>
      </w:r>
      <w:r>
        <w:t>t</w:t>
      </w:r>
      <w:r w:rsidR="005B0D34" w:rsidRPr="005B0D34">
        <w:t xml:space="preserve">he SFSF </w:t>
      </w:r>
      <w:r w:rsidR="00FF2620">
        <w:t xml:space="preserve">held one </w:t>
      </w:r>
      <w:r w:rsidR="005B0D34" w:rsidRPr="005B0D34">
        <w:t>warehouse investment</w:t>
      </w:r>
      <w:r>
        <w:t>,</w:t>
      </w:r>
      <w:r w:rsidR="005F17F6">
        <w:t xml:space="preserve"> comprising</w:t>
      </w:r>
      <w:r w:rsidR="005B0D34" w:rsidRPr="005B0D34">
        <w:t xml:space="preserve"> a $50 million commitment</w:t>
      </w:r>
      <w:r w:rsidR="005F17F6">
        <w:t>. This</w:t>
      </w:r>
      <w:r w:rsidR="00921D67">
        <w:t xml:space="preserve"> was fully </w:t>
      </w:r>
      <w:r w:rsidR="00DA656E">
        <w:t xml:space="preserve">repaid in </w:t>
      </w:r>
      <w:r w:rsidR="0006306A" w:rsidRPr="003974D9">
        <w:t>August</w:t>
      </w:r>
      <w:r w:rsidR="00DA656E" w:rsidRPr="003974D9">
        <w:t xml:space="preserve"> 202</w:t>
      </w:r>
      <w:r w:rsidR="006220D8" w:rsidRPr="003974D9">
        <w:t>4</w:t>
      </w:r>
      <w:r w:rsidR="005B0D34" w:rsidRPr="005B0D34">
        <w:t xml:space="preserve">. </w:t>
      </w:r>
    </w:p>
    <w:p w14:paraId="5B8F19A0" w14:textId="13C1F021" w:rsidR="00581388" w:rsidRDefault="00DA656E" w:rsidP="00B17A32">
      <w:r>
        <w:t>The p</w:t>
      </w:r>
      <w:r w:rsidR="005B0D34" w:rsidRPr="005B0D34">
        <w:t xml:space="preserve">ublic investments held by the SFSF also continued to amortise during </w:t>
      </w:r>
      <w:r w:rsidR="00BA3FE0">
        <w:t>the first half of the financial year</w:t>
      </w:r>
      <w:r w:rsidR="002D2C20">
        <w:t xml:space="preserve"> and were </w:t>
      </w:r>
      <w:r w:rsidR="00FD4C0F">
        <w:t xml:space="preserve">subsequently </w:t>
      </w:r>
      <w:r w:rsidR="002D2C20">
        <w:t>sold</w:t>
      </w:r>
      <w:r w:rsidR="00FD4C0F">
        <w:t>, via a market auction process</w:t>
      </w:r>
      <w:r w:rsidR="005B0D34" w:rsidRPr="005B0D34">
        <w:t xml:space="preserve">, </w:t>
      </w:r>
      <w:r w:rsidR="00FD4C0F">
        <w:t>in January</w:t>
      </w:r>
      <w:r w:rsidR="00FE721D">
        <w:t> </w:t>
      </w:r>
      <w:r w:rsidR="00FD4C0F">
        <w:t>2025</w:t>
      </w:r>
      <w:r w:rsidR="0006306A">
        <w:t xml:space="preserve">. This was </w:t>
      </w:r>
      <w:r w:rsidR="00BA3FE0">
        <w:t>the first and only sale</w:t>
      </w:r>
      <w:r w:rsidR="00D77687">
        <w:t xml:space="preserve"> of public </w:t>
      </w:r>
      <w:r w:rsidR="00FF4CEB">
        <w:t>investments from the SFSF</w:t>
      </w:r>
      <w:r w:rsidR="005B0D34" w:rsidRPr="005B0D34">
        <w:t>.</w:t>
      </w:r>
    </w:p>
    <w:p w14:paraId="128421AE" w14:textId="0D81E4FD" w:rsidR="00E042BD" w:rsidRDefault="005B0D34" w:rsidP="00B17A32">
      <w:r w:rsidRPr="005B0D34">
        <w:t>Finally, the outstanding balance of investments held by the SFSF in the forbearance Special Purpose Vehicle (</w:t>
      </w:r>
      <w:proofErr w:type="spellStart"/>
      <w:r w:rsidRPr="005B0D34">
        <w:t>fSPV</w:t>
      </w:r>
      <w:proofErr w:type="spellEnd"/>
      <w:r w:rsidRPr="005B0D34">
        <w:t>)</w:t>
      </w:r>
      <w:r w:rsidR="00534DE2">
        <w:t xml:space="preserve"> –</w:t>
      </w:r>
      <w:r w:rsidRPr="005B0D34">
        <w:t xml:space="preserve"> a facility established to allow non</w:t>
      </w:r>
      <w:r w:rsidR="00B84FF2">
        <w:noBreakHyphen/>
      </w:r>
      <w:r w:rsidRPr="005B0D34">
        <w:t xml:space="preserve">bank lenders to provide </w:t>
      </w:r>
      <w:r w:rsidR="00B84FF2">
        <w:t>‘</w:t>
      </w:r>
      <w:r w:rsidRPr="005B0D34">
        <w:t>payment holidays</w:t>
      </w:r>
      <w:r w:rsidR="00B84FF2">
        <w:t>’</w:t>
      </w:r>
      <w:r w:rsidRPr="005B0D34">
        <w:t xml:space="preserve"> to their clients during the pandemic</w:t>
      </w:r>
      <w:r w:rsidR="00534DE2">
        <w:t xml:space="preserve"> –</w:t>
      </w:r>
      <w:r w:rsidR="00534DE2" w:rsidRPr="005B0D34">
        <w:t xml:space="preserve"> </w:t>
      </w:r>
      <w:r w:rsidR="009B5D7A">
        <w:t xml:space="preserve">was fully repaid by the </w:t>
      </w:r>
      <w:r w:rsidR="00534DE2">
        <w:t>2 </w:t>
      </w:r>
      <w:r w:rsidR="002E4547">
        <w:t>remaining participating originators in December 2024</w:t>
      </w:r>
      <w:r w:rsidRPr="005B0D34">
        <w:t>.</w:t>
      </w:r>
      <w:r w:rsidR="008E5B33" w:rsidRPr="008E5B33">
        <w:t xml:space="preserve"> </w:t>
      </w:r>
    </w:p>
    <w:p w14:paraId="167876AA" w14:textId="061748D9" w:rsidR="005B0D34" w:rsidRPr="00B17A32" w:rsidRDefault="008E5B33" w:rsidP="00B17A32">
      <w:r w:rsidRPr="008E5B33">
        <w:t>Across the components of the SFSF, the</w:t>
      </w:r>
      <w:r w:rsidR="002E4547">
        <w:t xml:space="preserve">re </w:t>
      </w:r>
      <w:r w:rsidR="00D14B1D">
        <w:t>were</w:t>
      </w:r>
      <w:r w:rsidR="002E4547">
        <w:t xml:space="preserve"> no investments outstanding as </w:t>
      </w:r>
      <w:proofErr w:type="gramStart"/>
      <w:r w:rsidR="002E4547">
        <w:t>at</w:t>
      </w:r>
      <w:proofErr w:type="gramEnd"/>
      <w:r w:rsidR="002E4547">
        <w:t xml:space="preserve"> </w:t>
      </w:r>
      <w:r w:rsidR="00534DE2">
        <w:t>30</w:t>
      </w:r>
      <w:r w:rsidR="0098198B">
        <w:t> </w:t>
      </w:r>
      <w:r w:rsidR="002E4547">
        <w:t xml:space="preserve">June 2025 and there were no </w:t>
      </w:r>
      <w:r w:rsidR="00D14B1D">
        <w:t>commitments to invest</w:t>
      </w:r>
      <w:r w:rsidR="00534DE2">
        <w:t xml:space="preserve"> </w:t>
      </w:r>
      <w:r w:rsidR="00D14B1D">
        <w:t xml:space="preserve">in place. </w:t>
      </w:r>
    </w:p>
    <w:p w14:paraId="77C20D1B" w14:textId="2D946E9C" w:rsidR="00F37BD2" w:rsidRPr="006534F5" w:rsidRDefault="00F37BD2" w:rsidP="00713231">
      <w:pPr>
        <w:pStyle w:val="Heading3"/>
      </w:pPr>
      <w:bookmarkStart w:id="833" w:name="_Toc107329240"/>
      <w:bookmarkStart w:id="834" w:name="_Toc107329509"/>
      <w:bookmarkStart w:id="835" w:name="_Toc144813582"/>
      <w:bookmarkStart w:id="836" w:name="_Toc145684521"/>
      <w:bookmarkStart w:id="837" w:name="_Toc145685121"/>
      <w:bookmarkStart w:id="838" w:name="_Toc145686074"/>
      <w:bookmarkStart w:id="839" w:name="_Toc145686273"/>
      <w:bookmarkStart w:id="840" w:name="_Toc145686472"/>
      <w:bookmarkStart w:id="841" w:name="_Toc145686773"/>
      <w:bookmarkStart w:id="842" w:name="_Toc173327325"/>
      <w:bookmarkStart w:id="843" w:name="_Toc173327778"/>
      <w:bookmarkStart w:id="844" w:name="_Toc173395301"/>
      <w:bookmarkStart w:id="845" w:name="_Toc173395379"/>
      <w:bookmarkStart w:id="846" w:name="_Toc173395713"/>
      <w:bookmarkStart w:id="847" w:name="_Toc173396601"/>
      <w:bookmarkStart w:id="848" w:name="_Toc173397612"/>
      <w:bookmarkStart w:id="849" w:name="_Toc173408172"/>
      <w:bookmarkStart w:id="850" w:name="_Toc173411494"/>
      <w:bookmarkStart w:id="851" w:name="_Toc173479174"/>
      <w:bookmarkStart w:id="852" w:name="_Toc173743072"/>
      <w:bookmarkStart w:id="853" w:name="_Toc173743233"/>
      <w:bookmarkStart w:id="854" w:name="_Toc207796077"/>
      <w:r w:rsidRPr="006534F5">
        <w:t>Performance for Key Activity</w:t>
      </w:r>
      <w:r w:rsidR="00534DE2" w:rsidRPr="006534F5">
        <w:t xml:space="preserve"> </w:t>
      </w:r>
      <w:r w:rsidRPr="006534F5">
        <w:t>4.2</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7D40D975" w14:textId="68C9C51F" w:rsidR="00142292" w:rsidRDefault="00142292" w:rsidP="00713231">
      <w:pPr>
        <w:pStyle w:val="Heading4"/>
      </w:pPr>
      <w:bookmarkStart w:id="855" w:name="_Toc145684522"/>
      <w:bookmarkStart w:id="856" w:name="_Toc145685122"/>
      <w:bookmarkStart w:id="857" w:name="_Toc145686075"/>
      <w:bookmarkStart w:id="858" w:name="_Toc145686274"/>
      <w:bookmarkStart w:id="859" w:name="_Toc145686473"/>
      <w:bookmarkStart w:id="860" w:name="_Toc145686774"/>
      <w:bookmarkStart w:id="861" w:name="_Toc173408173"/>
      <w:bookmarkStart w:id="862" w:name="_Toc173411495"/>
      <w:bookmarkStart w:id="863" w:name="_Toc173479175"/>
      <w:r w:rsidRPr="006534F5">
        <w:t>Indicator 4.2.1</w:t>
      </w:r>
      <w:r w:rsidR="00534DE2">
        <w:t>:</w:t>
      </w:r>
      <w:r w:rsidRPr="006534F5">
        <w:t xml:space="preserve"> SFSF losses</w:t>
      </w:r>
      <w:bookmarkEnd w:id="855"/>
      <w:bookmarkEnd w:id="856"/>
      <w:bookmarkEnd w:id="857"/>
      <w:bookmarkEnd w:id="858"/>
      <w:bookmarkEnd w:id="859"/>
      <w:bookmarkEnd w:id="860"/>
      <w:bookmarkEnd w:id="861"/>
      <w:bookmarkEnd w:id="862"/>
      <w:bookmarkEnd w:id="863"/>
    </w:p>
    <w:tbl>
      <w:tblPr>
        <w:tblW w:w="0" w:type="auto"/>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700"/>
      </w:tblGrid>
      <w:tr w:rsidR="00142292" w14:paraId="17A7DD9D" w14:textId="77777777">
        <w:tc>
          <w:tcPr>
            <w:tcW w:w="7700" w:type="dxa"/>
            <w:shd w:val="clear" w:color="auto" w:fill="472978" w:themeFill="accent1"/>
            <w:tcMar>
              <w:top w:w="284" w:type="dxa"/>
              <w:bottom w:w="284" w:type="dxa"/>
            </w:tcMar>
          </w:tcPr>
          <w:p w14:paraId="5C3C7D82" w14:textId="07FACE89" w:rsidR="00142292" w:rsidRPr="00234606" w:rsidRDefault="00CE31CC" w:rsidP="00234606">
            <w:pPr>
              <w:pStyle w:val="Pullquote"/>
            </w:pPr>
            <w:r w:rsidRPr="00234606">
              <w:t xml:space="preserve">The </w:t>
            </w:r>
            <w:r w:rsidR="00DF31EC" w:rsidRPr="00234606">
              <w:t xml:space="preserve">AOFM </w:t>
            </w:r>
            <w:r w:rsidR="00EE4CA7" w:rsidRPr="00234606">
              <w:t xml:space="preserve">met the </w:t>
            </w:r>
            <w:r w:rsidRPr="00234606">
              <w:t>target for SFSF gross credit losses</w:t>
            </w:r>
            <w:r w:rsidR="00D04B07" w:rsidRPr="00234606">
              <w:t>.</w:t>
            </w:r>
          </w:p>
        </w:tc>
      </w:tr>
    </w:tbl>
    <w:p w14:paraId="4F13FC3B" w14:textId="77777777" w:rsidR="007F39EE" w:rsidRDefault="007F39EE" w:rsidP="00295726">
      <w:pPr>
        <w:pStyle w:val="SingleReturn"/>
      </w:pPr>
    </w:p>
    <w:p w14:paraId="49649A44" w14:textId="16F61754" w:rsidR="00825FDC" w:rsidRDefault="00825FDC" w:rsidP="00AA17C3">
      <w:r w:rsidRPr="00825FDC">
        <w:t xml:space="preserve">No credit losses </w:t>
      </w:r>
      <w:r w:rsidR="004B5D39">
        <w:t>were incurred over 2024</w:t>
      </w:r>
      <w:r w:rsidR="00534DE2">
        <w:t>–</w:t>
      </w:r>
      <w:r w:rsidR="004B5D39">
        <w:t>25</w:t>
      </w:r>
      <w:r w:rsidR="00534DE2">
        <w:t>, and n</w:t>
      </w:r>
      <w:r w:rsidR="00735C8B">
        <w:t xml:space="preserve">o credit losses </w:t>
      </w:r>
      <w:r w:rsidRPr="00825FDC">
        <w:t xml:space="preserve">have been incurred on the </w:t>
      </w:r>
      <w:r w:rsidR="00534DE2">
        <w:t xml:space="preserve">SFSF </w:t>
      </w:r>
      <w:r w:rsidRPr="00825FDC">
        <w:t>program since</w:t>
      </w:r>
      <w:r w:rsidR="00534DE2">
        <w:t xml:space="preserve"> its</w:t>
      </w:r>
      <w:r w:rsidRPr="00825FDC">
        <w:t xml:space="preserve"> inception in March 2020.</w:t>
      </w:r>
    </w:p>
    <w:p w14:paraId="1D1D8A9A" w14:textId="59F5789F" w:rsidR="00825FDC" w:rsidRDefault="00825FDC" w:rsidP="00AA17C3">
      <w:r w:rsidRPr="00825FDC">
        <w:t xml:space="preserve">The AOFM undertook due diligence and credit assessment </w:t>
      </w:r>
      <w:r w:rsidR="006B3AE5">
        <w:t>prior to making</w:t>
      </w:r>
      <w:r w:rsidRPr="00825FDC">
        <w:t xml:space="preserve"> each </w:t>
      </w:r>
      <w:proofErr w:type="gramStart"/>
      <w:r w:rsidRPr="00825FDC">
        <w:t>investment</w:t>
      </w:r>
      <w:r w:rsidR="00534DE2">
        <w:t>,</w:t>
      </w:r>
      <w:r w:rsidRPr="00825FDC">
        <w:t xml:space="preserve"> and</w:t>
      </w:r>
      <w:proofErr w:type="gramEnd"/>
      <w:r w:rsidRPr="00825FDC">
        <w:t xml:space="preserve"> </w:t>
      </w:r>
      <w:r w:rsidR="006B3AE5">
        <w:t xml:space="preserve">subsequently </w:t>
      </w:r>
      <w:r w:rsidRPr="00825FDC">
        <w:t>monitor</w:t>
      </w:r>
      <w:r w:rsidR="006B3AE5">
        <w:t>ed</w:t>
      </w:r>
      <w:r w:rsidRPr="00825FDC">
        <w:t xml:space="preserve"> the performance of the investments within the SFSF.</w:t>
      </w:r>
    </w:p>
    <w:p w14:paraId="0C86453B" w14:textId="77777777" w:rsidR="00B50A9D" w:rsidRDefault="00825FDC" w:rsidP="00AA17C3">
      <w:pPr>
        <w:sectPr w:rsidR="00B50A9D" w:rsidSect="001E2AEB">
          <w:headerReference w:type="first" r:id="rId99"/>
          <w:footerReference w:type="first" r:id="rId100"/>
          <w:type w:val="oddPage"/>
          <w:pgSz w:w="11907" w:h="16840" w:code="9"/>
          <w:pgMar w:top="2835" w:right="2098" w:bottom="2466" w:left="2098" w:header="1814" w:footer="1814" w:gutter="0"/>
          <w:cols w:space="708"/>
          <w:titlePg/>
          <w:docGrid w:linePitch="360"/>
        </w:sectPr>
      </w:pPr>
      <w:r w:rsidRPr="00825FDC">
        <w:t>The SFSF</w:t>
      </w:r>
      <w:r w:rsidR="00B84FF2">
        <w:t>’</w:t>
      </w:r>
      <w:r w:rsidRPr="00825FDC">
        <w:t xml:space="preserve">s total outstanding investments </w:t>
      </w:r>
      <w:r w:rsidR="00A41C92">
        <w:t>continued to fall through</w:t>
      </w:r>
      <w:r w:rsidR="00534DE2">
        <w:t>out</w:t>
      </w:r>
      <w:r w:rsidR="00A41C92">
        <w:t xml:space="preserve"> </w:t>
      </w:r>
      <w:r w:rsidRPr="00825FDC">
        <w:t>202</w:t>
      </w:r>
      <w:r w:rsidR="008A472E">
        <w:t>4</w:t>
      </w:r>
      <w:r w:rsidRPr="00825FDC">
        <w:t>–2</w:t>
      </w:r>
      <w:r w:rsidR="008A472E">
        <w:t>5</w:t>
      </w:r>
      <w:r w:rsidRPr="00825FDC">
        <w:t xml:space="preserve">. As </w:t>
      </w:r>
      <w:proofErr w:type="gramStart"/>
      <w:r w:rsidRPr="00825FDC">
        <w:t>at</w:t>
      </w:r>
      <w:proofErr w:type="gramEnd"/>
      <w:r w:rsidRPr="00825FDC">
        <w:t xml:space="preserve"> </w:t>
      </w:r>
      <w:r w:rsidR="00534DE2" w:rsidRPr="00825FDC">
        <w:t>30</w:t>
      </w:r>
      <w:r w:rsidR="00534DE2">
        <w:t> </w:t>
      </w:r>
      <w:r w:rsidRPr="00825FDC">
        <w:t>June 202</w:t>
      </w:r>
      <w:r w:rsidR="008A472E">
        <w:t>5</w:t>
      </w:r>
      <w:r w:rsidRPr="00825FDC">
        <w:t xml:space="preserve">, </w:t>
      </w:r>
      <w:r w:rsidR="009A276E">
        <w:t>the SFSF held no investments</w:t>
      </w:r>
      <w:r w:rsidR="00534DE2">
        <w:t>,</w:t>
      </w:r>
      <w:r w:rsidR="009A276E">
        <w:t xml:space="preserve"> and no commitments to invest </w:t>
      </w:r>
      <w:r w:rsidR="00534DE2">
        <w:t>existed</w:t>
      </w:r>
      <w:r w:rsidR="00DE6D68">
        <w:t xml:space="preserve">. The </w:t>
      </w:r>
      <w:r w:rsidR="009D5248">
        <w:t>last of the SFSF</w:t>
      </w:r>
      <w:r w:rsidR="00B84FF2">
        <w:t>’</w:t>
      </w:r>
      <w:r w:rsidR="009D5248">
        <w:t>s investments</w:t>
      </w:r>
      <w:r w:rsidR="00E601E3">
        <w:t xml:space="preserve"> </w:t>
      </w:r>
      <w:r w:rsidR="0072452A">
        <w:t>–</w:t>
      </w:r>
      <w:r w:rsidR="00E601E3">
        <w:t xml:space="preserve"> </w:t>
      </w:r>
      <w:r w:rsidR="0072452A">
        <w:t>a portfolio of investment</w:t>
      </w:r>
      <w:r w:rsidR="00B84FF2">
        <w:noBreakHyphen/>
      </w:r>
      <w:r w:rsidR="0072452A">
        <w:t xml:space="preserve">grade </w:t>
      </w:r>
      <w:r w:rsidRPr="00825FDC">
        <w:t xml:space="preserve">securitisation </w:t>
      </w:r>
      <w:r w:rsidR="00307F6A">
        <w:t xml:space="preserve">notes – were sold via a market auction in January 2025. </w:t>
      </w:r>
      <w:r w:rsidR="00C97D57">
        <w:t>The re</w:t>
      </w:r>
      <w:r w:rsidR="006B3AE5">
        <w:t>sidual</w:t>
      </w:r>
      <w:r w:rsidR="00D83693">
        <w:t xml:space="preserve"> </w:t>
      </w:r>
      <w:proofErr w:type="spellStart"/>
      <w:r w:rsidR="009C6B68">
        <w:t>fSPV</w:t>
      </w:r>
      <w:proofErr w:type="spellEnd"/>
      <w:r w:rsidR="009C6B68">
        <w:t xml:space="preserve"> </w:t>
      </w:r>
      <w:r w:rsidR="006B3AE5">
        <w:t>investments</w:t>
      </w:r>
      <w:r w:rsidR="00C63227">
        <w:t xml:space="preserve">, </w:t>
      </w:r>
      <w:r w:rsidR="00B116F3">
        <w:t>a</w:t>
      </w:r>
      <w:r w:rsidR="00C63227">
        <w:t xml:space="preserve"> riski</w:t>
      </w:r>
      <w:r w:rsidR="000914C1">
        <w:t>e</w:t>
      </w:r>
      <w:r w:rsidR="00B116F3">
        <w:t>r</w:t>
      </w:r>
      <w:r w:rsidR="000914C1">
        <w:t xml:space="preserve"> component of the SFSF</w:t>
      </w:r>
      <w:r w:rsidR="000E193D">
        <w:t>, w</w:t>
      </w:r>
      <w:r w:rsidR="00B116F3">
        <w:t>ere fully</w:t>
      </w:r>
      <w:r w:rsidR="000E193D">
        <w:t xml:space="preserve"> repaid </w:t>
      </w:r>
      <w:r w:rsidR="00DF5DD6">
        <w:t xml:space="preserve">by </w:t>
      </w:r>
      <w:r w:rsidR="00B116F3">
        <w:t xml:space="preserve">the </w:t>
      </w:r>
      <w:r w:rsidR="004335FA">
        <w:t xml:space="preserve">remaining </w:t>
      </w:r>
      <w:proofErr w:type="spellStart"/>
      <w:r w:rsidR="004335FA">
        <w:t>fSPV</w:t>
      </w:r>
      <w:proofErr w:type="spellEnd"/>
      <w:r w:rsidR="004335FA">
        <w:t xml:space="preserve"> </w:t>
      </w:r>
      <w:r w:rsidR="00DF5DD6">
        <w:t xml:space="preserve">borrowers in </w:t>
      </w:r>
      <w:r w:rsidR="00534DE2">
        <w:t>December </w:t>
      </w:r>
      <w:r w:rsidR="00DF5DD6">
        <w:t>2024</w:t>
      </w:r>
      <w:r w:rsidR="00C41346">
        <w:t>.</w:t>
      </w:r>
    </w:p>
    <w:p w14:paraId="39C43917" w14:textId="0B54126D" w:rsidR="00037954" w:rsidRDefault="00CD6CF5" w:rsidP="00CD6CF5">
      <w:pPr>
        <w:pStyle w:val="PartTitle"/>
      </w:pPr>
      <w:bookmarkStart w:id="864" w:name="_Toc209424499"/>
      <w:r w:rsidRPr="006534F5">
        <w:lastRenderedPageBreak/>
        <w:t>P</w:t>
      </w:r>
      <w:r w:rsidR="00D05422">
        <w:t>art</w:t>
      </w:r>
      <w:r w:rsidRPr="006534F5">
        <w:t xml:space="preserve"> </w:t>
      </w:r>
      <w:r>
        <w:t>3</w:t>
      </w:r>
      <w:r w:rsidRPr="006534F5">
        <w:t xml:space="preserve">: </w:t>
      </w:r>
      <w:r w:rsidR="00B33292">
        <w:t>M</w:t>
      </w:r>
      <w:r>
        <w:t>anagement and accountability</w:t>
      </w:r>
      <w:bookmarkEnd w:id="864"/>
    </w:p>
    <w:p w14:paraId="057E8196" w14:textId="10EBE922" w:rsidR="00AE2DD7" w:rsidRDefault="00AE2DD7">
      <w:pPr>
        <w:pStyle w:val="TOC1"/>
        <w:rPr>
          <w:rFonts w:asciiTheme="minorHAnsi" w:hAnsiTheme="minorHAnsi" w:cstheme="minorBidi"/>
          <w:b w:val="0"/>
          <w:color w:val="auto"/>
          <w:kern w:val="2"/>
          <w:sz w:val="24"/>
          <w:szCs w:val="24"/>
          <w14:ligatures w14:val="standardContextual"/>
        </w:rPr>
      </w:pPr>
      <w:r>
        <w:fldChar w:fldCharType="begin"/>
      </w:r>
      <w:r>
        <w:instrText xml:space="preserve"> TOC \o "1-1" \h \z \u </w:instrText>
      </w:r>
      <w:r>
        <w:fldChar w:fldCharType="separate"/>
      </w:r>
      <w:hyperlink w:anchor="_Toc209424596" w:history="1">
        <w:r w:rsidRPr="00BE09C9">
          <w:rPr>
            <w:rStyle w:val="Hyperlink"/>
          </w:rPr>
          <w:t>A.</w:t>
        </w:r>
        <w:r>
          <w:rPr>
            <w:rFonts w:asciiTheme="minorHAnsi" w:hAnsiTheme="minorHAnsi" w:cstheme="minorBidi"/>
            <w:b w:val="0"/>
            <w:color w:val="auto"/>
            <w:kern w:val="2"/>
            <w:sz w:val="24"/>
            <w:szCs w:val="24"/>
            <w14:ligatures w14:val="standardContextual"/>
          </w:rPr>
          <w:t xml:space="preserve"> </w:t>
        </w:r>
        <w:r w:rsidRPr="00BE09C9">
          <w:rPr>
            <w:rStyle w:val="Hyperlink"/>
          </w:rPr>
          <w:t>Corporate governance</w:t>
        </w:r>
        <w:r>
          <w:rPr>
            <w:webHidden/>
          </w:rPr>
          <w:tab/>
        </w:r>
        <w:r>
          <w:rPr>
            <w:webHidden/>
          </w:rPr>
          <w:fldChar w:fldCharType="begin"/>
        </w:r>
        <w:r>
          <w:rPr>
            <w:webHidden/>
          </w:rPr>
          <w:instrText xml:space="preserve"> PAGEREF _Toc209424596 \h </w:instrText>
        </w:r>
        <w:r>
          <w:rPr>
            <w:webHidden/>
          </w:rPr>
        </w:r>
        <w:r>
          <w:rPr>
            <w:webHidden/>
          </w:rPr>
          <w:fldChar w:fldCharType="separate"/>
        </w:r>
        <w:r w:rsidR="00F60EAA">
          <w:rPr>
            <w:webHidden/>
          </w:rPr>
          <w:t>67</w:t>
        </w:r>
        <w:r>
          <w:rPr>
            <w:webHidden/>
          </w:rPr>
          <w:fldChar w:fldCharType="end"/>
        </w:r>
      </w:hyperlink>
    </w:p>
    <w:p w14:paraId="613E13A8" w14:textId="61F2B071" w:rsidR="00AE2DD7" w:rsidRDefault="00AE2DD7">
      <w:pPr>
        <w:pStyle w:val="TOC1"/>
        <w:rPr>
          <w:rFonts w:asciiTheme="minorHAnsi" w:hAnsiTheme="minorHAnsi" w:cstheme="minorBidi"/>
          <w:b w:val="0"/>
          <w:color w:val="auto"/>
          <w:kern w:val="2"/>
          <w:sz w:val="24"/>
          <w:szCs w:val="24"/>
          <w14:ligatures w14:val="standardContextual"/>
        </w:rPr>
      </w:pPr>
      <w:hyperlink w:anchor="_Toc209424597" w:history="1">
        <w:r w:rsidRPr="00BE09C9">
          <w:rPr>
            <w:rStyle w:val="Hyperlink"/>
          </w:rPr>
          <w:t>B. Our people</w:t>
        </w:r>
        <w:r>
          <w:rPr>
            <w:webHidden/>
          </w:rPr>
          <w:tab/>
        </w:r>
        <w:r>
          <w:rPr>
            <w:webHidden/>
          </w:rPr>
          <w:fldChar w:fldCharType="begin"/>
        </w:r>
        <w:r>
          <w:rPr>
            <w:webHidden/>
          </w:rPr>
          <w:instrText xml:space="preserve"> PAGEREF _Toc209424597 \h </w:instrText>
        </w:r>
        <w:r>
          <w:rPr>
            <w:webHidden/>
          </w:rPr>
        </w:r>
        <w:r>
          <w:rPr>
            <w:webHidden/>
          </w:rPr>
          <w:fldChar w:fldCharType="separate"/>
        </w:r>
        <w:r w:rsidR="00F60EAA">
          <w:rPr>
            <w:webHidden/>
          </w:rPr>
          <w:t>77</w:t>
        </w:r>
        <w:r>
          <w:rPr>
            <w:webHidden/>
          </w:rPr>
          <w:fldChar w:fldCharType="end"/>
        </w:r>
      </w:hyperlink>
    </w:p>
    <w:p w14:paraId="25850EC4" w14:textId="471DF29E" w:rsidR="00AE2DD7" w:rsidRDefault="00AE2DD7">
      <w:pPr>
        <w:pStyle w:val="TOC1"/>
        <w:rPr>
          <w:rFonts w:asciiTheme="minorHAnsi" w:hAnsiTheme="minorHAnsi" w:cstheme="minorBidi"/>
          <w:b w:val="0"/>
          <w:color w:val="auto"/>
          <w:kern w:val="2"/>
          <w:sz w:val="24"/>
          <w:szCs w:val="24"/>
          <w14:ligatures w14:val="standardContextual"/>
        </w:rPr>
      </w:pPr>
      <w:hyperlink w:anchor="_Toc209424598" w:history="1">
        <w:r w:rsidRPr="00BE09C9">
          <w:rPr>
            <w:rStyle w:val="Hyperlink"/>
          </w:rPr>
          <w:t>C. Purchasing and procurement</w:t>
        </w:r>
        <w:r>
          <w:rPr>
            <w:webHidden/>
          </w:rPr>
          <w:tab/>
        </w:r>
        <w:r>
          <w:rPr>
            <w:webHidden/>
          </w:rPr>
          <w:fldChar w:fldCharType="begin"/>
        </w:r>
        <w:r>
          <w:rPr>
            <w:webHidden/>
          </w:rPr>
          <w:instrText xml:space="preserve"> PAGEREF _Toc209424598 \h </w:instrText>
        </w:r>
        <w:r>
          <w:rPr>
            <w:webHidden/>
          </w:rPr>
        </w:r>
        <w:r>
          <w:rPr>
            <w:webHidden/>
          </w:rPr>
          <w:fldChar w:fldCharType="separate"/>
        </w:r>
        <w:r w:rsidR="00F60EAA">
          <w:rPr>
            <w:webHidden/>
          </w:rPr>
          <w:t>88</w:t>
        </w:r>
        <w:r>
          <w:rPr>
            <w:webHidden/>
          </w:rPr>
          <w:fldChar w:fldCharType="end"/>
        </w:r>
      </w:hyperlink>
    </w:p>
    <w:p w14:paraId="7C943CE8" w14:textId="62AC0D2D" w:rsidR="00AE2DD7" w:rsidRDefault="00AE2DD7">
      <w:pPr>
        <w:pStyle w:val="TOC1"/>
        <w:rPr>
          <w:rFonts w:asciiTheme="minorHAnsi" w:hAnsiTheme="minorHAnsi" w:cstheme="minorBidi"/>
          <w:b w:val="0"/>
          <w:color w:val="auto"/>
          <w:kern w:val="2"/>
          <w:sz w:val="24"/>
          <w:szCs w:val="24"/>
          <w14:ligatures w14:val="standardContextual"/>
        </w:rPr>
      </w:pPr>
      <w:hyperlink w:anchor="_Toc209424599" w:history="1">
        <w:r w:rsidRPr="00BE09C9">
          <w:rPr>
            <w:rStyle w:val="Hyperlink"/>
          </w:rPr>
          <w:t>D. Freedom of information</w:t>
        </w:r>
        <w:r>
          <w:rPr>
            <w:webHidden/>
          </w:rPr>
          <w:tab/>
        </w:r>
        <w:r>
          <w:rPr>
            <w:webHidden/>
          </w:rPr>
          <w:fldChar w:fldCharType="begin"/>
        </w:r>
        <w:r>
          <w:rPr>
            <w:webHidden/>
          </w:rPr>
          <w:instrText xml:space="preserve"> PAGEREF _Toc209424599 \h </w:instrText>
        </w:r>
        <w:r>
          <w:rPr>
            <w:webHidden/>
          </w:rPr>
        </w:r>
        <w:r>
          <w:rPr>
            <w:webHidden/>
          </w:rPr>
          <w:fldChar w:fldCharType="separate"/>
        </w:r>
        <w:r w:rsidR="00F60EAA">
          <w:rPr>
            <w:webHidden/>
          </w:rPr>
          <w:t>93</w:t>
        </w:r>
        <w:r>
          <w:rPr>
            <w:webHidden/>
          </w:rPr>
          <w:fldChar w:fldCharType="end"/>
        </w:r>
      </w:hyperlink>
    </w:p>
    <w:p w14:paraId="5DF189F7" w14:textId="0ECA0993" w:rsidR="00AE2DD7" w:rsidRDefault="00AE2DD7">
      <w:pPr>
        <w:pStyle w:val="TOC1"/>
        <w:rPr>
          <w:rFonts w:asciiTheme="minorHAnsi" w:hAnsiTheme="minorHAnsi" w:cstheme="minorBidi"/>
          <w:b w:val="0"/>
          <w:color w:val="auto"/>
          <w:kern w:val="2"/>
          <w:sz w:val="24"/>
          <w:szCs w:val="24"/>
          <w14:ligatures w14:val="standardContextual"/>
        </w:rPr>
      </w:pPr>
      <w:hyperlink w:anchor="_Toc209424600" w:history="1">
        <w:r w:rsidRPr="00BE09C9">
          <w:rPr>
            <w:rStyle w:val="Hyperlink"/>
          </w:rPr>
          <w:t>E. Financial performance</w:t>
        </w:r>
        <w:r>
          <w:rPr>
            <w:webHidden/>
          </w:rPr>
          <w:tab/>
        </w:r>
        <w:r>
          <w:rPr>
            <w:webHidden/>
          </w:rPr>
          <w:fldChar w:fldCharType="begin"/>
        </w:r>
        <w:r>
          <w:rPr>
            <w:webHidden/>
          </w:rPr>
          <w:instrText xml:space="preserve"> PAGEREF _Toc209424600 \h </w:instrText>
        </w:r>
        <w:r>
          <w:rPr>
            <w:webHidden/>
          </w:rPr>
        </w:r>
        <w:r>
          <w:rPr>
            <w:webHidden/>
          </w:rPr>
          <w:fldChar w:fldCharType="separate"/>
        </w:r>
        <w:r w:rsidR="00F60EAA">
          <w:rPr>
            <w:webHidden/>
          </w:rPr>
          <w:t>94</w:t>
        </w:r>
        <w:r>
          <w:rPr>
            <w:webHidden/>
          </w:rPr>
          <w:fldChar w:fldCharType="end"/>
        </w:r>
      </w:hyperlink>
    </w:p>
    <w:p w14:paraId="1646A1F9" w14:textId="1A8BADF7" w:rsidR="00AE2DD7" w:rsidRDefault="00AE2DD7">
      <w:pPr>
        <w:pStyle w:val="TOC1"/>
        <w:rPr>
          <w:rFonts w:asciiTheme="minorHAnsi" w:hAnsiTheme="minorHAnsi" w:cstheme="minorBidi"/>
          <w:b w:val="0"/>
          <w:color w:val="auto"/>
          <w:kern w:val="2"/>
          <w:sz w:val="24"/>
          <w:szCs w:val="24"/>
          <w14:ligatures w14:val="standardContextual"/>
        </w:rPr>
      </w:pPr>
      <w:hyperlink w:anchor="_Toc209424601" w:history="1">
        <w:r w:rsidRPr="00BE09C9">
          <w:rPr>
            <w:rStyle w:val="Hyperlink"/>
          </w:rPr>
          <w:t>F. Australian public service net zero 2030 Greenhouse Gas Emissions</w:t>
        </w:r>
        <w:r w:rsidR="00291A20">
          <w:rPr>
            <w:rStyle w:val="Hyperlink"/>
          </w:rPr>
          <w:t> </w:t>
        </w:r>
        <w:r w:rsidRPr="00BE09C9">
          <w:rPr>
            <w:rStyle w:val="Hyperlink"/>
          </w:rPr>
          <w:t>Inventory</w:t>
        </w:r>
        <w:r>
          <w:rPr>
            <w:webHidden/>
          </w:rPr>
          <w:tab/>
        </w:r>
        <w:r>
          <w:rPr>
            <w:webHidden/>
          </w:rPr>
          <w:fldChar w:fldCharType="begin"/>
        </w:r>
        <w:r>
          <w:rPr>
            <w:webHidden/>
          </w:rPr>
          <w:instrText xml:space="preserve"> PAGEREF _Toc209424601 \h </w:instrText>
        </w:r>
        <w:r>
          <w:rPr>
            <w:webHidden/>
          </w:rPr>
        </w:r>
        <w:r>
          <w:rPr>
            <w:webHidden/>
          </w:rPr>
          <w:fldChar w:fldCharType="separate"/>
        </w:r>
        <w:r w:rsidR="00F60EAA">
          <w:rPr>
            <w:webHidden/>
          </w:rPr>
          <w:t>98</w:t>
        </w:r>
        <w:r>
          <w:rPr>
            <w:webHidden/>
          </w:rPr>
          <w:fldChar w:fldCharType="end"/>
        </w:r>
      </w:hyperlink>
    </w:p>
    <w:p w14:paraId="2EC08DBF" w14:textId="6850004D" w:rsidR="00AE2DD7" w:rsidRDefault="00AE2DD7">
      <w:pPr>
        <w:pStyle w:val="TOC1"/>
        <w:rPr>
          <w:rFonts w:asciiTheme="minorHAnsi" w:hAnsiTheme="minorHAnsi" w:cstheme="minorBidi"/>
          <w:b w:val="0"/>
          <w:color w:val="auto"/>
          <w:kern w:val="2"/>
          <w:sz w:val="24"/>
          <w:szCs w:val="24"/>
          <w14:ligatures w14:val="standardContextual"/>
        </w:rPr>
      </w:pPr>
      <w:hyperlink w:anchor="_Toc209424602" w:history="1">
        <w:r w:rsidRPr="00BE09C9">
          <w:rPr>
            <w:rStyle w:val="Hyperlink"/>
          </w:rPr>
          <w:t>G.</w:t>
        </w:r>
        <w:r w:rsidR="00291A20" w:rsidRPr="00BE09C9">
          <w:rPr>
            <w:rStyle w:val="Hyperlink"/>
          </w:rPr>
          <w:t xml:space="preserve"> </w:t>
        </w:r>
        <w:r w:rsidRPr="00BE09C9">
          <w:rPr>
            <w:rStyle w:val="Hyperlink"/>
          </w:rPr>
          <w:t>Appendix – 2024–25 Commonwealth Climate Disclosure</w:t>
        </w:r>
        <w:r>
          <w:rPr>
            <w:webHidden/>
          </w:rPr>
          <w:tab/>
        </w:r>
        <w:r>
          <w:rPr>
            <w:webHidden/>
          </w:rPr>
          <w:fldChar w:fldCharType="begin"/>
        </w:r>
        <w:r>
          <w:rPr>
            <w:webHidden/>
          </w:rPr>
          <w:instrText xml:space="preserve"> PAGEREF _Toc209424602 \h </w:instrText>
        </w:r>
        <w:r>
          <w:rPr>
            <w:webHidden/>
          </w:rPr>
        </w:r>
        <w:r>
          <w:rPr>
            <w:webHidden/>
          </w:rPr>
          <w:fldChar w:fldCharType="separate"/>
        </w:r>
        <w:r w:rsidR="00F60EAA">
          <w:rPr>
            <w:webHidden/>
          </w:rPr>
          <w:t>101</w:t>
        </w:r>
        <w:r>
          <w:rPr>
            <w:webHidden/>
          </w:rPr>
          <w:fldChar w:fldCharType="end"/>
        </w:r>
      </w:hyperlink>
    </w:p>
    <w:p w14:paraId="182F0E14" w14:textId="5A353DA7" w:rsidR="00390E16" w:rsidRPr="00B076E9" w:rsidRDefault="00AE2DD7" w:rsidP="00B076E9">
      <w:r>
        <w:fldChar w:fldCharType="end"/>
      </w:r>
    </w:p>
    <w:p w14:paraId="2407E8D3" w14:textId="77777777" w:rsidR="003B2EF4" w:rsidRPr="003B2EF4" w:rsidRDefault="003B2EF4" w:rsidP="003B2EF4">
      <w:pPr>
        <w:rPr>
          <w:lang w:eastAsia="en-AU"/>
        </w:rPr>
        <w:sectPr w:rsidR="003B2EF4" w:rsidRPr="003B2EF4" w:rsidSect="001E2AEB">
          <w:type w:val="oddPage"/>
          <w:pgSz w:w="11907" w:h="16840" w:code="9"/>
          <w:pgMar w:top="2835" w:right="2098" w:bottom="2466" w:left="2098" w:header="1814" w:footer="1814" w:gutter="0"/>
          <w:cols w:space="708"/>
          <w:docGrid w:linePitch="360"/>
        </w:sectPr>
      </w:pPr>
    </w:p>
    <w:p w14:paraId="50EA334D" w14:textId="2A3D3FFA" w:rsidR="000E6B04" w:rsidRPr="00592520" w:rsidRDefault="000E6B04" w:rsidP="006D2EDF">
      <w:pPr>
        <w:pStyle w:val="Heading1-alpha"/>
        <w:numPr>
          <w:ilvl w:val="0"/>
          <w:numId w:val="51"/>
        </w:numPr>
        <w:ind w:left="720"/>
      </w:pPr>
      <w:bookmarkStart w:id="865" w:name="_Toc173327327"/>
      <w:bookmarkStart w:id="866" w:name="_Toc173327780"/>
      <w:bookmarkStart w:id="867" w:name="_Toc173395303"/>
      <w:bookmarkStart w:id="868" w:name="_Toc173395380"/>
      <w:bookmarkStart w:id="869" w:name="_Toc173396602"/>
      <w:bookmarkStart w:id="870" w:name="_Toc173408174"/>
      <w:bookmarkStart w:id="871" w:name="_Toc173411496"/>
      <w:bookmarkStart w:id="872" w:name="_Toc173479176"/>
      <w:bookmarkStart w:id="873" w:name="_Toc173743073"/>
      <w:bookmarkStart w:id="874" w:name="_Toc173743234"/>
      <w:bookmarkStart w:id="875" w:name="_Toc173766802"/>
      <w:bookmarkStart w:id="876" w:name="_Toc174468566"/>
      <w:bookmarkStart w:id="877" w:name="_Toc175906461"/>
      <w:bookmarkStart w:id="878" w:name="_Toc176160555"/>
      <w:bookmarkStart w:id="879" w:name="_Toc176163184"/>
      <w:bookmarkStart w:id="880" w:name="_Toc205474320"/>
      <w:bookmarkStart w:id="881" w:name="_Toc207792900"/>
      <w:bookmarkStart w:id="882" w:name="_Toc207793939"/>
      <w:bookmarkStart w:id="883" w:name="_Toc207795653"/>
      <w:bookmarkStart w:id="884" w:name="_Toc207796078"/>
      <w:bookmarkStart w:id="885" w:name="_Toc207796944"/>
      <w:bookmarkStart w:id="886" w:name="_Toc207797303"/>
      <w:bookmarkStart w:id="887" w:name="_Toc207800246"/>
      <w:bookmarkStart w:id="888" w:name="_Toc207810824"/>
      <w:bookmarkStart w:id="889" w:name="_Toc208913978"/>
      <w:bookmarkStart w:id="890" w:name="_Toc208914103"/>
      <w:bookmarkStart w:id="891" w:name="_Toc209424500"/>
      <w:bookmarkStart w:id="892" w:name="_Toc209424596"/>
      <w:r w:rsidRPr="00592520">
        <w:lastRenderedPageBreak/>
        <w:t>Corporate governance</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Pr="00592520">
        <w:t xml:space="preserve"> </w:t>
      </w:r>
    </w:p>
    <w:tbl>
      <w:tblPr>
        <w:tblW w:w="4943" w:type="pct"/>
        <w:jc w:val="center"/>
        <w:tblBorders>
          <w:bottom w:val="single" w:sz="24" w:space="0" w:color="D7CAED" w:themeColor="accent1" w:themeTint="33"/>
        </w:tblBorders>
        <w:shd w:val="clear" w:color="auto" w:fill="472978" w:themeFill="accent1"/>
        <w:tblCellMar>
          <w:top w:w="28" w:type="dxa"/>
          <w:left w:w="284" w:type="dxa"/>
          <w:bottom w:w="142" w:type="dxa"/>
          <w:right w:w="284" w:type="dxa"/>
        </w:tblCellMar>
        <w:tblLook w:val="04A0" w:firstRow="1" w:lastRow="0" w:firstColumn="1" w:lastColumn="0" w:noHBand="0" w:noVBand="1"/>
      </w:tblPr>
      <w:tblGrid>
        <w:gridCol w:w="7623"/>
      </w:tblGrid>
      <w:tr w:rsidR="0026171D" w14:paraId="5A07445D" w14:textId="77777777" w:rsidTr="008D6563">
        <w:trPr>
          <w:jc w:val="center"/>
        </w:trPr>
        <w:tc>
          <w:tcPr>
            <w:tcW w:w="5000" w:type="pct"/>
            <w:shd w:val="clear" w:color="auto" w:fill="472978" w:themeFill="accent1"/>
            <w:tcMar>
              <w:top w:w="284" w:type="dxa"/>
              <w:bottom w:w="284" w:type="dxa"/>
            </w:tcMar>
          </w:tcPr>
          <w:p w14:paraId="41685164" w14:textId="1613B2D7" w:rsidR="0026171D" w:rsidRPr="00295726" w:rsidRDefault="004E5B2A" w:rsidP="00295726">
            <w:pPr>
              <w:pStyle w:val="Pullquote"/>
            </w:pPr>
            <w:r w:rsidRPr="00295726">
              <w:t>Effective sovereign debt management requires a strong focus on corporate governance and risk management.</w:t>
            </w:r>
          </w:p>
        </w:tc>
      </w:tr>
    </w:tbl>
    <w:p w14:paraId="57322320" w14:textId="77777777" w:rsidR="000E6B04" w:rsidRDefault="000E6B04" w:rsidP="00295726">
      <w:pPr>
        <w:pStyle w:val="SingleReturn"/>
      </w:pPr>
    </w:p>
    <w:p w14:paraId="03A71110" w14:textId="2BC45B60" w:rsidR="00A32FB9" w:rsidRPr="00C51600" w:rsidRDefault="00A32FB9" w:rsidP="00A32FB9">
      <w:r w:rsidRPr="00C51600">
        <w:t xml:space="preserve">The </w:t>
      </w:r>
      <w:r w:rsidR="00F744B9">
        <w:t>Australian Office of Financial Management (</w:t>
      </w:r>
      <w:r w:rsidRPr="00C51600">
        <w:t>AOFM</w:t>
      </w:r>
      <w:r w:rsidR="00F744B9">
        <w:t>)</w:t>
      </w:r>
      <w:r w:rsidRPr="00C51600">
        <w:t xml:space="preserve"> is a listed non</w:t>
      </w:r>
      <w:r w:rsidR="00B84FF2">
        <w:noBreakHyphen/>
      </w:r>
      <w:r w:rsidRPr="00C51600">
        <w:t xml:space="preserve">corporate Commonwealth entity under the </w:t>
      </w:r>
      <w:r w:rsidRPr="00C51600">
        <w:rPr>
          <w:i/>
          <w:iCs/>
        </w:rPr>
        <w:t>Public Governance, Performance and Accountability Act 2013</w:t>
      </w:r>
      <w:r w:rsidRPr="00C51600">
        <w:t xml:space="preserve"> (PGPA Act)</w:t>
      </w:r>
      <w:r w:rsidR="00F744B9">
        <w:t>,</w:t>
      </w:r>
      <w:r w:rsidRPr="00C51600">
        <w:t xml:space="preserve"> and is legally and financially part of the Commonwealth.</w:t>
      </w:r>
    </w:p>
    <w:p w14:paraId="3B4655E0" w14:textId="247B4F5C" w:rsidR="00A32FB9" w:rsidRPr="00C51600" w:rsidRDefault="00A32FB9" w:rsidP="00A32FB9">
      <w:r w:rsidRPr="00C51600">
        <w:t>The AOFM</w:t>
      </w:r>
      <w:r w:rsidR="00B84FF2">
        <w:t>’</w:t>
      </w:r>
      <w:r w:rsidRPr="00C51600">
        <w:t xml:space="preserve">s </w:t>
      </w:r>
      <w:r w:rsidR="00F744B9">
        <w:t>Chief Executive Officer (</w:t>
      </w:r>
      <w:r w:rsidRPr="00C51600">
        <w:t>CEO</w:t>
      </w:r>
      <w:r w:rsidR="00F744B9">
        <w:t>)</w:t>
      </w:r>
      <w:r w:rsidRPr="00C51600">
        <w:t xml:space="preserve"> is responsible for directing the AOFM</w:t>
      </w:r>
      <w:r w:rsidR="00B84FF2">
        <w:t>’</w:t>
      </w:r>
      <w:r w:rsidRPr="00C51600">
        <w:t>s operations and is accountable to the Treasurer and the Secretary to the Treasury. The Treasurer is responsible for administering the Commonwealth</w:t>
      </w:r>
      <w:r w:rsidR="00B84FF2">
        <w:t>’</w:t>
      </w:r>
      <w:r w:rsidRPr="00C51600">
        <w:t xml:space="preserve">s borrowing legislation, and the Treasury is responsible for </w:t>
      </w:r>
      <w:r w:rsidR="00B84FF2">
        <w:t>‘</w:t>
      </w:r>
      <w:r w:rsidRPr="00C51600">
        <w:t>borrowing money on the public credit of the Commonwealth</w:t>
      </w:r>
      <w:r w:rsidR="00B84FF2">
        <w:t>’</w:t>
      </w:r>
      <w:r w:rsidRPr="00C51600">
        <w:t>.</w:t>
      </w:r>
      <w:r w:rsidRPr="004A1906">
        <w:rPr>
          <w:rStyle w:val="FootnoteReference"/>
          <w:sz w:val="22"/>
          <w:szCs w:val="22"/>
        </w:rPr>
        <w:footnoteReference w:id="6"/>
      </w:r>
    </w:p>
    <w:p w14:paraId="14593BA8" w14:textId="041A9C8C" w:rsidR="00A32FB9" w:rsidRPr="00C51600" w:rsidRDefault="00A32FB9" w:rsidP="00A32FB9">
      <w:r w:rsidRPr="00C51600">
        <w:t>As such, the Secretary to the Treasury is accountable for debt management and advising the Treasurer on debt management policy, drawing on the resources of the AOFM and Treasury for this purpose. The AOFM</w:t>
      </w:r>
      <w:r w:rsidR="00B84FF2">
        <w:t>’</w:t>
      </w:r>
      <w:r w:rsidRPr="00C51600">
        <w:t>s officials have been delegated powers and authorisations by the Treasurer for the purposes of debt management, including debt issuance.</w:t>
      </w:r>
    </w:p>
    <w:p w14:paraId="3E52683C" w14:textId="36549CC5" w:rsidR="00A32FB9" w:rsidRPr="00C51600" w:rsidRDefault="00A32FB9" w:rsidP="00A32FB9">
      <w:r w:rsidRPr="00C51600">
        <w:t>The AOFM</w:t>
      </w:r>
      <w:r w:rsidR="00B84FF2">
        <w:t>’</w:t>
      </w:r>
      <w:r w:rsidRPr="00C51600">
        <w:t xml:space="preserve">s corporate governance arrangements ensure that sound business practices underpin </w:t>
      </w:r>
      <w:r w:rsidR="000E1248">
        <w:t xml:space="preserve">our </w:t>
      </w:r>
      <w:r w:rsidRPr="00C51600">
        <w:t>decision</w:t>
      </w:r>
      <w:r w:rsidR="00B84FF2">
        <w:noBreakHyphen/>
      </w:r>
      <w:r w:rsidRPr="00C51600">
        <w:t xml:space="preserve">making. These arrangements are supported by a culture of risk awareness, accountability, transparency and integrity. The key components of </w:t>
      </w:r>
      <w:r w:rsidR="000432F9">
        <w:t>our</w:t>
      </w:r>
      <w:r w:rsidRPr="00C51600">
        <w:t xml:space="preserve"> corporate governance framework are:</w:t>
      </w:r>
    </w:p>
    <w:p w14:paraId="7A759538" w14:textId="77777777" w:rsidR="00A32FB9" w:rsidRPr="00252859" w:rsidRDefault="00A32FB9" w:rsidP="00252859">
      <w:pPr>
        <w:pStyle w:val="Bullet"/>
      </w:pPr>
      <w:r w:rsidRPr="00252859">
        <w:t>corporate planning and performance monitoring</w:t>
      </w:r>
    </w:p>
    <w:p w14:paraId="0BEA73DE" w14:textId="77777777" w:rsidR="00A32FB9" w:rsidRPr="00252859" w:rsidRDefault="00A32FB9" w:rsidP="00252859">
      <w:pPr>
        <w:pStyle w:val="Bullet"/>
      </w:pPr>
      <w:r w:rsidRPr="00252859">
        <w:t>oversight by the Audit and Risk Committee, which is composed of independent members, including the Chair</w:t>
      </w:r>
    </w:p>
    <w:p w14:paraId="3C6BBC21" w14:textId="73DF9BD6" w:rsidR="00A32FB9" w:rsidRPr="00252859" w:rsidRDefault="00A32FB9" w:rsidP="00252859">
      <w:pPr>
        <w:pStyle w:val="Bullet"/>
      </w:pPr>
      <w:r w:rsidRPr="00252859">
        <w:t>internal committees to support decision</w:t>
      </w:r>
      <w:r w:rsidR="00B84FF2" w:rsidRPr="00252859">
        <w:noBreakHyphen/>
      </w:r>
      <w:r w:rsidRPr="00252859">
        <w:t>making on a range of significant or whole</w:t>
      </w:r>
      <w:r w:rsidR="00B84FF2" w:rsidRPr="00252859">
        <w:noBreakHyphen/>
      </w:r>
      <w:r w:rsidRPr="00252859">
        <w:t>of</w:t>
      </w:r>
      <w:r w:rsidR="00B84FF2" w:rsidRPr="00252859">
        <w:noBreakHyphen/>
      </w:r>
      <w:r w:rsidRPr="00252859">
        <w:t>agency matters</w:t>
      </w:r>
    </w:p>
    <w:p w14:paraId="0C1D0579" w14:textId="77777777" w:rsidR="00A32FB9" w:rsidRPr="00252859" w:rsidRDefault="00A32FB9" w:rsidP="00252859">
      <w:pPr>
        <w:pStyle w:val="Bullet"/>
      </w:pPr>
      <w:r w:rsidRPr="00252859">
        <w:t>a risk management framework that includes enterprise risk, business continuity, and assurance and compliance activities</w:t>
      </w:r>
    </w:p>
    <w:p w14:paraId="5067B15F" w14:textId="27BD4C0D" w:rsidR="00A32FB9" w:rsidRPr="00252859" w:rsidRDefault="00A32FB9" w:rsidP="00252859">
      <w:pPr>
        <w:pStyle w:val="Bullet"/>
      </w:pPr>
      <w:r w:rsidRPr="00252859">
        <w:lastRenderedPageBreak/>
        <w:t>approval of the financial risk management policy, and debt management and liquidity management strategies</w:t>
      </w:r>
      <w:r w:rsidR="000E1248" w:rsidRPr="00252859">
        <w:t>,</w:t>
      </w:r>
      <w:r w:rsidRPr="00252859">
        <w:t xml:space="preserve"> by the Secretary to the Treasury</w:t>
      </w:r>
    </w:p>
    <w:p w14:paraId="175D05B9" w14:textId="48073D03" w:rsidR="00A32FB9" w:rsidRPr="00252859" w:rsidRDefault="00A32FB9" w:rsidP="00252859">
      <w:pPr>
        <w:pStyle w:val="Bullet"/>
      </w:pPr>
      <w:r w:rsidRPr="00252859">
        <w:t>legislative instruments governing the AOFM</w:t>
      </w:r>
      <w:r w:rsidR="00B84FF2" w:rsidRPr="00252859">
        <w:t>’</w:t>
      </w:r>
      <w:r w:rsidRPr="00252859">
        <w:t>s activities.</w:t>
      </w:r>
    </w:p>
    <w:p w14:paraId="26CBC7F7" w14:textId="13763983" w:rsidR="00623CC6" w:rsidRPr="006534F5" w:rsidRDefault="00623CC6" w:rsidP="00C67F81">
      <w:pPr>
        <w:pStyle w:val="Heading2"/>
      </w:pPr>
      <w:bookmarkStart w:id="893" w:name="_Toc107329243"/>
      <w:bookmarkStart w:id="894" w:name="_Toc107329512"/>
      <w:bookmarkStart w:id="895" w:name="_Toc144813585"/>
      <w:bookmarkStart w:id="896" w:name="_Toc145684525"/>
      <w:bookmarkStart w:id="897" w:name="_Toc145685125"/>
      <w:bookmarkStart w:id="898" w:name="_Toc145686078"/>
      <w:bookmarkStart w:id="899" w:name="_Toc145686277"/>
      <w:bookmarkStart w:id="900" w:name="_Toc145686476"/>
      <w:bookmarkStart w:id="901" w:name="_Toc145686777"/>
      <w:bookmarkStart w:id="902" w:name="_Toc173327328"/>
      <w:bookmarkStart w:id="903" w:name="_Toc173327781"/>
      <w:bookmarkStart w:id="904" w:name="_Toc173395304"/>
      <w:bookmarkStart w:id="905" w:name="_Toc173395381"/>
      <w:bookmarkStart w:id="906" w:name="_Toc173395716"/>
      <w:bookmarkStart w:id="907" w:name="_Toc173396603"/>
      <w:bookmarkStart w:id="908" w:name="_Toc173397615"/>
      <w:bookmarkStart w:id="909" w:name="_Toc173408175"/>
      <w:bookmarkStart w:id="910" w:name="_Toc173411497"/>
      <w:bookmarkStart w:id="911" w:name="_Toc173479177"/>
      <w:bookmarkStart w:id="912" w:name="_Toc173743074"/>
      <w:bookmarkStart w:id="913" w:name="_Toc173743235"/>
      <w:bookmarkStart w:id="914" w:name="_Toc176160556"/>
      <w:bookmarkStart w:id="915" w:name="_Toc176163185"/>
      <w:bookmarkStart w:id="916" w:name="_Toc205474321"/>
      <w:bookmarkStart w:id="917" w:name="_Toc207792901"/>
      <w:bookmarkStart w:id="918" w:name="_Toc207793940"/>
      <w:bookmarkStart w:id="919" w:name="_Toc207796079"/>
      <w:bookmarkStart w:id="920" w:name="_Toc207796945"/>
      <w:bookmarkStart w:id="921" w:name="_Toc207800247"/>
      <w:bookmarkStart w:id="922" w:name="_Toc207810825"/>
      <w:bookmarkStart w:id="923" w:name="_Toc208914104"/>
      <w:bookmarkStart w:id="924" w:name="_Toc209424501"/>
      <w:r w:rsidRPr="006534F5">
        <w:t>Governing legislation</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442BB656" w14:textId="49478D5F" w:rsidR="002164F4" w:rsidRDefault="002164F4" w:rsidP="002164F4">
      <w:pPr>
        <w:rPr>
          <w:spacing w:val="-5"/>
        </w:rPr>
      </w:pPr>
      <w:r w:rsidRPr="002164F4">
        <w:t>Our</w:t>
      </w:r>
      <w:r w:rsidRPr="002164F4">
        <w:rPr>
          <w:spacing w:val="-6"/>
        </w:rPr>
        <w:t xml:space="preserve"> </w:t>
      </w:r>
      <w:r w:rsidRPr="002164F4">
        <w:t>activities</w:t>
      </w:r>
      <w:r w:rsidRPr="002164F4">
        <w:rPr>
          <w:spacing w:val="-6"/>
        </w:rPr>
        <w:t xml:space="preserve"> </w:t>
      </w:r>
      <w:r w:rsidRPr="002164F4">
        <w:t>are</w:t>
      </w:r>
      <w:r w:rsidRPr="002164F4">
        <w:rPr>
          <w:spacing w:val="-6"/>
        </w:rPr>
        <w:t xml:space="preserve"> </w:t>
      </w:r>
      <w:r w:rsidRPr="002164F4">
        <w:t>governed</w:t>
      </w:r>
      <w:r w:rsidRPr="002164F4">
        <w:rPr>
          <w:spacing w:val="-5"/>
        </w:rPr>
        <w:t xml:space="preserve"> </w:t>
      </w:r>
      <w:r w:rsidRPr="002164F4">
        <w:t>by</w:t>
      </w:r>
      <w:r w:rsidRPr="002164F4">
        <w:rPr>
          <w:spacing w:val="-3"/>
        </w:rPr>
        <w:t xml:space="preserve"> </w:t>
      </w:r>
      <w:r w:rsidRPr="002164F4">
        <w:t>the</w:t>
      </w:r>
      <w:r w:rsidRPr="002164F4">
        <w:rPr>
          <w:spacing w:val="-5"/>
        </w:rPr>
        <w:t xml:space="preserve"> </w:t>
      </w:r>
      <w:r w:rsidRPr="002164F4">
        <w:t>legislative</w:t>
      </w:r>
      <w:r w:rsidRPr="002164F4">
        <w:rPr>
          <w:spacing w:val="-6"/>
        </w:rPr>
        <w:t xml:space="preserve"> </w:t>
      </w:r>
      <w:r w:rsidRPr="002164F4">
        <w:t>instruments</w:t>
      </w:r>
      <w:r w:rsidRPr="002164F4">
        <w:rPr>
          <w:spacing w:val="-5"/>
        </w:rPr>
        <w:t xml:space="preserve"> </w:t>
      </w:r>
      <w:r w:rsidRPr="002164F4">
        <w:t>shown</w:t>
      </w:r>
      <w:r w:rsidRPr="002164F4">
        <w:rPr>
          <w:spacing w:val="-7"/>
        </w:rPr>
        <w:t xml:space="preserve"> </w:t>
      </w:r>
      <w:r w:rsidRPr="002164F4">
        <w:t>in</w:t>
      </w:r>
      <w:r w:rsidRPr="002164F4">
        <w:rPr>
          <w:spacing w:val="-7"/>
        </w:rPr>
        <w:t xml:space="preserve"> </w:t>
      </w:r>
      <w:r w:rsidRPr="002164F4">
        <w:t>Table</w:t>
      </w:r>
      <w:r w:rsidRPr="002164F4">
        <w:rPr>
          <w:spacing w:val="-2"/>
        </w:rPr>
        <w:t xml:space="preserve"> </w:t>
      </w:r>
      <w:r w:rsidRPr="002164F4">
        <w:rPr>
          <w:spacing w:val="-5"/>
        </w:rPr>
        <w:t>1</w:t>
      </w:r>
      <w:r w:rsidR="00D12F8F">
        <w:rPr>
          <w:spacing w:val="-5"/>
        </w:rPr>
        <w:t>3</w:t>
      </w:r>
      <w:r w:rsidRPr="002164F4">
        <w:rPr>
          <w:spacing w:val="-5"/>
        </w:rPr>
        <w:t>.</w:t>
      </w:r>
    </w:p>
    <w:p w14:paraId="66AC530E" w14:textId="6265D240" w:rsidR="00783F76" w:rsidRPr="002164F4" w:rsidRDefault="009D3018" w:rsidP="00234606">
      <w:pPr>
        <w:pStyle w:val="TableMainHeading"/>
      </w:pPr>
      <w:r>
        <w:t xml:space="preserve">Table </w:t>
      </w:r>
      <w:r w:rsidR="008A2D81">
        <w:t>1</w:t>
      </w:r>
      <w:r w:rsidR="00D12F8F">
        <w:t>3</w:t>
      </w:r>
      <w:r>
        <w:t>: List of legislative instruments</w:t>
      </w:r>
    </w:p>
    <w:tbl>
      <w:tblPr>
        <w:tblStyle w:val="AOFMTablemain"/>
        <w:tblW w:w="5000" w:type="pct"/>
        <w:tblLook w:val="04A0" w:firstRow="1" w:lastRow="0" w:firstColumn="1" w:lastColumn="0" w:noHBand="0" w:noVBand="1"/>
      </w:tblPr>
      <w:tblGrid>
        <w:gridCol w:w="1985"/>
        <w:gridCol w:w="5726"/>
      </w:tblGrid>
      <w:tr w:rsidR="0094366C" w:rsidRPr="007158E3" w14:paraId="565153D2" w14:textId="77777777" w:rsidTr="002F13B5">
        <w:trPr>
          <w:cnfStyle w:val="100000000000" w:firstRow="1" w:lastRow="0" w:firstColumn="0" w:lastColumn="0" w:oddVBand="0" w:evenVBand="0" w:oddHBand="0" w:evenHBand="0" w:firstRowFirstColumn="0" w:firstRowLastColumn="0" w:lastRowFirstColumn="0" w:lastRowLastColumn="0"/>
        </w:trPr>
        <w:tc>
          <w:tcPr>
            <w:tcW w:w="1985" w:type="dxa"/>
            <w:tcMar>
              <w:top w:w="57" w:type="dxa"/>
              <w:bottom w:w="57" w:type="dxa"/>
            </w:tcMar>
          </w:tcPr>
          <w:p w14:paraId="2FD7BE55" w14:textId="691EF1C7" w:rsidR="00623CC6" w:rsidRPr="0094366C" w:rsidRDefault="002164F4" w:rsidP="00234606">
            <w:pPr>
              <w:pStyle w:val="TableColumnHeadingLeft"/>
            </w:pPr>
            <w:r w:rsidRPr="0094366C">
              <w:t>Legislation</w:t>
            </w:r>
          </w:p>
        </w:tc>
        <w:tc>
          <w:tcPr>
            <w:tcW w:w="5725" w:type="dxa"/>
            <w:tcMar>
              <w:top w:w="57" w:type="dxa"/>
              <w:bottom w:w="57" w:type="dxa"/>
            </w:tcMar>
          </w:tcPr>
          <w:p w14:paraId="02AD8844" w14:textId="150BCCB4" w:rsidR="00623CC6" w:rsidRPr="0094366C" w:rsidRDefault="002164F4" w:rsidP="00234606">
            <w:pPr>
              <w:pStyle w:val="TableColumnHeadingLeft"/>
            </w:pPr>
            <w:r w:rsidRPr="0094366C">
              <w:t>Purpose</w:t>
            </w:r>
          </w:p>
        </w:tc>
      </w:tr>
      <w:tr w:rsidR="00623CC6" w:rsidRPr="007158E3" w14:paraId="4F0C157A" w14:textId="77777777" w:rsidTr="002F13B5">
        <w:trPr>
          <w:trHeight w:val="492"/>
        </w:trPr>
        <w:tc>
          <w:tcPr>
            <w:tcW w:w="1985" w:type="dxa"/>
            <w:tcMar>
              <w:top w:w="57" w:type="dxa"/>
              <w:bottom w:w="57" w:type="dxa"/>
            </w:tcMar>
          </w:tcPr>
          <w:p w14:paraId="09098533" w14:textId="26460DCC" w:rsidR="00623CC6" w:rsidRPr="002F13B5" w:rsidRDefault="000E1248" w:rsidP="00625DAB">
            <w:pPr>
              <w:pStyle w:val="TableTextLeft"/>
              <w:rPr>
                <w:i/>
                <w:iCs/>
              </w:rPr>
            </w:pPr>
            <w:r w:rsidRPr="002F13B5">
              <w:rPr>
                <w:i/>
                <w:iCs/>
              </w:rPr>
              <w:t>PGPA Act</w:t>
            </w:r>
          </w:p>
        </w:tc>
        <w:tc>
          <w:tcPr>
            <w:tcW w:w="5725" w:type="dxa"/>
            <w:tcMar>
              <w:top w:w="57" w:type="dxa"/>
              <w:bottom w:w="57" w:type="dxa"/>
            </w:tcMar>
          </w:tcPr>
          <w:p w14:paraId="4D479AD7" w14:textId="650C365D" w:rsidR="00623CC6" w:rsidRPr="00234606" w:rsidRDefault="00761ECB" w:rsidP="00625DAB">
            <w:pPr>
              <w:pStyle w:val="TableTextLeft"/>
            </w:pPr>
            <w:r w:rsidRPr="00234606">
              <w:t>To establish a system of governance and accountability for public resources</w:t>
            </w:r>
            <w:r w:rsidR="000E1248" w:rsidRPr="00234606">
              <w:t>,</w:t>
            </w:r>
            <w:r w:rsidRPr="00234606">
              <w:t xml:space="preserve"> with an emphasis on planning, performance and reporting.</w:t>
            </w:r>
          </w:p>
        </w:tc>
      </w:tr>
      <w:tr w:rsidR="0094366C" w:rsidRPr="007158E3" w14:paraId="7E6A03D1" w14:textId="77777777" w:rsidTr="002F13B5">
        <w:trPr>
          <w:cnfStyle w:val="000000010000" w:firstRow="0" w:lastRow="0" w:firstColumn="0" w:lastColumn="0" w:oddVBand="0" w:evenVBand="0" w:oddHBand="0" w:evenHBand="1" w:firstRowFirstColumn="0" w:firstRowLastColumn="0" w:lastRowFirstColumn="0" w:lastRowLastColumn="0"/>
          <w:trHeight w:val="1453"/>
        </w:trPr>
        <w:tc>
          <w:tcPr>
            <w:tcW w:w="1985" w:type="dxa"/>
            <w:tcMar>
              <w:top w:w="57" w:type="dxa"/>
              <w:bottom w:w="57" w:type="dxa"/>
            </w:tcMar>
          </w:tcPr>
          <w:p w14:paraId="14A69E03" w14:textId="2D84FB26" w:rsidR="002164F4" w:rsidRPr="002F13B5" w:rsidRDefault="00761ECB" w:rsidP="00625DAB">
            <w:pPr>
              <w:pStyle w:val="TableTextLeft"/>
              <w:rPr>
                <w:i/>
                <w:iCs/>
              </w:rPr>
            </w:pPr>
            <w:r w:rsidRPr="002F13B5">
              <w:rPr>
                <w:i/>
                <w:iCs/>
              </w:rPr>
              <w:t>Public Service Act 1999 (PS Act)</w:t>
            </w:r>
          </w:p>
        </w:tc>
        <w:tc>
          <w:tcPr>
            <w:tcW w:w="5725" w:type="dxa"/>
            <w:tcMar>
              <w:top w:w="57" w:type="dxa"/>
              <w:bottom w:w="57" w:type="dxa"/>
            </w:tcMar>
          </w:tcPr>
          <w:p w14:paraId="5C62557B" w14:textId="3C0414B1" w:rsidR="00761ECB" w:rsidRPr="00234606" w:rsidRDefault="00761ECB" w:rsidP="00625DAB">
            <w:pPr>
              <w:pStyle w:val="TableTextLeft"/>
            </w:pPr>
            <w:r w:rsidRPr="00234606">
              <w:t>To provide for the establishment and management of the Australian Public Service (APS), including matters arising from terms and conditions of employment</w:t>
            </w:r>
            <w:r w:rsidR="000E1248" w:rsidRPr="00234606">
              <w:t xml:space="preserve">; </w:t>
            </w:r>
            <w:r w:rsidRPr="00234606">
              <w:t>code</w:t>
            </w:r>
            <w:r w:rsidR="000E1248" w:rsidRPr="00234606">
              <w:t>s</w:t>
            </w:r>
            <w:r w:rsidRPr="00234606">
              <w:t xml:space="preserve"> of conduct</w:t>
            </w:r>
            <w:r w:rsidR="000E1248" w:rsidRPr="00234606">
              <w:t>;</w:t>
            </w:r>
            <w:r w:rsidRPr="00234606">
              <w:t xml:space="preserve"> </w:t>
            </w:r>
            <w:r w:rsidR="000E1248" w:rsidRPr="00234606">
              <w:t xml:space="preserve">and </w:t>
            </w:r>
            <w:r w:rsidRPr="00234606">
              <w:t>engagement, termination and retirement of APS employees.</w:t>
            </w:r>
          </w:p>
          <w:p w14:paraId="57088F30" w14:textId="51DC936F" w:rsidR="002164F4" w:rsidRPr="00234606" w:rsidRDefault="00761ECB" w:rsidP="00625DAB">
            <w:pPr>
              <w:pStyle w:val="TableTextLeft"/>
            </w:pPr>
            <w:r w:rsidRPr="00234606">
              <w:t>The AOFM</w:t>
            </w:r>
            <w:r w:rsidR="00B84FF2" w:rsidRPr="00234606">
              <w:t>’</w:t>
            </w:r>
            <w:r w:rsidRPr="00234606">
              <w:t xml:space="preserve">s staff are employees of the Department of the Treasury under the </w:t>
            </w:r>
            <w:r w:rsidR="000E1248" w:rsidRPr="00234606">
              <w:t xml:space="preserve">PS </w:t>
            </w:r>
            <w:r w:rsidRPr="00234606">
              <w:t xml:space="preserve">Act, and the Secretary to the Treasury has delegated </w:t>
            </w:r>
            <w:r w:rsidR="000E1248" w:rsidRPr="00234606">
              <w:t xml:space="preserve">its </w:t>
            </w:r>
            <w:r w:rsidRPr="00234606">
              <w:t>powers under the Act to the AOFM CEO in relation to AOFM staff.</w:t>
            </w:r>
          </w:p>
        </w:tc>
      </w:tr>
      <w:tr w:rsidR="002164F4" w:rsidRPr="007158E3" w14:paraId="0509D7E4" w14:textId="77777777" w:rsidTr="002F13B5">
        <w:tc>
          <w:tcPr>
            <w:tcW w:w="1985" w:type="dxa"/>
            <w:tcMar>
              <w:top w:w="57" w:type="dxa"/>
              <w:bottom w:w="57" w:type="dxa"/>
            </w:tcMar>
          </w:tcPr>
          <w:p w14:paraId="797AD9FD" w14:textId="2968713B" w:rsidR="002164F4" w:rsidRPr="002F13B5" w:rsidRDefault="00761ECB" w:rsidP="00625DAB">
            <w:pPr>
              <w:pStyle w:val="TableTextLeft"/>
              <w:rPr>
                <w:i/>
                <w:iCs/>
              </w:rPr>
            </w:pPr>
            <w:r w:rsidRPr="002F13B5">
              <w:rPr>
                <w:i/>
                <w:iCs/>
              </w:rPr>
              <w:t>Commonwealth Inscribed Stock Act 1911</w:t>
            </w:r>
          </w:p>
        </w:tc>
        <w:tc>
          <w:tcPr>
            <w:tcW w:w="5725" w:type="dxa"/>
            <w:tcMar>
              <w:top w:w="57" w:type="dxa"/>
              <w:bottom w:w="57" w:type="dxa"/>
            </w:tcMar>
          </w:tcPr>
          <w:p w14:paraId="1396042E" w14:textId="039AA6B1" w:rsidR="00761ECB" w:rsidRPr="00234606" w:rsidRDefault="00761ECB" w:rsidP="00625DAB">
            <w:pPr>
              <w:pStyle w:val="TableTextLeft"/>
            </w:pPr>
            <w:r w:rsidRPr="00234606">
              <w:t>The Australian Government</w:t>
            </w:r>
            <w:r w:rsidR="00B84FF2" w:rsidRPr="00234606">
              <w:t>’</w:t>
            </w:r>
            <w:r w:rsidRPr="00234606">
              <w:t>s primary vehicle for borrowing money denominated in Australian currency on behalf of the Commonwealth of Australia</w:t>
            </w:r>
            <w:r w:rsidR="000E1248" w:rsidRPr="00234606">
              <w:t>,</w:t>
            </w:r>
            <w:r w:rsidRPr="00234606">
              <w:t xml:space="preserve"> through the creation and issuance of stock and securities.</w:t>
            </w:r>
          </w:p>
          <w:p w14:paraId="23D0D3C7" w14:textId="5EF9865A" w:rsidR="00B501A7" w:rsidRPr="00234606" w:rsidRDefault="00761ECB" w:rsidP="00625DAB">
            <w:pPr>
              <w:pStyle w:val="TableTextLeft"/>
            </w:pPr>
            <w:r w:rsidRPr="00234606">
              <w:t>Under the Act, the Treasurer is required to set a direction as to the maximum total face value of stock and securities that may be on issue under the Act and other borrowing legislation.</w:t>
            </w:r>
          </w:p>
          <w:p w14:paraId="7909B8F7" w14:textId="5537F0C2" w:rsidR="002164F4" w:rsidRPr="00234606" w:rsidRDefault="00761ECB" w:rsidP="00625DAB">
            <w:pPr>
              <w:pStyle w:val="TableTextLeft"/>
            </w:pPr>
            <w:r w:rsidRPr="00234606">
              <w:t>On 7 October 2020, the then Treasurer issued an amended direction permitting borrowings up to $1.</w:t>
            </w:r>
            <w:r w:rsidR="000E1248" w:rsidRPr="00234606">
              <w:t>2 </w:t>
            </w:r>
            <w:r w:rsidRPr="00234606">
              <w:t>trillion.</w:t>
            </w:r>
          </w:p>
        </w:tc>
      </w:tr>
      <w:tr w:rsidR="0094366C" w:rsidRPr="007158E3" w14:paraId="595BBE35" w14:textId="77777777" w:rsidTr="002F13B5">
        <w:trPr>
          <w:cnfStyle w:val="000000010000" w:firstRow="0" w:lastRow="0" w:firstColumn="0" w:lastColumn="0" w:oddVBand="0" w:evenVBand="0" w:oddHBand="0" w:evenHBand="1" w:firstRowFirstColumn="0" w:firstRowLastColumn="0" w:lastRowFirstColumn="0" w:lastRowLastColumn="0"/>
        </w:trPr>
        <w:tc>
          <w:tcPr>
            <w:tcW w:w="1985" w:type="dxa"/>
            <w:tcMar>
              <w:top w:w="57" w:type="dxa"/>
              <w:bottom w:w="57" w:type="dxa"/>
            </w:tcMar>
          </w:tcPr>
          <w:p w14:paraId="65ABF88D" w14:textId="3D179588" w:rsidR="002164F4" w:rsidRPr="002F13B5" w:rsidRDefault="00761ECB" w:rsidP="00625DAB">
            <w:pPr>
              <w:pStyle w:val="TableTextLeft"/>
              <w:rPr>
                <w:i/>
                <w:iCs/>
              </w:rPr>
            </w:pPr>
            <w:r w:rsidRPr="002F13B5">
              <w:rPr>
                <w:i/>
                <w:iCs/>
              </w:rPr>
              <w:t>Loan Securities Act 1919</w:t>
            </w:r>
          </w:p>
        </w:tc>
        <w:tc>
          <w:tcPr>
            <w:tcW w:w="5725" w:type="dxa"/>
            <w:tcMar>
              <w:top w:w="57" w:type="dxa"/>
              <w:bottom w:w="57" w:type="dxa"/>
            </w:tcMar>
          </w:tcPr>
          <w:p w14:paraId="714A24BA" w14:textId="25A4116D" w:rsidR="00761ECB" w:rsidRPr="00234606" w:rsidRDefault="00761ECB" w:rsidP="00625DAB">
            <w:pPr>
              <w:pStyle w:val="TableTextLeft"/>
            </w:pPr>
            <w:r w:rsidRPr="00234606">
              <w:t>To authorise the issue of securities in relation to loans and for other purposes.</w:t>
            </w:r>
          </w:p>
          <w:p w14:paraId="14E51052" w14:textId="223D3733" w:rsidR="00761ECB" w:rsidRPr="00234606" w:rsidRDefault="00761ECB" w:rsidP="00625DAB">
            <w:pPr>
              <w:pStyle w:val="TableTextLeft"/>
            </w:pPr>
            <w:r w:rsidRPr="00234606">
              <w:t xml:space="preserve">Under the Act, the Treasurer may from time to time </w:t>
            </w:r>
            <w:proofErr w:type="gramStart"/>
            <w:r w:rsidRPr="00234606">
              <w:t>enter into</w:t>
            </w:r>
            <w:proofErr w:type="gramEnd"/>
            <w:r w:rsidRPr="00234606">
              <w:t xml:space="preserve"> securities lending arrangements on behalf of the Commonwealth.</w:t>
            </w:r>
          </w:p>
          <w:p w14:paraId="116B384E" w14:textId="03393A25" w:rsidR="002164F4" w:rsidRPr="00234606" w:rsidRDefault="00761ECB" w:rsidP="00625DAB">
            <w:pPr>
              <w:pStyle w:val="TableTextLeft"/>
            </w:pPr>
            <w:r w:rsidRPr="00234606">
              <w:t xml:space="preserve">The total face value of stock and securities on loan by the Treasurer at any time under securities lending arrangements </w:t>
            </w:r>
            <w:proofErr w:type="gramStart"/>
            <w:r w:rsidRPr="00234606">
              <w:t>entered into</w:t>
            </w:r>
            <w:proofErr w:type="gramEnd"/>
            <w:r w:rsidRPr="00234606">
              <w:t xml:space="preserve"> must not exceed $5</w:t>
            </w:r>
            <w:r w:rsidR="004A081C">
              <w:t> </w:t>
            </w:r>
            <w:r w:rsidRPr="00234606">
              <w:t>billion.</w:t>
            </w:r>
          </w:p>
        </w:tc>
      </w:tr>
      <w:tr w:rsidR="002164F4" w:rsidRPr="007158E3" w14:paraId="795DF192" w14:textId="77777777" w:rsidTr="002F13B5">
        <w:tc>
          <w:tcPr>
            <w:tcW w:w="1985" w:type="dxa"/>
            <w:tcMar>
              <w:top w:w="57" w:type="dxa"/>
              <w:bottom w:w="57" w:type="dxa"/>
            </w:tcMar>
          </w:tcPr>
          <w:p w14:paraId="35AC6D27" w14:textId="1C73E61D" w:rsidR="002164F4" w:rsidRPr="002F13B5" w:rsidRDefault="00761ECB" w:rsidP="00625DAB">
            <w:pPr>
              <w:pStyle w:val="TableTextLeft"/>
              <w:rPr>
                <w:i/>
                <w:iCs/>
              </w:rPr>
            </w:pPr>
            <w:r w:rsidRPr="002F13B5">
              <w:rPr>
                <w:i/>
                <w:iCs/>
              </w:rPr>
              <w:t>Australian Business Securitisation Fund Act 2019</w:t>
            </w:r>
          </w:p>
        </w:tc>
        <w:tc>
          <w:tcPr>
            <w:tcW w:w="5725" w:type="dxa"/>
            <w:tcMar>
              <w:top w:w="57" w:type="dxa"/>
              <w:bottom w:w="57" w:type="dxa"/>
            </w:tcMar>
          </w:tcPr>
          <w:p w14:paraId="79475D18" w14:textId="217B66A3" w:rsidR="00761ECB" w:rsidRPr="00234606" w:rsidRDefault="00761ECB" w:rsidP="00625DAB">
            <w:pPr>
              <w:pStyle w:val="TableTextLeft"/>
            </w:pPr>
            <w:r w:rsidRPr="00234606">
              <w:t>To provide for investments in authorised debt securities and other eligible expenditures to meet the purpose of the Act.</w:t>
            </w:r>
          </w:p>
          <w:p w14:paraId="32E43F52" w14:textId="41CB6B96" w:rsidR="002164F4" w:rsidRPr="00234606" w:rsidRDefault="00761ECB" w:rsidP="00625DAB">
            <w:pPr>
              <w:pStyle w:val="TableTextLeft"/>
            </w:pPr>
            <w:r w:rsidRPr="00234606">
              <w:t>Pursuant to the Act, on 10 April 2019 the then Treasurer issued rules setting out additional requirements for a debt security to constitute an authorised debt security and to prescribe those officials that may be eligible delegates under the Act.</w:t>
            </w:r>
          </w:p>
        </w:tc>
      </w:tr>
      <w:tr w:rsidR="00943562" w:rsidRPr="007158E3" w14:paraId="6BDA8526" w14:textId="77777777" w:rsidTr="002F13B5">
        <w:trPr>
          <w:cnfStyle w:val="000000010000" w:firstRow="0" w:lastRow="0" w:firstColumn="0" w:lastColumn="0" w:oddVBand="0" w:evenVBand="0" w:oddHBand="0" w:evenHBand="1" w:firstRowFirstColumn="0" w:firstRowLastColumn="0" w:lastRowFirstColumn="0" w:lastRowLastColumn="0"/>
        </w:trPr>
        <w:tc>
          <w:tcPr>
            <w:tcW w:w="1985" w:type="dxa"/>
          </w:tcPr>
          <w:p w14:paraId="17599541" w14:textId="77777777" w:rsidR="00943562" w:rsidRPr="002F13B5" w:rsidRDefault="00943562" w:rsidP="00625DAB">
            <w:pPr>
              <w:pStyle w:val="TableTextLeft"/>
              <w:rPr>
                <w:b/>
                <w:i/>
                <w:iCs/>
                <w:color w:val="auto"/>
              </w:rPr>
            </w:pPr>
            <w:bookmarkStart w:id="925" w:name="_Toc107329244"/>
            <w:bookmarkStart w:id="926" w:name="_Toc107329513"/>
            <w:bookmarkStart w:id="927" w:name="_Toc144813586"/>
            <w:bookmarkStart w:id="928" w:name="_Toc145684526"/>
            <w:bookmarkStart w:id="929" w:name="_Toc145685126"/>
            <w:bookmarkStart w:id="930" w:name="_Toc145686079"/>
            <w:bookmarkStart w:id="931" w:name="_Toc145686278"/>
            <w:bookmarkStart w:id="932" w:name="_Toc145686477"/>
            <w:bookmarkStart w:id="933" w:name="_Toc145686778"/>
            <w:bookmarkStart w:id="934" w:name="_Toc173327329"/>
            <w:bookmarkStart w:id="935" w:name="_Toc173327782"/>
            <w:bookmarkStart w:id="936" w:name="_Toc173395305"/>
            <w:bookmarkStart w:id="937" w:name="_Toc173395382"/>
            <w:bookmarkStart w:id="938" w:name="_Toc173395717"/>
            <w:bookmarkStart w:id="939" w:name="_Toc173396604"/>
            <w:bookmarkStart w:id="940" w:name="_Toc173397616"/>
            <w:bookmarkStart w:id="941" w:name="_Toc173408176"/>
            <w:bookmarkStart w:id="942" w:name="_Toc173411498"/>
            <w:bookmarkStart w:id="943" w:name="_Toc173479178"/>
            <w:bookmarkStart w:id="944" w:name="_Toc173743075"/>
            <w:bookmarkStart w:id="945" w:name="_Toc173743236"/>
            <w:bookmarkStart w:id="946" w:name="_Toc176160557"/>
            <w:bookmarkStart w:id="947" w:name="_Toc176163186"/>
            <w:bookmarkStart w:id="948" w:name="_Toc205474322"/>
            <w:r w:rsidRPr="002F13B5">
              <w:rPr>
                <w:i/>
                <w:iCs/>
              </w:rPr>
              <w:t>Structured Finance Support (Coronavirus</w:t>
            </w:r>
            <w:r w:rsidRPr="002F13B5">
              <w:rPr>
                <w:i/>
                <w:iCs/>
                <w:spacing w:val="-11"/>
              </w:rPr>
              <w:t xml:space="preserve"> </w:t>
            </w:r>
            <w:r w:rsidRPr="002F13B5">
              <w:rPr>
                <w:i/>
                <w:iCs/>
              </w:rPr>
              <w:t>Economic</w:t>
            </w:r>
            <w:r w:rsidRPr="002F13B5">
              <w:rPr>
                <w:i/>
                <w:iCs/>
                <w:spacing w:val="-10"/>
              </w:rPr>
              <w:t xml:space="preserve"> </w:t>
            </w:r>
            <w:r w:rsidRPr="002F13B5">
              <w:rPr>
                <w:i/>
                <w:iCs/>
              </w:rPr>
              <w:t>Response Package) Act 2020</w:t>
            </w:r>
          </w:p>
        </w:tc>
        <w:tc>
          <w:tcPr>
            <w:tcW w:w="5725" w:type="dxa"/>
          </w:tcPr>
          <w:p w14:paraId="62BFAE09" w14:textId="77777777" w:rsidR="00943562" w:rsidRPr="005D6BEE" w:rsidRDefault="00943562" w:rsidP="00625DAB">
            <w:pPr>
              <w:pStyle w:val="TableTextLeft"/>
            </w:pPr>
            <w:r w:rsidRPr="005D6BEE">
              <w:t>To provide for investments in authorised debt securities</w:t>
            </w:r>
            <w:r>
              <w:t>,</w:t>
            </w:r>
            <w:r w:rsidRPr="005D6BEE">
              <w:t xml:space="preserve"> and other</w:t>
            </w:r>
            <w:r w:rsidRPr="005D6BEE">
              <w:rPr>
                <w:spacing w:val="-6"/>
              </w:rPr>
              <w:t xml:space="preserve"> </w:t>
            </w:r>
            <w:r w:rsidRPr="005D6BEE">
              <w:t>investments</w:t>
            </w:r>
            <w:r w:rsidRPr="005D6BEE">
              <w:rPr>
                <w:spacing w:val="-5"/>
              </w:rPr>
              <w:t xml:space="preserve"> </w:t>
            </w:r>
            <w:r w:rsidRPr="005D6BEE">
              <w:t>and</w:t>
            </w:r>
            <w:r w:rsidRPr="005D6BEE">
              <w:rPr>
                <w:spacing w:val="-6"/>
              </w:rPr>
              <w:t xml:space="preserve"> </w:t>
            </w:r>
            <w:r w:rsidRPr="005D6BEE">
              <w:t>other</w:t>
            </w:r>
            <w:r w:rsidRPr="005D6BEE">
              <w:rPr>
                <w:spacing w:val="-6"/>
              </w:rPr>
              <w:t xml:space="preserve"> </w:t>
            </w:r>
            <w:r w:rsidRPr="005D6BEE">
              <w:t>eligible</w:t>
            </w:r>
            <w:r w:rsidRPr="005D6BEE">
              <w:rPr>
                <w:spacing w:val="-5"/>
              </w:rPr>
              <w:t xml:space="preserve"> </w:t>
            </w:r>
            <w:r w:rsidRPr="005D6BEE">
              <w:t>expenditures</w:t>
            </w:r>
            <w:r>
              <w:t>,</w:t>
            </w:r>
            <w:r w:rsidRPr="005D6BEE">
              <w:rPr>
                <w:spacing w:val="-5"/>
              </w:rPr>
              <w:t xml:space="preserve"> </w:t>
            </w:r>
            <w:r w:rsidRPr="005D6BEE">
              <w:t>to</w:t>
            </w:r>
            <w:r w:rsidRPr="005D6BEE">
              <w:rPr>
                <w:spacing w:val="-5"/>
              </w:rPr>
              <w:t xml:space="preserve"> </w:t>
            </w:r>
            <w:r w:rsidRPr="005D6BEE">
              <w:t>meet</w:t>
            </w:r>
            <w:r w:rsidRPr="005D6BEE">
              <w:rPr>
                <w:spacing w:val="-5"/>
              </w:rPr>
              <w:t xml:space="preserve"> </w:t>
            </w:r>
            <w:r w:rsidRPr="005D6BEE">
              <w:t>the purposes of the Act.</w:t>
            </w:r>
          </w:p>
          <w:p w14:paraId="6E847DC9" w14:textId="77777777" w:rsidR="00943562" w:rsidRPr="005D6BEE" w:rsidRDefault="00943562" w:rsidP="00625DAB">
            <w:pPr>
              <w:pStyle w:val="TableTextLeft"/>
              <w:rPr>
                <w:b/>
                <w:color w:val="auto"/>
              </w:rPr>
            </w:pPr>
            <w:r w:rsidRPr="005D6BEE">
              <w:t>Pursuant to the Act, on 25 March 2020 the then Treasurer issued rules that set out additional requirements for a debt security to constitute an authorised debt security and to prescribe</w:t>
            </w:r>
            <w:r w:rsidRPr="005D6BEE">
              <w:rPr>
                <w:spacing w:val="-4"/>
              </w:rPr>
              <w:t xml:space="preserve"> </w:t>
            </w:r>
            <w:r w:rsidRPr="005D6BEE">
              <w:t>those</w:t>
            </w:r>
            <w:r w:rsidRPr="005D6BEE">
              <w:rPr>
                <w:spacing w:val="-7"/>
              </w:rPr>
              <w:t xml:space="preserve"> </w:t>
            </w:r>
            <w:r w:rsidRPr="005D6BEE">
              <w:t>officials</w:t>
            </w:r>
            <w:r w:rsidRPr="005D6BEE">
              <w:rPr>
                <w:spacing w:val="-7"/>
              </w:rPr>
              <w:t xml:space="preserve"> </w:t>
            </w:r>
            <w:r w:rsidRPr="005D6BEE">
              <w:t>that</w:t>
            </w:r>
            <w:r w:rsidRPr="005D6BEE">
              <w:rPr>
                <w:spacing w:val="-5"/>
              </w:rPr>
              <w:t xml:space="preserve"> </w:t>
            </w:r>
            <w:r w:rsidRPr="005D6BEE">
              <w:t>may</w:t>
            </w:r>
            <w:r w:rsidRPr="005D6BEE">
              <w:rPr>
                <w:spacing w:val="-5"/>
              </w:rPr>
              <w:t xml:space="preserve"> </w:t>
            </w:r>
            <w:r w:rsidRPr="005D6BEE">
              <w:t>be</w:t>
            </w:r>
            <w:r w:rsidRPr="005D6BEE">
              <w:rPr>
                <w:spacing w:val="-5"/>
              </w:rPr>
              <w:t xml:space="preserve"> </w:t>
            </w:r>
            <w:r w:rsidRPr="005D6BEE">
              <w:t>eligible</w:t>
            </w:r>
            <w:r w:rsidRPr="005D6BEE">
              <w:rPr>
                <w:spacing w:val="-4"/>
              </w:rPr>
              <w:t xml:space="preserve"> </w:t>
            </w:r>
            <w:r w:rsidRPr="005D6BEE">
              <w:t>delegates</w:t>
            </w:r>
            <w:r w:rsidRPr="005D6BEE">
              <w:rPr>
                <w:spacing w:val="-5"/>
              </w:rPr>
              <w:t xml:space="preserve"> </w:t>
            </w:r>
            <w:r w:rsidRPr="005D6BEE">
              <w:t>under the Act.</w:t>
            </w:r>
          </w:p>
        </w:tc>
      </w:tr>
    </w:tbl>
    <w:p w14:paraId="2FD18FB8" w14:textId="446AD549" w:rsidR="00A53078" w:rsidRPr="006534F5" w:rsidRDefault="00A53078" w:rsidP="00C67F81">
      <w:pPr>
        <w:pStyle w:val="Heading2"/>
      </w:pPr>
      <w:bookmarkStart w:id="949" w:name="_Toc207792902"/>
      <w:bookmarkStart w:id="950" w:name="_Toc207793941"/>
      <w:bookmarkStart w:id="951" w:name="_Toc207796080"/>
      <w:bookmarkStart w:id="952" w:name="_Toc207796946"/>
      <w:bookmarkStart w:id="953" w:name="_Toc207800248"/>
      <w:bookmarkStart w:id="954" w:name="_Toc207810826"/>
      <w:bookmarkStart w:id="955" w:name="_Toc208914105"/>
      <w:bookmarkStart w:id="956" w:name="_Toc209424502"/>
      <w:r w:rsidRPr="006534F5">
        <w:lastRenderedPageBreak/>
        <w:t>Committees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t xml:space="preserve"> and oversight bodies</w:t>
      </w:r>
      <w:bookmarkEnd w:id="946"/>
      <w:bookmarkEnd w:id="947"/>
      <w:bookmarkEnd w:id="948"/>
      <w:bookmarkEnd w:id="949"/>
      <w:bookmarkEnd w:id="950"/>
      <w:bookmarkEnd w:id="951"/>
      <w:bookmarkEnd w:id="952"/>
      <w:bookmarkEnd w:id="953"/>
      <w:bookmarkEnd w:id="954"/>
      <w:bookmarkEnd w:id="955"/>
      <w:bookmarkEnd w:id="956"/>
    </w:p>
    <w:p w14:paraId="6EE11EE8" w14:textId="5D3EB674" w:rsidR="70971025" w:rsidRDefault="00002831" w:rsidP="00D67C72">
      <w:r>
        <w:t>During 2024</w:t>
      </w:r>
      <w:r w:rsidR="000E1248">
        <w:t>–</w:t>
      </w:r>
      <w:r>
        <w:t>25, the following committees and oversight bodies provided advice and support for decision</w:t>
      </w:r>
      <w:r w:rsidR="00B84FF2">
        <w:noBreakHyphen/>
      </w:r>
      <w:r>
        <w:t>making.</w:t>
      </w:r>
    </w:p>
    <w:p w14:paraId="0028CD75" w14:textId="24C2B860" w:rsidR="00271405" w:rsidRPr="00D67C72" w:rsidRDefault="00271405" w:rsidP="00234606">
      <w:pPr>
        <w:pStyle w:val="TableMainHeading"/>
      </w:pPr>
      <w:r w:rsidRPr="003924C2">
        <w:t xml:space="preserve">Table </w:t>
      </w:r>
      <w:r w:rsidR="008005E3">
        <w:t>1</w:t>
      </w:r>
      <w:r w:rsidR="00326996">
        <w:t>4</w:t>
      </w:r>
      <w:r w:rsidRPr="008A6FE3">
        <w:t>: List of AOFM committees and oversight bodies</w:t>
      </w:r>
    </w:p>
    <w:tbl>
      <w:tblPr>
        <w:tblStyle w:val="AOFMTablemain"/>
        <w:tblW w:w="5000" w:type="pct"/>
        <w:tblLook w:val="04A0" w:firstRow="1" w:lastRow="0" w:firstColumn="1" w:lastColumn="0" w:noHBand="0" w:noVBand="1"/>
      </w:tblPr>
      <w:tblGrid>
        <w:gridCol w:w="2268"/>
        <w:gridCol w:w="5443"/>
      </w:tblGrid>
      <w:tr w:rsidR="003A08C4" w:rsidRPr="00E1407D" w14:paraId="0C50BE86" w14:textId="77777777" w:rsidTr="002F13B5">
        <w:trPr>
          <w:cnfStyle w:val="100000000000" w:firstRow="1" w:lastRow="0" w:firstColumn="0" w:lastColumn="0" w:oddVBand="0" w:evenVBand="0" w:oddHBand="0" w:evenHBand="0" w:firstRowFirstColumn="0" w:firstRowLastColumn="0" w:lastRowFirstColumn="0" w:lastRowLastColumn="0"/>
          <w:tblHeader/>
        </w:trPr>
        <w:tc>
          <w:tcPr>
            <w:tcW w:w="2268" w:type="dxa"/>
          </w:tcPr>
          <w:p w14:paraId="318E9F54" w14:textId="1C889B1F" w:rsidR="00A53078" w:rsidRPr="00326996" w:rsidRDefault="002A1DFA" w:rsidP="00326996">
            <w:pPr>
              <w:pStyle w:val="TableColumnHeadingLeft"/>
            </w:pPr>
            <w:r w:rsidRPr="00326996">
              <w:rPr>
                <w:szCs w:val="22"/>
              </w:rPr>
              <w:t>Committee/</w:t>
            </w:r>
            <w:r w:rsidR="006A1089">
              <w:rPr>
                <w:szCs w:val="22"/>
              </w:rPr>
              <w:t xml:space="preserve"> </w:t>
            </w:r>
            <w:r w:rsidRPr="00326996">
              <w:rPr>
                <w:szCs w:val="22"/>
              </w:rPr>
              <w:t>oversight body name</w:t>
            </w:r>
          </w:p>
        </w:tc>
        <w:tc>
          <w:tcPr>
            <w:tcW w:w="5442" w:type="dxa"/>
          </w:tcPr>
          <w:p w14:paraId="47831F33" w14:textId="0688B3A7" w:rsidR="00A53078" w:rsidRPr="00326996" w:rsidRDefault="002A1DFA" w:rsidP="00326996">
            <w:pPr>
              <w:pStyle w:val="TableColumnHeadingLeft"/>
            </w:pPr>
            <w:r w:rsidRPr="00326996">
              <w:rPr>
                <w:szCs w:val="22"/>
              </w:rPr>
              <w:t>Purpose and membership</w:t>
            </w:r>
          </w:p>
        </w:tc>
      </w:tr>
      <w:tr w:rsidR="00A53078" w:rsidRPr="00E1407D" w14:paraId="75F88ABA" w14:textId="77777777" w:rsidTr="002F13B5">
        <w:tc>
          <w:tcPr>
            <w:tcW w:w="2268" w:type="dxa"/>
            <w:tcMar>
              <w:top w:w="28" w:type="dxa"/>
              <w:bottom w:w="28" w:type="dxa"/>
            </w:tcMar>
          </w:tcPr>
          <w:p w14:paraId="10A9C9BD" w14:textId="179DD55E" w:rsidR="00A53078" w:rsidRPr="00E1407D" w:rsidRDefault="003C2CA7" w:rsidP="00625DAB">
            <w:pPr>
              <w:pStyle w:val="TableTextLeft"/>
              <w:rPr>
                <w:b/>
              </w:rPr>
            </w:pPr>
            <w:r w:rsidRPr="00E1407D">
              <w:t xml:space="preserve">Advisory </w:t>
            </w:r>
            <w:r w:rsidR="00C044EE" w:rsidRPr="00E1407D">
              <w:t>B</w:t>
            </w:r>
            <w:r w:rsidRPr="00E1407D">
              <w:t>oard (</w:t>
            </w:r>
            <w:r w:rsidR="002C7056">
              <w:t>I</w:t>
            </w:r>
            <w:r w:rsidRPr="00E1407D">
              <w:t>)</w:t>
            </w:r>
          </w:p>
        </w:tc>
        <w:tc>
          <w:tcPr>
            <w:tcW w:w="5442" w:type="dxa"/>
            <w:tcMar>
              <w:top w:w="28" w:type="dxa"/>
              <w:bottom w:w="28" w:type="dxa"/>
            </w:tcMar>
          </w:tcPr>
          <w:p w14:paraId="5E3AFAB4" w14:textId="36298453" w:rsidR="00A53078" w:rsidRPr="00E1407D" w:rsidRDefault="003C2CA7" w:rsidP="00625DAB">
            <w:pPr>
              <w:pStyle w:val="TableTextLeft"/>
              <w:rPr>
                <w:b/>
                <w:caps/>
              </w:rPr>
            </w:pPr>
            <w:r w:rsidRPr="00E1407D">
              <w:t xml:space="preserve">A </w:t>
            </w:r>
            <w:r w:rsidR="00C044EE" w:rsidRPr="00E1407D">
              <w:t>T</w:t>
            </w:r>
            <w:r w:rsidRPr="00E1407D">
              <w:t xml:space="preserve">reasury oversight body that assisted the </w:t>
            </w:r>
            <w:r w:rsidR="00C044EE" w:rsidRPr="00E1407D">
              <w:t>S</w:t>
            </w:r>
            <w:r w:rsidRPr="00E1407D">
              <w:t xml:space="preserve">ecretary to the </w:t>
            </w:r>
            <w:r w:rsidR="00C044EE" w:rsidRPr="00E1407D">
              <w:t>T</w:t>
            </w:r>
            <w:r w:rsidRPr="00E1407D">
              <w:t xml:space="preserve">reasury (the </w:t>
            </w:r>
            <w:r w:rsidR="00C044EE" w:rsidRPr="00E1407D">
              <w:t>S</w:t>
            </w:r>
            <w:r w:rsidRPr="00E1407D">
              <w:t xml:space="preserve">ecretary) to assess the </w:t>
            </w:r>
            <w:r w:rsidR="00C044EE" w:rsidRPr="00E1407D">
              <w:t>AOFM</w:t>
            </w:r>
            <w:r w:rsidR="00B84FF2">
              <w:t>’</w:t>
            </w:r>
            <w:r w:rsidRPr="00E1407D">
              <w:t xml:space="preserve">s proposed debt management, liquidity management and investment strategies, and advised the </w:t>
            </w:r>
            <w:r w:rsidR="0034539D" w:rsidRPr="00E1407D">
              <w:t>S</w:t>
            </w:r>
            <w:r w:rsidRPr="00E1407D">
              <w:t xml:space="preserve">ecretary on matters relating to debt and investment markets. </w:t>
            </w:r>
          </w:p>
          <w:p w14:paraId="6B613301" w14:textId="5C61F529" w:rsidR="00A53078" w:rsidRPr="00E1407D" w:rsidRDefault="003C2CA7" w:rsidP="00625DAB">
            <w:pPr>
              <w:pStyle w:val="TableTextLeft"/>
            </w:pPr>
            <w:r w:rsidRPr="00E1407D">
              <w:t xml:space="preserve">Membership comprised the </w:t>
            </w:r>
            <w:r w:rsidR="0034539D" w:rsidRPr="00E1407D">
              <w:t>S</w:t>
            </w:r>
            <w:r w:rsidRPr="00E1407D">
              <w:t>ecretary (</w:t>
            </w:r>
            <w:r w:rsidR="00476802">
              <w:t>C</w:t>
            </w:r>
            <w:r w:rsidRPr="00E1407D">
              <w:t xml:space="preserve">hair), </w:t>
            </w:r>
            <w:r w:rsidR="0034539D" w:rsidRPr="00E1407D">
              <w:t>D</w:t>
            </w:r>
            <w:r w:rsidRPr="00E1407D">
              <w:t xml:space="preserve">eputy </w:t>
            </w:r>
            <w:r w:rsidR="0034539D" w:rsidRPr="00E1407D">
              <w:t>S</w:t>
            </w:r>
            <w:r w:rsidRPr="00E1407D">
              <w:t>ecretary to</w:t>
            </w:r>
            <w:r w:rsidR="000E1248">
              <w:t xml:space="preserve"> the</w:t>
            </w:r>
            <w:r w:rsidRPr="00E1407D">
              <w:t xml:space="preserve"> </w:t>
            </w:r>
            <w:r w:rsidR="0034539D" w:rsidRPr="00E1407D">
              <w:t>T</w:t>
            </w:r>
            <w:r w:rsidRPr="00E1407D">
              <w:t>reasury</w:t>
            </w:r>
            <w:r w:rsidR="00B84FF2">
              <w:t>’</w:t>
            </w:r>
            <w:r w:rsidRPr="00E1407D">
              <w:t xml:space="preserve">s </w:t>
            </w:r>
            <w:r w:rsidR="0034539D" w:rsidRPr="00E1407D">
              <w:t>F</w:t>
            </w:r>
            <w:r w:rsidRPr="00E1407D">
              <w:t xml:space="preserve">iscal </w:t>
            </w:r>
            <w:r w:rsidR="0034539D" w:rsidRPr="00E1407D">
              <w:t>G</w:t>
            </w:r>
            <w:r w:rsidRPr="00E1407D">
              <w:t xml:space="preserve">roup, the </w:t>
            </w:r>
            <w:r w:rsidR="0034539D" w:rsidRPr="00E1407D">
              <w:t>AOFM</w:t>
            </w:r>
            <w:r w:rsidR="00B00F5C" w:rsidRPr="00E1407D">
              <w:rPr>
                <w:caps/>
              </w:rPr>
              <w:t xml:space="preserve"> </w:t>
            </w:r>
            <w:r w:rsidR="0034539D" w:rsidRPr="00E1407D">
              <w:rPr>
                <w:caps/>
              </w:rPr>
              <w:t>CEO</w:t>
            </w:r>
            <w:r w:rsidRPr="00E1407D">
              <w:t xml:space="preserve"> and 4 external members.</w:t>
            </w:r>
          </w:p>
          <w:p w14:paraId="5CAD0DD5" w14:textId="4195C0CF" w:rsidR="00E1407D" w:rsidRPr="00E1407D" w:rsidRDefault="00E1407D" w:rsidP="00625DAB">
            <w:pPr>
              <w:pStyle w:val="TableTextLeft"/>
              <w:rPr>
                <w:b/>
                <w:caps/>
              </w:rPr>
            </w:pPr>
            <w:r w:rsidRPr="00357E21">
              <w:t xml:space="preserve">The accountability of the Advisory Board </w:t>
            </w:r>
            <w:r w:rsidR="000E1248">
              <w:t>wa</w:t>
            </w:r>
            <w:r w:rsidRPr="00357E21">
              <w:t xml:space="preserve">s to the Secretary to the Treasury, who </w:t>
            </w:r>
            <w:r w:rsidR="000E1248">
              <w:t>wa</w:t>
            </w:r>
            <w:r w:rsidRPr="00357E21">
              <w:t xml:space="preserve">s the Chair. The Advisory Board </w:t>
            </w:r>
            <w:r w:rsidR="000E1248" w:rsidRPr="00357E21">
              <w:t>d</w:t>
            </w:r>
            <w:r w:rsidR="000E1248">
              <w:t xml:space="preserve">id </w:t>
            </w:r>
            <w:r w:rsidRPr="00357E21">
              <w:t>not possess executive powers or decision</w:t>
            </w:r>
            <w:r w:rsidR="00B84FF2">
              <w:noBreakHyphen/>
            </w:r>
            <w:r w:rsidRPr="00357E21">
              <w:t xml:space="preserve">making authority and </w:t>
            </w:r>
            <w:r w:rsidR="000E1248" w:rsidRPr="00357E21">
              <w:t>d</w:t>
            </w:r>
            <w:r w:rsidR="000E1248">
              <w:t>id</w:t>
            </w:r>
            <w:r w:rsidR="000E1248" w:rsidRPr="00357E21">
              <w:t xml:space="preserve"> </w:t>
            </w:r>
            <w:r w:rsidRPr="00357E21">
              <w:t>not advise on governance matters.</w:t>
            </w:r>
          </w:p>
        </w:tc>
      </w:tr>
      <w:tr w:rsidR="003A08C4" w:rsidRPr="00E1407D" w14:paraId="1596A46E" w14:textId="77777777" w:rsidTr="002F13B5">
        <w:trPr>
          <w:cnfStyle w:val="000000010000" w:firstRow="0" w:lastRow="0" w:firstColumn="0" w:lastColumn="0" w:oddVBand="0" w:evenVBand="0" w:oddHBand="0" w:evenHBand="1" w:firstRowFirstColumn="0" w:firstRowLastColumn="0" w:lastRowFirstColumn="0" w:lastRowLastColumn="0"/>
        </w:trPr>
        <w:tc>
          <w:tcPr>
            <w:tcW w:w="2268" w:type="dxa"/>
            <w:tcMar>
              <w:top w:w="28" w:type="dxa"/>
              <w:bottom w:w="28" w:type="dxa"/>
            </w:tcMar>
          </w:tcPr>
          <w:p w14:paraId="5AEF066B" w14:textId="0C1FC3AC" w:rsidR="00A53078" w:rsidRPr="00E1407D" w:rsidRDefault="00265F2C" w:rsidP="00625DAB">
            <w:pPr>
              <w:pStyle w:val="TableTextLeft"/>
              <w:rPr>
                <w:b/>
              </w:rPr>
            </w:pPr>
            <w:r w:rsidRPr="00E1407D">
              <w:t>Audit and Risk Committee (I)</w:t>
            </w:r>
          </w:p>
        </w:tc>
        <w:tc>
          <w:tcPr>
            <w:tcW w:w="5442" w:type="dxa"/>
            <w:tcMar>
              <w:top w:w="28" w:type="dxa"/>
              <w:bottom w:w="28" w:type="dxa"/>
            </w:tcMar>
          </w:tcPr>
          <w:p w14:paraId="62E5D94F" w14:textId="6B4B0169" w:rsidR="00A53078" w:rsidRPr="00E1407D" w:rsidRDefault="00FF7B68" w:rsidP="00625DAB">
            <w:pPr>
              <w:pStyle w:val="TableTextLeft"/>
              <w:rPr>
                <w:b/>
              </w:rPr>
            </w:pPr>
            <w:r w:rsidRPr="00E1407D">
              <w:t xml:space="preserve">Provided independent advice to the CEO on the </w:t>
            </w:r>
            <w:r w:rsidR="00E95DBC" w:rsidRPr="00E1407D">
              <w:t>a</w:t>
            </w:r>
            <w:r w:rsidRPr="00E1407D">
              <w:t xml:space="preserve">ppropriateness of the </w:t>
            </w:r>
            <w:r w:rsidR="00E95DBC" w:rsidRPr="00E1407D">
              <w:t>AOFM</w:t>
            </w:r>
            <w:r w:rsidR="00B84FF2">
              <w:t>’</w:t>
            </w:r>
            <w:r w:rsidRPr="00E1407D">
              <w:t xml:space="preserve">s governance, enterprise risk </w:t>
            </w:r>
            <w:r w:rsidR="00E95DBC" w:rsidRPr="00E1407D">
              <w:t>m</w:t>
            </w:r>
            <w:r w:rsidRPr="00E1407D">
              <w:t>anagement, internal control, and financial and performance</w:t>
            </w:r>
            <w:r w:rsidR="00C32896" w:rsidRPr="00E1407D">
              <w:t xml:space="preserve"> r</w:t>
            </w:r>
            <w:r w:rsidRPr="00E1407D">
              <w:t>eporting arrangements.</w:t>
            </w:r>
          </w:p>
          <w:p w14:paraId="1ED612A9" w14:textId="35716549" w:rsidR="00A53078" w:rsidRPr="00E1407D" w:rsidRDefault="00FF7B68" w:rsidP="00625DAB">
            <w:pPr>
              <w:pStyle w:val="TableTextLeft"/>
              <w:rPr>
                <w:b/>
              </w:rPr>
            </w:pPr>
            <w:r w:rsidRPr="00E1407D">
              <w:t xml:space="preserve">Membership comprised 3 external members, one of whom </w:t>
            </w:r>
            <w:r w:rsidR="008E21F0" w:rsidRPr="00E1407D">
              <w:t>w</w:t>
            </w:r>
            <w:r w:rsidRPr="00E1407D">
              <w:t xml:space="preserve">as </w:t>
            </w:r>
            <w:r w:rsidR="00B00F5C" w:rsidRPr="00E1407D">
              <w:t>C</w:t>
            </w:r>
            <w:r w:rsidRPr="00E1407D">
              <w:t>hair.</w:t>
            </w:r>
            <w:r w:rsidR="009D55F5">
              <w:t xml:space="preserve"> </w:t>
            </w:r>
            <w:r w:rsidR="009D55F5" w:rsidRPr="67062338">
              <w:t>Further detail on the committee composition and key activities is provided below.</w:t>
            </w:r>
          </w:p>
        </w:tc>
      </w:tr>
      <w:tr w:rsidR="004B1B20" w:rsidRPr="00E1407D" w14:paraId="7C455710" w14:textId="77777777" w:rsidTr="002F13B5">
        <w:tc>
          <w:tcPr>
            <w:tcW w:w="2268" w:type="dxa"/>
            <w:tcMar>
              <w:top w:w="28" w:type="dxa"/>
              <w:bottom w:w="28" w:type="dxa"/>
            </w:tcMar>
          </w:tcPr>
          <w:p w14:paraId="3FF5B5DE" w14:textId="12D2DDD2" w:rsidR="004B1B20" w:rsidRPr="00E1407D" w:rsidRDefault="003C2CA7" w:rsidP="00625DAB">
            <w:pPr>
              <w:pStyle w:val="TableTextLeft"/>
              <w:rPr>
                <w:b/>
                <w:caps/>
              </w:rPr>
            </w:pPr>
            <w:r w:rsidRPr="00E1407D">
              <w:t xml:space="preserve">Executive </w:t>
            </w:r>
            <w:r w:rsidR="000E1248">
              <w:t>L</w:t>
            </w:r>
            <w:r w:rsidR="000E1248" w:rsidRPr="00E1407D">
              <w:t xml:space="preserve">eadership </w:t>
            </w:r>
            <w:r w:rsidR="000E1248">
              <w:t>G</w:t>
            </w:r>
            <w:r w:rsidRPr="00E1407D">
              <w:t xml:space="preserve">roup </w:t>
            </w:r>
            <w:r w:rsidR="005B5DF4">
              <w:t xml:space="preserve">(ELG) </w:t>
            </w:r>
            <w:r w:rsidRPr="00E1407D">
              <w:t>(</w:t>
            </w:r>
            <w:r w:rsidR="002C7056">
              <w:t>M</w:t>
            </w:r>
            <w:r w:rsidRPr="00E1407D">
              <w:t>)</w:t>
            </w:r>
          </w:p>
        </w:tc>
        <w:tc>
          <w:tcPr>
            <w:tcW w:w="5442" w:type="dxa"/>
            <w:tcMar>
              <w:top w:w="28" w:type="dxa"/>
              <w:bottom w:w="28" w:type="dxa"/>
            </w:tcMar>
          </w:tcPr>
          <w:p w14:paraId="4979DE0A" w14:textId="13CB8BD3" w:rsidR="004B1B20" w:rsidRPr="00E1407D" w:rsidRDefault="003C2CA7" w:rsidP="00625DAB">
            <w:pPr>
              <w:pStyle w:val="TableTextLeft"/>
              <w:rPr>
                <w:b/>
                <w:caps/>
              </w:rPr>
            </w:pPr>
            <w:r w:rsidRPr="00E1407D">
              <w:t>Provided guidance and oversight on corporate</w:t>
            </w:r>
            <w:r w:rsidR="00B84FF2">
              <w:noBreakHyphen/>
            </w:r>
            <w:r w:rsidRPr="00E1407D">
              <w:t xml:space="preserve">related matters. Oversaw </w:t>
            </w:r>
            <w:r w:rsidR="00006AB6" w:rsidRPr="00E1407D">
              <w:t>development</w:t>
            </w:r>
            <w:r w:rsidRPr="00E1407D">
              <w:t xml:space="preserve"> of annual </w:t>
            </w:r>
            <w:r w:rsidR="00006AB6" w:rsidRPr="00E1407D">
              <w:t>strateg</w:t>
            </w:r>
            <w:r w:rsidRPr="00E1407D">
              <w:t>ic plans and tracked progress against performance targets</w:t>
            </w:r>
            <w:r w:rsidR="000E1248">
              <w:t>. R</w:t>
            </w:r>
            <w:r w:rsidRPr="00E1407D">
              <w:t xml:space="preserve">eviewed the </w:t>
            </w:r>
            <w:r w:rsidR="00886BA2" w:rsidRPr="00E1407D">
              <w:t>AOFM</w:t>
            </w:r>
            <w:r w:rsidR="00B84FF2">
              <w:t>’</w:t>
            </w:r>
            <w:r w:rsidRPr="00E1407D">
              <w:t>s risk profile, set the agency risk appetite</w:t>
            </w:r>
            <w:r w:rsidR="003E6D42" w:rsidRPr="00E1407D">
              <w:rPr>
                <w:caps/>
              </w:rPr>
              <w:t xml:space="preserve">, </w:t>
            </w:r>
            <w:r w:rsidR="00006AB6" w:rsidRPr="00E1407D">
              <w:t>and</w:t>
            </w:r>
            <w:r w:rsidRPr="00E1407D">
              <w:t xml:space="preserve"> monitored financial performance and compliance</w:t>
            </w:r>
            <w:r w:rsidR="0098767F" w:rsidRPr="00E1407D">
              <w:rPr>
                <w:caps/>
              </w:rPr>
              <w:t xml:space="preserve">. </w:t>
            </w:r>
          </w:p>
          <w:p w14:paraId="504EDB71" w14:textId="5008D35D" w:rsidR="0098767F" w:rsidRPr="00E1407D" w:rsidRDefault="003C2CA7" w:rsidP="00625DAB">
            <w:pPr>
              <w:pStyle w:val="TableTextLeft"/>
              <w:rPr>
                <w:b/>
                <w:caps/>
              </w:rPr>
            </w:pPr>
            <w:r w:rsidRPr="00E1407D">
              <w:t xml:space="preserve">Membership comprised the </w:t>
            </w:r>
            <w:r w:rsidR="00886BA2" w:rsidRPr="00E1407D">
              <w:t>CEO</w:t>
            </w:r>
            <w:r w:rsidRPr="00E1407D">
              <w:t xml:space="preserve"> (</w:t>
            </w:r>
            <w:r w:rsidR="000E1248">
              <w:t>C</w:t>
            </w:r>
            <w:r w:rsidR="000E1248" w:rsidRPr="00E1407D">
              <w:t>hair</w:t>
            </w:r>
            <w:r w:rsidRPr="00E1407D">
              <w:t xml:space="preserve">), </w:t>
            </w:r>
            <w:r w:rsidR="00886BA2" w:rsidRPr="00E1407D">
              <w:t>D</w:t>
            </w:r>
            <w:r w:rsidRPr="00E1407D">
              <w:t xml:space="preserve">eputy </w:t>
            </w:r>
            <w:r w:rsidR="00886BA2" w:rsidRPr="00E1407D">
              <w:t>CEO</w:t>
            </w:r>
            <w:r w:rsidRPr="00E1407D">
              <w:t xml:space="preserve">, </w:t>
            </w:r>
            <w:r w:rsidR="00886BA2" w:rsidRPr="00E1407D">
              <w:t>C</w:t>
            </w:r>
            <w:r w:rsidRPr="00E1407D">
              <w:t xml:space="preserve">hief </w:t>
            </w:r>
            <w:r w:rsidR="00886BA2" w:rsidRPr="00E1407D">
              <w:t>O</w:t>
            </w:r>
            <w:r w:rsidRPr="00E1407D">
              <w:t xml:space="preserve">perating </w:t>
            </w:r>
            <w:r w:rsidR="00886BA2" w:rsidRPr="00E1407D">
              <w:t>O</w:t>
            </w:r>
            <w:r w:rsidRPr="00E1407D">
              <w:t>fficer</w:t>
            </w:r>
            <w:r w:rsidR="000E1248">
              <w:t xml:space="preserve"> (COO)</w:t>
            </w:r>
            <w:r w:rsidRPr="00E1407D">
              <w:t xml:space="preserve"> and all business unit heads.</w:t>
            </w:r>
          </w:p>
        </w:tc>
      </w:tr>
      <w:tr w:rsidR="0090477D" w:rsidRPr="00E1407D" w14:paraId="2627E714" w14:textId="77777777" w:rsidTr="002F13B5">
        <w:trPr>
          <w:cnfStyle w:val="000000010000" w:firstRow="0" w:lastRow="0" w:firstColumn="0" w:lastColumn="0" w:oddVBand="0" w:evenVBand="0" w:oddHBand="0" w:evenHBand="1" w:firstRowFirstColumn="0" w:firstRowLastColumn="0" w:lastRowFirstColumn="0" w:lastRowLastColumn="0"/>
        </w:trPr>
        <w:tc>
          <w:tcPr>
            <w:tcW w:w="2268" w:type="dxa"/>
            <w:tcMar>
              <w:top w:w="28" w:type="dxa"/>
              <w:bottom w:w="28" w:type="dxa"/>
            </w:tcMar>
          </w:tcPr>
          <w:p w14:paraId="6FC8B193" w14:textId="347DC235" w:rsidR="0090477D" w:rsidRPr="00E1407D" w:rsidRDefault="0090477D" w:rsidP="00625DAB">
            <w:pPr>
              <w:pStyle w:val="TableTextLeft"/>
            </w:pPr>
            <w:bookmarkStart w:id="957" w:name="_Toc145684527"/>
            <w:bookmarkStart w:id="958" w:name="_Toc145685127"/>
            <w:bookmarkStart w:id="959" w:name="_Toc145686080"/>
            <w:bookmarkStart w:id="960" w:name="_Toc145686279"/>
            <w:bookmarkStart w:id="961" w:name="_Toc145686478"/>
            <w:bookmarkStart w:id="962" w:name="_Toc145686779"/>
            <w:bookmarkStart w:id="963" w:name="_Toc173408177"/>
            <w:bookmarkStart w:id="964" w:name="_Toc173411499"/>
            <w:bookmarkStart w:id="965" w:name="_Toc173479179"/>
            <w:r w:rsidRPr="00E1407D">
              <w:t>Operations Committee (</w:t>
            </w:r>
            <w:r>
              <w:t>M</w:t>
            </w:r>
            <w:r w:rsidRPr="00E1407D">
              <w:t>)</w:t>
            </w:r>
          </w:p>
        </w:tc>
        <w:tc>
          <w:tcPr>
            <w:tcW w:w="5442" w:type="dxa"/>
            <w:tcMar>
              <w:top w:w="28" w:type="dxa"/>
              <w:bottom w:w="28" w:type="dxa"/>
            </w:tcMar>
          </w:tcPr>
          <w:p w14:paraId="579030B6" w14:textId="77777777" w:rsidR="0090477D" w:rsidRPr="00E1407D" w:rsidRDefault="0090477D" w:rsidP="00625DAB">
            <w:pPr>
              <w:pStyle w:val="TableTextLeft"/>
              <w:rPr>
                <w:b/>
                <w:caps/>
              </w:rPr>
            </w:pPr>
            <w:r w:rsidRPr="00E1407D">
              <w:t>Provided advice to the CEO to ensure a coordinated and consistent approach to the administration of the AOFM. The remit incorporated information and communications technology, security (including cyber security) and corporate projects</w:t>
            </w:r>
            <w:r w:rsidRPr="00E1407D">
              <w:rPr>
                <w:caps/>
              </w:rPr>
              <w:t>.</w:t>
            </w:r>
          </w:p>
          <w:p w14:paraId="01514746" w14:textId="51A99E91" w:rsidR="0090477D" w:rsidRPr="00E1407D" w:rsidRDefault="0090477D" w:rsidP="00625DAB">
            <w:pPr>
              <w:pStyle w:val="TableTextLeft"/>
            </w:pPr>
            <w:r w:rsidRPr="00E1407D">
              <w:t>Membership comprised the Chief Financial Officer (</w:t>
            </w:r>
            <w:r>
              <w:t>C</w:t>
            </w:r>
            <w:r w:rsidRPr="00E1407D">
              <w:t>hair); Chief Risk and Assurance Officer</w:t>
            </w:r>
            <w:r>
              <w:t>;</w:t>
            </w:r>
            <w:r w:rsidRPr="00E1407D">
              <w:t xml:space="preserve"> Chief People Officer; and Head of Funding</w:t>
            </w:r>
            <w:r w:rsidRPr="00E1407D">
              <w:rPr>
                <w:caps/>
              </w:rPr>
              <w:t>, S</w:t>
            </w:r>
            <w:r w:rsidRPr="00E1407D">
              <w:t>trategy and Research.</w:t>
            </w:r>
          </w:p>
        </w:tc>
      </w:tr>
      <w:tr w:rsidR="00943562" w:rsidRPr="00E1407D" w14:paraId="648D5A91" w14:textId="77777777" w:rsidTr="002F13B5">
        <w:tc>
          <w:tcPr>
            <w:tcW w:w="2268" w:type="dxa"/>
            <w:tcMar>
              <w:top w:w="28" w:type="dxa"/>
              <w:bottom w:w="28" w:type="dxa"/>
            </w:tcMar>
          </w:tcPr>
          <w:p w14:paraId="4741B841" w14:textId="77777777" w:rsidR="00943562" w:rsidRPr="00E1407D" w:rsidRDefault="00943562" w:rsidP="00625DAB">
            <w:pPr>
              <w:pStyle w:val="TableTextLeft"/>
              <w:rPr>
                <w:b/>
                <w:caps/>
              </w:rPr>
            </w:pPr>
            <w:r w:rsidRPr="00E1407D">
              <w:t>Cash Management Meeting (</w:t>
            </w:r>
            <w:r>
              <w:t>M</w:t>
            </w:r>
            <w:r w:rsidRPr="00E1407D">
              <w:t>)</w:t>
            </w:r>
          </w:p>
        </w:tc>
        <w:tc>
          <w:tcPr>
            <w:tcW w:w="5442" w:type="dxa"/>
            <w:tcMar>
              <w:top w:w="28" w:type="dxa"/>
              <w:bottom w:w="28" w:type="dxa"/>
            </w:tcMar>
          </w:tcPr>
          <w:p w14:paraId="3F465F45" w14:textId="77777777" w:rsidR="00943562" w:rsidRPr="00E1407D" w:rsidRDefault="00943562" w:rsidP="00625DAB">
            <w:pPr>
              <w:pStyle w:val="TableTextLeft"/>
              <w:rPr>
                <w:b/>
                <w:caps/>
              </w:rPr>
            </w:pPr>
            <w:r w:rsidRPr="00E1407D">
              <w:t>Monitored liquidity risk, forecasting performance and other considerations in managing the government</w:t>
            </w:r>
            <w:r>
              <w:t>’</w:t>
            </w:r>
            <w:r w:rsidRPr="00E1407D">
              <w:t>s cash portfolio.</w:t>
            </w:r>
          </w:p>
          <w:p w14:paraId="09C1A2C0" w14:textId="77777777" w:rsidR="00943562" w:rsidRPr="00E1407D" w:rsidRDefault="00943562" w:rsidP="00625DAB">
            <w:pPr>
              <w:pStyle w:val="TableTextLeft"/>
              <w:rPr>
                <w:b/>
                <w:caps/>
              </w:rPr>
            </w:pPr>
            <w:r w:rsidRPr="00E1407D">
              <w:t>Membership comprised the CEO</w:t>
            </w:r>
            <w:r w:rsidRPr="00E1407D">
              <w:rPr>
                <w:caps/>
              </w:rPr>
              <w:t>;</w:t>
            </w:r>
            <w:r w:rsidRPr="00E1407D">
              <w:t xml:space="preserve"> Head of Funding Strategy and Research (</w:t>
            </w:r>
            <w:r>
              <w:t>C</w:t>
            </w:r>
            <w:r w:rsidRPr="00E1407D">
              <w:t>hair)</w:t>
            </w:r>
            <w:r>
              <w:t>;</w:t>
            </w:r>
            <w:r w:rsidRPr="00E1407D">
              <w:t xml:space="preserve"> and other front office staff.</w:t>
            </w:r>
          </w:p>
        </w:tc>
      </w:tr>
      <w:tr w:rsidR="00943562" w:rsidRPr="00E1407D" w14:paraId="12040937" w14:textId="77777777" w:rsidTr="002F13B5">
        <w:trPr>
          <w:cnfStyle w:val="000000010000" w:firstRow="0" w:lastRow="0" w:firstColumn="0" w:lastColumn="0" w:oddVBand="0" w:evenVBand="0" w:oddHBand="0" w:evenHBand="1" w:firstRowFirstColumn="0" w:firstRowLastColumn="0" w:lastRowFirstColumn="0" w:lastRowLastColumn="0"/>
        </w:trPr>
        <w:tc>
          <w:tcPr>
            <w:tcW w:w="2268" w:type="dxa"/>
            <w:tcMar>
              <w:top w:w="28" w:type="dxa"/>
              <w:bottom w:w="28" w:type="dxa"/>
            </w:tcMar>
          </w:tcPr>
          <w:p w14:paraId="1DD85D12" w14:textId="77777777" w:rsidR="00943562" w:rsidRPr="00E1407D" w:rsidRDefault="00943562" w:rsidP="00625DAB">
            <w:pPr>
              <w:pStyle w:val="TableTextLeft"/>
              <w:rPr>
                <w:b/>
                <w:caps/>
              </w:rPr>
            </w:pPr>
            <w:r w:rsidRPr="00E1407D">
              <w:t>Portfolio Strategy Meeting (</w:t>
            </w:r>
            <w:r>
              <w:t>M</w:t>
            </w:r>
            <w:r w:rsidRPr="00E1407D">
              <w:t>)</w:t>
            </w:r>
          </w:p>
        </w:tc>
        <w:tc>
          <w:tcPr>
            <w:tcW w:w="5442" w:type="dxa"/>
            <w:tcMar>
              <w:top w:w="28" w:type="dxa"/>
              <w:bottom w:w="28" w:type="dxa"/>
            </w:tcMar>
          </w:tcPr>
          <w:p w14:paraId="107740B3" w14:textId="77777777" w:rsidR="00943562" w:rsidRPr="00E1407D" w:rsidRDefault="00943562" w:rsidP="00625DAB">
            <w:pPr>
              <w:pStyle w:val="TableTextLeft"/>
              <w:rPr>
                <w:b/>
                <w:caps/>
              </w:rPr>
            </w:pPr>
            <w:r w:rsidRPr="00E1407D">
              <w:t xml:space="preserve">Advised on general issuance and portfolio management issues over the medium to long term (one year and longer). Other research or relevant issues </w:t>
            </w:r>
            <w:r>
              <w:t>were also</w:t>
            </w:r>
            <w:r w:rsidRPr="00E1407D">
              <w:t xml:space="preserve"> discussed at the meeting.</w:t>
            </w:r>
          </w:p>
          <w:p w14:paraId="49F9DF9B" w14:textId="77777777" w:rsidR="00943562" w:rsidRPr="00E1407D" w:rsidRDefault="00943562" w:rsidP="00625DAB">
            <w:pPr>
              <w:pStyle w:val="TableTextLeft"/>
              <w:rPr>
                <w:b/>
                <w:caps/>
              </w:rPr>
            </w:pPr>
            <w:r w:rsidRPr="00E1407D">
              <w:t>Membership comprised the CEO; Head of Funding Strategy and Research (</w:t>
            </w:r>
            <w:r>
              <w:t>C</w:t>
            </w:r>
            <w:r w:rsidRPr="00E1407D">
              <w:t>hair); Head of Sustainable Finance; Head of Investor Relations;</w:t>
            </w:r>
            <w:r>
              <w:t xml:space="preserve"> and</w:t>
            </w:r>
            <w:r w:rsidRPr="00E1407D">
              <w:t xml:space="preserve"> Head of Investments. Other staff holding relevant functional responsibilities were invited as contributors and observers.</w:t>
            </w:r>
            <w:r w:rsidRPr="00E1407D">
              <w:rPr>
                <w:caps/>
              </w:rPr>
              <w:t xml:space="preserve"> </w:t>
            </w:r>
          </w:p>
        </w:tc>
      </w:tr>
    </w:tbl>
    <w:p w14:paraId="2B676EDB" w14:textId="35E0CED4" w:rsidR="00943562" w:rsidRPr="004A081C" w:rsidRDefault="00943562" w:rsidP="004A081C">
      <w:pPr>
        <w:pStyle w:val="ChartorTableNote"/>
      </w:pPr>
      <w:r w:rsidRPr="004A081C">
        <w:t xml:space="preserve">Note: (I) Independent Committee; (M) Management Committee </w:t>
      </w:r>
    </w:p>
    <w:p w14:paraId="254A96F1" w14:textId="4364BD6D" w:rsidR="003D47D6" w:rsidRPr="006534F5" w:rsidRDefault="003D47D6" w:rsidP="00713231">
      <w:pPr>
        <w:pStyle w:val="Heading3"/>
      </w:pPr>
      <w:bookmarkStart w:id="966" w:name="_Toc145684528"/>
      <w:bookmarkStart w:id="967" w:name="_Toc145685128"/>
      <w:bookmarkStart w:id="968" w:name="_Toc145686081"/>
      <w:bookmarkStart w:id="969" w:name="_Toc145686280"/>
      <w:bookmarkStart w:id="970" w:name="_Toc145686479"/>
      <w:bookmarkStart w:id="971" w:name="_Toc145686780"/>
      <w:bookmarkStart w:id="972" w:name="_Toc173408178"/>
      <w:bookmarkStart w:id="973" w:name="_Toc173411500"/>
      <w:bookmarkStart w:id="974" w:name="_Toc173479180"/>
      <w:bookmarkStart w:id="975" w:name="_Toc207796081"/>
      <w:bookmarkEnd w:id="957"/>
      <w:bookmarkEnd w:id="958"/>
      <w:bookmarkEnd w:id="959"/>
      <w:bookmarkEnd w:id="960"/>
      <w:bookmarkEnd w:id="961"/>
      <w:bookmarkEnd w:id="962"/>
      <w:bookmarkEnd w:id="963"/>
      <w:bookmarkEnd w:id="964"/>
      <w:bookmarkEnd w:id="965"/>
      <w:r w:rsidRPr="006534F5">
        <w:lastRenderedPageBreak/>
        <w:t xml:space="preserve">Audit </w:t>
      </w:r>
      <w:r>
        <w:t>and Risk C</w:t>
      </w:r>
      <w:r w:rsidRPr="006534F5">
        <w:t>ommittee</w:t>
      </w:r>
      <w:bookmarkEnd w:id="966"/>
      <w:bookmarkEnd w:id="967"/>
      <w:bookmarkEnd w:id="968"/>
      <w:bookmarkEnd w:id="969"/>
      <w:bookmarkEnd w:id="970"/>
      <w:bookmarkEnd w:id="971"/>
      <w:bookmarkEnd w:id="972"/>
      <w:bookmarkEnd w:id="973"/>
      <w:bookmarkEnd w:id="974"/>
      <w:bookmarkEnd w:id="975"/>
    </w:p>
    <w:p w14:paraId="6B55ED9D" w14:textId="47797410" w:rsidR="00C6792D" w:rsidRDefault="00C6792D" w:rsidP="00585EDA">
      <w:r>
        <w:t>The AOFM Audit and Risk Committee provides independent advice to the CEO on the appropriateness of the AOFM</w:t>
      </w:r>
      <w:r w:rsidR="00B84FF2">
        <w:t>’</w:t>
      </w:r>
      <w:r>
        <w:t>s financial and performance reporting, risk oversight and management, internal control environment and governance arrangements. The committee</w:t>
      </w:r>
      <w:r w:rsidR="00B84FF2">
        <w:t>’</w:t>
      </w:r>
      <w:r>
        <w:t xml:space="preserve">s responsibilities and functions are outlined in the </w:t>
      </w:r>
      <w:hyperlink r:id="rId101" w:history="1">
        <w:r w:rsidRPr="00D62C85">
          <w:rPr>
            <w:rStyle w:val="Hyperlink"/>
          </w:rPr>
          <w:t>Audit and Risk Committee Charter</w:t>
        </w:r>
      </w:hyperlink>
      <w:r w:rsidR="00271E8A">
        <w:t>.</w:t>
      </w:r>
      <w:r w:rsidR="00CB1DC5">
        <w:rPr>
          <w:rStyle w:val="FootnoteReference"/>
        </w:rPr>
        <w:footnoteReference w:id="7"/>
      </w:r>
      <w:r w:rsidR="0087171E">
        <w:t xml:space="preserve"> </w:t>
      </w:r>
    </w:p>
    <w:p w14:paraId="5A89826A" w14:textId="05A2AB05" w:rsidR="00C6792D" w:rsidRDefault="00C6792D" w:rsidP="007A6197">
      <w:r>
        <w:t>The committee</w:t>
      </w:r>
      <w:r w:rsidR="00B84FF2">
        <w:t>’</w:t>
      </w:r>
      <w:r>
        <w:t>s key activities during 202</w:t>
      </w:r>
      <w:r w:rsidR="008B3CEA">
        <w:t>4</w:t>
      </w:r>
      <w:r w:rsidR="00271E8A">
        <w:t>–</w:t>
      </w:r>
      <w:r w:rsidR="008B3CEA">
        <w:t>25</w:t>
      </w:r>
      <w:r>
        <w:t xml:space="preserve"> included:</w:t>
      </w:r>
    </w:p>
    <w:p w14:paraId="543DA527" w14:textId="07E19A79" w:rsidR="00C6792D" w:rsidRDefault="00C6792D" w:rsidP="007A6197">
      <w:pPr>
        <w:pStyle w:val="Bullet"/>
      </w:pPr>
      <w:r>
        <w:t>advising on the preparation and review of the AOFM</w:t>
      </w:r>
      <w:r w:rsidR="00B84FF2">
        <w:t>’</w:t>
      </w:r>
      <w:r>
        <w:t>s financial statements and</w:t>
      </w:r>
      <w:r w:rsidR="003C15A8">
        <w:t xml:space="preserve"> </w:t>
      </w:r>
      <w:r>
        <w:t xml:space="preserve">annual performance statement </w:t>
      </w:r>
    </w:p>
    <w:p w14:paraId="1E8CEC16" w14:textId="2F5AECA2" w:rsidR="00C6792D" w:rsidRDefault="00C6792D" w:rsidP="007A6197">
      <w:pPr>
        <w:pStyle w:val="Bullet"/>
      </w:pPr>
      <w:r>
        <w:t>considering developments in the AOFM</w:t>
      </w:r>
      <w:r w:rsidR="00B84FF2">
        <w:t>’</w:t>
      </w:r>
      <w:r>
        <w:t xml:space="preserve">s risk profile and compliance performance, as reported through quarterly risk, assurance and internal audit reports </w:t>
      </w:r>
    </w:p>
    <w:p w14:paraId="6BE5EE0A" w14:textId="280024E1" w:rsidR="00C6792D" w:rsidRDefault="00C6792D" w:rsidP="007A6197">
      <w:pPr>
        <w:pStyle w:val="Bullet"/>
      </w:pPr>
      <w:r>
        <w:t>reviewing the appropriateness of fraud and corruption control strategies and</w:t>
      </w:r>
      <w:r w:rsidR="0050492B">
        <w:t xml:space="preserve"> </w:t>
      </w:r>
      <w:r>
        <w:t xml:space="preserve">monitoring activities </w:t>
      </w:r>
    </w:p>
    <w:p w14:paraId="6EE9D610" w14:textId="2CA96D5B" w:rsidR="00C6792D" w:rsidRDefault="00C6792D" w:rsidP="007A6197">
      <w:pPr>
        <w:pStyle w:val="Bullet"/>
      </w:pPr>
      <w:r>
        <w:t>monitoring implementation of audit recommendations.</w:t>
      </w:r>
    </w:p>
    <w:p w14:paraId="5B53A7CD" w14:textId="19FC87A5" w:rsidR="003416AE" w:rsidRDefault="00C6792D" w:rsidP="004E13DA">
      <w:r>
        <w:t xml:space="preserve">The Audit and Risk Committee met 4 times and conducted </w:t>
      </w:r>
      <w:r w:rsidR="00271E8A">
        <w:t>closed</w:t>
      </w:r>
      <w:r>
        <w:t xml:space="preserve"> sessions with internal and external auditors during 20</w:t>
      </w:r>
      <w:r w:rsidR="00391B25">
        <w:t>24</w:t>
      </w:r>
      <w:r w:rsidR="00271E8A">
        <w:t>–</w:t>
      </w:r>
      <w:r w:rsidR="00391B25">
        <w:t>25</w:t>
      </w:r>
      <w:r>
        <w:t xml:space="preserve">. </w:t>
      </w:r>
      <w:r w:rsidRPr="003924C2">
        <w:t>Table</w:t>
      </w:r>
      <w:r w:rsidR="004A081C">
        <w:t> </w:t>
      </w:r>
      <w:r w:rsidR="004174E3">
        <w:t>1</w:t>
      </w:r>
      <w:r w:rsidR="00901DD6">
        <w:t>5</w:t>
      </w:r>
      <w:r w:rsidR="004174E3">
        <w:t xml:space="preserve"> </w:t>
      </w:r>
      <w:r>
        <w:t>provides information about committee membership.</w:t>
      </w:r>
    </w:p>
    <w:p w14:paraId="07EC7ECA" w14:textId="77777777" w:rsidR="003416AE" w:rsidRDefault="003416AE">
      <w:pPr>
        <w:spacing w:after="0" w:line="240" w:lineRule="auto"/>
      </w:pPr>
      <w:r>
        <w:br w:type="page"/>
      </w:r>
    </w:p>
    <w:p w14:paraId="00A7BC51" w14:textId="6987E8E9" w:rsidR="00E839DF" w:rsidRDefault="00BE6B81" w:rsidP="004E13DA">
      <w:pPr>
        <w:pStyle w:val="TableMainHeading"/>
      </w:pPr>
      <w:r w:rsidRPr="003924C2">
        <w:lastRenderedPageBreak/>
        <w:t xml:space="preserve">Table </w:t>
      </w:r>
      <w:r w:rsidR="00FB213A">
        <w:t>1</w:t>
      </w:r>
      <w:r w:rsidR="00901DD6">
        <w:t>5</w:t>
      </w:r>
      <w:r w:rsidRPr="00404CDD">
        <w:t>: Audit and Risk Committee for 2024</w:t>
      </w:r>
      <w:r w:rsidR="00271E8A">
        <w:t>–</w:t>
      </w:r>
      <w:r w:rsidRPr="00404CDD">
        <w:t>25</w:t>
      </w:r>
    </w:p>
    <w:tbl>
      <w:tblPr>
        <w:tblStyle w:val="AOFMTablemain"/>
        <w:tblW w:w="7938" w:type="dxa"/>
        <w:tblLayout w:type="fixed"/>
        <w:tblLook w:val="04A0" w:firstRow="1" w:lastRow="0" w:firstColumn="1" w:lastColumn="0" w:noHBand="0" w:noVBand="1"/>
      </w:tblPr>
      <w:tblGrid>
        <w:gridCol w:w="1420"/>
        <w:gridCol w:w="3826"/>
        <w:gridCol w:w="1276"/>
        <w:gridCol w:w="1416"/>
      </w:tblGrid>
      <w:tr w:rsidR="00E15250" w:rsidRPr="000867B7" w14:paraId="26DC2498" w14:textId="77777777" w:rsidTr="004A081C">
        <w:trPr>
          <w:cnfStyle w:val="100000000000" w:firstRow="1" w:lastRow="0" w:firstColumn="0" w:lastColumn="0" w:oddVBand="0" w:evenVBand="0" w:oddHBand="0" w:evenHBand="0" w:firstRowFirstColumn="0" w:firstRowLastColumn="0" w:lastRowFirstColumn="0" w:lastRowLastColumn="0"/>
          <w:trHeight w:val="177"/>
          <w:tblHeader/>
        </w:trPr>
        <w:tc>
          <w:tcPr>
            <w:tcW w:w="894" w:type="pct"/>
            <w:hideMark/>
          </w:tcPr>
          <w:p w14:paraId="266990F5" w14:textId="77777777" w:rsidR="00E839DF" w:rsidRPr="004E13DA" w:rsidRDefault="00E839DF" w:rsidP="004A081C">
            <w:pPr>
              <w:pStyle w:val="TableColumnHeadingLeft"/>
            </w:pPr>
            <w:r w:rsidRPr="004E13DA">
              <w:t>Members </w:t>
            </w:r>
          </w:p>
        </w:tc>
        <w:tc>
          <w:tcPr>
            <w:tcW w:w="2410" w:type="pct"/>
            <w:hideMark/>
          </w:tcPr>
          <w:p w14:paraId="3AEAC50C" w14:textId="77777777" w:rsidR="00E839DF" w:rsidRPr="004E13DA" w:rsidRDefault="00E839DF" w:rsidP="004A081C">
            <w:pPr>
              <w:pStyle w:val="TableColumnHeadingLeft"/>
            </w:pPr>
            <w:r w:rsidRPr="004E13DA">
              <w:t>Qualifications, skills and experience </w:t>
            </w:r>
          </w:p>
        </w:tc>
        <w:tc>
          <w:tcPr>
            <w:tcW w:w="804" w:type="pct"/>
            <w:hideMark/>
          </w:tcPr>
          <w:p w14:paraId="5B96201E" w14:textId="6A46280F" w:rsidR="00E839DF" w:rsidRPr="001A2890" w:rsidRDefault="00E839DF" w:rsidP="004A081C">
            <w:pPr>
              <w:pStyle w:val="TableColumnHeadingRight"/>
            </w:pPr>
            <w:r w:rsidRPr="001A2890">
              <w:t>Attendance</w:t>
            </w:r>
          </w:p>
        </w:tc>
        <w:tc>
          <w:tcPr>
            <w:tcW w:w="893" w:type="pct"/>
            <w:hideMark/>
          </w:tcPr>
          <w:p w14:paraId="295B1909" w14:textId="765566E7" w:rsidR="00E839DF" w:rsidRPr="001A2890" w:rsidRDefault="00E839DF" w:rsidP="004A081C">
            <w:pPr>
              <w:pStyle w:val="TableColumnHeadingRight"/>
            </w:pPr>
            <w:r w:rsidRPr="001A2890">
              <w:t>Remuneration</w:t>
            </w:r>
            <w:r w:rsidRPr="001A2890">
              <w:rPr>
                <w:vertAlign w:val="superscript"/>
              </w:rPr>
              <w:t>(a)</w:t>
            </w:r>
          </w:p>
        </w:tc>
      </w:tr>
      <w:tr w:rsidR="00867468" w:rsidRPr="000867B7" w14:paraId="42CD5492" w14:textId="77777777" w:rsidTr="004A081C">
        <w:trPr>
          <w:trHeight w:val="300"/>
        </w:trPr>
        <w:tc>
          <w:tcPr>
            <w:tcW w:w="894" w:type="pct"/>
          </w:tcPr>
          <w:p w14:paraId="27D6EF2D" w14:textId="7540825F" w:rsidR="00867468" w:rsidRPr="00DF31C0" w:rsidRDefault="00867468" w:rsidP="00625DAB">
            <w:pPr>
              <w:pStyle w:val="TableTextLeft"/>
            </w:pPr>
            <w:r w:rsidRPr="00DF31C0">
              <w:t xml:space="preserve">Cath Ingram, </w:t>
            </w:r>
            <w:r w:rsidR="003E6C72" w:rsidRPr="00DF31C0">
              <w:t>independent member</w:t>
            </w:r>
            <w:r w:rsidR="003E6C72" w:rsidRPr="00DF31C0">
              <w:br/>
            </w:r>
            <w:r w:rsidR="005B5DF4">
              <w:t>(</w:t>
            </w:r>
            <w:r w:rsidR="003E6C72" w:rsidRPr="00DF31C0">
              <w:t>Chair</w:t>
            </w:r>
            <w:r w:rsidR="005B5DF4">
              <w:t>)</w:t>
            </w:r>
          </w:p>
        </w:tc>
        <w:tc>
          <w:tcPr>
            <w:tcW w:w="2410" w:type="pct"/>
          </w:tcPr>
          <w:p w14:paraId="7BA259E0" w14:textId="6D406A05" w:rsidR="00867468" w:rsidRPr="00DF31C0" w:rsidRDefault="00867468" w:rsidP="00625DAB">
            <w:pPr>
              <w:pStyle w:val="TableTextLeft"/>
            </w:pPr>
            <w:r w:rsidRPr="00DF31C0">
              <w:t>Bachelor of Arts, Fellow of Chartered Accountants Australia and New Zealand, Fellow of the Institute of Public Accountants and Certificate IV in Fraud Investigations. Registered company auditor for over 20 years and experienced internal auditor and risk management practitioner. Public and private sector experience in governance, risk and assurance over large IT</w:t>
            </w:r>
            <w:r w:rsidR="00B84FF2">
              <w:noBreakHyphen/>
            </w:r>
            <w:r w:rsidRPr="00DF31C0">
              <w:t>enabled programs. </w:t>
            </w:r>
          </w:p>
        </w:tc>
        <w:tc>
          <w:tcPr>
            <w:tcW w:w="804" w:type="pct"/>
          </w:tcPr>
          <w:p w14:paraId="1E5EDFFC" w14:textId="59DD99B6" w:rsidR="00867468" w:rsidRPr="00DF31C0" w:rsidRDefault="00867468" w:rsidP="001A2890">
            <w:pPr>
              <w:pStyle w:val="TableTextRight"/>
            </w:pPr>
            <w:r w:rsidRPr="00DF31C0">
              <w:t>4/4 </w:t>
            </w:r>
          </w:p>
        </w:tc>
        <w:tc>
          <w:tcPr>
            <w:tcW w:w="893" w:type="pct"/>
          </w:tcPr>
          <w:p w14:paraId="38C398E5" w14:textId="2CE972AC" w:rsidR="00867468" w:rsidRPr="00DF31C0" w:rsidRDefault="00095A38" w:rsidP="001A2890">
            <w:pPr>
              <w:pStyle w:val="TableTextRight"/>
            </w:pPr>
            <w:r w:rsidRPr="00DF31C0">
              <w:t>$</w:t>
            </w:r>
            <w:r w:rsidR="00CB150F" w:rsidRPr="00DF31C0">
              <w:t>24,816</w:t>
            </w:r>
          </w:p>
        </w:tc>
      </w:tr>
      <w:tr w:rsidR="00E15250" w:rsidRPr="000867B7" w14:paraId="24FCA569" w14:textId="77777777" w:rsidTr="004A081C">
        <w:trPr>
          <w:cnfStyle w:val="000000010000" w:firstRow="0" w:lastRow="0" w:firstColumn="0" w:lastColumn="0" w:oddVBand="0" w:evenVBand="0" w:oddHBand="0" w:evenHBand="1" w:firstRowFirstColumn="0" w:firstRowLastColumn="0" w:lastRowFirstColumn="0" w:lastRowLastColumn="0"/>
          <w:trHeight w:val="300"/>
        </w:trPr>
        <w:tc>
          <w:tcPr>
            <w:tcW w:w="894" w:type="pct"/>
            <w:hideMark/>
          </w:tcPr>
          <w:p w14:paraId="540D09C4" w14:textId="77777777" w:rsidR="00867468" w:rsidRPr="00DF31C0" w:rsidRDefault="00867468" w:rsidP="00625DAB">
            <w:pPr>
              <w:pStyle w:val="TableTextLeft"/>
            </w:pPr>
            <w:r w:rsidRPr="00DF31C0">
              <w:t>Don Cross, independent member </w:t>
            </w:r>
          </w:p>
        </w:tc>
        <w:tc>
          <w:tcPr>
            <w:tcW w:w="2410" w:type="pct"/>
            <w:hideMark/>
          </w:tcPr>
          <w:p w14:paraId="5FB5FE18" w14:textId="502F8294" w:rsidR="00867468" w:rsidRPr="00DF31C0" w:rsidRDefault="00867468" w:rsidP="00625DAB">
            <w:pPr>
              <w:pStyle w:val="TableTextLeft"/>
            </w:pPr>
            <w:r w:rsidRPr="00DF31C0">
              <w:t>Bachelor of Arts, Fellow of Chartered Accountants Australia and New Zealand, Certified Practising Accountant, Master of Business Administration. A background in financial statement audit, internal audit, management assurance</w:t>
            </w:r>
            <w:r w:rsidR="00271E8A">
              <w:t>,</w:t>
            </w:r>
            <w:r w:rsidRPr="00DF31C0">
              <w:t xml:space="preserve"> and performance and program management. Background, skills and experience leveraged as Chair or member of audit and risk committees for Australian Government departments and corporate Commonwealth entities, providing policy, regulatory and service delivery functions. </w:t>
            </w:r>
          </w:p>
        </w:tc>
        <w:tc>
          <w:tcPr>
            <w:tcW w:w="804" w:type="pct"/>
            <w:hideMark/>
          </w:tcPr>
          <w:p w14:paraId="152641DE" w14:textId="77777777" w:rsidR="00867468" w:rsidRPr="00DF31C0" w:rsidRDefault="00867468" w:rsidP="001A2890">
            <w:pPr>
              <w:pStyle w:val="TableTextRight"/>
            </w:pPr>
            <w:r w:rsidRPr="00DF31C0">
              <w:t>4/4 </w:t>
            </w:r>
          </w:p>
        </w:tc>
        <w:tc>
          <w:tcPr>
            <w:tcW w:w="893" w:type="pct"/>
            <w:hideMark/>
          </w:tcPr>
          <w:p w14:paraId="77B99100" w14:textId="458B1C6E" w:rsidR="00867468" w:rsidRPr="00DF31C0" w:rsidRDefault="007C6D95" w:rsidP="001A2890">
            <w:pPr>
              <w:pStyle w:val="TableTextRight"/>
            </w:pPr>
            <w:r w:rsidRPr="00DF31C0">
              <w:t>$</w:t>
            </w:r>
            <w:r w:rsidR="000873C2" w:rsidRPr="00DF31C0">
              <w:t>20,143</w:t>
            </w:r>
          </w:p>
        </w:tc>
      </w:tr>
      <w:tr w:rsidR="00867468" w:rsidRPr="000867B7" w14:paraId="3C198302" w14:textId="77777777" w:rsidTr="004A081C">
        <w:trPr>
          <w:trHeight w:val="300"/>
        </w:trPr>
        <w:tc>
          <w:tcPr>
            <w:tcW w:w="894" w:type="pct"/>
          </w:tcPr>
          <w:p w14:paraId="40065C43" w14:textId="5E04F0E2" w:rsidR="00867468" w:rsidRPr="00DF31C0" w:rsidRDefault="00867468" w:rsidP="00625DAB">
            <w:pPr>
              <w:pStyle w:val="TableTextLeft"/>
            </w:pPr>
            <w:r w:rsidRPr="00DF31C0">
              <w:t>Honor McFadyen</w:t>
            </w:r>
            <w:r w:rsidR="001874DC" w:rsidRPr="00DF31C0">
              <w:t>, independent member</w:t>
            </w:r>
          </w:p>
        </w:tc>
        <w:tc>
          <w:tcPr>
            <w:tcW w:w="2410" w:type="pct"/>
          </w:tcPr>
          <w:p w14:paraId="4F0E587F" w14:textId="605D539C" w:rsidR="00867468" w:rsidRPr="00DF31C0" w:rsidRDefault="00272808" w:rsidP="00625DAB">
            <w:pPr>
              <w:pStyle w:val="TableTextLeft"/>
            </w:pPr>
            <w:r w:rsidRPr="00DF31C0">
              <w:t>B</w:t>
            </w:r>
            <w:r w:rsidR="000867B7" w:rsidRPr="000867B7">
              <w:t>a</w:t>
            </w:r>
            <w:r w:rsidR="000867B7" w:rsidRPr="00DF31C0">
              <w:t xml:space="preserve">chelor of </w:t>
            </w:r>
            <w:r w:rsidRPr="00DF31C0">
              <w:t>Ec</w:t>
            </w:r>
            <w:r w:rsidR="000867B7" w:rsidRPr="000867B7">
              <w:t>o</w:t>
            </w:r>
            <w:r w:rsidR="000867B7" w:rsidRPr="00DF31C0">
              <w:t>nomics</w:t>
            </w:r>
            <w:r w:rsidRPr="00DF31C0">
              <w:t>, GAICD. Over 30</w:t>
            </w:r>
            <w:r w:rsidR="00B84FF2">
              <w:noBreakHyphen/>
            </w:r>
            <w:r w:rsidRPr="00DF31C0">
              <w:t>year career in financial services in a variety of senior roles including Managing Director, Head of Debt Capital Markets at Deutsche Bank. Extensive experience across global capital markets, governance and stakeholder management. Chair of the E&amp;P Financial Ltd Investment Committee and former Councillor and Vice</w:t>
            </w:r>
            <w:r w:rsidR="00B84FF2">
              <w:noBreakHyphen/>
            </w:r>
            <w:r w:rsidRPr="00DF31C0">
              <w:t>Chair of The Women</w:t>
            </w:r>
            <w:r w:rsidR="00B84FF2">
              <w:rPr>
                <w:rFonts w:cs="Arial Nova"/>
              </w:rPr>
              <w:t>’</w:t>
            </w:r>
            <w:r w:rsidRPr="00DF31C0">
              <w:t>s College, Sydney University.</w:t>
            </w:r>
          </w:p>
        </w:tc>
        <w:tc>
          <w:tcPr>
            <w:tcW w:w="804" w:type="pct"/>
          </w:tcPr>
          <w:p w14:paraId="7465D806" w14:textId="2D645BF7" w:rsidR="00867468" w:rsidRPr="00DF31C0" w:rsidRDefault="00D3728A" w:rsidP="001A2890">
            <w:pPr>
              <w:pStyle w:val="TableTextRight"/>
            </w:pPr>
            <w:r w:rsidRPr="00DF31C0">
              <w:t>3/3</w:t>
            </w:r>
          </w:p>
        </w:tc>
        <w:tc>
          <w:tcPr>
            <w:tcW w:w="893" w:type="pct"/>
          </w:tcPr>
          <w:p w14:paraId="021D60DC" w14:textId="6E4F5DBE" w:rsidR="00867468" w:rsidRPr="00DF31C0" w:rsidRDefault="004C7691" w:rsidP="001A2890">
            <w:pPr>
              <w:pStyle w:val="TableTextRight"/>
            </w:pPr>
            <w:r w:rsidRPr="00DF31C0">
              <w:t>$</w:t>
            </w:r>
            <w:r w:rsidR="00FE613C" w:rsidRPr="00DF31C0">
              <w:t>15,107</w:t>
            </w:r>
          </w:p>
        </w:tc>
      </w:tr>
      <w:tr w:rsidR="00E15250" w:rsidRPr="000867B7" w14:paraId="34E8273F" w14:textId="77777777" w:rsidTr="004A081C">
        <w:trPr>
          <w:cnfStyle w:val="000000010000" w:firstRow="0" w:lastRow="0" w:firstColumn="0" w:lastColumn="0" w:oddVBand="0" w:evenVBand="0" w:oddHBand="0" w:evenHBand="1" w:firstRowFirstColumn="0" w:firstRowLastColumn="0" w:lastRowFirstColumn="0" w:lastRowLastColumn="0"/>
          <w:trHeight w:val="300"/>
        </w:trPr>
        <w:tc>
          <w:tcPr>
            <w:tcW w:w="894" w:type="pct"/>
          </w:tcPr>
          <w:p w14:paraId="31DE43F0" w14:textId="77777777" w:rsidR="00867468" w:rsidRPr="00DF31C0" w:rsidRDefault="00867468" w:rsidP="00625DAB">
            <w:pPr>
              <w:pStyle w:val="TableTextLeft"/>
            </w:pPr>
            <w:r w:rsidRPr="00DF31C0">
              <w:t>Stephen Knight, independent member</w:t>
            </w:r>
          </w:p>
          <w:p w14:paraId="0B628317" w14:textId="064CADE9" w:rsidR="00B90A63" w:rsidRPr="00DF31C0" w:rsidRDefault="005B5DF4" w:rsidP="00625DAB">
            <w:pPr>
              <w:pStyle w:val="TableTextLeft"/>
            </w:pPr>
            <w:r>
              <w:t>(</w:t>
            </w:r>
            <w:r w:rsidR="00B90A63" w:rsidRPr="00DF31C0">
              <w:t xml:space="preserve">Former </w:t>
            </w:r>
            <w:r>
              <w:t>C</w:t>
            </w:r>
            <w:r w:rsidR="00B90A63" w:rsidRPr="00DF31C0">
              <w:t>hair</w:t>
            </w:r>
            <w:r>
              <w:t>)</w:t>
            </w:r>
          </w:p>
        </w:tc>
        <w:tc>
          <w:tcPr>
            <w:tcW w:w="2410" w:type="pct"/>
          </w:tcPr>
          <w:p w14:paraId="5D4BC9F1" w14:textId="7551F630" w:rsidR="00867468" w:rsidRPr="00DF31C0" w:rsidRDefault="00867468" w:rsidP="00625DAB">
            <w:pPr>
              <w:pStyle w:val="TableTextLeft"/>
            </w:pPr>
            <w:r w:rsidRPr="00DF31C0">
              <w:t>Bachelor of Arts, Fellow of the Australian Institute of Company Directors. 35</w:t>
            </w:r>
            <w:r w:rsidR="00B84FF2">
              <w:noBreakHyphen/>
            </w:r>
            <w:r w:rsidRPr="00DF31C0">
              <w:t>year executive career in the finance industry across private and public sectors in a variety of senior roles, including 10</w:t>
            </w:r>
            <w:r w:rsidRPr="00DF31C0">
              <w:rPr>
                <w:rFonts w:ascii="Arial" w:hAnsi="Arial" w:cs="Arial"/>
              </w:rPr>
              <w:t> </w:t>
            </w:r>
            <w:r w:rsidRPr="00DF31C0">
              <w:t>years as CEO. Extensive experience across financial markets, government finance, investment banking, funds management and risk management. Non</w:t>
            </w:r>
            <w:r w:rsidR="00B84FF2">
              <w:noBreakHyphen/>
            </w:r>
            <w:r w:rsidRPr="00DF31C0">
              <w:t>executive director roles covering ASX</w:t>
            </w:r>
            <w:r w:rsidR="00B84FF2">
              <w:noBreakHyphen/>
            </w:r>
            <w:r w:rsidRPr="00DF31C0">
              <w:t>listed, non</w:t>
            </w:r>
            <w:r w:rsidR="00B84FF2">
              <w:noBreakHyphen/>
            </w:r>
            <w:r w:rsidRPr="00DF31C0">
              <w:t>listed and government entities. </w:t>
            </w:r>
          </w:p>
        </w:tc>
        <w:tc>
          <w:tcPr>
            <w:tcW w:w="804" w:type="pct"/>
          </w:tcPr>
          <w:p w14:paraId="3F8F126B" w14:textId="1E7C4E36" w:rsidR="00867468" w:rsidRPr="00DF31C0" w:rsidRDefault="001B4523" w:rsidP="001A2890">
            <w:pPr>
              <w:pStyle w:val="TableTextRight"/>
            </w:pPr>
            <w:r w:rsidRPr="00DF31C0">
              <w:t>1</w:t>
            </w:r>
            <w:r w:rsidR="00867468" w:rsidRPr="00DF31C0">
              <w:t>/</w:t>
            </w:r>
            <w:r w:rsidR="00F653E5" w:rsidRPr="00DF31C0">
              <w:t>1</w:t>
            </w:r>
          </w:p>
        </w:tc>
        <w:tc>
          <w:tcPr>
            <w:tcW w:w="893" w:type="pct"/>
          </w:tcPr>
          <w:p w14:paraId="6EC273FA" w14:textId="5EE936B5" w:rsidR="00867468" w:rsidRPr="00DF31C0" w:rsidRDefault="00162391" w:rsidP="001A2890">
            <w:pPr>
              <w:pStyle w:val="TableTextRight"/>
            </w:pPr>
            <w:r w:rsidRPr="00DF31C0">
              <w:t>$</w:t>
            </w:r>
            <w:r w:rsidR="003178DE" w:rsidRPr="00DF31C0">
              <w:t>6,593</w:t>
            </w:r>
          </w:p>
        </w:tc>
      </w:tr>
    </w:tbl>
    <w:p w14:paraId="16D073CC" w14:textId="36552CF3" w:rsidR="0004353B" w:rsidRPr="00B50A9D" w:rsidRDefault="00F466A8" w:rsidP="00B50A9D">
      <w:pPr>
        <w:pStyle w:val="ChartandTableFootnoteAlpha"/>
      </w:pPr>
      <w:r w:rsidRPr="00B50A9D">
        <w:t>(a)</w:t>
      </w:r>
      <w:r w:rsidR="0090477D" w:rsidRPr="00B50A9D">
        <w:tab/>
      </w:r>
      <w:r w:rsidR="00DC1600" w:rsidRPr="00B50A9D">
        <w:t>Remuneration includes superannuation and is GST exclusive</w:t>
      </w:r>
      <w:r w:rsidRPr="00B50A9D">
        <w:t>.</w:t>
      </w:r>
    </w:p>
    <w:p w14:paraId="3555F3C5" w14:textId="77777777" w:rsidR="005B455D" w:rsidRDefault="005B455D" w:rsidP="004A081C">
      <w:pPr>
        <w:rPr>
          <w:shd w:val="clear" w:color="auto" w:fill="FFFFFF"/>
        </w:rPr>
      </w:pPr>
      <w:bookmarkStart w:id="976" w:name="_Toc107329245"/>
      <w:bookmarkStart w:id="977" w:name="_Toc107329514"/>
      <w:bookmarkStart w:id="978" w:name="_Toc144813587"/>
      <w:bookmarkStart w:id="979" w:name="_Toc145684529"/>
      <w:bookmarkStart w:id="980" w:name="_Toc145685129"/>
      <w:bookmarkStart w:id="981" w:name="_Toc145686082"/>
      <w:bookmarkStart w:id="982" w:name="_Toc145686281"/>
      <w:bookmarkStart w:id="983" w:name="_Toc145686480"/>
      <w:bookmarkStart w:id="984" w:name="_Toc145686781"/>
      <w:bookmarkStart w:id="985" w:name="_Toc173327330"/>
      <w:bookmarkStart w:id="986" w:name="_Toc173327783"/>
      <w:bookmarkStart w:id="987" w:name="_Toc173395306"/>
      <w:bookmarkStart w:id="988" w:name="_Toc173395383"/>
      <w:bookmarkStart w:id="989" w:name="_Toc173395718"/>
      <w:bookmarkStart w:id="990" w:name="_Toc173396605"/>
      <w:bookmarkStart w:id="991" w:name="_Toc173397617"/>
      <w:bookmarkStart w:id="992" w:name="_Toc173408179"/>
      <w:bookmarkStart w:id="993" w:name="_Toc173411501"/>
      <w:bookmarkStart w:id="994" w:name="_Toc173479181"/>
      <w:bookmarkStart w:id="995" w:name="_Toc173743076"/>
      <w:bookmarkStart w:id="996" w:name="_Toc173743237"/>
      <w:bookmarkStart w:id="997" w:name="_Toc176160558"/>
      <w:bookmarkStart w:id="998" w:name="_Toc176163187"/>
      <w:bookmarkStart w:id="999" w:name="_Toc205474323"/>
      <w:r>
        <w:br w:type="page"/>
      </w:r>
    </w:p>
    <w:p w14:paraId="5D8C7298" w14:textId="2276743C" w:rsidR="00350FF8" w:rsidRPr="006534F5" w:rsidRDefault="00350FF8" w:rsidP="00C67F81">
      <w:pPr>
        <w:pStyle w:val="Heading2"/>
      </w:pPr>
      <w:bookmarkStart w:id="1000" w:name="_Toc207792903"/>
      <w:bookmarkStart w:id="1001" w:name="_Toc207793942"/>
      <w:bookmarkStart w:id="1002" w:name="_Toc207796082"/>
      <w:bookmarkStart w:id="1003" w:name="_Toc207796947"/>
      <w:bookmarkStart w:id="1004" w:name="_Toc207800249"/>
      <w:bookmarkStart w:id="1005" w:name="_Toc207810827"/>
      <w:bookmarkStart w:id="1006" w:name="_Toc208914106"/>
      <w:bookmarkStart w:id="1007" w:name="_Toc209424503"/>
      <w:r w:rsidRPr="006534F5">
        <w:lastRenderedPageBreak/>
        <w:t>Risk management</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14:paraId="7E19DC81" w14:textId="1158B598" w:rsidR="00EF3B1F" w:rsidRDefault="0006762C" w:rsidP="000449DC">
      <w:bookmarkStart w:id="1008" w:name="_Toc145684530"/>
      <w:bookmarkStart w:id="1009" w:name="_Toc145685130"/>
      <w:bookmarkStart w:id="1010" w:name="_Toc145686083"/>
      <w:bookmarkStart w:id="1011" w:name="_Toc145686282"/>
      <w:bookmarkStart w:id="1012" w:name="_Toc145686481"/>
      <w:bookmarkStart w:id="1013" w:name="_Toc145686782"/>
      <w:bookmarkStart w:id="1014" w:name="_Toc173408180"/>
      <w:bookmarkStart w:id="1015" w:name="_Toc173411502"/>
      <w:bookmarkStart w:id="1016" w:name="_Toc173479182"/>
      <w:r w:rsidRPr="0006762C">
        <w:t>Risk management is integral to the AOFM</w:t>
      </w:r>
      <w:r w:rsidR="00B84FF2">
        <w:t>’</w:t>
      </w:r>
      <w:r w:rsidRPr="0006762C">
        <w:t>s activities</w:t>
      </w:r>
      <w:r w:rsidR="00610CDF" w:rsidRPr="0006762C">
        <w:t>,</w:t>
      </w:r>
      <w:r w:rsidRPr="0006762C">
        <w:t xml:space="preserve"> and </w:t>
      </w:r>
      <w:r w:rsidR="00B90706">
        <w:t xml:space="preserve">all staff demonstrate a </w:t>
      </w:r>
      <w:r w:rsidRPr="0006762C">
        <w:t>strong risk</w:t>
      </w:r>
      <w:r w:rsidR="00B84FF2">
        <w:noBreakHyphen/>
      </w:r>
      <w:r w:rsidRPr="0006762C">
        <w:t>aware culture</w:t>
      </w:r>
      <w:r w:rsidR="001B2D02">
        <w:t xml:space="preserve">. </w:t>
      </w:r>
      <w:r w:rsidR="006C7D71">
        <w:t xml:space="preserve">This includes managing </w:t>
      </w:r>
      <w:r w:rsidR="006C7D71" w:rsidRPr="0006762C">
        <w:t xml:space="preserve">risks </w:t>
      </w:r>
      <w:r w:rsidR="006C7D71">
        <w:t xml:space="preserve">within </w:t>
      </w:r>
      <w:r w:rsidR="005B5DF4">
        <w:t xml:space="preserve">the </w:t>
      </w:r>
      <w:r w:rsidR="006C7D71" w:rsidRPr="0006762C">
        <w:t>AOFM</w:t>
      </w:r>
      <w:r w:rsidR="00B84FF2">
        <w:t>’</w:t>
      </w:r>
      <w:r w:rsidR="006C7D71">
        <w:t>s</w:t>
      </w:r>
      <w:r w:rsidR="006C7D71" w:rsidRPr="0006762C">
        <w:t xml:space="preserve"> risk appetite and tolerance</w:t>
      </w:r>
      <w:r w:rsidR="006C7D71">
        <w:t>s</w:t>
      </w:r>
      <w:r w:rsidR="005B5DF4">
        <w:t>,</w:t>
      </w:r>
      <w:r w:rsidR="00F27E87">
        <w:t xml:space="preserve"> w</w:t>
      </w:r>
      <w:r w:rsidR="004912A6">
        <w:t>ith an increased focus on opportunities</w:t>
      </w:r>
      <w:r w:rsidR="00E33D73">
        <w:t xml:space="preserve"> and </w:t>
      </w:r>
      <w:r w:rsidR="006633F4">
        <w:t xml:space="preserve">regular monitoring and oversight of </w:t>
      </w:r>
      <w:r w:rsidR="00060633">
        <w:t>identified risks and opportunities</w:t>
      </w:r>
      <w:r w:rsidR="004912A6">
        <w:t xml:space="preserve">. </w:t>
      </w:r>
    </w:p>
    <w:p w14:paraId="554B04D8" w14:textId="658D0962" w:rsidR="00CF3F91" w:rsidRDefault="0006762C" w:rsidP="000449DC">
      <w:r w:rsidRPr="0006762C">
        <w:t xml:space="preserve">The </w:t>
      </w:r>
      <w:r w:rsidR="005B53F3">
        <w:t>AOFM E</w:t>
      </w:r>
      <w:r w:rsidRPr="0006762C">
        <w:t xml:space="preserve">nterprise </w:t>
      </w:r>
      <w:r w:rsidR="005B53F3">
        <w:t>R</w:t>
      </w:r>
      <w:r w:rsidRPr="0006762C">
        <w:t xml:space="preserve">isk </w:t>
      </w:r>
      <w:r w:rsidR="005B53F3">
        <w:t>M</w:t>
      </w:r>
      <w:r w:rsidRPr="0006762C">
        <w:t xml:space="preserve">anagement (ERM) </w:t>
      </w:r>
      <w:r w:rsidR="008C10A6">
        <w:t>f</w:t>
      </w:r>
      <w:r w:rsidRPr="0006762C">
        <w:t>ramework provide</w:t>
      </w:r>
      <w:r w:rsidR="00D523C9">
        <w:t>s</w:t>
      </w:r>
      <w:r w:rsidRPr="0006762C">
        <w:t xml:space="preserve"> AOFM </w:t>
      </w:r>
      <w:r w:rsidR="00EA6C71">
        <w:t>staff</w:t>
      </w:r>
      <w:r w:rsidRPr="0006762C">
        <w:t xml:space="preserve"> with guidance and tools to </w:t>
      </w:r>
      <w:r w:rsidR="00CF3F91">
        <w:t>support ongoing improvements in risk management maturity</w:t>
      </w:r>
      <w:r w:rsidR="007C74D8">
        <w:t xml:space="preserve"> </w:t>
      </w:r>
      <w:r w:rsidR="0088265B">
        <w:t>such as</w:t>
      </w:r>
      <w:r w:rsidR="007C74D8">
        <w:t xml:space="preserve"> the </w:t>
      </w:r>
      <w:r w:rsidR="0088265B">
        <w:t xml:space="preserve">inclusion of climate risk and opportunity assessment, </w:t>
      </w:r>
      <w:r w:rsidR="00E9532F">
        <w:t xml:space="preserve">control criticality and </w:t>
      </w:r>
      <w:r w:rsidR="0088265B">
        <w:t>key control indicators</w:t>
      </w:r>
      <w:r w:rsidR="00CF3F91">
        <w:t xml:space="preserve">. </w:t>
      </w:r>
      <w:r w:rsidR="00FB2EA6" w:rsidRPr="0006762C">
        <w:t>The AOFM</w:t>
      </w:r>
      <w:r w:rsidR="00B84FF2">
        <w:t>’</w:t>
      </w:r>
      <w:r w:rsidR="00FB2EA6" w:rsidRPr="0006762C">
        <w:t>s ERM framework is consistent with the Commonwealth Risk Management Policy</w:t>
      </w:r>
      <w:r w:rsidR="00FB2EA6">
        <w:t xml:space="preserve"> and the </w:t>
      </w:r>
      <w:r w:rsidR="00713969">
        <w:t xml:space="preserve">Climate </w:t>
      </w:r>
      <w:r w:rsidR="00FB2EA6">
        <w:t>Risk and Opportunity Management Program.</w:t>
      </w:r>
    </w:p>
    <w:p w14:paraId="675EE411" w14:textId="4264A60B" w:rsidR="00A73A01" w:rsidRDefault="0006762C" w:rsidP="000449DC">
      <w:r w:rsidRPr="0006762C">
        <w:t xml:space="preserve">The </w:t>
      </w:r>
      <w:r w:rsidR="00220DD5">
        <w:t xml:space="preserve">AOFM </w:t>
      </w:r>
      <w:r w:rsidRPr="0006762C">
        <w:t xml:space="preserve">ERM framework follows a 3 lines model. </w:t>
      </w:r>
    </w:p>
    <w:p w14:paraId="133C60EB" w14:textId="1D8D8E73" w:rsidR="00A73A01" w:rsidRDefault="0006762C" w:rsidP="00DF31C0">
      <w:pPr>
        <w:pStyle w:val="Bullet"/>
      </w:pPr>
      <w:r w:rsidRPr="00CD3BEA">
        <w:rPr>
          <w:b/>
          <w:bCs w:val="0"/>
        </w:rPr>
        <w:t>Line 1:</w:t>
      </w:r>
      <w:r w:rsidRPr="0006762C">
        <w:t xml:space="preserve"> All staff ha</w:t>
      </w:r>
      <w:r w:rsidR="009F6A7A">
        <w:t>ve</w:t>
      </w:r>
      <w:r w:rsidR="005B5DF4" w:rsidRPr="0006762C">
        <w:t xml:space="preserve"> </w:t>
      </w:r>
      <w:r w:rsidRPr="0006762C">
        <w:t>a responsibility to manage risk; comply with regulations, standards and organisational policies; and employ the AOFM</w:t>
      </w:r>
      <w:r w:rsidR="00B84FF2">
        <w:t>’</w:t>
      </w:r>
      <w:r w:rsidRPr="0006762C">
        <w:t xml:space="preserve">s risk management practices. </w:t>
      </w:r>
    </w:p>
    <w:p w14:paraId="27A73D4A" w14:textId="52710E10" w:rsidR="00101797" w:rsidRDefault="0006762C" w:rsidP="00DF31C0">
      <w:pPr>
        <w:pStyle w:val="Bullet"/>
      </w:pPr>
      <w:r w:rsidRPr="00CD3BEA">
        <w:rPr>
          <w:b/>
          <w:bCs w:val="0"/>
        </w:rPr>
        <w:t>Line 2:</w:t>
      </w:r>
      <w:r w:rsidRPr="0006762C">
        <w:t xml:space="preserve"> </w:t>
      </w:r>
      <w:r w:rsidR="0095006D">
        <w:t xml:space="preserve">The Enterprise Risk and Assurance team </w:t>
      </w:r>
      <w:r w:rsidR="00541ACA">
        <w:t>manage</w:t>
      </w:r>
      <w:r w:rsidR="00BC0F16">
        <w:t>s</w:t>
      </w:r>
      <w:r w:rsidR="00541ACA">
        <w:t xml:space="preserve"> our enterprise level risk policies </w:t>
      </w:r>
      <w:r w:rsidR="00391765">
        <w:t>and provide</w:t>
      </w:r>
      <w:r w:rsidR="00FB2EA6">
        <w:t>d</w:t>
      </w:r>
      <w:r w:rsidR="00391765">
        <w:t xml:space="preserve"> </w:t>
      </w:r>
      <w:r w:rsidRPr="0006762C">
        <w:t xml:space="preserve">oversight of Line 1 activities. </w:t>
      </w:r>
    </w:p>
    <w:p w14:paraId="0898CEF9" w14:textId="1F44943E" w:rsidR="0006762C" w:rsidRPr="0006762C" w:rsidRDefault="0006762C" w:rsidP="00DF31C0">
      <w:pPr>
        <w:pStyle w:val="Bullet"/>
      </w:pPr>
      <w:r w:rsidRPr="00CD3BEA">
        <w:rPr>
          <w:b/>
          <w:bCs w:val="0"/>
        </w:rPr>
        <w:t>Line 3:</w:t>
      </w:r>
      <w:r w:rsidRPr="0006762C">
        <w:t xml:space="preserve"> </w:t>
      </w:r>
      <w:r w:rsidR="00FB2EA6">
        <w:t xml:space="preserve">The </w:t>
      </w:r>
      <w:r w:rsidR="00363B71">
        <w:t xml:space="preserve">internal audit contracted service provider </w:t>
      </w:r>
      <w:r w:rsidR="00FB2EA6">
        <w:t>provide</w:t>
      </w:r>
      <w:r w:rsidR="009D6DBF">
        <w:t>s</w:t>
      </w:r>
      <w:r w:rsidRPr="0006762C">
        <w:t xml:space="preserve"> independent assessment of the effectiveness of </w:t>
      </w:r>
      <w:r w:rsidR="00A523E9">
        <w:t xml:space="preserve">specific </w:t>
      </w:r>
      <w:r w:rsidRPr="0006762C">
        <w:t xml:space="preserve">internal controls and </w:t>
      </w:r>
      <w:r w:rsidR="00A523E9">
        <w:t xml:space="preserve">areas of </w:t>
      </w:r>
      <w:r w:rsidRPr="0006762C">
        <w:t xml:space="preserve">risk management through </w:t>
      </w:r>
      <w:r w:rsidR="003A142A">
        <w:t>completion of an annual audit work plan.</w:t>
      </w:r>
      <w:r w:rsidRPr="0006762C">
        <w:t xml:space="preserve"> </w:t>
      </w:r>
    </w:p>
    <w:p w14:paraId="21EA7049" w14:textId="340D2F01" w:rsidR="00A01CFA" w:rsidRDefault="00101797" w:rsidP="000449DC">
      <w:r w:rsidRPr="0006762C">
        <w:t xml:space="preserve">At the start of </w:t>
      </w:r>
      <w:r w:rsidR="005B5DF4">
        <w:t>2024–25</w:t>
      </w:r>
      <w:r w:rsidRPr="0006762C">
        <w:t xml:space="preserve">, the </w:t>
      </w:r>
      <w:r>
        <w:t>AOFM c</w:t>
      </w:r>
      <w:r w:rsidR="006A2206">
        <w:t xml:space="preserve">ollectively </w:t>
      </w:r>
      <w:r w:rsidRPr="0006762C">
        <w:t xml:space="preserve">set risk appetite levels and </w:t>
      </w:r>
      <w:r w:rsidR="00DB2D64">
        <w:t>the ELG</w:t>
      </w:r>
      <w:r w:rsidR="006A2206">
        <w:t xml:space="preserve"> </w:t>
      </w:r>
      <w:r w:rsidRPr="0006762C">
        <w:t>endorse</w:t>
      </w:r>
      <w:r w:rsidR="002231D1">
        <w:t>d</w:t>
      </w:r>
      <w:r w:rsidRPr="0006762C">
        <w:t xml:space="preserve"> a risk management strategy for the </w:t>
      </w:r>
      <w:r w:rsidR="00106193">
        <w:t>year</w:t>
      </w:r>
      <w:r w:rsidRPr="0006762C">
        <w:t xml:space="preserve">. The strategy set out </w:t>
      </w:r>
      <w:r w:rsidR="00B75E64">
        <w:t>strategic</w:t>
      </w:r>
      <w:r w:rsidRPr="0006762C">
        <w:t xml:space="preserve"> risks and </w:t>
      </w:r>
      <w:r w:rsidR="00BA0568">
        <w:t xml:space="preserve">opportunities </w:t>
      </w:r>
      <w:r w:rsidR="00DE7280">
        <w:t xml:space="preserve">and </w:t>
      </w:r>
      <w:r w:rsidRPr="0006762C">
        <w:t xml:space="preserve">the planned actions to manage them. </w:t>
      </w:r>
      <w:r w:rsidR="00A01CFA" w:rsidRPr="0006762C">
        <w:t xml:space="preserve">The </w:t>
      </w:r>
      <w:r w:rsidR="00A01CFA">
        <w:t>AOFM</w:t>
      </w:r>
      <w:r w:rsidR="00A01CFA" w:rsidRPr="0006762C">
        <w:t xml:space="preserve"> maintained oversight of </w:t>
      </w:r>
      <w:r w:rsidR="00A01CFA">
        <w:t>our</w:t>
      </w:r>
      <w:r w:rsidR="00A01CFA" w:rsidRPr="0006762C">
        <w:t xml:space="preserve"> </w:t>
      </w:r>
      <w:r w:rsidR="004A05E5">
        <w:t xml:space="preserve">strategic, portfolio and operational </w:t>
      </w:r>
      <w:r w:rsidR="00A01CFA" w:rsidRPr="0006762C">
        <w:t xml:space="preserve">risk profile through </w:t>
      </w:r>
      <w:r w:rsidR="00A01CFA">
        <w:t xml:space="preserve">quarterly </w:t>
      </w:r>
      <w:r w:rsidR="00A01CFA" w:rsidRPr="0006762C">
        <w:t>review of risk</w:t>
      </w:r>
      <w:r w:rsidR="00A01CFA">
        <w:t>s and opportunities</w:t>
      </w:r>
      <w:r w:rsidR="005B5DF4">
        <w:t>,</w:t>
      </w:r>
      <w:r w:rsidR="00A01CFA">
        <w:t xml:space="preserve"> as well as incident and near</w:t>
      </w:r>
      <w:r w:rsidR="00B84FF2">
        <w:noBreakHyphen/>
      </w:r>
      <w:r w:rsidR="00A01CFA">
        <w:t>miss reporting</w:t>
      </w:r>
      <w:r w:rsidR="00A01CFA" w:rsidRPr="0006762C">
        <w:t xml:space="preserve">. </w:t>
      </w:r>
      <w:r w:rsidR="00C50700">
        <w:t xml:space="preserve">These reports were provided quarterly to the </w:t>
      </w:r>
      <w:r w:rsidR="00D17BE0">
        <w:t>ELG</w:t>
      </w:r>
      <w:r w:rsidR="00C50700" w:rsidDel="00D154F7">
        <w:t xml:space="preserve"> </w:t>
      </w:r>
      <w:r w:rsidR="00C50700">
        <w:t xml:space="preserve">and the </w:t>
      </w:r>
      <w:r w:rsidR="00EC6960">
        <w:t>A</w:t>
      </w:r>
      <w:r w:rsidR="00014F3D">
        <w:t xml:space="preserve">udit and </w:t>
      </w:r>
      <w:r w:rsidR="00EC6960">
        <w:t>R</w:t>
      </w:r>
      <w:r w:rsidR="00014F3D">
        <w:t xml:space="preserve">isk </w:t>
      </w:r>
      <w:r w:rsidR="00EC6960">
        <w:t>C</w:t>
      </w:r>
      <w:r w:rsidR="00014F3D">
        <w:t>ommittee</w:t>
      </w:r>
      <w:r w:rsidR="00C50700">
        <w:t>.</w:t>
      </w:r>
    </w:p>
    <w:p w14:paraId="2091D723" w14:textId="070E2D3F" w:rsidR="00CD3BEA" w:rsidRDefault="0098032D" w:rsidP="000449DC">
      <w:r w:rsidRPr="0098032D">
        <w:t xml:space="preserve">Table </w:t>
      </w:r>
      <w:r w:rsidR="006856D5">
        <w:t>1</w:t>
      </w:r>
      <w:r w:rsidR="006A6F0F">
        <w:t>6</w:t>
      </w:r>
      <w:r w:rsidRPr="0098032D">
        <w:t xml:space="preserve"> outlines the </w:t>
      </w:r>
      <w:r>
        <w:t xml:space="preserve">strategic </w:t>
      </w:r>
      <w:r w:rsidRPr="0098032D">
        <w:t xml:space="preserve">risks and </w:t>
      </w:r>
      <w:r>
        <w:t>opportunities</w:t>
      </w:r>
      <w:r w:rsidRPr="0098032D">
        <w:t xml:space="preserve"> identified for 202</w:t>
      </w:r>
      <w:r>
        <w:t>4</w:t>
      </w:r>
      <w:r w:rsidRPr="0098032D">
        <w:t>–2</w:t>
      </w:r>
      <w:r>
        <w:t>5</w:t>
      </w:r>
      <w:r w:rsidRPr="0098032D">
        <w:t>, together with the actions undertaken during the year to manage them.</w:t>
      </w:r>
    </w:p>
    <w:p w14:paraId="45EA8E85" w14:textId="77777777" w:rsidR="00CD3BEA" w:rsidRDefault="00CD3BEA">
      <w:pPr>
        <w:spacing w:after="0" w:line="240" w:lineRule="auto"/>
      </w:pPr>
      <w:r>
        <w:br w:type="page"/>
      </w:r>
    </w:p>
    <w:p w14:paraId="040A6952" w14:textId="350DA90F" w:rsidR="006A2C7F" w:rsidRDefault="006A2C7F" w:rsidP="00C77948">
      <w:pPr>
        <w:pStyle w:val="TableMainHeading"/>
      </w:pPr>
      <w:r>
        <w:lastRenderedPageBreak/>
        <w:t xml:space="preserve">Table </w:t>
      </w:r>
      <w:r w:rsidR="006856D5">
        <w:t>1</w:t>
      </w:r>
      <w:r w:rsidR="006A6F0F">
        <w:t>6</w:t>
      </w:r>
      <w:r>
        <w:t xml:space="preserve">: Our Strategic Risk and Opportunity Profile </w:t>
      </w:r>
    </w:p>
    <w:tbl>
      <w:tblPr>
        <w:tblStyle w:val="AOFMTablemain"/>
        <w:tblW w:w="5000" w:type="pct"/>
        <w:tblLook w:val="04A0" w:firstRow="1" w:lastRow="0" w:firstColumn="1" w:lastColumn="0" w:noHBand="0" w:noVBand="1"/>
      </w:tblPr>
      <w:tblGrid>
        <w:gridCol w:w="2000"/>
        <w:gridCol w:w="5711"/>
      </w:tblGrid>
      <w:tr w:rsidR="00D61824" w:rsidRPr="00881E02" w14:paraId="3CD6812E" w14:textId="77777777" w:rsidTr="00FC5100">
        <w:trPr>
          <w:cnfStyle w:val="100000000000" w:firstRow="1" w:lastRow="0" w:firstColumn="0" w:lastColumn="0" w:oddVBand="0" w:evenVBand="0" w:oddHBand="0" w:evenHBand="0" w:firstRowFirstColumn="0" w:firstRowLastColumn="0" w:lastRowFirstColumn="0" w:lastRowLastColumn="0"/>
        </w:trPr>
        <w:tc>
          <w:tcPr>
            <w:tcW w:w="1985" w:type="dxa"/>
          </w:tcPr>
          <w:p w14:paraId="5F64BB47" w14:textId="49187949" w:rsidR="00D61824" w:rsidRPr="00D345AD" w:rsidRDefault="007140A2" w:rsidP="00D345AD">
            <w:pPr>
              <w:pStyle w:val="TableColumnHeadingLeftWhite"/>
              <w:rPr>
                <w:rFonts w:ascii="Arial Nova" w:hAnsi="Arial Nova"/>
                <w:szCs w:val="18"/>
              </w:rPr>
            </w:pPr>
            <w:r w:rsidRPr="00D345AD">
              <w:rPr>
                <w:rFonts w:ascii="Arial Nova" w:hAnsi="Arial Nova"/>
                <w:szCs w:val="18"/>
              </w:rPr>
              <w:t>Risk/Opportunity</w:t>
            </w:r>
          </w:p>
        </w:tc>
        <w:tc>
          <w:tcPr>
            <w:tcW w:w="5670" w:type="dxa"/>
          </w:tcPr>
          <w:p w14:paraId="36718A61" w14:textId="2B47B4A5" w:rsidR="00D61824" w:rsidRPr="00D345AD" w:rsidRDefault="00524A48" w:rsidP="00D345AD">
            <w:pPr>
              <w:pStyle w:val="TableColumnHeadingLeftWhite"/>
              <w:rPr>
                <w:rFonts w:ascii="Arial Nova" w:hAnsi="Arial Nova"/>
                <w:szCs w:val="18"/>
              </w:rPr>
            </w:pPr>
            <w:r w:rsidRPr="00D345AD">
              <w:rPr>
                <w:rFonts w:ascii="Arial Nova" w:hAnsi="Arial Nova"/>
                <w:szCs w:val="18"/>
              </w:rPr>
              <w:t>Description</w:t>
            </w:r>
          </w:p>
        </w:tc>
      </w:tr>
      <w:tr w:rsidR="00D61824" w:rsidRPr="00881E02" w14:paraId="12512A73" w14:textId="77777777" w:rsidTr="00FC5100">
        <w:tc>
          <w:tcPr>
            <w:tcW w:w="1985" w:type="dxa"/>
          </w:tcPr>
          <w:p w14:paraId="64EF3EDF" w14:textId="07E8E2EB" w:rsidR="00F530DB" w:rsidRPr="00D345AD" w:rsidRDefault="1B44646A" w:rsidP="00625DAB">
            <w:pPr>
              <w:pStyle w:val="TableTextLeft"/>
            </w:pPr>
            <w:r w:rsidRPr="00D345AD">
              <w:t xml:space="preserve">Building a </w:t>
            </w:r>
            <w:r w:rsidR="005B5DF4">
              <w:t>f</w:t>
            </w:r>
            <w:r w:rsidRPr="00D345AD">
              <w:t>uture</w:t>
            </w:r>
            <w:r w:rsidR="00B84FF2">
              <w:noBreakHyphen/>
            </w:r>
            <w:r w:rsidR="005B5DF4">
              <w:t>r</w:t>
            </w:r>
            <w:r w:rsidRPr="00D345AD">
              <w:t xml:space="preserve">eady </w:t>
            </w:r>
            <w:r w:rsidR="005B5DF4">
              <w:t>w</w:t>
            </w:r>
            <w:r w:rsidRPr="00D345AD">
              <w:t>orkforce</w:t>
            </w:r>
            <w:r w:rsidR="00F530DB" w:rsidRPr="00D345AD">
              <w:t xml:space="preserve"> </w:t>
            </w:r>
          </w:p>
          <w:p w14:paraId="0C26A8AA" w14:textId="77777777" w:rsidR="00D61824" w:rsidRPr="00D345AD" w:rsidRDefault="00D61824" w:rsidP="00625DAB">
            <w:pPr>
              <w:pStyle w:val="TableTextLeft"/>
            </w:pPr>
          </w:p>
        </w:tc>
        <w:tc>
          <w:tcPr>
            <w:tcW w:w="5670" w:type="dxa"/>
          </w:tcPr>
          <w:p w14:paraId="3521C9FD" w14:textId="6B172EB9" w:rsidR="00D61824" w:rsidRPr="00D345AD" w:rsidRDefault="00D32C17" w:rsidP="00625DAB">
            <w:pPr>
              <w:pStyle w:val="TableTextLeft"/>
            </w:pPr>
            <w:r w:rsidRPr="00D345AD">
              <w:t xml:space="preserve">In </w:t>
            </w:r>
            <w:r w:rsidR="007C26F8" w:rsidRPr="00D345AD">
              <w:t>20</w:t>
            </w:r>
            <w:r w:rsidRPr="00D345AD">
              <w:t>24</w:t>
            </w:r>
            <w:r w:rsidR="005B5DF4">
              <w:t>–</w:t>
            </w:r>
            <w:r w:rsidRPr="00D345AD">
              <w:t>25, t</w:t>
            </w:r>
            <w:r w:rsidR="00357FB4" w:rsidRPr="00D345AD">
              <w:t xml:space="preserve">he AOFM </w:t>
            </w:r>
            <w:r w:rsidR="00F21C42" w:rsidRPr="00D345AD">
              <w:t xml:space="preserve">delivered </w:t>
            </w:r>
            <w:r w:rsidRPr="00D345AD">
              <w:t xml:space="preserve">and implemented </w:t>
            </w:r>
            <w:r w:rsidR="00F21C42" w:rsidRPr="00D345AD">
              <w:t>a</w:t>
            </w:r>
            <w:r w:rsidR="003B7AA2" w:rsidRPr="00D345AD">
              <w:t xml:space="preserve"> new </w:t>
            </w:r>
            <w:r w:rsidR="00C5435B" w:rsidRPr="00D345AD">
              <w:t xml:space="preserve">Consultation and Change Framework </w:t>
            </w:r>
            <w:r w:rsidR="00861D9D" w:rsidRPr="00D345AD">
              <w:t>with corresponding guidance and tools</w:t>
            </w:r>
            <w:r w:rsidRPr="00D345AD">
              <w:t xml:space="preserve"> to </w:t>
            </w:r>
            <w:r w:rsidR="2E0C3612" w:rsidRPr="00D345AD">
              <w:t xml:space="preserve">improve the way change is managed and communicated. </w:t>
            </w:r>
            <w:r w:rsidR="005B5DF4">
              <w:t>We reviewed and consulted o</w:t>
            </w:r>
            <w:r w:rsidR="005B5DF4" w:rsidRPr="00D345AD">
              <w:t xml:space="preserve">ur </w:t>
            </w:r>
            <w:r w:rsidR="672B1D46" w:rsidRPr="00D345AD">
              <w:t xml:space="preserve">employment policies to reflect current entitlements, and </w:t>
            </w:r>
            <w:r w:rsidR="005B5DF4">
              <w:t xml:space="preserve">developed </w:t>
            </w:r>
            <w:r w:rsidR="672B1D46" w:rsidRPr="00D345AD">
              <w:t>our Census Action Plan</w:t>
            </w:r>
            <w:r w:rsidR="73D681A8" w:rsidRPr="00D345AD">
              <w:t xml:space="preserve"> to </w:t>
            </w:r>
            <w:r w:rsidR="672B1D46" w:rsidRPr="00D345AD">
              <w:t>demonstrate how</w:t>
            </w:r>
            <w:r w:rsidR="005B5DF4">
              <w:t xml:space="preserve"> we would make</w:t>
            </w:r>
            <w:r w:rsidR="672B1D46" w:rsidRPr="00D345AD">
              <w:t xml:space="preserve"> continuous improvement</w:t>
            </w:r>
            <w:r w:rsidR="5B8247CF" w:rsidRPr="00D345AD">
              <w:t xml:space="preserve">s in response to our Census results. </w:t>
            </w:r>
          </w:p>
          <w:p w14:paraId="42214B43" w14:textId="0F175887" w:rsidR="00D61824" w:rsidRPr="00D345AD" w:rsidRDefault="00F96B25" w:rsidP="00625DAB">
            <w:pPr>
              <w:pStyle w:val="TableTextLeft"/>
            </w:pPr>
            <w:r w:rsidRPr="563A3A4F">
              <w:t xml:space="preserve">The AOFM implemented a new performance framework and </w:t>
            </w:r>
            <w:r w:rsidR="005B5DF4">
              <w:t xml:space="preserve">further enhanced </w:t>
            </w:r>
            <w:r>
              <w:t>o</w:t>
            </w:r>
            <w:r w:rsidR="5B8247CF" w:rsidRPr="00D345AD">
              <w:t xml:space="preserve">ur performance and development plans to provide a greater emphasis on behaviours and </w:t>
            </w:r>
            <w:r w:rsidR="005B5DF4">
              <w:t xml:space="preserve">better </w:t>
            </w:r>
            <w:r w:rsidR="5B8247CF" w:rsidRPr="00D345AD">
              <w:t>connect</w:t>
            </w:r>
            <w:r w:rsidR="07EAE671" w:rsidRPr="00D345AD">
              <w:t xml:space="preserve"> employee deliverables with the AOFM</w:t>
            </w:r>
            <w:r w:rsidR="00B84FF2">
              <w:t>’</w:t>
            </w:r>
            <w:r w:rsidR="07EAE671" w:rsidRPr="00D345AD">
              <w:t xml:space="preserve">s </w:t>
            </w:r>
            <w:r w:rsidR="5B8247CF" w:rsidRPr="00D345AD">
              <w:t>strategic direction</w:t>
            </w:r>
            <w:r w:rsidR="02371FA3" w:rsidRPr="00D345AD">
              <w:t>.</w:t>
            </w:r>
          </w:p>
        </w:tc>
      </w:tr>
      <w:tr w:rsidR="00D61824" w:rsidRPr="00881E02" w14:paraId="7C133F2A" w14:textId="77777777" w:rsidTr="00FC5100">
        <w:trPr>
          <w:cnfStyle w:val="000000010000" w:firstRow="0" w:lastRow="0" w:firstColumn="0" w:lastColumn="0" w:oddVBand="0" w:evenVBand="0" w:oddHBand="0" w:evenHBand="1" w:firstRowFirstColumn="0" w:firstRowLastColumn="0" w:lastRowFirstColumn="0" w:lastRowLastColumn="0"/>
        </w:trPr>
        <w:tc>
          <w:tcPr>
            <w:tcW w:w="1985" w:type="dxa"/>
          </w:tcPr>
          <w:p w14:paraId="42C8CB16" w14:textId="77777777" w:rsidR="00E17F01" w:rsidRPr="00D345AD" w:rsidRDefault="00E17F01" w:rsidP="00625DAB">
            <w:pPr>
              <w:pStyle w:val="TableTextLeft"/>
            </w:pPr>
            <w:r w:rsidRPr="00D345AD">
              <w:t xml:space="preserve">The market loses confidence in our ability to achieve our purpose </w:t>
            </w:r>
          </w:p>
          <w:p w14:paraId="4ED640D6" w14:textId="77777777" w:rsidR="00D61824" w:rsidRPr="00D345AD" w:rsidRDefault="00D61824" w:rsidP="00625DAB">
            <w:pPr>
              <w:pStyle w:val="TableTextLeft"/>
            </w:pPr>
          </w:p>
        </w:tc>
        <w:tc>
          <w:tcPr>
            <w:tcW w:w="5670" w:type="dxa"/>
          </w:tcPr>
          <w:p w14:paraId="770BF6BA" w14:textId="7E476F63" w:rsidR="00847BCB" w:rsidRPr="00D345AD" w:rsidRDefault="00A21303" w:rsidP="00625DAB">
            <w:pPr>
              <w:pStyle w:val="TableTextLeft"/>
            </w:pPr>
            <w:r w:rsidRPr="00D345AD">
              <w:t>The AOFM continued to d</w:t>
            </w:r>
            <w:r w:rsidR="00E17F01" w:rsidRPr="00D345AD">
              <w:t xml:space="preserve">eliver an investor relations program </w:t>
            </w:r>
            <w:r w:rsidR="00A05E01" w:rsidRPr="00D345AD">
              <w:t xml:space="preserve">targeting </w:t>
            </w:r>
            <w:r w:rsidR="00BF03D3" w:rsidRPr="00D345AD">
              <w:t>new and potential</w:t>
            </w:r>
            <w:r w:rsidR="00E17F01" w:rsidRPr="00D345AD">
              <w:t xml:space="preserve"> </w:t>
            </w:r>
            <w:r w:rsidR="00AD4A65" w:rsidRPr="00D345AD">
              <w:t xml:space="preserve">global and domestic </w:t>
            </w:r>
            <w:r w:rsidR="00E17F01" w:rsidRPr="00D345AD">
              <w:t>AGS investor</w:t>
            </w:r>
            <w:r w:rsidR="00A05E01" w:rsidRPr="00D345AD">
              <w:t>s</w:t>
            </w:r>
            <w:r w:rsidR="00C9208E" w:rsidRPr="00D345AD">
              <w:t>.</w:t>
            </w:r>
            <w:r w:rsidR="00E17F01" w:rsidRPr="00D345AD">
              <w:t xml:space="preserve"> </w:t>
            </w:r>
          </w:p>
          <w:p w14:paraId="0C824164" w14:textId="0C8E9ABA" w:rsidR="00D61824" w:rsidRPr="00D345AD" w:rsidRDefault="00AD4A65" w:rsidP="00625DAB">
            <w:pPr>
              <w:pStyle w:val="TableTextLeft"/>
            </w:pPr>
            <w:r w:rsidRPr="00D345AD">
              <w:t>We conducted</w:t>
            </w:r>
            <w:r w:rsidR="00E17F01" w:rsidRPr="00D345AD">
              <w:t xml:space="preserve"> regular industry engagement in support of the AGS and securitisation markets</w:t>
            </w:r>
            <w:r w:rsidR="005B5DF4">
              <w:t>,</w:t>
            </w:r>
            <w:r w:rsidRPr="00D345AD">
              <w:t xml:space="preserve"> and m</w:t>
            </w:r>
            <w:r w:rsidR="00E17F01" w:rsidRPr="00D345AD">
              <w:t>aintain</w:t>
            </w:r>
            <w:r w:rsidRPr="00D345AD">
              <w:t>ed strong</w:t>
            </w:r>
            <w:r w:rsidR="00E17F01" w:rsidRPr="00D345AD">
              <w:t xml:space="preserve"> communication strategies </w:t>
            </w:r>
            <w:r w:rsidRPr="00D345AD">
              <w:t>to</w:t>
            </w:r>
            <w:r w:rsidR="00E17F01" w:rsidRPr="00D345AD">
              <w:t xml:space="preserve"> ensure market announcements and other products enhance</w:t>
            </w:r>
            <w:r w:rsidRPr="00D345AD">
              <w:t>d</w:t>
            </w:r>
            <w:r w:rsidR="00E17F01" w:rsidRPr="00D345AD">
              <w:t xml:space="preserve"> our credibility and transparency in AGS and securitisation markets</w:t>
            </w:r>
            <w:r w:rsidR="00C9208E" w:rsidRPr="00D345AD">
              <w:t>.</w:t>
            </w:r>
          </w:p>
        </w:tc>
      </w:tr>
      <w:tr w:rsidR="00D61824" w:rsidRPr="00881E02" w14:paraId="7417A6B8" w14:textId="77777777" w:rsidTr="00FC5100">
        <w:tc>
          <w:tcPr>
            <w:tcW w:w="1985" w:type="dxa"/>
          </w:tcPr>
          <w:p w14:paraId="096B240C" w14:textId="0BA54D9C" w:rsidR="00D61824" w:rsidRPr="00D345AD" w:rsidRDefault="004F2CB9" w:rsidP="00625DAB">
            <w:pPr>
              <w:pStyle w:val="TableTextLeft"/>
            </w:pPr>
            <w:r w:rsidRPr="00D345AD">
              <w:t>Compromise of one or more key suppliers severely impacts our ability to deliver our operational responsibilities</w:t>
            </w:r>
          </w:p>
        </w:tc>
        <w:tc>
          <w:tcPr>
            <w:tcW w:w="5670" w:type="dxa"/>
          </w:tcPr>
          <w:p w14:paraId="7373A721" w14:textId="7F9A13B5" w:rsidR="00C33CB8" w:rsidRPr="00D345AD" w:rsidRDefault="008D0A31" w:rsidP="00625DAB">
            <w:pPr>
              <w:pStyle w:val="TableTextLeft"/>
            </w:pPr>
            <w:r w:rsidRPr="00D345AD">
              <w:t xml:space="preserve">The AOFM </w:t>
            </w:r>
            <w:r w:rsidR="004E4053" w:rsidRPr="00D345AD">
              <w:t xml:space="preserve">continued our </w:t>
            </w:r>
            <w:r w:rsidR="004F2CB9" w:rsidRPr="00D345AD">
              <w:t>strong</w:t>
            </w:r>
            <w:r w:rsidR="004E4053" w:rsidRPr="00D345AD">
              <w:t xml:space="preserve"> and</w:t>
            </w:r>
            <w:r w:rsidR="004F2CB9" w:rsidRPr="00D345AD">
              <w:t xml:space="preserve"> collaborative relationships with our key suppliers</w:t>
            </w:r>
            <w:r w:rsidR="00E5101D">
              <w:t>,</w:t>
            </w:r>
            <w:r w:rsidR="004E4053" w:rsidRPr="00D345AD">
              <w:t xml:space="preserve"> including </w:t>
            </w:r>
            <w:r w:rsidR="00433E8B" w:rsidRPr="00D345AD">
              <w:t xml:space="preserve">working with one supplier to ensure </w:t>
            </w:r>
            <w:r w:rsidR="005B5DF4">
              <w:t xml:space="preserve">its </w:t>
            </w:r>
            <w:r w:rsidR="00433E8B" w:rsidRPr="00D345AD">
              <w:t xml:space="preserve">transition to </w:t>
            </w:r>
            <w:r w:rsidR="000541F9" w:rsidRPr="00D345AD">
              <w:t>cloud data storage met the AOFM and Commonwealth requirements</w:t>
            </w:r>
            <w:r w:rsidR="003F2BB1" w:rsidRPr="00D345AD">
              <w:t xml:space="preserve"> and </w:t>
            </w:r>
            <w:r w:rsidR="005B5DF4">
              <w:t>it</w:t>
            </w:r>
            <w:r w:rsidR="005B5DF4" w:rsidRPr="00D345AD">
              <w:t xml:space="preserve"> </w:t>
            </w:r>
            <w:r w:rsidR="003F2BB1" w:rsidRPr="00D345AD">
              <w:t xml:space="preserve">retained </w:t>
            </w:r>
            <w:r w:rsidR="005B5DF4">
              <w:t>its</w:t>
            </w:r>
            <w:r w:rsidR="003F2BB1" w:rsidRPr="00D345AD">
              <w:t xml:space="preserve"> authority to operate</w:t>
            </w:r>
            <w:r w:rsidR="00E5101D">
              <w:t>.</w:t>
            </w:r>
          </w:p>
          <w:p w14:paraId="6E52A883" w14:textId="19D66A0A" w:rsidR="00D61824" w:rsidRPr="00D345AD" w:rsidRDefault="000541F9" w:rsidP="00625DAB">
            <w:pPr>
              <w:pStyle w:val="TableTextLeft"/>
            </w:pPr>
            <w:r w:rsidRPr="00D345AD">
              <w:t>We continue to receive annual</w:t>
            </w:r>
            <w:r w:rsidR="004F2CB9" w:rsidRPr="00D345AD">
              <w:t xml:space="preserve"> assurance over </w:t>
            </w:r>
            <w:r w:rsidR="00175377" w:rsidRPr="00D345AD">
              <w:t xml:space="preserve">our </w:t>
            </w:r>
            <w:r w:rsidR="004F2CB9" w:rsidRPr="00D345AD">
              <w:t>third</w:t>
            </w:r>
            <w:r w:rsidR="00B84FF2">
              <w:noBreakHyphen/>
            </w:r>
            <w:r w:rsidR="004F2CB9" w:rsidRPr="00D345AD">
              <w:t>part</w:t>
            </w:r>
            <w:r w:rsidR="00175377" w:rsidRPr="00D345AD">
              <w:t>ies</w:t>
            </w:r>
            <w:r w:rsidR="00B84FF2">
              <w:t>’</w:t>
            </w:r>
            <w:r w:rsidR="004F2CB9" w:rsidRPr="00D345AD">
              <w:t xml:space="preserve"> business continuity and disaster recovery arrangements</w:t>
            </w:r>
            <w:r w:rsidR="003F2BB1" w:rsidRPr="00D345AD">
              <w:t>.</w:t>
            </w:r>
          </w:p>
        </w:tc>
      </w:tr>
      <w:tr w:rsidR="00202B39" w:rsidRPr="00881E02" w14:paraId="3ED14069" w14:textId="77777777" w:rsidTr="00FC5100">
        <w:trPr>
          <w:cnfStyle w:val="000000010000" w:firstRow="0" w:lastRow="0" w:firstColumn="0" w:lastColumn="0" w:oddVBand="0" w:evenVBand="0" w:oddHBand="0" w:evenHBand="1" w:firstRowFirstColumn="0" w:firstRowLastColumn="0" w:lastRowFirstColumn="0" w:lastRowLastColumn="0"/>
        </w:trPr>
        <w:tc>
          <w:tcPr>
            <w:tcW w:w="1985" w:type="dxa"/>
          </w:tcPr>
          <w:p w14:paraId="6ABFC5B3" w14:textId="3345D5F3" w:rsidR="00202B39" w:rsidRPr="00D345AD" w:rsidRDefault="00706E8E" w:rsidP="00625DAB">
            <w:pPr>
              <w:pStyle w:val="TableTextLeft"/>
            </w:pPr>
            <w:r w:rsidRPr="00D345AD">
              <w:t xml:space="preserve">A lack of knowledge management </w:t>
            </w:r>
            <w:r w:rsidR="00213FED" w:rsidRPr="00D345AD">
              <w:t>transfer mechanisms</w:t>
            </w:r>
            <w:r w:rsidR="00675CB6" w:rsidRPr="00D345AD">
              <w:t xml:space="preserve"> affects our f</w:t>
            </w:r>
            <w:r w:rsidR="00C372C4" w:rsidRPr="00D345AD">
              <w:t>utur</w:t>
            </w:r>
            <w:r w:rsidR="00986E1B" w:rsidRPr="00D345AD">
              <w:t>e</w:t>
            </w:r>
            <w:r w:rsidR="00C372C4" w:rsidRPr="00D345AD">
              <w:t xml:space="preserve"> workforce capability</w:t>
            </w:r>
          </w:p>
        </w:tc>
        <w:tc>
          <w:tcPr>
            <w:tcW w:w="5670" w:type="dxa"/>
          </w:tcPr>
          <w:p w14:paraId="6595A79A" w14:textId="5D2C19C3" w:rsidR="00202B39" w:rsidRPr="00D345AD" w:rsidRDefault="47B959D0" w:rsidP="00625DAB">
            <w:pPr>
              <w:pStyle w:val="TableTextLeft"/>
            </w:pPr>
            <w:r w:rsidRPr="00D345AD">
              <w:t>In 2024</w:t>
            </w:r>
            <w:r w:rsidR="005B5DF4">
              <w:t>–</w:t>
            </w:r>
            <w:r w:rsidRPr="00D345AD">
              <w:t xml:space="preserve">25, </w:t>
            </w:r>
            <w:r w:rsidR="005B5DF4">
              <w:t>we began reviewing</w:t>
            </w:r>
            <w:r w:rsidR="64A56272" w:rsidRPr="00D345AD">
              <w:t xml:space="preserve"> our policies and procedures to ensure we are accurately transferring knowledge and complying with our legislative obligations.</w:t>
            </w:r>
          </w:p>
          <w:p w14:paraId="5A104FC6" w14:textId="6FA88AE1" w:rsidR="00202B39" w:rsidRPr="00D345AD" w:rsidRDefault="7C8C5295" w:rsidP="00625DAB">
            <w:pPr>
              <w:pStyle w:val="TableTextLeft"/>
            </w:pPr>
            <w:r w:rsidRPr="00D345AD">
              <w:t>We continued the cross</w:t>
            </w:r>
            <w:r w:rsidR="00B84FF2">
              <w:noBreakHyphen/>
            </w:r>
            <w:r w:rsidRPr="00D345AD">
              <w:t xml:space="preserve">skilling of staff </w:t>
            </w:r>
            <w:r w:rsidR="0C49148D" w:rsidRPr="00D345AD">
              <w:t>across functions</w:t>
            </w:r>
            <w:r w:rsidRPr="00D345AD">
              <w:t xml:space="preserve"> through internal transfers, </w:t>
            </w:r>
            <w:r w:rsidR="02F8BEB0" w:rsidRPr="00D345AD">
              <w:t>communities of practice</w:t>
            </w:r>
            <w:r w:rsidR="005B5DF4">
              <w:t xml:space="preserve"> and</w:t>
            </w:r>
            <w:r w:rsidRPr="00D345AD">
              <w:t xml:space="preserve"> collaborative discussion</w:t>
            </w:r>
            <w:r w:rsidR="548E29B0" w:rsidRPr="00D345AD">
              <w:t>s</w:t>
            </w:r>
            <w:r w:rsidR="005B5DF4">
              <w:t>,</w:t>
            </w:r>
            <w:r w:rsidR="548E29B0" w:rsidRPr="00D345AD">
              <w:t xml:space="preserve"> and </w:t>
            </w:r>
            <w:r w:rsidR="005B5DF4">
              <w:t>by updating our intranet to make</w:t>
            </w:r>
            <w:r w:rsidR="548E29B0" w:rsidRPr="00D345AD">
              <w:t xml:space="preserve"> information</w:t>
            </w:r>
            <w:r w:rsidR="005B5DF4">
              <w:t xml:space="preserve"> more accessible</w:t>
            </w:r>
            <w:r w:rsidRPr="00D345AD">
              <w:t>.</w:t>
            </w:r>
          </w:p>
        </w:tc>
      </w:tr>
    </w:tbl>
    <w:p w14:paraId="4E5D1FEE" w14:textId="661A1438" w:rsidR="00341391" w:rsidRPr="006534F5" w:rsidRDefault="00341391" w:rsidP="00713231">
      <w:pPr>
        <w:pStyle w:val="Heading3"/>
      </w:pPr>
      <w:bookmarkStart w:id="1017" w:name="_Toc207796083"/>
      <w:r w:rsidRPr="006534F5">
        <w:t xml:space="preserve">Fraud </w:t>
      </w:r>
      <w:r>
        <w:t xml:space="preserve">and corruption </w:t>
      </w:r>
      <w:r w:rsidRPr="006534F5">
        <w:t>prevention and control</w:t>
      </w:r>
      <w:bookmarkEnd w:id="1008"/>
      <w:bookmarkEnd w:id="1009"/>
      <w:bookmarkEnd w:id="1010"/>
      <w:bookmarkEnd w:id="1011"/>
      <w:bookmarkEnd w:id="1012"/>
      <w:bookmarkEnd w:id="1013"/>
      <w:bookmarkEnd w:id="1014"/>
      <w:bookmarkEnd w:id="1015"/>
      <w:bookmarkEnd w:id="1016"/>
      <w:bookmarkEnd w:id="1017"/>
    </w:p>
    <w:p w14:paraId="63669F07" w14:textId="5D32D905" w:rsidR="00014D86" w:rsidRDefault="00014D86" w:rsidP="00014D86">
      <w:r>
        <w:t xml:space="preserve">The AOFM has minimal appetite for fraud and </w:t>
      </w:r>
      <w:proofErr w:type="gramStart"/>
      <w:r>
        <w:t>corruption</w:t>
      </w:r>
      <w:r w:rsidR="00B228A7">
        <w:t>,</w:t>
      </w:r>
      <w:r>
        <w:t xml:space="preserve"> and</w:t>
      </w:r>
      <w:proofErr w:type="gramEnd"/>
      <w:r>
        <w:t xml:space="preserve"> has taken comprehensive preventative steps</w:t>
      </w:r>
      <w:r w:rsidR="00B228A7">
        <w:t xml:space="preserve"> to address these issues</w:t>
      </w:r>
      <w:r>
        <w:t>. These</w:t>
      </w:r>
      <w:r w:rsidR="00B228A7">
        <w:t xml:space="preserve"> steps</w:t>
      </w:r>
      <w:r>
        <w:t xml:space="preserve"> include following a fraud and corruption control plan, which </w:t>
      </w:r>
      <w:r w:rsidR="00B228A7">
        <w:t xml:space="preserve">includes </w:t>
      </w:r>
      <w:r>
        <w:t xml:space="preserve">processes and systems to ensure </w:t>
      </w:r>
      <w:r w:rsidR="00B228A7">
        <w:t xml:space="preserve">we </w:t>
      </w:r>
      <w:r>
        <w:t>regular</w:t>
      </w:r>
      <w:r w:rsidR="00B228A7">
        <w:t>ly</w:t>
      </w:r>
      <w:r>
        <w:t xml:space="preserve"> </w:t>
      </w:r>
      <w:r w:rsidR="00B228A7">
        <w:t>identify</w:t>
      </w:r>
      <w:r>
        <w:t xml:space="preserve">, assess and treat fraud risk vulnerabilities. </w:t>
      </w:r>
      <w:r w:rsidR="00B228A7">
        <w:t>Throughout 2024</w:t>
      </w:r>
      <w:r w:rsidR="00BE6ED5">
        <w:t>–</w:t>
      </w:r>
      <w:r w:rsidR="00B228A7">
        <w:t xml:space="preserve">25 the AOFM provided mandatory </w:t>
      </w:r>
      <w:r>
        <w:t xml:space="preserve">annual fraud and corruption awareness training to all staff, including new staff </w:t>
      </w:r>
      <w:r w:rsidR="00B228A7">
        <w:t xml:space="preserve">during their </w:t>
      </w:r>
      <w:r>
        <w:t xml:space="preserve">induction. </w:t>
      </w:r>
    </w:p>
    <w:p w14:paraId="3406723E" w14:textId="1266AF46" w:rsidR="00014D86" w:rsidRPr="00014D86" w:rsidRDefault="00014D86" w:rsidP="007A6DDC">
      <w:r>
        <w:t xml:space="preserve">We report on fraud and corruption matters to the Treasurer and the Australian Institute of Criminology. </w:t>
      </w:r>
      <w:r w:rsidR="00B228A7">
        <w:t xml:space="preserve">We identified no </w:t>
      </w:r>
      <w:r>
        <w:t xml:space="preserve">instances of fraud or suspected fraud </w:t>
      </w:r>
      <w:r w:rsidR="00B228A7">
        <w:t>in 2024</w:t>
      </w:r>
      <w:r w:rsidR="00BE6ED5">
        <w:t>–</w:t>
      </w:r>
      <w:r w:rsidR="00B228A7">
        <w:t>25</w:t>
      </w:r>
      <w:r>
        <w:t>.</w:t>
      </w:r>
    </w:p>
    <w:p w14:paraId="469A103A" w14:textId="77777777" w:rsidR="00096CFE" w:rsidRDefault="00096CFE">
      <w:pPr>
        <w:spacing w:after="0" w:line="240" w:lineRule="auto"/>
        <w:rPr>
          <w:rFonts w:eastAsiaTheme="majorEastAsia" w:cs="Open Sans Semibold"/>
          <w:b/>
          <w:bCs/>
          <w:color w:val="19556D"/>
          <w:sz w:val="30"/>
          <w:szCs w:val="32"/>
        </w:rPr>
      </w:pPr>
      <w:bookmarkStart w:id="1018" w:name="_Toc145684531"/>
      <w:bookmarkStart w:id="1019" w:name="_Toc145685131"/>
      <w:bookmarkStart w:id="1020" w:name="_Toc145686084"/>
      <w:bookmarkStart w:id="1021" w:name="_Toc145686283"/>
      <w:bookmarkStart w:id="1022" w:name="_Toc145686482"/>
      <w:bookmarkStart w:id="1023" w:name="_Toc145686783"/>
      <w:bookmarkStart w:id="1024" w:name="_Toc173408181"/>
      <w:bookmarkStart w:id="1025" w:name="_Toc173411503"/>
      <w:bookmarkStart w:id="1026" w:name="_Toc173479183"/>
      <w:bookmarkStart w:id="1027" w:name="_Toc207796084"/>
      <w:r>
        <w:br w:type="page"/>
      </w:r>
    </w:p>
    <w:p w14:paraId="54071C88" w14:textId="4DBC29BD" w:rsidR="008E6C23" w:rsidRPr="006534F5" w:rsidRDefault="008E6C23" w:rsidP="00713231">
      <w:pPr>
        <w:pStyle w:val="Heading3"/>
      </w:pPr>
      <w:r w:rsidRPr="006534F5">
        <w:lastRenderedPageBreak/>
        <w:t>Business continuity</w:t>
      </w:r>
      <w:bookmarkStart w:id="1028" w:name="_Hlk110243571"/>
      <w:bookmarkEnd w:id="1018"/>
      <w:bookmarkEnd w:id="1019"/>
      <w:bookmarkEnd w:id="1020"/>
      <w:bookmarkEnd w:id="1021"/>
      <w:bookmarkEnd w:id="1022"/>
      <w:bookmarkEnd w:id="1023"/>
      <w:bookmarkEnd w:id="1024"/>
      <w:bookmarkEnd w:id="1025"/>
      <w:bookmarkEnd w:id="1026"/>
      <w:bookmarkEnd w:id="1027"/>
    </w:p>
    <w:p w14:paraId="3670FE0A" w14:textId="371EBC91" w:rsidR="00E7637E" w:rsidRDefault="000449DC" w:rsidP="00C57609">
      <w:r w:rsidRPr="000449DC">
        <w:t>Business continuity management is integral to the AOFM</w:t>
      </w:r>
      <w:r w:rsidR="00B84FF2">
        <w:t>’</w:t>
      </w:r>
      <w:r w:rsidRPr="000449DC">
        <w:t xml:space="preserve">s risk management arrangements because we are an operational agency </w:t>
      </w:r>
      <w:r w:rsidR="00167CD3">
        <w:t>with time</w:t>
      </w:r>
      <w:r w:rsidR="00B84FF2">
        <w:noBreakHyphen/>
      </w:r>
      <w:r w:rsidR="00167CD3">
        <w:t>critical</w:t>
      </w:r>
      <w:r w:rsidR="00167CD3" w:rsidRPr="000449DC">
        <w:t xml:space="preserve"> </w:t>
      </w:r>
      <w:r w:rsidRPr="000449DC">
        <w:t xml:space="preserve">core activities. </w:t>
      </w:r>
    </w:p>
    <w:p w14:paraId="3B3EE859" w14:textId="4FFC3236" w:rsidR="00E7637E" w:rsidRDefault="000449DC" w:rsidP="00C57609">
      <w:r w:rsidRPr="000449DC">
        <w:t>Business continuity arrangements include multiple levels of redundancy that anticipate situations in which day</w:t>
      </w:r>
      <w:r w:rsidR="00B84FF2">
        <w:noBreakHyphen/>
      </w:r>
      <w:r w:rsidRPr="000449DC">
        <w:t>to</w:t>
      </w:r>
      <w:r w:rsidR="00B84FF2">
        <w:noBreakHyphen/>
      </w:r>
      <w:r w:rsidRPr="000449DC">
        <w:t xml:space="preserve">day business </w:t>
      </w:r>
      <w:proofErr w:type="gramStart"/>
      <w:r w:rsidRPr="000449DC">
        <w:t>systems</w:t>
      </w:r>
      <w:proofErr w:type="gramEnd"/>
      <w:r w:rsidRPr="000449DC">
        <w:t xml:space="preserve"> or our staff are not available to perform </w:t>
      </w:r>
      <w:r w:rsidR="00CD727E">
        <w:t>critical</w:t>
      </w:r>
      <w:r w:rsidR="00CD727E" w:rsidRPr="000449DC">
        <w:t xml:space="preserve"> </w:t>
      </w:r>
      <w:r w:rsidRPr="000449DC">
        <w:t>tasks. The most time</w:t>
      </w:r>
      <w:r w:rsidR="00B84FF2">
        <w:noBreakHyphen/>
      </w:r>
      <w:r w:rsidRPr="000449DC">
        <w:t>critical functions covered by business continuity arrangements relate to issuance tenders and settlements</w:t>
      </w:r>
      <w:r w:rsidR="00167CD3">
        <w:t>;</w:t>
      </w:r>
      <w:r w:rsidRPr="000449DC">
        <w:t xml:space="preserve"> AGS payment obligations (coupons and maturity redemptions)</w:t>
      </w:r>
      <w:r w:rsidR="00167CD3">
        <w:t>;</w:t>
      </w:r>
      <w:r w:rsidRPr="000449DC">
        <w:t xml:space="preserve"> AOFM support for Budget preparation</w:t>
      </w:r>
      <w:r w:rsidR="00167CD3">
        <w:t>;</w:t>
      </w:r>
      <w:r w:rsidRPr="000449DC">
        <w:t xml:space="preserve"> and changes to documentation or transactions relating to the Australian Business Securitisation Fund</w:t>
      </w:r>
      <w:r w:rsidR="00B07432">
        <w:t>.</w:t>
      </w:r>
      <w:r w:rsidRPr="000449DC" w:rsidDel="00B07432">
        <w:t xml:space="preserve"> </w:t>
      </w:r>
    </w:p>
    <w:p w14:paraId="02D3A1A4" w14:textId="5BF9ABD1" w:rsidR="00C57609" w:rsidRPr="00C57609" w:rsidRDefault="00167CD3" w:rsidP="00C57609">
      <w:r>
        <w:t>In 2024–25, a</w:t>
      </w:r>
      <w:r w:rsidRPr="000449DC">
        <w:t xml:space="preserve"> </w:t>
      </w:r>
      <w:r w:rsidR="000449DC" w:rsidRPr="000449DC">
        <w:t xml:space="preserve">secure business continuity environment independent of the corporate network </w:t>
      </w:r>
      <w:r w:rsidR="00E7637E">
        <w:t>continued</w:t>
      </w:r>
      <w:r w:rsidR="000449DC" w:rsidRPr="000449DC">
        <w:t xml:space="preserve"> to provide redundancy for time</w:t>
      </w:r>
      <w:r w:rsidR="00B84FF2">
        <w:noBreakHyphen/>
      </w:r>
      <w:r w:rsidR="000449DC" w:rsidRPr="000449DC">
        <w:t xml:space="preserve">critical business processes. </w:t>
      </w:r>
      <w:r>
        <w:t>We reviewed and updated t</w:t>
      </w:r>
      <w:r w:rsidRPr="000449DC">
        <w:t xml:space="preserve">he </w:t>
      </w:r>
      <w:r w:rsidR="000449DC" w:rsidRPr="000449DC">
        <w:t xml:space="preserve">business continuity plan </w:t>
      </w:r>
      <w:r w:rsidR="0018109E">
        <w:t xml:space="preserve">to ensure </w:t>
      </w:r>
      <w:r w:rsidR="009E69D0">
        <w:t xml:space="preserve">staff new to AOFM were </w:t>
      </w:r>
      <w:r w:rsidR="008A09AA">
        <w:t>aware of arrangements</w:t>
      </w:r>
      <w:r w:rsidR="000449DC" w:rsidRPr="000449DC">
        <w:t>. These arrangements are supplemented by a crisis management framework to enhance business resiliency.</w:t>
      </w:r>
    </w:p>
    <w:p w14:paraId="44143C84" w14:textId="77777777" w:rsidR="00F31831" w:rsidRPr="006534F5" w:rsidRDefault="00F31831" w:rsidP="00713231">
      <w:pPr>
        <w:pStyle w:val="Heading3"/>
      </w:pPr>
      <w:bookmarkStart w:id="1029" w:name="_Toc145684532"/>
      <w:bookmarkStart w:id="1030" w:name="_Toc145685132"/>
      <w:bookmarkStart w:id="1031" w:name="_Toc145686085"/>
      <w:bookmarkStart w:id="1032" w:name="_Toc145686284"/>
      <w:bookmarkStart w:id="1033" w:name="_Toc145686483"/>
      <w:bookmarkStart w:id="1034" w:name="_Toc145686784"/>
      <w:bookmarkStart w:id="1035" w:name="_Toc173408182"/>
      <w:bookmarkStart w:id="1036" w:name="_Toc173411504"/>
      <w:bookmarkStart w:id="1037" w:name="_Toc173479184"/>
      <w:bookmarkStart w:id="1038" w:name="_Toc207796085"/>
      <w:bookmarkEnd w:id="1028"/>
      <w:r w:rsidRPr="006534F5">
        <w:t>Assurance</w:t>
      </w:r>
      <w:bookmarkEnd w:id="1029"/>
      <w:bookmarkEnd w:id="1030"/>
      <w:bookmarkEnd w:id="1031"/>
      <w:bookmarkEnd w:id="1032"/>
      <w:bookmarkEnd w:id="1033"/>
      <w:bookmarkEnd w:id="1034"/>
      <w:bookmarkEnd w:id="1035"/>
      <w:bookmarkEnd w:id="1036"/>
      <w:bookmarkEnd w:id="1037"/>
      <w:bookmarkEnd w:id="1038"/>
    </w:p>
    <w:p w14:paraId="51AA66DC" w14:textId="2FD4F948" w:rsidR="00A85752" w:rsidRPr="00A85752" w:rsidRDefault="00A85752" w:rsidP="00A85752">
      <w:r w:rsidRPr="00A85752">
        <w:t>The AOFM ERM framework is complemented by an assurance framework</w:t>
      </w:r>
      <w:r w:rsidR="008421DE">
        <w:t>, which we</w:t>
      </w:r>
      <w:r w:rsidRPr="00A85752">
        <w:t xml:space="preserve"> use to monitor the operation and effectiveness of key internal controls. This framework is modelled on best</w:t>
      </w:r>
      <w:r>
        <w:t xml:space="preserve"> </w:t>
      </w:r>
      <w:r w:rsidRPr="00A85752">
        <w:t>practice industry standards. </w:t>
      </w:r>
    </w:p>
    <w:p w14:paraId="1138D9FF" w14:textId="553CB220" w:rsidR="00A85752" w:rsidRPr="00A85752" w:rsidRDefault="00A85752" w:rsidP="00A85752">
      <w:r w:rsidRPr="00A85752">
        <w:t>Our compliance with external obligations and internal controls, and our policies and business procedures, were monitored through a co</w:t>
      </w:r>
      <w:r w:rsidR="00B84FF2">
        <w:noBreakHyphen/>
      </w:r>
      <w:r w:rsidRPr="00A85752">
        <w:t>sourced arrangement. This involved in</w:t>
      </w:r>
      <w:r w:rsidR="00B84FF2">
        <w:noBreakHyphen/>
      </w:r>
      <w:r w:rsidRPr="00A85752">
        <w:t xml:space="preserve">house Line 2 assurance and compliance activities supplemented by independent </w:t>
      </w:r>
      <w:r w:rsidR="008421DE" w:rsidRPr="00A85752">
        <w:t>Line</w:t>
      </w:r>
      <w:r w:rsidR="008421DE">
        <w:t> </w:t>
      </w:r>
      <w:r w:rsidRPr="00A85752">
        <w:t>3 internal audit services. In 20</w:t>
      </w:r>
      <w:r>
        <w:t>24</w:t>
      </w:r>
      <w:r w:rsidR="008421DE">
        <w:t>–</w:t>
      </w:r>
      <w:r>
        <w:t>25</w:t>
      </w:r>
      <w:r w:rsidRPr="00A85752">
        <w:t>, assurance and compliance activities provided structured assurance on the effectiveness of the AOFM</w:t>
      </w:r>
      <w:r w:rsidR="00B84FF2">
        <w:t>’</w:t>
      </w:r>
      <w:r w:rsidRPr="00A85752">
        <w:t>s governance arrangements, risk management and internal controls. The Audit and Risk Committee endorsed assurance targets for the year as part of setting the annual assurance strategy.</w:t>
      </w:r>
    </w:p>
    <w:p w14:paraId="4D0FB778" w14:textId="089D14DB" w:rsidR="00CD3BEA" w:rsidRDefault="00A85752" w:rsidP="00A85752">
      <w:r w:rsidRPr="00A85752">
        <w:t xml:space="preserve">Information and output from </w:t>
      </w:r>
      <w:r w:rsidR="008421DE">
        <w:t xml:space="preserve">the </w:t>
      </w:r>
      <w:r w:rsidRPr="00A85752">
        <w:t>ERM and assurance frameworks supported the CEO</w:t>
      </w:r>
      <w:r w:rsidR="00B84FF2">
        <w:t>’</w:t>
      </w:r>
      <w:r w:rsidRPr="00A85752">
        <w:t xml:space="preserve">s obligations </w:t>
      </w:r>
      <w:r w:rsidR="008421DE">
        <w:t>(</w:t>
      </w:r>
      <w:r w:rsidRPr="00A85752">
        <w:t>under section 16 of the PGPA Act</w:t>
      </w:r>
      <w:r w:rsidR="008421DE">
        <w:t>)</w:t>
      </w:r>
      <w:r w:rsidRPr="00A85752">
        <w:t xml:space="preserve"> to maintain appropriate systems of risk oversight and management of internal controls. </w:t>
      </w:r>
    </w:p>
    <w:p w14:paraId="0D35BA21" w14:textId="77777777" w:rsidR="00CD3BEA" w:rsidRDefault="00CD3BEA">
      <w:pPr>
        <w:spacing w:after="0" w:line="240" w:lineRule="auto"/>
      </w:pPr>
      <w:r>
        <w:br w:type="page"/>
      </w:r>
    </w:p>
    <w:p w14:paraId="778C85F0" w14:textId="77777777" w:rsidR="003C4CE3" w:rsidRPr="006534F5" w:rsidRDefault="003C4CE3" w:rsidP="00713231">
      <w:pPr>
        <w:pStyle w:val="Heading3"/>
      </w:pPr>
      <w:bookmarkStart w:id="1039" w:name="_Toc145684533"/>
      <w:bookmarkStart w:id="1040" w:name="_Toc145685133"/>
      <w:bookmarkStart w:id="1041" w:name="_Toc145686086"/>
      <w:bookmarkStart w:id="1042" w:name="_Toc145686285"/>
      <w:bookmarkStart w:id="1043" w:name="_Toc145686484"/>
      <w:bookmarkStart w:id="1044" w:name="_Toc145686785"/>
      <w:bookmarkStart w:id="1045" w:name="_Toc173408183"/>
      <w:bookmarkStart w:id="1046" w:name="_Toc173411505"/>
      <w:bookmarkStart w:id="1047" w:name="_Toc173479185"/>
      <w:bookmarkStart w:id="1048" w:name="_Toc207796086"/>
      <w:r w:rsidRPr="006534F5">
        <w:lastRenderedPageBreak/>
        <w:t>Internal audit</w:t>
      </w:r>
      <w:bookmarkEnd w:id="1039"/>
      <w:bookmarkEnd w:id="1040"/>
      <w:bookmarkEnd w:id="1041"/>
      <w:bookmarkEnd w:id="1042"/>
      <w:bookmarkEnd w:id="1043"/>
      <w:bookmarkEnd w:id="1044"/>
      <w:bookmarkEnd w:id="1045"/>
      <w:bookmarkEnd w:id="1046"/>
      <w:bookmarkEnd w:id="1047"/>
      <w:bookmarkEnd w:id="1048"/>
    </w:p>
    <w:p w14:paraId="31AF89A0" w14:textId="2F860BA6" w:rsidR="002037AD" w:rsidRDefault="002037AD" w:rsidP="00D67C72">
      <w:bookmarkStart w:id="1049" w:name="_Toc145684534"/>
      <w:bookmarkStart w:id="1050" w:name="_Toc145685134"/>
      <w:bookmarkStart w:id="1051" w:name="_Toc145686087"/>
      <w:bookmarkStart w:id="1052" w:name="_Toc145686286"/>
      <w:bookmarkStart w:id="1053" w:name="_Toc145686485"/>
      <w:bookmarkStart w:id="1054" w:name="_Toc145686786"/>
      <w:bookmarkStart w:id="1055" w:name="_Toc173408184"/>
      <w:bookmarkStart w:id="1056" w:name="_Toc173411506"/>
      <w:bookmarkStart w:id="1057" w:name="_Toc173479186"/>
      <w:r>
        <w:t xml:space="preserve">The AOFM internal audit service provider is </w:t>
      </w:r>
      <w:r w:rsidR="00951E39">
        <w:t>Synergy</w:t>
      </w:r>
      <w:r>
        <w:t>. Internal audit coverage was determined according to professional internal audit standards, with due regard to the AOFM</w:t>
      </w:r>
      <w:r w:rsidR="00B84FF2">
        <w:t>’</w:t>
      </w:r>
      <w:r w:rsidR="0012245B">
        <w:t>s</w:t>
      </w:r>
      <w:r>
        <w:t xml:space="preserve"> business and risk contexts. The </w:t>
      </w:r>
      <w:r w:rsidR="008A6FE3">
        <w:t>A</w:t>
      </w:r>
      <w:r>
        <w:t xml:space="preserve">udit and </w:t>
      </w:r>
      <w:r w:rsidR="008A6FE3">
        <w:t>R</w:t>
      </w:r>
      <w:r>
        <w:t xml:space="preserve">isk </w:t>
      </w:r>
      <w:r w:rsidR="008A6FE3">
        <w:t>C</w:t>
      </w:r>
      <w:r>
        <w:t>ommittee endorsed the 202</w:t>
      </w:r>
      <w:r w:rsidR="00951E39">
        <w:t>4</w:t>
      </w:r>
      <w:r w:rsidR="00BE6ED5">
        <w:t>–‍</w:t>
      </w:r>
      <w:r w:rsidR="00951E39">
        <w:t>25</w:t>
      </w:r>
      <w:r>
        <w:t xml:space="preserve"> internal audit strategy </w:t>
      </w:r>
      <w:r w:rsidR="00EB4C2C">
        <w:t xml:space="preserve">(and a subsequent </w:t>
      </w:r>
      <w:r w:rsidR="007D34C1">
        <w:t>revision)</w:t>
      </w:r>
      <w:r>
        <w:t xml:space="preserve"> for CEO approval.</w:t>
      </w:r>
    </w:p>
    <w:p w14:paraId="5F17FE9B" w14:textId="0D560B64" w:rsidR="002354A4" w:rsidRDefault="001A3C21" w:rsidP="00D67C72">
      <w:pPr>
        <w:pStyle w:val="Bullet"/>
        <w:numPr>
          <w:ilvl w:val="0"/>
          <w:numId w:val="0"/>
        </w:numPr>
        <w:rPr>
          <w:bCs w:val="0"/>
          <w:iCs w:val="0"/>
        </w:rPr>
      </w:pPr>
      <w:r w:rsidRPr="001A3C21">
        <w:rPr>
          <w:bCs w:val="0"/>
          <w:iCs w:val="0"/>
        </w:rPr>
        <w:t xml:space="preserve">The internal auditor completed </w:t>
      </w:r>
      <w:r w:rsidR="00BB59E8">
        <w:rPr>
          <w:bCs w:val="0"/>
          <w:iCs w:val="0"/>
        </w:rPr>
        <w:t>4</w:t>
      </w:r>
      <w:r w:rsidRPr="001A3C21">
        <w:rPr>
          <w:bCs w:val="0"/>
          <w:iCs w:val="0"/>
        </w:rPr>
        <w:t xml:space="preserve"> reviews in 202</w:t>
      </w:r>
      <w:r>
        <w:rPr>
          <w:bCs w:val="0"/>
          <w:iCs w:val="0"/>
        </w:rPr>
        <w:t>4</w:t>
      </w:r>
      <w:r w:rsidR="00BE6ED5">
        <w:t>–</w:t>
      </w:r>
      <w:r>
        <w:rPr>
          <w:bCs w:val="0"/>
          <w:iCs w:val="0"/>
        </w:rPr>
        <w:t>25</w:t>
      </w:r>
      <w:r w:rsidRPr="001A3C21">
        <w:rPr>
          <w:bCs w:val="0"/>
          <w:iCs w:val="0"/>
        </w:rPr>
        <w:t xml:space="preserve">, </w:t>
      </w:r>
      <w:r w:rsidR="0012245B">
        <w:rPr>
          <w:bCs w:val="0"/>
          <w:iCs w:val="0"/>
        </w:rPr>
        <w:t>which</w:t>
      </w:r>
      <w:r w:rsidR="0012245B" w:rsidRPr="001A3C21">
        <w:rPr>
          <w:bCs w:val="0"/>
          <w:iCs w:val="0"/>
        </w:rPr>
        <w:t xml:space="preserve"> </w:t>
      </w:r>
      <w:r w:rsidRPr="001A3C21">
        <w:rPr>
          <w:bCs w:val="0"/>
          <w:iCs w:val="0"/>
        </w:rPr>
        <w:t xml:space="preserve">included an assessment of: </w:t>
      </w:r>
    </w:p>
    <w:p w14:paraId="4CD1DDA1" w14:textId="1C1C81C7" w:rsidR="00F3230F" w:rsidRPr="00F3230F" w:rsidRDefault="00F3230F" w:rsidP="00F3230F">
      <w:pPr>
        <w:pStyle w:val="Bullet"/>
      </w:pPr>
      <w:r w:rsidRPr="00F3230F">
        <w:t>the adequacy of controls in place to support a</w:t>
      </w:r>
      <w:r w:rsidR="008A6FE3">
        <w:t>n</w:t>
      </w:r>
      <w:r w:rsidRPr="00F3230F">
        <w:t xml:space="preserve"> upgrade of the AOFM</w:t>
      </w:r>
      <w:r w:rsidR="00B84FF2">
        <w:t>’</w:t>
      </w:r>
      <w:r w:rsidRPr="00F3230F">
        <w:t>s Treasury Management System</w:t>
      </w:r>
    </w:p>
    <w:p w14:paraId="689727C9" w14:textId="26B6A8B4" w:rsidR="00F3230F" w:rsidRPr="00F3230F" w:rsidRDefault="00F3230F" w:rsidP="00F3230F">
      <w:pPr>
        <w:pStyle w:val="Bullet"/>
      </w:pPr>
      <w:r w:rsidRPr="00F3230F">
        <w:t xml:space="preserve">whether the update of </w:t>
      </w:r>
      <w:r w:rsidR="003D586D">
        <w:t xml:space="preserve">the </w:t>
      </w:r>
      <w:r w:rsidRPr="00F3230F">
        <w:t>AOFM</w:t>
      </w:r>
      <w:r w:rsidR="00B84FF2">
        <w:t>’</w:t>
      </w:r>
      <w:r w:rsidRPr="00F3230F">
        <w:t>s Financial Risk Policy adequa</w:t>
      </w:r>
      <w:r w:rsidR="00812F8B">
        <w:t>tel</w:t>
      </w:r>
      <w:r w:rsidRPr="00F3230F">
        <w:t>y addresse</w:t>
      </w:r>
      <w:r w:rsidR="008A6FE3">
        <w:t>d</w:t>
      </w:r>
      <w:r w:rsidRPr="00F3230F">
        <w:t xml:space="preserve"> </w:t>
      </w:r>
      <w:r w:rsidR="00D302C6">
        <w:t xml:space="preserve">the </w:t>
      </w:r>
      <w:r w:rsidR="004C13B0" w:rsidRPr="004C13B0">
        <w:t>Australian National Audit Office</w:t>
      </w:r>
      <w:r w:rsidR="000B7694">
        <w:t xml:space="preserve"> performance audit</w:t>
      </w:r>
      <w:r w:rsidRPr="00F3230F">
        <w:t xml:space="preserve"> recommendations and </w:t>
      </w:r>
      <w:r w:rsidR="00533A37">
        <w:t>wa</w:t>
      </w:r>
      <w:r w:rsidR="00533A37" w:rsidRPr="00F3230F">
        <w:t>s</w:t>
      </w:r>
      <w:r w:rsidRPr="00F3230F">
        <w:t xml:space="preserve"> fit for purpose</w:t>
      </w:r>
    </w:p>
    <w:p w14:paraId="2706F664" w14:textId="78BBBED4" w:rsidR="004A7D7A" w:rsidRPr="00F3230F" w:rsidRDefault="00FF226D" w:rsidP="008A6FE3">
      <w:pPr>
        <w:pStyle w:val="Bullet"/>
      </w:pPr>
      <w:r w:rsidRPr="00FF226D">
        <w:t>whether</w:t>
      </w:r>
      <w:r w:rsidRPr="00F3230F">
        <w:t xml:space="preserve"> </w:t>
      </w:r>
      <w:r w:rsidR="000B7694">
        <w:t>the</w:t>
      </w:r>
      <w:r w:rsidRPr="00FF226D">
        <w:t xml:space="preserve"> AOFM</w:t>
      </w:r>
      <w:r w:rsidR="00B84FF2">
        <w:t>’</w:t>
      </w:r>
      <w:r w:rsidRPr="00FF226D">
        <w:t xml:space="preserve">s controls </w:t>
      </w:r>
      <w:r w:rsidR="005C4509">
        <w:t>we</w:t>
      </w:r>
      <w:r w:rsidR="005C4509" w:rsidRPr="00F3230F">
        <w:t>re</w:t>
      </w:r>
      <w:r w:rsidRPr="00FF226D">
        <w:t xml:space="preserve"> adequate to detect and prevent fraudulent behaviour to comply with the new and amended legislations</w:t>
      </w:r>
      <w:r w:rsidR="007558DD">
        <w:t xml:space="preserve"> </w:t>
      </w:r>
      <w:r w:rsidR="00EB54ED">
        <w:t xml:space="preserve">– including the </w:t>
      </w:r>
      <w:r w:rsidR="007558DD" w:rsidRPr="00DC4A60">
        <w:rPr>
          <w:i/>
        </w:rPr>
        <w:t>National Anti</w:t>
      </w:r>
      <w:r w:rsidR="00B84FF2">
        <w:rPr>
          <w:i/>
        </w:rPr>
        <w:noBreakHyphen/>
      </w:r>
      <w:r w:rsidR="007558DD" w:rsidRPr="00DC4A60">
        <w:rPr>
          <w:i/>
        </w:rPr>
        <w:t xml:space="preserve">Corruption Commission Act </w:t>
      </w:r>
      <w:r w:rsidR="007558DD" w:rsidRPr="009216A4">
        <w:rPr>
          <w:i/>
          <w:iCs w:val="0"/>
        </w:rPr>
        <w:t>2022</w:t>
      </w:r>
      <w:r w:rsidR="007558DD">
        <w:t xml:space="preserve"> </w:t>
      </w:r>
      <w:r w:rsidR="0012245B">
        <w:t xml:space="preserve">(NACC Act) </w:t>
      </w:r>
      <w:r w:rsidR="007558DD">
        <w:t xml:space="preserve">and </w:t>
      </w:r>
      <w:r w:rsidR="002D412C" w:rsidRPr="00DC4A60">
        <w:rPr>
          <w:i/>
        </w:rPr>
        <w:t>Public Interest Disclosure</w:t>
      </w:r>
      <w:r w:rsidR="0095043D" w:rsidRPr="00DC4A60">
        <w:rPr>
          <w:i/>
        </w:rPr>
        <w:t xml:space="preserve"> </w:t>
      </w:r>
      <w:r w:rsidR="002D412C" w:rsidRPr="00DC4A60">
        <w:rPr>
          <w:i/>
        </w:rPr>
        <w:t>Amendment (Review) Act 2023</w:t>
      </w:r>
      <w:r w:rsidR="0012245B">
        <w:t xml:space="preserve"> (PID Act)</w:t>
      </w:r>
      <w:r w:rsidR="00EB54ED">
        <w:t xml:space="preserve"> –</w:t>
      </w:r>
      <w:r w:rsidRPr="00FF226D">
        <w:t xml:space="preserve"> </w:t>
      </w:r>
      <w:r w:rsidR="000E0467">
        <w:t xml:space="preserve">and </w:t>
      </w:r>
      <w:r w:rsidRPr="00FF226D">
        <w:t xml:space="preserve">the </w:t>
      </w:r>
      <w:r w:rsidR="00827840" w:rsidRPr="00827840">
        <w:t xml:space="preserve">Commonwealth Fraud and Corruption Control </w:t>
      </w:r>
      <w:r w:rsidRPr="00FF226D">
        <w:t>Framework</w:t>
      </w:r>
    </w:p>
    <w:p w14:paraId="5A975896" w14:textId="45D25149" w:rsidR="00762E06" w:rsidRDefault="00762E06">
      <w:pPr>
        <w:pStyle w:val="Bullet"/>
      </w:pPr>
      <w:r w:rsidRPr="00762E06">
        <w:t>the effectiveness of the implementation of</w:t>
      </w:r>
      <w:r w:rsidR="0012245B">
        <w:t xml:space="preserve"> and </w:t>
      </w:r>
      <w:r w:rsidRPr="00762E06">
        <w:t>compliance with AOFM</w:t>
      </w:r>
      <w:r w:rsidR="00B84FF2">
        <w:t>’</w:t>
      </w:r>
      <w:r w:rsidRPr="00762E06">
        <w:t>s new procurement framework and associated legislative requirements</w:t>
      </w:r>
      <w:r w:rsidR="00DB0D10">
        <w:t>.</w:t>
      </w:r>
    </w:p>
    <w:p w14:paraId="52345A6C" w14:textId="3633B5C5" w:rsidR="004A7D7A" w:rsidRDefault="0012245B" w:rsidP="008A6FE3">
      <w:pPr>
        <w:pStyle w:val="Bullet"/>
        <w:numPr>
          <w:ilvl w:val="0"/>
          <w:numId w:val="0"/>
        </w:numPr>
      </w:pPr>
      <w:r w:rsidRPr="00996CF7">
        <w:rPr>
          <w:rStyle w:val="normaltextrun"/>
          <w:rFonts w:cs="Segoe UI"/>
          <w:color w:val="auto"/>
          <w:shd w:val="clear" w:color="auto" w:fill="FFFFFF"/>
        </w:rPr>
        <w:t>Eight</w:t>
      </w:r>
      <w:r w:rsidR="00C70C1A" w:rsidRPr="00996CF7">
        <w:rPr>
          <w:rStyle w:val="normaltextrun"/>
          <w:rFonts w:cs="Segoe UI"/>
          <w:color w:val="auto"/>
          <w:shd w:val="clear" w:color="auto" w:fill="FFFFFF"/>
        </w:rPr>
        <w:t xml:space="preserve"> internal audit recommendations were implemented</w:t>
      </w:r>
      <w:r w:rsidRPr="00996CF7">
        <w:rPr>
          <w:rStyle w:val="normaltextrun"/>
          <w:rFonts w:cs="Segoe UI"/>
          <w:color w:val="auto"/>
          <w:shd w:val="clear" w:color="auto" w:fill="FFFFFF"/>
        </w:rPr>
        <w:t xml:space="preserve"> during the year,</w:t>
      </w:r>
      <w:r w:rsidR="00C70C1A" w:rsidRPr="00996CF7">
        <w:rPr>
          <w:rStyle w:val="normaltextrun"/>
          <w:rFonts w:cs="Segoe UI"/>
          <w:color w:val="auto"/>
          <w:shd w:val="clear" w:color="auto" w:fill="FFFFFF"/>
        </w:rPr>
        <w:t xml:space="preserve"> and</w:t>
      </w:r>
      <w:r w:rsidRPr="00996CF7">
        <w:rPr>
          <w:color w:val="auto"/>
        </w:rPr>
        <w:t xml:space="preserve"> </w:t>
      </w:r>
      <w:proofErr w:type="gramStart"/>
      <w:r w:rsidR="004A7D7A">
        <w:t>at</w:t>
      </w:r>
      <w:proofErr w:type="gramEnd"/>
      <w:r w:rsidR="004A7D7A">
        <w:t xml:space="preserve"> 30</w:t>
      </w:r>
      <w:r w:rsidR="004A7D7A" w:rsidRPr="756790AF">
        <w:rPr>
          <w:rFonts w:ascii="Arial" w:hAnsi="Arial" w:cs="Arial"/>
        </w:rPr>
        <w:t> </w:t>
      </w:r>
      <w:r w:rsidR="004A7D7A">
        <w:t>June</w:t>
      </w:r>
      <w:r w:rsidR="004A7D7A" w:rsidRPr="756790AF">
        <w:rPr>
          <w:rFonts w:ascii="Arial" w:hAnsi="Arial" w:cs="Arial"/>
        </w:rPr>
        <w:t> </w:t>
      </w:r>
      <w:r w:rsidR="004A7D7A">
        <w:t>20</w:t>
      </w:r>
      <w:r w:rsidR="004F7F5E">
        <w:t>25</w:t>
      </w:r>
      <w:r w:rsidR="004A7D7A">
        <w:t xml:space="preserve">, </w:t>
      </w:r>
      <w:r w:rsidR="6BEDAD9C">
        <w:t>14</w:t>
      </w:r>
      <w:r w:rsidR="004A7D7A">
        <w:t xml:space="preserve"> recommendations remained outstanding</w:t>
      </w:r>
      <w:r w:rsidR="00EC7438">
        <w:t xml:space="preserve"> but </w:t>
      </w:r>
      <w:r w:rsidR="00602F96">
        <w:t>not overdue</w:t>
      </w:r>
      <w:r w:rsidR="004A7D7A">
        <w:t>.</w:t>
      </w:r>
    </w:p>
    <w:p w14:paraId="280AB03F" w14:textId="2529E17A" w:rsidR="00630D09" w:rsidRDefault="00630D09" w:rsidP="00713231">
      <w:pPr>
        <w:pStyle w:val="Heading3"/>
      </w:pPr>
      <w:bookmarkStart w:id="1058" w:name="_Toc207796087"/>
      <w:r>
        <w:t>Integrity and ethical standards</w:t>
      </w:r>
      <w:bookmarkEnd w:id="1058"/>
    </w:p>
    <w:p w14:paraId="2CCFCFC6" w14:textId="1E43698E" w:rsidR="00630D09" w:rsidRPr="00630D09" w:rsidRDefault="00EF78E4" w:rsidP="008A6FE3">
      <w:r>
        <w:t>A</w:t>
      </w:r>
      <w:r w:rsidR="008A0C13">
        <w:t xml:space="preserve">s a </w:t>
      </w:r>
      <w:r w:rsidR="00D31403">
        <w:t xml:space="preserve">public service entity, the AOFM expects the highest standard </w:t>
      </w:r>
      <w:r w:rsidR="00E41834">
        <w:t xml:space="preserve">of behaviour and ethical conduct </w:t>
      </w:r>
      <w:r w:rsidR="00B96679">
        <w:t xml:space="preserve">from our staff. We have policies and procedures in place that </w:t>
      </w:r>
      <w:r w:rsidR="004D7606">
        <w:t xml:space="preserve">align with the Australian Public Service Code of Conduct and Values, to ensure ethical standards are upheld in accordance with the </w:t>
      </w:r>
      <w:r w:rsidR="004D7606" w:rsidRPr="00447E2C">
        <w:rPr>
          <w:i/>
        </w:rPr>
        <w:t>Public Service Act 1999</w:t>
      </w:r>
      <w:r w:rsidR="004D7606">
        <w:t>.</w:t>
      </w:r>
    </w:p>
    <w:p w14:paraId="2620E678" w14:textId="094984BA" w:rsidR="003C7967" w:rsidRPr="00630D09" w:rsidRDefault="0012245B" w:rsidP="008A6FE3">
      <w:r>
        <w:t>We</w:t>
      </w:r>
      <w:r w:rsidR="003C7967">
        <w:t xml:space="preserve"> continue </w:t>
      </w:r>
      <w:r w:rsidR="00BD63B8">
        <w:t xml:space="preserve">to strengthen and embed our </w:t>
      </w:r>
      <w:r w:rsidR="00C7320B">
        <w:t>pro</w:t>
      </w:r>
      <w:r w:rsidR="00B84FF2">
        <w:noBreakHyphen/>
      </w:r>
      <w:r w:rsidR="00C7320B">
        <w:t xml:space="preserve">integrity culture and </w:t>
      </w:r>
      <w:r w:rsidR="00957EE3">
        <w:t xml:space="preserve">practices </w:t>
      </w:r>
      <w:r w:rsidR="00363273">
        <w:t xml:space="preserve">through a program </w:t>
      </w:r>
      <w:r w:rsidR="001E0495">
        <w:t xml:space="preserve">of improvements guided by the </w:t>
      </w:r>
      <w:r w:rsidR="00BB2B5D">
        <w:t xml:space="preserve">APS Integrity Taskforce </w:t>
      </w:r>
      <w:r>
        <w:t>A</w:t>
      </w:r>
      <w:r w:rsidR="00860A4F">
        <w:t xml:space="preserve">ction </w:t>
      </w:r>
      <w:r>
        <w:t xml:space="preserve">Plan </w:t>
      </w:r>
      <w:r w:rsidR="00860A4F">
        <w:t xml:space="preserve">and </w:t>
      </w:r>
      <w:r>
        <w:t>Integrity Good Practice G</w:t>
      </w:r>
      <w:r w:rsidR="00860A4F">
        <w:t>uide, and the Commonwealth Integrity Maturity Framework.</w:t>
      </w:r>
      <w:r w:rsidR="001E0495">
        <w:t xml:space="preserve"> </w:t>
      </w:r>
    </w:p>
    <w:p w14:paraId="5C75B9B2" w14:textId="77777777" w:rsidR="00CD3BEA" w:rsidRDefault="00CD3BEA">
      <w:pPr>
        <w:spacing w:after="0" w:line="240" w:lineRule="auto"/>
        <w:rPr>
          <w:rFonts w:eastAsiaTheme="majorEastAsia" w:cs="Open Sans Semibold"/>
          <w:b/>
          <w:bCs/>
          <w:color w:val="19556D"/>
          <w:sz w:val="30"/>
          <w:szCs w:val="32"/>
        </w:rPr>
      </w:pPr>
      <w:r>
        <w:br w:type="page"/>
      </w:r>
    </w:p>
    <w:p w14:paraId="34AAC370" w14:textId="613229AD" w:rsidR="003A46F4" w:rsidRDefault="003A46F4" w:rsidP="00713231">
      <w:pPr>
        <w:pStyle w:val="Heading3"/>
      </w:pPr>
      <w:bookmarkStart w:id="1059" w:name="_Toc207796088"/>
      <w:r>
        <w:lastRenderedPageBreak/>
        <w:t>Significant non</w:t>
      </w:r>
      <w:r w:rsidR="00B84FF2">
        <w:noBreakHyphen/>
      </w:r>
      <w:r>
        <w:t xml:space="preserve">compliance </w:t>
      </w:r>
      <w:r w:rsidR="0012245B">
        <w:t>with finance law</w:t>
      </w:r>
      <w:bookmarkEnd w:id="1059"/>
      <w:r w:rsidR="0012245B">
        <w:t xml:space="preserve"> </w:t>
      </w:r>
      <w:bookmarkEnd w:id="1049"/>
      <w:bookmarkEnd w:id="1050"/>
      <w:bookmarkEnd w:id="1051"/>
      <w:bookmarkEnd w:id="1052"/>
      <w:bookmarkEnd w:id="1053"/>
      <w:bookmarkEnd w:id="1054"/>
      <w:bookmarkEnd w:id="1055"/>
      <w:bookmarkEnd w:id="1056"/>
      <w:bookmarkEnd w:id="1057"/>
    </w:p>
    <w:p w14:paraId="43C56295" w14:textId="5C8354B7" w:rsidR="0072702B" w:rsidRPr="0072702B" w:rsidRDefault="0072702B" w:rsidP="008A6FE3">
      <w:r w:rsidRPr="0072702B">
        <w:t>No significant instances of non</w:t>
      </w:r>
      <w:r w:rsidR="00B84FF2">
        <w:noBreakHyphen/>
      </w:r>
      <w:r w:rsidRPr="0072702B">
        <w:t>compliance with the finance law were reported to the responsible minister in 202</w:t>
      </w:r>
      <w:r>
        <w:t>4</w:t>
      </w:r>
      <w:r w:rsidR="0012245B">
        <w:t>–</w:t>
      </w:r>
      <w:r>
        <w:t>25.</w:t>
      </w:r>
    </w:p>
    <w:p w14:paraId="077D07E7" w14:textId="77777777" w:rsidR="00434324" w:rsidRPr="006534F5" w:rsidRDefault="00434324" w:rsidP="00713231">
      <w:pPr>
        <w:pStyle w:val="Heading3"/>
      </w:pPr>
      <w:bookmarkStart w:id="1060" w:name="_Toc145684535"/>
      <w:bookmarkStart w:id="1061" w:name="_Toc145685135"/>
      <w:bookmarkStart w:id="1062" w:name="_Toc145686088"/>
      <w:bookmarkStart w:id="1063" w:name="_Toc145686287"/>
      <w:bookmarkStart w:id="1064" w:name="_Toc145686486"/>
      <w:bookmarkStart w:id="1065" w:name="_Toc145686787"/>
      <w:bookmarkStart w:id="1066" w:name="_Toc173408185"/>
      <w:bookmarkStart w:id="1067" w:name="_Toc173411507"/>
      <w:bookmarkStart w:id="1068" w:name="_Toc173479187"/>
      <w:bookmarkStart w:id="1069" w:name="_Toc207796089"/>
      <w:r w:rsidRPr="006534F5">
        <w:t>External scrutiny</w:t>
      </w:r>
      <w:bookmarkStart w:id="1070" w:name="_Hlk110256710"/>
      <w:bookmarkEnd w:id="1060"/>
      <w:bookmarkEnd w:id="1061"/>
      <w:bookmarkEnd w:id="1062"/>
      <w:bookmarkEnd w:id="1063"/>
      <w:bookmarkEnd w:id="1064"/>
      <w:bookmarkEnd w:id="1065"/>
      <w:bookmarkEnd w:id="1066"/>
      <w:bookmarkEnd w:id="1067"/>
      <w:bookmarkEnd w:id="1068"/>
      <w:bookmarkEnd w:id="1069"/>
    </w:p>
    <w:bookmarkEnd w:id="1070"/>
    <w:p w14:paraId="0182ECFA" w14:textId="1A2E3BA6" w:rsidR="00CD3BEA" w:rsidRDefault="0012245B" w:rsidP="00DB2400">
      <w:r>
        <w:t xml:space="preserve">In 2024–25 there </w:t>
      </w:r>
      <w:r w:rsidR="00B8219B">
        <w:t xml:space="preserve">were no reports </w:t>
      </w:r>
      <w:r w:rsidR="00975A11">
        <w:t xml:space="preserve">on the operations of the AOFM </w:t>
      </w:r>
      <w:r w:rsidR="005428B3">
        <w:t xml:space="preserve">(other than the report on the financial statements) </w:t>
      </w:r>
      <w:r>
        <w:t>by the Auditor</w:t>
      </w:r>
      <w:r w:rsidR="00B84FF2">
        <w:noBreakHyphen/>
      </w:r>
      <w:r>
        <w:t xml:space="preserve">General, </w:t>
      </w:r>
      <w:r w:rsidR="005428B3">
        <w:t>a parliamentary</w:t>
      </w:r>
      <w:r w:rsidR="00975A11">
        <w:t xml:space="preserve"> </w:t>
      </w:r>
      <w:r w:rsidR="00116B81">
        <w:t>committee or the Commonwealth Ombudsman.</w:t>
      </w:r>
    </w:p>
    <w:p w14:paraId="7AB2FF2E" w14:textId="77777777" w:rsidR="00CD3BEA" w:rsidRDefault="00CD3BEA">
      <w:pPr>
        <w:spacing w:after="0" w:line="240" w:lineRule="auto"/>
      </w:pPr>
      <w:r>
        <w:br w:type="page"/>
      </w:r>
    </w:p>
    <w:p w14:paraId="113B913A" w14:textId="71AC2DF3" w:rsidR="00C92978" w:rsidRDefault="00C92978" w:rsidP="00592520">
      <w:pPr>
        <w:pStyle w:val="Heading1-alpha"/>
      </w:pPr>
      <w:bookmarkStart w:id="1071" w:name="_Toc173327331"/>
      <w:bookmarkStart w:id="1072" w:name="_Toc173327784"/>
      <w:bookmarkStart w:id="1073" w:name="_Toc173395307"/>
      <w:bookmarkStart w:id="1074" w:name="_Toc173395384"/>
      <w:bookmarkStart w:id="1075" w:name="_Toc173396606"/>
      <w:bookmarkStart w:id="1076" w:name="_Toc173408186"/>
      <w:bookmarkStart w:id="1077" w:name="_Toc173411508"/>
      <w:bookmarkStart w:id="1078" w:name="_Toc173479188"/>
      <w:bookmarkStart w:id="1079" w:name="_Toc173743077"/>
      <w:bookmarkStart w:id="1080" w:name="_Toc173743238"/>
      <w:bookmarkStart w:id="1081" w:name="_Toc173766803"/>
      <w:bookmarkStart w:id="1082" w:name="_Toc174468567"/>
      <w:bookmarkStart w:id="1083" w:name="_Toc175906462"/>
      <w:bookmarkStart w:id="1084" w:name="_Toc176160559"/>
      <w:bookmarkStart w:id="1085" w:name="_Toc176163188"/>
      <w:bookmarkStart w:id="1086" w:name="_Toc207792904"/>
      <w:bookmarkStart w:id="1087" w:name="_Toc207793943"/>
      <w:bookmarkStart w:id="1088" w:name="_Toc207795654"/>
      <w:bookmarkStart w:id="1089" w:name="_Toc207796090"/>
      <w:bookmarkStart w:id="1090" w:name="_Toc207796948"/>
      <w:bookmarkStart w:id="1091" w:name="_Toc207797304"/>
      <w:bookmarkStart w:id="1092" w:name="_Toc207800250"/>
      <w:bookmarkStart w:id="1093" w:name="_Toc207810828"/>
      <w:bookmarkStart w:id="1094" w:name="_Toc208913979"/>
      <w:bookmarkStart w:id="1095" w:name="_Toc208914107"/>
      <w:bookmarkStart w:id="1096" w:name="_Toc209424504"/>
      <w:bookmarkStart w:id="1097" w:name="_Toc209424597"/>
      <w:bookmarkStart w:id="1098" w:name="_Toc205474324"/>
      <w:r>
        <w:lastRenderedPageBreak/>
        <w:t>Our people</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r>
        <w:t xml:space="preserve"> </w:t>
      </w:r>
      <w:bookmarkEnd w:id="1098"/>
    </w:p>
    <w:p w14:paraId="39E891CB" w14:textId="2F49672E" w:rsidR="0CBD11FD" w:rsidRDefault="0CBD11FD" w:rsidP="40B073FC">
      <w:r>
        <w:t xml:space="preserve">The </w:t>
      </w:r>
      <w:r w:rsidR="00E25987">
        <w:t>Australian Office of Financial Management (</w:t>
      </w:r>
      <w:r>
        <w:t>AOFM</w:t>
      </w:r>
      <w:r w:rsidR="00E25987">
        <w:t>)</w:t>
      </w:r>
      <w:r>
        <w:t xml:space="preserve"> is committed to fostering a workplace culture that values employee wellbeing, safety, inclusion, collaboration and continuous learning. This culture will ensure we attract and retain the expertise that is needed to deliver now and into the future</w:t>
      </w:r>
      <w:r w:rsidR="00B84FF2">
        <w:t xml:space="preserve">. </w:t>
      </w:r>
      <w:r>
        <w:t xml:space="preserve"> </w:t>
      </w:r>
    </w:p>
    <w:p w14:paraId="4F84CD2A" w14:textId="77777777" w:rsidR="00882A9C" w:rsidRPr="00F440A7" w:rsidRDefault="00882A9C" w:rsidP="00C67F81">
      <w:pPr>
        <w:pStyle w:val="Heading2"/>
      </w:pPr>
      <w:bookmarkStart w:id="1099" w:name="_Toc173327332"/>
      <w:bookmarkStart w:id="1100" w:name="_Toc173327785"/>
      <w:bookmarkStart w:id="1101" w:name="_Toc173395308"/>
      <w:bookmarkStart w:id="1102" w:name="_Toc173395385"/>
      <w:bookmarkStart w:id="1103" w:name="_Toc173395720"/>
      <w:bookmarkStart w:id="1104" w:name="_Toc173396607"/>
      <w:bookmarkStart w:id="1105" w:name="_Toc173397619"/>
      <w:bookmarkStart w:id="1106" w:name="_Toc173408188"/>
      <w:bookmarkStart w:id="1107" w:name="_Toc173411510"/>
      <w:bookmarkStart w:id="1108" w:name="_Toc173479190"/>
      <w:bookmarkStart w:id="1109" w:name="_Toc173743078"/>
      <w:bookmarkStart w:id="1110" w:name="_Toc173743239"/>
      <w:bookmarkStart w:id="1111" w:name="_Toc176160560"/>
      <w:bookmarkStart w:id="1112" w:name="_Toc176163189"/>
      <w:bookmarkStart w:id="1113" w:name="_Toc205474325"/>
      <w:bookmarkStart w:id="1114" w:name="_Toc207792905"/>
      <w:bookmarkStart w:id="1115" w:name="_Toc207793944"/>
      <w:bookmarkStart w:id="1116" w:name="_Toc207796091"/>
      <w:bookmarkStart w:id="1117" w:name="_Toc207796949"/>
      <w:bookmarkStart w:id="1118" w:name="_Toc207800251"/>
      <w:bookmarkStart w:id="1119" w:name="_Toc207810829"/>
      <w:bookmarkStart w:id="1120" w:name="_Toc208914108"/>
      <w:bookmarkStart w:id="1121" w:name="_Toc209424505"/>
      <w:r>
        <w:t>Managing and developing employees</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5682C673" w14:textId="337FC50D" w:rsidR="7DA7492E" w:rsidRDefault="7DA7492E" w:rsidP="00A36C00">
      <w:r w:rsidRPr="40B073FC">
        <w:t xml:space="preserve">The AOFM makes continual improvements to </w:t>
      </w:r>
      <w:r w:rsidR="002A10BA">
        <w:t>managing and developing our</w:t>
      </w:r>
      <w:r w:rsidRPr="40B073FC">
        <w:t xml:space="preserve"> employees, and the systems that support them, </w:t>
      </w:r>
      <w:r w:rsidR="002A10BA">
        <w:t>so we can</w:t>
      </w:r>
      <w:r w:rsidR="002A10BA" w:rsidRPr="40B073FC">
        <w:t xml:space="preserve"> </w:t>
      </w:r>
      <w:r w:rsidRPr="40B073FC">
        <w:t xml:space="preserve">continue to effectively meet our objectives. </w:t>
      </w:r>
    </w:p>
    <w:p w14:paraId="3B265D1C" w14:textId="1F7BB053" w:rsidR="7DA7492E" w:rsidRDefault="002A10BA" w:rsidP="00A36C00">
      <w:r>
        <w:t>In 2024–25 we</w:t>
      </w:r>
      <w:r w:rsidR="7DA7492E" w:rsidRPr="40B073FC">
        <w:t xml:space="preserve"> continued to provide professional development opportunities to employees</w:t>
      </w:r>
      <w:r>
        <w:t>,</w:t>
      </w:r>
      <w:r w:rsidR="7DA7492E" w:rsidRPr="40B073FC">
        <w:t xml:space="preserve"> including through studies assistance</w:t>
      </w:r>
      <w:r>
        <w:t>;</w:t>
      </w:r>
      <w:r w:rsidRPr="40B073FC">
        <w:t xml:space="preserve"> </w:t>
      </w:r>
      <w:r w:rsidR="7DA7492E" w:rsidRPr="40B073FC">
        <w:t>professional memberships</w:t>
      </w:r>
      <w:r>
        <w:t>;</w:t>
      </w:r>
      <w:r w:rsidRPr="40B073FC">
        <w:t xml:space="preserve"> </w:t>
      </w:r>
      <w:r w:rsidR="7DA7492E" w:rsidRPr="40B073FC">
        <w:t>coaching</w:t>
      </w:r>
      <w:r>
        <w:t>, and</w:t>
      </w:r>
      <w:r w:rsidRPr="40B073FC">
        <w:t xml:space="preserve"> </w:t>
      </w:r>
      <w:r w:rsidR="7DA7492E" w:rsidRPr="40B073FC">
        <w:t>tailored courses and programs</w:t>
      </w:r>
      <w:r>
        <w:t>;</w:t>
      </w:r>
      <w:r w:rsidRPr="40B073FC">
        <w:t xml:space="preserve"> </w:t>
      </w:r>
      <w:r w:rsidR="7DA7492E" w:rsidRPr="40B073FC">
        <w:t>secondment opportunities</w:t>
      </w:r>
      <w:r>
        <w:t>;</w:t>
      </w:r>
      <w:r w:rsidR="7DA7492E" w:rsidRPr="40B073FC">
        <w:t xml:space="preserve"> and an allocated budget to support employee participation in professional development</w:t>
      </w:r>
      <w:r>
        <w:t xml:space="preserve"> opportunities</w:t>
      </w:r>
      <w:r w:rsidR="7DA7492E" w:rsidRPr="40B073FC">
        <w:t xml:space="preserve">, such as conferences. </w:t>
      </w:r>
      <w:r>
        <w:t>T</w:t>
      </w:r>
      <w:r w:rsidR="7DA7492E" w:rsidRPr="40B073FC">
        <w:t xml:space="preserve">he AOFM partnered with our portfolio agency to strengthen and automate compliance training, and to expand our online learning offerings to include those provided on </w:t>
      </w:r>
      <w:proofErr w:type="spellStart"/>
      <w:r w:rsidR="7DA7492E" w:rsidRPr="40B073FC">
        <w:t>APSLearn</w:t>
      </w:r>
      <w:proofErr w:type="spellEnd"/>
      <w:r w:rsidR="7DA7492E" w:rsidRPr="40B073FC">
        <w:t xml:space="preserve">. </w:t>
      </w:r>
    </w:p>
    <w:p w14:paraId="2C014604" w14:textId="5253DC5D" w:rsidR="7DA7492E" w:rsidRDefault="7DA7492E" w:rsidP="00A36C00">
      <w:r w:rsidRPr="40B073FC">
        <w:t xml:space="preserve">In addition, </w:t>
      </w:r>
      <w:r w:rsidR="002A10BA">
        <w:t xml:space="preserve">we introduced </w:t>
      </w:r>
      <w:r w:rsidRPr="40B073FC">
        <w:t xml:space="preserve">a Reward and Recognition Policy to enhance the recognition of employees, including through formal </w:t>
      </w:r>
      <w:r w:rsidR="002A10BA">
        <w:t>Chief Executive Officer (</w:t>
      </w:r>
      <w:r w:rsidRPr="40B073FC">
        <w:t>CEO</w:t>
      </w:r>
      <w:r w:rsidR="002A10BA">
        <w:t>)</w:t>
      </w:r>
      <w:r w:rsidRPr="40B073FC">
        <w:t xml:space="preserve"> Awards and Values</w:t>
      </w:r>
      <w:r w:rsidR="00B84FF2">
        <w:noBreakHyphen/>
      </w:r>
      <w:r w:rsidRPr="40B073FC">
        <w:t xml:space="preserve">Based Awards that recognise employees who demonstrate behaviours </w:t>
      </w:r>
      <w:r w:rsidR="003C0EC4">
        <w:t>aligned</w:t>
      </w:r>
      <w:r w:rsidRPr="40B073FC">
        <w:t xml:space="preserve"> with the </w:t>
      </w:r>
      <w:r w:rsidR="002A10BA">
        <w:t>Australian Public Service (</w:t>
      </w:r>
      <w:r w:rsidRPr="40B073FC">
        <w:t>APS</w:t>
      </w:r>
      <w:r w:rsidR="002A10BA">
        <w:t>)</w:t>
      </w:r>
      <w:r w:rsidRPr="40B073FC">
        <w:t xml:space="preserve"> and AOFM values</w:t>
      </w:r>
      <w:r w:rsidR="00A82670">
        <w:t xml:space="preserve">. </w:t>
      </w:r>
      <w:r w:rsidR="002A10BA">
        <w:t>We also established a</w:t>
      </w:r>
      <w:r w:rsidR="002A10BA" w:rsidRPr="40B073FC">
        <w:t xml:space="preserve"> </w:t>
      </w:r>
      <w:r w:rsidRPr="40B073FC">
        <w:t xml:space="preserve">wellbeing portal </w:t>
      </w:r>
      <w:r w:rsidR="002A10BA">
        <w:t>for sharing</w:t>
      </w:r>
      <w:r w:rsidRPr="40B073FC">
        <w:t xml:space="preserve"> resources on wellbeing resilience.</w:t>
      </w:r>
    </w:p>
    <w:p w14:paraId="31C78D00" w14:textId="7F4B1161" w:rsidR="2D489D9E" w:rsidRDefault="002A10BA" w:rsidP="00A36C00">
      <w:r>
        <w:t>The AOFM has</w:t>
      </w:r>
      <w:r w:rsidRPr="7CA87EF4">
        <w:t xml:space="preserve"> </w:t>
      </w:r>
      <w:r w:rsidR="2D489D9E" w:rsidRPr="7CA87EF4">
        <w:t>harnessed the offerings of our portfolio agenc</w:t>
      </w:r>
      <w:r w:rsidR="00AD57F7">
        <w:t>y</w:t>
      </w:r>
      <w:r w:rsidR="00B84FF2">
        <w:t>’</w:t>
      </w:r>
      <w:r w:rsidR="00AD57F7">
        <w:t>s</w:t>
      </w:r>
      <w:r w:rsidR="2D489D9E" w:rsidRPr="7CA87EF4">
        <w:t xml:space="preserve"> diversity networks, </w:t>
      </w:r>
      <w:r>
        <w:t xml:space="preserve">so </w:t>
      </w:r>
      <w:r w:rsidR="2D489D9E" w:rsidRPr="7CA87EF4">
        <w:t xml:space="preserve">our staff can now access and participate in these networks and their associated events. This is a great step forward in recognising and celebrating the value of diversity, and provides </w:t>
      </w:r>
      <w:r w:rsidR="0080100C">
        <w:t>greater</w:t>
      </w:r>
      <w:r w:rsidR="2D489D9E" w:rsidRPr="7CA87EF4">
        <w:t xml:space="preserve"> opportunities for our people to connect, learn and be supported.</w:t>
      </w:r>
    </w:p>
    <w:p w14:paraId="1FF37495" w14:textId="77777777" w:rsidR="002F13B5" w:rsidRDefault="002F13B5">
      <w:pPr>
        <w:spacing w:after="0" w:line="240" w:lineRule="auto"/>
        <w:rPr>
          <w:rFonts w:eastAsiaTheme="majorEastAsia" w:cs="Open Sans Semibold"/>
          <w:b/>
          <w:bCs/>
          <w:color w:val="247699" w:themeColor="accent3"/>
          <w:sz w:val="30"/>
          <w:szCs w:val="32"/>
        </w:rPr>
      </w:pPr>
      <w:bookmarkStart w:id="1122" w:name="_Toc173408190"/>
      <w:bookmarkStart w:id="1123" w:name="_Toc173411512"/>
      <w:bookmarkStart w:id="1124" w:name="_Toc173479192"/>
      <w:bookmarkStart w:id="1125" w:name="_Toc207796092"/>
      <w:r>
        <w:br w:type="page"/>
      </w:r>
    </w:p>
    <w:p w14:paraId="4F70D60A" w14:textId="34118A4D" w:rsidR="001466DC" w:rsidRPr="00911A9C" w:rsidRDefault="001466DC" w:rsidP="00713231">
      <w:pPr>
        <w:pStyle w:val="Heading3"/>
      </w:pPr>
      <w:r>
        <w:lastRenderedPageBreak/>
        <w:t>Work health and safety</w:t>
      </w:r>
      <w:bookmarkEnd w:id="1122"/>
      <w:bookmarkEnd w:id="1123"/>
      <w:bookmarkEnd w:id="1124"/>
      <w:bookmarkEnd w:id="1125"/>
      <w:r>
        <w:t xml:space="preserve"> </w:t>
      </w:r>
    </w:p>
    <w:p w14:paraId="331A5127" w14:textId="75AE8CB5" w:rsidR="1926569F" w:rsidRDefault="1926569F" w:rsidP="00A36C00">
      <w:r w:rsidRPr="6AE4814C">
        <w:t>Wellbeing continued to be a priority in 2024</w:t>
      </w:r>
      <w:r w:rsidR="00C06371">
        <w:t>–</w:t>
      </w:r>
      <w:r w:rsidRPr="6AE4814C">
        <w:t xml:space="preserve">25 and was an area of focus for the Census Action Plan. </w:t>
      </w:r>
      <w:r w:rsidR="00C06371">
        <w:t>We held f</w:t>
      </w:r>
      <w:r w:rsidR="00C06371" w:rsidRPr="6AE4814C">
        <w:t xml:space="preserve">ocus </w:t>
      </w:r>
      <w:r w:rsidRPr="6AE4814C">
        <w:t xml:space="preserve">groups to support the development of a Wellbeing Strategy, which was </w:t>
      </w:r>
      <w:r w:rsidR="00C06371">
        <w:t>completed</w:t>
      </w:r>
      <w:r w:rsidR="00C06371" w:rsidRPr="6AE4814C">
        <w:t xml:space="preserve"> </w:t>
      </w:r>
      <w:r w:rsidRPr="6AE4814C">
        <w:t>in 2024</w:t>
      </w:r>
      <w:r w:rsidR="00C06371">
        <w:t>–</w:t>
      </w:r>
      <w:r w:rsidRPr="6AE4814C">
        <w:t xml:space="preserve">25. </w:t>
      </w:r>
      <w:r w:rsidR="00C06371">
        <w:t>We expect to begin implementing the strategy</w:t>
      </w:r>
      <w:r w:rsidRPr="6AE4814C">
        <w:t xml:space="preserve"> in 2025</w:t>
      </w:r>
      <w:r w:rsidR="00C06371">
        <w:t>–</w:t>
      </w:r>
      <w:r w:rsidR="00BE6ED5">
        <w:t>‍</w:t>
      </w:r>
      <w:r w:rsidRPr="6AE4814C">
        <w:t xml:space="preserve">26, </w:t>
      </w:r>
      <w:r w:rsidR="00C06371">
        <w:t>and to update the</w:t>
      </w:r>
      <w:r w:rsidR="00C06371" w:rsidRPr="6AE4814C">
        <w:t xml:space="preserve"> </w:t>
      </w:r>
      <w:r w:rsidRPr="6AE4814C">
        <w:t xml:space="preserve">actions </w:t>
      </w:r>
      <w:r w:rsidR="00C06371">
        <w:t>in it</w:t>
      </w:r>
      <w:r w:rsidR="00C06371" w:rsidRPr="6AE4814C">
        <w:t xml:space="preserve"> </w:t>
      </w:r>
      <w:r w:rsidR="00C06371">
        <w:t>as</w:t>
      </w:r>
      <w:r w:rsidRPr="6AE4814C">
        <w:t xml:space="preserve"> new datasets become available. </w:t>
      </w:r>
    </w:p>
    <w:p w14:paraId="4C55C84C" w14:textId="22797257" w:rsidR="1926569F" w:rsidRDefault="00A76143" w:rsidP="00A36C00">
      <w:r>
        <w:t>The AOFM offered flu vaccinations to a</w:t>
      </w:r>
      <w:r w:rsidR="1926569F" w:rsidRPr="6AE4814C">
        <w:t xml:space="preserve">ll employees, </w:t>
      </w:r>
      <w:r w:rsidR="7A96FF31">
        <w:t>30</w:t>
      </w:r>
      <w:r w:rsidR="003F5070">
        <w:t xml:space="preserve"> </w:t>
      </w:r>
      <w:r>
        <w:t xml:space="preserve">of </w:t>
      </w:r>
      <w:r w:rsidRPr="006F6324">
        <w:t xml:space="preserve">whom accessed </w:t>
      </w:r>
      <w:r w:rsidR="1926569F" w:rsidRPr="006F6324">
        <w:t>this service</w:t>
      </w:r>
      <w:r>
        <w:t xml:space="preserve"> in 2024</w:t>
      </w:r>
      <w:r w:rsidR="00BE6ED5">
        <w:t>–</w:t>
      </w:r>
      <w:r>
        <w:t>25</w:t>
      </w:r>
      <w:r w:rsidR="1926569F" w:rsidRPr="6AE4814C">
        <w:t xml:space="preserve">. </w:t>
      </w:r>
    </w:p>
    <w:p w14:paraId="71A9CD35" w14:textId="1CD993F8" w:rsidR="1926569F" w:rsidRDefault="1926569F" w:rsidP="00A36C00">
      <w:r w:rsidRPr="6AE4814C">
        <w:t xml:space="preserve">All employees had access to a confidential counselling service through an Employee Assistance Program, with </w:t>
      </w:r>
      <w:r w:rsidR="00680C7C">
        <w:t xml:space="preserve">3 </w:t>
      </w:r>
      <w:r w:rsidR="00680C7C" w:rsidRPr="00680C7C">
        <w:t>employees</w:t>
      </w:r>
      <w:r w:rsidRPr="00680C7C">
        <w:t xml:space="preserve"> acces</w:t>
      </w:r>
      <w:r w:rsidRPr="6AE4814C">
        <w:t xml:space="preserve">sing this service. </w:t>
      </w:r>
      <w:r w:rsidR="00A76143">
        <w:t>Employees also engaged with a</w:t>
      </w:r>
      <w:r w:rsidR="00A76143" w:rsidRPr="6AE4814C">
        <w:t xml:space="preserve">dditional </w:t>
      </w:r>
      <w:r w:rsidRPr="6AE4814C">
        <w:t xml:space="preserve">health and wellbeing resources, including monthly webinars. </w:t>
      </w:r>
    </w:p>
    <w:p w14:paraId="45013DE0" w14:textId="03E14698" w:rsidR="1926569F" w:rsidRDefault="1926569F" w:rsidP="00A36C00">
      <w:r w:rsidRPr="6AE4814C">
        <w:t xml:space="preserve">No notifiable incidents were reported to Comcare, no work health and safety investigations were conducted, and no notices were given to the AOFM under Part 10 of the </w:t>
      </w:r>
      <w:r w:rsidRPr="009216A4">
        <w:rPr>
          <w:i/>
          <w:iCs/>
        </w:rPr>
        <w:t>W</w:t>
      </w:r>
      <w:r w:rsidR="00A76143" w:rsidRPr="009216A4">
        <w:rPr>
          <w:i/>
          <w:iCs/>
        </w:rPr>
        <w:t xml:space="preserve">ork Health and </w:t>
      </w:r>
      <w:r w:rsidRPr="009216A4">
        <w:rPr>
          <w:i/>
          <w:iCs/>
        </w:rPr>
        <w:t>S</w:t>
      </w:r>
      <w:r w:rsidR="00A76143" w:rsidRPr="009216A4">
        <w:rPr>
          <w:i/>
          <w:iCs/>
        </w:rPr>
        <w:t>afety</w:t>
      </w:r>
      <w:r w:rsidRPr="00CA6331">
        <w:rPr>
          <w:i/>
        </w:rPr>
        <w:t xml:space="preserve"> Act</w:t>
      </w:r>
      <w:r w:rsidR="00A76143" w:rsidRPr="009216A4">
        <w:rPr>
          <w:i/>
          <w:iCs/>
        </w:rPr>
        <w:t xml:space="preserve"> 2011</w:t>
      </w:r>
      <w:r w:rsidRPr="6AE4814C">
        <w:t>.</w:t>
      </w:r>
    </w:p>
    <w:p w14:paraId="7BF1C1FE" w14:textId="2F2FAE90" w:rsidR="00A45BFE" w:rsidRPr="005A26A8" w:rsidRDefault="00A45BFE" w:rsidP="00C67F81">
      <w:pPr>
        <w:pStyle w:val="Heading2"/>
      </w:pPr>
      <w:bookmarkStart w:id="1126" w:name="_Toc173327333"/>
      <w:bookmarkStart w:id="1127" w:name="_Toc173327786"/>
      <w:bookmarkStart w:id="1128" w:name="_Toc173395309"/>
      <w:bookmarkStart w:id="1129" w:name="_Toc173395386"/>
      <w:bookmarkStart w:id="1130" w:name="_Toc173395721"/>
      <w:bookmarkStart w:id="1131" w:name="_Toc173396608"/>
      <w:bookmarkStart w:id="1132" w:name="_Toc173397620"/>
      <w:bookmarkStart w:id="1133" w:name="_Toc173408191"/>
      <w:bookmarkStart w:id="1134" w:name="_Toc173411513"/>
      <w:bookmarkStart w:id="1135" w:name="_Toc173479193"/>
      <w:bookmarkStart w:id="1136" w:name="_Toc173743079"/>
      <w:bookmarkStart w:id="1137" w:name="_Toc173743240"/>
      <w:bookmarkStart w:id="1138" w:name="_Toc176160561"/>
      <w:bookmarkStart w:id="1139" w:name="_Toc176163190"/>
      <w:bookmarkStart w:id="1140" w:name="_Toc205474326"/>
      <w:bookmarkStart w:id="1141" w:name="_Toc207792906"/>
      <w:bookmarkStart w:id="1142" w:name="_Toc207793945"/>
      <w:bookmarkStart w:id="1143" w:name="_Toc207796093"/>
      <w:bookmarkStart w:id="1144" w:name="_Toc207796950"/>
      <w:bookmarkStart w:id="1145" w:name="_Toc207800252"/>
      <w:bookmarkStart w:id="1146" w:name="_Toc207810830"/>
      <w:bookmarkStart w:id="1147" w:name="_Toc208914109"/>
      <w:bookmarkStart w:id="1148" w:name="_Toc209424506"/>
      <w:r w:rsidRPr="005A26A8">
        <w:t>Employment arrangements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r w:rsidRPr="005A26A8">
        <w:t> </w:t>
      </w:r>
    </w:p>
    <w:p w14:paraId="6A13EA8B" w14:textId="1E80D23B" w:rsidR="7981F171" w:rsidRPr="00CC7353" w:rsidRDefault="7981F171" w:rsidP="00DF31C0">
      <w:pPr>
        <w:rPr>
          <w:b/>
        </w:rPr>
      </w:pPr>
      <w:r w:rsidRPr="00CC7353">
        <w:t xml:space="preserve">The </w:t>
      </w:r>
      <w:hyperlink r:id="rId102" w:history="1">
        <w:r w:rsidRPr="00785575">
          <w:rPr>
            <w:rStyle w:val="Hyperlink"/>
          </w:rPr>
          <w:t>AOFM Enterprise Agreement 2024–2027</w:t>
        </w:r>
      </w:hyperlink>
      <w:r w:rsidR="00B67D3C">
        <w:rPr>
          <w:rStyle w:val="FootnoteReference"/>
          <w:rFonts w:eastAsia="Aptos" w:cs="Aptos"/>
        </w:rPr>
        <w:footnoteReference w:id="8"/>
      </w:r>
      <w:r w:rsidRPr="00CC7353">
        <w:t xml:space="preserve"> (EA) sets out the terms and conditions of employment for non</w:t>
      </w:r>
      <w:r w:rsidR="00B84FF2">
        <w:noBreakHyphen/>
      </w:r>
      <w:r w:rsidRPr="00CC7353">
        <w:t>SES employees.</w:t>
      </w:r>
    </w:p>
    <w:p w14:paraId="47A54910" w14:textId="1A3E6B32" w:rsidR="4FC37A21" w:rsidRDefault="4FC37A21" w:rsidP="00A36C00">
      <w:r w:rsidRPr="2790FFBB">
        <w:t xml:space="preserve">In specific and limited circumstances, terms and conditions of the EA are supplemented </w:t>
      </w:r>
      <w:r w:rsidR="00A76143">
        <w:t>by</w:t>
      </w:r>
      <w:r w:rsidR="00A76143" w:rsidRPr="2790FFBB">
        <w:t xml:space="preserve"> </w:t>
      </w:r>
      <w:r w:rsidRPr="2790FFBB">
        <w:t xml:space="preserve">an individual flexibility arrangement. </w:t>
      </w:r>
      <w:proofErr w:type="gramStart"/>
      <w:r w:rsidRPr="2790FFBB">
        <w:t>At</w:t>
      </w:r>
      <w:proofErr w:type="gramEnd"/>
      <w:r w:rsidRPr="2790FFBB">
        <w:t xml:space="preserve"> 30 June 2025, 2 individual flexibility agreement</w:t>
      </w:r>
      <w:r w:rsidR="007A3712">
        <w:t>s</w:t>
      </w:r>
      <w:r w:rsidRPr="2790FFBB">
        <w:t xml:space="preserve"> were in place.</w:t>
      </w:r>
      <w:r w:rsidR="7A9B0C47" w:rsidRPr="26364205">
        <w:t xml:space="preserve"> </w:t>
      </w:r>
    </w:p>
    <w:p w14:paraId="596449DA" w14:textId="0EFD7AC9" w:rsidR="00EE0F42" w:rsidRDefault="7A9B0C47" w:rsidP="003924C2">
      <w:r w:rsidRPr="26364205">
        <w:t xml:space="preserve">The terms and conditions of SES employees are set out in individual determinations made under section 24(1) of the </w:t>
      </w:r>
      <w:r w:rsidRPr="26364205">
        <w:rPr>
          <w:i/>
          <w:iCs/>
        </w:rPr>
        <w:t>Public Service Act 1999</w:t>
      </w:r>
      <w:r w:rsidRPr="26364205">
        <w:t>.</w:t>
      </w:r>
    </w:p>
    <w:p w14:paraId="29D0BB21" w14:textId="77777777" w:rsidR="002F13B5" w:rsidRDefault="002F13B5">
      <w:pPr>
        <w:spacing w:after="0" w:line="240" w:lineRule="auto"/>
        <w:rPr>
          <w:b/>
          <w:lang w:eastAsia="en-AU"/>
        </w:rPr>
      </w:pPr>
      <w:r>
        <w:br w:type="page"/>
      </w:r>
    </w:p>
    <w:p w14:paraId="4901ADC0" w14:textId="59E7B9D3" w:rsidR="5B8479F4" w:rsidRPr="00A36C00" w:rsidRDefault="5B8479F4" w:rsidP="00284B62">
      <w:pPr>
        <w:pStyle w:val="TableMainHeading"/>
      </w:pPr>
      <w:r w:rsidRPr="00187FD8">
        <w:lastRenderedPageBreak/>
        <w:t xml:space="preserve">Table </w:t>
      </w:r>
      <w:r w:rsidR="008C5F0F" w:rsidRPr="00187FD8">
        <w:t>1</w:t>
      </w:r>
      <w:r w:rsidR="006B1F21">
        <w:t>7</w:t>
      </w:r>
      <w:r w:rsidRPr="00187FD8">
        <w:t>:</w:t>
      </w:r>
      <w:r w:rsidRPr="00A36C00">
        <w:t xml:space="preserve"> APS employees employment arrangements (headcount) 2024</w:t>
      </w:r>
      <w:r w:rsidR="00A76143">
        <w:t>–</w:t>
      </w:r>
      <w:r w:rsidRPr="00A36C00">
        <w:t>25</w:t>
      </w:r>
    </w:p>
    <w:tbl>
      <w:tblPr>
        <w:tblStyle w:val="AOFMTablemain"/>
        <w:tblW w:w="5000" w:type="pct"/>
        <w:tblLayout w:type="fixed"/>
        <w:tblLook w:val="04A0" w:firstRow="1" w:lastRow="0" w:firstColumn="1" w:lastColumn="0" w:noHBand="0" w:noVBand="1"/>
      </w:tblPr>
      <w:tblGrid>
        <w:gridCol w:w="3201"/>
        <w:gridCol w:w="1601"/>
        <w:gridCol w:w="1455"/>
        <w:gridCol w:w="1454"/>
      </w:tblGrid>
      <w:tr w:rsidR="0086383C" w:rsidRPr="00DF31C0" w14:paraId="68925A6D" w14:textId="77777777" w:rsidTr="005E6507">
        <w:trPr>
          <w:cnfStyle w:val="100000000000" w:firstRow="1" w:lastRow="0" w:firstColumn="0" w:lastColumn="0" w:oddVBand="0" w:evenVBand="0" w:oddHBand="0" w:evenHBand="0" w:firstRowFirstColumn="0" w:firstRowLastColumn="0" w:lastRowFirstColumn="0" w:lastRowLastColumn="0"/>
          <w:trHeight w:val="300"/>
        </w:trPr>
        <w:tc>
          <w:tcPr>
            <w:tcW w:w="3119" w:type="dxa"/>
          </w:tcPr>
          <w:p w14:paraId="3E229477" w14:textId="68E3358C" w:rsidR="65CBA161" w:rsidRPr="006B1F21" w:rsidRDefault="009313DD" w:rsidP="006B1F21">
            <w:pPr>
              <w:pStyle w:val="TableColumnHeadingLeft"/>
            </w:pPr>
            <w:r w:rsidRPr="006B1F21">
              <w:t>Employment arrangement</w:t>
            </w:r>
          </w:p>
        </w:tc>
        <w:tc>
          <w:tcPr>
            <w:tcW w:w="0" w:type="dxa"/>
          </w:tcPr>
          <w:p w14:paraId="3074AFFF" w14:textId="6687B291" w:rsidR="65CBA161" w:rsidRPr="006B1F21" w:rsidRDefault="65CBA161" w:rsidP="006B1F21">
            <w:pPr>
              <w:pStyle w:val="TableColumnHeadingRight"/>
            </w:pPr>
            <w:r w:rsidRPr="006B1F21">
              <w:t>SES</w:t>
            </w:r>
          </w:p>
        </w:tc>
        <w:tc>
          <w:tcPr>
            <w:tcW w:w="0" w:type="dxa"/>
          </w:tcPr>
          <w:p w14:paraId="189A66EF" w14:textId="638D9F35" w:rsidR="65CBA161" w:rsidRPr="006B1F21" w:rsidRDefault="65CBA161" w:rsidP="006B1F21">
            <w:pPr>
              <w:pStyle w:val="TableColumnHeadingRight"/>
            </w:pPr>
            <w:r w:rsidRPr="006B1F21">
              <w:t>Non</w:t>
            </w:r>
            <w:r w:rsidR="00B84FF2">
              <w:noBreakHyphen/>
            </w:r>
            <w:r w:rsidRPr="006B1F21">
              <w:t>SES</w:t>
            </w:r>
          </w:p>
        </w:tc>
        <w:tc>
          <w:tcPr>
            <w:tcW w:w="0" w:type="dxa"/>
          </w:tcPr>
          <w:p w14:paraId="56479AB1" w14:textId="51E40801" w:rsidR="65CBA161" w:rsidRPr="006B1F21" w:rsidRDefault="65CBA161" w:rsidP="006B1F21">
            <w:pPr>
              <w:pStyle w:val="TableColumnHeadingRight"/>
            </w:pPr>
            <w:r w:rsidRPr="006B1F21">
              <w:t>Total</w:t>
            </w:r>
          </w:p>
        </w:tc>
      </w:tr>
      <w:tr w:rsidR="007965C5" w:rsidRPr="00DF31C0" w14:paraId="6F246494" w14:textId="77777777" w:rsidTr="002F13B5">
        <w:trPr>
          <w:trHeight w:val="300"/>
        </w:trPr>
        <w:tc>
          <w:tcPr>
            <w:tcW w:w="3119" w:type="dxa"/>
            <w:tcMar>
              <w:top w:w="57" w:type="dxa"/>
              <w:bottom w:w="57" w:type="dxa"/>
            </w:tcMar>
          </w:tcPr>
          <w:p w14:paraId="1272425A" w14:textId="2EE409AA" w:rsidR="65CBA161" w:rsidRPr="00DF31C0" w:rsidRDefault="65CBA161" w:rsidP="00625DAB">
            <w:pPr>
              <w:pStyle w:val="TableTextLeft"/>
              <w:rPr>
                <w:b/>
                <w:bCs/>
              </w:rPr>
            </w:pPr>
            <w:r w:rsidRPr="00DF31C0">
              <w:t>AOFM Enterprise Agreement 2024</w:t>
            </w:r>
            <w:r w:rsidR="00A76143">
              <w:t>–</w:t>
            </w:r>
            <w:r w:rsidRPr="00DF31C0">
              <w:t>2027</w:t>
            </w:r>
          </w:p>
        </w:tc>
        <w:tc>
          <w:tcPr>
            <w:tcW w:w="1560" w:type="dxa"/>
            <w:tcMar>
              <w:top w:w="57" w:type="dxa"/>
              <w:bottom w:w="57" w:type="dxa"/>
            </w:tcMar>
          </w:tcPr>
          <w:p w14:paraId="38D011AC" w14:textId="7D539D9D" w:rsidR="65CBA161" w:rsidRPr="00DF31C0" w:rsidRDefault="00A76143" w:rsidP="006B1F21">
            <w:pPr>
              <w:pStyle w:val="TableTextRight"/>
            </w:pPr>
            <w:r>
              <w:t>–</w:t>
            </w:r>
          </w:p>
        </w:tc>
        <w:tc>
          <w:tcPr>
            <w:tcW w:w="1418" w:type="dxa"/>
            <w:tcMar>
              <w:top w:w="57" w:type="dxa"/>
              <w:bottom w:w="57" w:type="dxa"/>
            </w:tcMar>
          </w:tcPr>
          <w:p w14:paraId="6107CD80" w14:textId="0385A2FF" w:rsidR="65CBA161" w:rsidRPr="00DF31C0" w:rsidRDefault="65CBA161" w:rsidP="006B1F21">
            <w:pPr>
              <w:pStyle w:val="TableTextRight"/>
            </w:pPr>
            <w:r w:rsidRPr="00DF31C0">
              <w:t>50</w:t>
            </w:r>
          </w:p>
        </w:tc>
        <w:tc>
          <w:tcPr>
            <w:tcW w:w="1417" w:type="dxa"/>
            <w:tcMar>
              <w:top w:w="57" w:type="dxa"/>
              <w:bottom w:w="57" w:type="dxa"/>
            </w:tcMar>
          </w:tcPr>
          <w:p w14:paraId="1396548B" w14:textId="515C0E23" w:rsidR="65CBA161" w:rsidRPr="00DF31C0" w:rsidRDefault="65CBA161" w:rsidP="006B1F21">
            <w:pPr>
              <w:pStyle w:val="TableTextRight"/>
            </w:pPr>
            <w:r w:rsidRPr="00DF31C0">
              <w:t>50</w:t>
            </w:r>
          </w:p>
        </w:tc>
      </w:tr>
      <w:tr w:rsidR="0086383C" w:rsidRPr="00DF31C0" w14:paraId="1599B825" w14:textId="77777777" w:rsidTr="002F13B5">
        <w:trPr>
          <w:cnfStyle w:val="000000010000" w:firstRow="0" w:lastRow="0" w:firstColumn="0" w:lastColumn="0" w:oddVBand="0" w:evenVBand="0" w:oddHBand="0" w:evenHBand="1" w:firstRowFirstColumn="0" w:firstRowLastColumn="0" w:lastRowFirstColumn="0" w:lastRowLastColumn="0"/>
          <w:trHeight w:val="300"/>
        </w:trPr>
        <w:tc>
          <w:tcPr>
            <w:tcW w:w="3119" w:type="dxa"/>
            <w:tcMar>
              <w:top w:w="57" w:type="dxa"/>
              <w:bottom w:w="57" w:type="dxa"/>
            </w:tcMar>
          </w:tcPr>
          <w:p w14:paraId="3B6813FE" w14:textId="18060C53" w:rsidR="65CBA161" w:rsidRPr="00DF31C0" w:rsidRDefault="65CBA161" w:rsidP="00625DAB">
            <w:pPr>
              <w:pStyle w:val="TableTextLeft"/>
              <w:rPr>
                <w:b/>
                <w:bCs/>
              </w:rPr>
            </w:pPr>
            <w:r w:rsidRPr="00DF31C0">
              <w:t>Section 24(1) determination</w:t>
            </w:r>
          </w:p>
        </w:tc>
        <w:tc>
          <w:tcPr>
            <w:tcW w:w="0" w:type="dxa"/>
            <w:tcMar>
              <w:top w:w="57" w:type="dxa"/>
              <w:bottom w:w="57" w:type="dxa"/>
            </w:tcMar>
          </w:tcPr>
          <w:p w14:paraId="01265699" w14:textId="6367DE36" w:rsidR="65CBA161" w:rsidRPr="00DF31C0" w:rsidRDefault="65CBA161" w:rsidP="006B1F21">
            <w:pPr>
              <w:pStyle w:val="TableTextRight"/>
            </w:pPr>
            <w:r w:rsidRPr="00DF31C0">
              <w:t>2</w:t>
            </w:r>
          </w:p>
        </w:tc>
        <w:tc>
          <w:tcPr>
            <w:tcW w:w="0" w:type="dxa"/>
            <w:tcMar>
              <w:top w:w="57" w:type="dxa"/>
              <w:bottom w:w="57" w:type="dxa"/>
            </w:tcMar>
          </w:tcPr>
          <w:p w14:paraId="19D2DDCF" w14:textId="0BD28E98" w:rsidR="65CBA161" w:rsidRPr="00DF31C0" w:rsidRDefault="00A76143" w:rsidP="006B1F21">
            <w:pPr>
              <w:pStyle w:val="TableTextRight"/>
            </w:pPr>
            <w:r>
              <w:t>–</w:t>
            </w:r>
          </w:p>
        </w:tc>
        <w:tc>
          <w:tcPr>
            <w:tcW w:w="0" w:type="dxa"/>
            <w:tcMar>
              <w:top w:w="57" w:type="dxa"/>
              <w:bottom w:w="57" w:type="dxa"/>
            </w:tcMar>
          </w:tcPr>
          <w:p w14:paraId="75FD81CC" w14:textId="5EE3DA89" w:rsidR="65CBA161" w:rsidRPr="00DF31C0" w:rsidRDefault="65CBA161" w:rsidP="006B1F21">
            <w:pPr>
              <w:pStyle w:val="TableTextRight"/>
            </w:pPr>
            <w:r w:rsidRPr="00DF31C0">
              <w:t>2</w:t>
            </w:r>
          </w:p>
        </w:tc>
      </w:tr>
      <w:tr w:rsidR="007965C5" w:rsidRPr="00DF31C0" w14:paraId="2CE2C9AD" w14:textId="77777777" w:rsidTr="002F13B5">
        <w:trPr>
          <w:trHeight w:val="300"/>
        </w:trPr>
        <w:tc>
          <w:tcPr>
            <w:tcW w:w="3119" w:type="dxa"/>
            <w:tcMar>
              <w:top w:w="57" w:type="dxa"/>
              <w:bottom w:w="57" w:type="dxa"/>
            </w:tcMar>
          </w:tcPr>
          <w:p w14:paraId="68E8706E" w14:textId="244A198D" w:rsidR="65CBA161" w:rsidRPr="00590B4C" w:rsidRDefault="65CBA161" w:rsidP="00625DAB">
            <w:pPr>
              <w:pStyle w:val="TableTextLeft"/>
              <w:rPr>
                <w:b/>
                <w:bCs/>
              </w:rPr>
            </w:pPr>
            <w:r w:rsidRPr="00590B4C">
              <w:rPr>
                <w:b/>
                <w:bCs/>
              </w:rPr>
              <w:t xml:space="preserve">Total </w:t>
            </w:r>
          </w:p>
        </w:tc>
        <w:tc>
          <w:tcPr>
            <w:tcW w:w="1560" w:type="dxa"/>
            <w:tcMar>
              <w:top w:w="57" w:type="dxa"/>
              <w:bottom w:w="57" w:type="dxa"/>
            </w:tcMar>
          </w:tcPr>
          <w:p w14:paraId="4E2BCAE9" w14:textId="2E40DDD8" w:rsidR="65CBA161" w:rsidRPr="00DF31C0" w:rsidRDefault="65CBA161" w:rsidP="006B1F21">
            <w:pPr>
              <w:pStyle w:val="TableTextRight"/>
              <w:rPr>
                <w:b/>
                <w:bCs/>
              </w:rPr>
            </w:pPr>
            <w:r w:rsidRPr="00DF31C0">
              <w:rPr>
                <w:b/>
                <w:bCs/>
              </w:rPr>
              <w:t>3</w:t>
            </w:r>
            <w:r w:rsidR="00001FCD" w:rsidRPr="00DF31C0">
              <w:rPr>
                <w:b/>
                <w:bCs/>
                <w:vertAlign w:val="superscript"/>
              </w:rPr>
              <w:t>(a)</w:t>
            </w:r>
          </w:p>
        </w:tc>
        <w:tc>
          <w:tcPr>
            <w:tcW w:w="1418" w:type="dxa"/>
            <w:tcMar>
              <w:top w:w="57" w:type="dxa"/>
              <w:bottom w:w="57" w:type="dxa"/>
            </w:tcMar>
          </w:tcPr>
          <w:p w14:paraId="15A9E207" w14:textId="6CF30321" w:rsidR="65CBA161" w:rsidRPr="00DF31C0" w:rsidRDefault="65CBA161" w:rsidP="006B1F21">
            <w:pPr>
              <w:pStyle w:val="TableTextRight"/>
              <w:rPr>
                <w:b/>
                <w:bCs/>
              </w:rPr>
            </w:pPr>
            <w:r w:rsidRPr="00DF31C0">
              <w:rPr>
                <w:b/>
                <w:bCs/>
              </w:rPr>
              <w:t>50</w:t>
            </w:r>
          </w:p>
        </w:tc>
        <w:tc>
          <w:tcPr>
            <w:tcW w:w="1417" w:type="dxa"/>
            <w:tcMar>
              <w:top w:w="57" w:type="dxa"/>
              <w:bottom w:w="57" w:type="dxa"/>
            </w:tcMar>
          </w:tcPr>
          <w:p w14:paraId="3FC481B9" w14:textId="49400E3F" w:rsidR="65CBA161" w:rsidRPr="00DF31C0" w:rsidRDefault="65CBA161" w:rsidP="006B1F21">
            <w:pPr>
              <w:pStyle w:val="TableTextRight"/>
              <w:rPr>
                <w:b/>
                <w:bCs/>
              </w:rPr>
            </w:pPr>
            <w:r w:rsidRPr="00DF31C0">
              <w:rPr>
                <w:b/>
                <w:bCs/>
              </w:rPr>
              <w:t>5</w:t>
            </w:r>
            <w:r w:rsidR="0034615F" w:rsidRPr="00DF31C0">
              <w:rPr>
                <w:b/>
                <w:bCs/>
              </w:rPr>
              <w:t>2</w:t>
            </w:r>
          </w:p>
        </w:tc>
      </w:tr>
    </w:tbl>
    <w:p w14:paraId="405E222C" w14:textId="27B508C1" w:rsidR="65CBA161" w:rsidRPr="00187FD8" w:rsidRDefault="00001FCD" w:rsidP="00DF31C0">
      <w:pPr>
        <w:pStyle w:val="FooterWhite"/>
        <w:rPr>
          <w:rFonts w:ascii="Aptos" w:hAnsi="Aptos"/>
          <w:color w:val="000000" w:themeColor="text1"/>
          <w:sz w:val="22"/>
        </w:rPr>
      </w:pPr>
      <w:r w:rsidRPr="00284B62">
        <w:rPr>
          <w:color w:val="000000" w:themeColor="text1"/>
          <w:sz w:val="16"/>
          <w:szCs w:val="18"/>
        </w:rPr>
        <w:t xml:space="preserve">(a) The AOFM CEO is under separate employment arrangements </w:t>
      </w:r>
      <w:r w:rsidR="00573640" w:rsidRPr="00284B62">
        <w:rPr>
          <w:color w:val="000000" w:themeColor="text1"/>
          <w:sz w:val="16"/>
          <w:szCs w:val="18"/>
        </w:rPr>
        <w:t xml:space="preserve">from </w:t>
      </w:r>
      <w:r w:rsidRPr="00284B62">
        <w:rPr>
          <w:color w:val="000000" w:themeColor="text1"/>
          <w:sz w:val="16"/>
          <w:szCs w:val="18"/>
        </w:rPr>
        <w:t>other AOFM SES</w:t>
      </w:r>
      <w:r w:rsidRPr="00187FD8">
        <w:rPr>
          <w:color w:val="000000" w:themeColor="text1"/>
        </w:rPr>
        <w:t>.</w:t>
      </w:r>
    </w:p>
    <w:p w14:paraId="0B3858F9" w14:textId="1CABF194" w:rsidR="00BF71B1" w:rsidRPr="00AA7F1D" w:rsidRDefault="00BF71B1" w:rsidP="00C67F81">
      <w:pPr>
        <w:pStyle w:val="Heading2"/>
      </w:pPr>
      <w:bookmarkStart w:id="1149" w:name="_Toc173327334"/>
      <w:bookmarkStart w:id="1150" w:name="_Toc173327787"/>
      <w:bookmarkStart w:id="1151" w:name="_Toc173395310"/>
      <w:bookmarkStart w:id="1152" w:name="_Toc173395387"/>
      <w:bookmarkStart w:id="1153" w:name="_Toc173395722"/>
      <w:bookmarkStart w:id="1154" w:name="_Toc173396609"/>
      <w:bookmarkStart w:id="1155" w:name="_Toc173397621"/>
      <w:bookmarkStart w:id="1156" w:name="_Toc173408198"/>
      <w:bookmarkStart w:id="1157" w:name="_Toc173411520"/>
      <w:bookmarkStart w:id="1158" w:name="_Toc173479199"/>
      <w:bookmarkStart w:id="1159" w:name="_Toc173743080"/>
      <w:bookmarkStart w:id="1160" w:name="_Toc173743241"/>
      <w:bookmarkStart w:id="1161" w:name="_Toc176160562"/>
      <w:bookmarkStart w:id="1162" w:name="_Toc176163191"/>
      <w:bookmarkStart w:id="1163" w:name="_Toc205474327"/>
      <w:bookmarkStart w:id="1164" w:name="_Toc207792907"/>
      <w:bookmarkStart w:id="1165" w:name="_Toc207793946"/>
      <w:bookmarkStart w:id="1166" w:name="_Toc207796094"/>
      <w:bookmarkStart w:id="1167" w:name="_Toc207796951"/>
      <w:bookmarkStart w:id="1168" w:name="_Toc207800253"/>
      <w:bookmarkStart w:id="1169" w:name="_Toc207810831"/>
      <w:bookmarkStart w:id="1170" w:name="_Toc208914110"/>
      <w:bookmarkStart w:id="1171" w:name="_Toc209424507"/>
      <w:r w:rsidRPr="00AA7F1D">
        <w:t>The AOFM workforce</w:t>
      </w:r>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r w:rsidRPr="00AA7F1D">
        <w:t> </w:t>
      </w:r>
    </w:p>
    <w:p w14:paraId="183A40D8" w14:textId="45964B6B" w:rsidR="144C9560" w:rsidRDefault="144C9560" w:rsidP="00A36C00">
      <w:proofErr w:type="gramStart"/>
      <w:r w:rsidRPr="52D69542">
        <w:t>At</w:t>
      </w:r>
      <w:proofErr w:type="gramEnd"/>
      <w:r w:rsidRPr="52D69542">
        <w:t xml:space="preserve"> 30 June 2025, the AOFM employed 53 employees (headcount), including 5</w:t>
      </w:r>
      <w:r w:rsidR="00BE6ED5">
        <w:t> </w:t>
      </w:r>
      <w:r w:rsidRPr="52D69542">
        <w:t>non</w:t>
      </w:r>
      <w:r w:rsidR="00B84FF2">
        <w:noBreakHyphen/>
      </w:r>
      <w:r w:rsidRPr="52D69542">
        <w:t>ongoing employees, one on long</w:t>
      </w:r>
      <w:r w:rsidR="00B84FF2">
        <w:noBreakHyphen/>
      </w:r>
      <w:r w:rsidRPr="52D69542">
        <w:t>term maternity leave, one on long</w:t>
      </w:r>
      <w:r w:rsidR="00B84FF2">
        <w:noBreakHyphen/>
      </w:r>
      <w:r w:rsidRPr="52D69542">
        <w:t xml:space="preserve">term leave and one on secondment. The following tables provide detailed breakdowns for </w:t>
      </w:r>
      <w:r w:rsidR="00701CF3">
        <w:br/>
      </w:r>
      <w:r w:rsidRPr="52D69542">
        <w:t>2024</w:t>
      </w:r>
      <w:r w:rsidR="00701CF3">
        <w:t>–</w:t>
      </w:r>
      <w:r w:rsidRPr="52D69542">
        <w:t xml:space="preserve">25 (as </w:t>
      </w:r>
      <w:proofErr w:type="gramStart"/>
      <w:r w:rsidRPr="52D69542">
        <w:t>at</w:t>
      </w:r>
      <w:proofErr w:type="gramEnd"/>
      <w:r w:rsidRPr="52D69542">
        <w:t xml:space="preserve"> 30 June 2025). </w:t>
      </w:r>
    </w:p>
    <w:p w14:paraId="716A852A" w14:textId="77777777" w:rsidR="004876FF" w:rsidRDefault="004876FF">
      <w:pPr>
        <w:spacing w:after="0" w:line="240" w:lineRule="auto"/>
        <w:rPr>
          <w:rFonts w:ascii="Aptos" w:eastAsia="Aptos" w:hAnsi="Aptos" w:cs="Aptos"/>
          <w:sz w:val="22"/>
          <w:szCs w:val="22"/>
        </w:rPr>
        <w:sectPr w:rsidR="004876FF" w:rsidSect="001E2AEB">
          <w:type w:val="oddPage"/>
          <w:pgSz w:w="11907" w:h="16840" w:code="9"/>
          <w:pgMar w:top="2835" w:right="2098" w:bottom="2466" w:left="2098" w:header="1814" w:footer="1814" w:gutter="0"/>
          <w:cols w:space="708"/>
          <w:docGrid w:linePitch="360"/>
        </w:sectPr>
      </w:pPr>
    </w:p>
    <w:p w14:paraId="6A4F8060" w14:textId="6F415D10" w:rsidR="7672F491" w:rsidRDefault="7672F491" w:rsidP="00492F40">
      <w:pPr>
        <w:pStyle w:val="TableMainHeading"/>
      </w:pPr>
      <w:r w:rsidRPr="00187FD8">
        <w:lastRenderedPageBreak/>
        <w:t xml:space="preserve">Table </w:t>
      </w:r>
      <w:r w:rsidR="00EC40F5" w:rsidRPr="00187FD8">
        <w:t>1</w:t>
      </w:r>
      <w:r w:rsidR="00D321DF">
        <w:t>8</w:t>
      </w:r>
      <w:r w:rsidRPr="44E84EAD">
        <w:t xml:space="preserve">: APS ongoing </w:t>
      </w:r>
      <w:r w:rsidRPr="00492F40">
        <w:t>employees</w:t>
      </w:r>
      <w:r w:rsidRPr="44E84EAD">
        <w:t xml:space="preserve"> by classification (headcount) 2024</w:t>
      </w:r>
      <w:r w:rsidR="00A76143">
        <w:t>–</w:t>
      </w:r>
      <w:r w:rsidRPr="44E84EAD">
        <w:t>25</w:t>
      </w:r>
    </w:p>
    <w:tbl>
      <w:tblPr>
        <w:tblStyle w:val="AOFMTablemain"/>
        <w:tblW w:w="5000" w:type="pct"/>
        <w:tblLayout w:type="fixed"/>
        <w:tblLook w:val="04A0" w:firstRow="1" w:lastRow="0" w:firstColumn="1" w:lastColumn="0" w:noHBand="0" w:noVBand="1"/>
      </w:tblPr>
      <w:tblGrid>
        <w:gridCol w:w="679"/>
        <w:gridCol w:w="679"/>
        <w:gridCol w:w="678"/>
        <w:gridCol w:w="678"/>
        <w:gridCol w:w="678"/>
        <w:gridCol w:w="678"/>
        <w:gridCol w:w="679"/>
        <w:gridCol w:w="679"/>
        <w:gridCol w:w="679"/>
        <w:gridCol w:w="679"/>
        <w:gridCol w:w="679"/>
        <w:gridCol w:w="679"/>
        <w:gridCol w:w="679"/>
        <w:gridCol w:w="679"/>
        <w:gridCol w:w="679"/>
        <w:gridCol w:w="679"/>
        <w:gridCol w:w="679"/>
      </w:tblGrid>
      <w:tr w:rsidR="006C235E" w:rsidRPr="00DF31C0" w14:paraId="4B8BC0BD" w14:textId="77777777" w:rsidTr="00492F40">
        <w:trPr>
          <w:cnfStyle w:val="100000000000" w:firstRow="1" w:lastRow="0" w:firstColumn="0" w:lastColumn="0" w:oddVBand="0" w:evenVBand="0" w:oddHBand="0" w:evenHBand="0" w:firstRowFirstColumn="0" w:firstRowLastColumn="0" w:lastRowFirstColumn="0" w:lastRowLastColumn="0"/>
          <w:trHeight w:val="149"/>
        </w:trPr>
        <w:tc>
          <w:tcPr>
            <w:tcW w:w="728" w:type="dxa"/>
          </w:tcPr>
          <w:p w14:paraId="11F680EE" w14:textId="77777777" w:rsidR="00044E28" w:rsidRPr="00F47A82" w:rsidRDefault="00044E28" w:rsidP="00492F40">
            <w:pPr>
              <w:pStyle w:val="TableColumnHeadingLeft"/>
            </w:pPr>
          </w:p>
        </w:tc>
        <w:tc>
          <w:tcPr>
            <w:tcW w:w="2184" w:type="dxa"/>
            <w:gridSpan w:val="3"/>
          </w:tcPr>
          <w:p w14:paraId="6A96E958" w14:textId="20FA0F99" w:rsidR="00044E28" w:rsidRPr="00B8215E" w:rsidRDefault="00044E28" w:rsidP="00492F40">
            <w:pPr>
              <w:pStyle w:val="TableColumnHeadingLeft"/>
              <w:rPr>
                <w:i/>
              </w:rPr>
            </w:pPr>
            <w:r w:rsidRPr="00B8215E">
              <w:t>Man/Male</w:t>
            </w:r>
          </w:p>
        </w:tc>
        <w:tc>
          <w:tcPr>
            <w:tcW w:w="2185" w:type="dxa"/>
            <w:gridSpan w:val="3"/>
          </w:tcPr>
          <w:p w14:paraId="11131A86" w14:textId="4DB9EC79" w:rsidR="00044E28" w:rsidRPr="00B8215E" w:rsidRDefault="00044E28" w:rsidP="00492F40">
            <w:pPr>
              <w:pStyle w:val="TableColumnHeadingLeft"/>
              <w:rPr>
                <w:i/>
              </w:rPr>
            </w:pPr>
            <w:r w:rsidRPr="00B8215E">
              <w:t>Woman/Female</w:t>
            </w:r>
          </w:p>
        </w:tc>
        <w:tc>
          <w:tcPr>
            <w:tcW w:w="2187" w:type="dxa"/>
            <w:gridSpan w:val="3"/>
          </w:tcPr>
          <w:p w14:paraId="7E4673C8" w14:textId="7E2265FC" w:rsidR="00044E28" w:rsidRPr="00B8215E" w:rsidRDefault="00044E28" w:rsidP="00492F40">
            <w:pPr>
              <w:pStyle w:val="TableColumnHeadingLeft"/>
              <w:rPr>
                <w:i/>
              </w:rPr>
            </w:pPr>
            <w:r w:rsidRPr="00B8215E">
              <w:t>Non</w:t>
            </w:r>
            <w:r w:rsidR="00B84FF2">
              <w:noBreakHyphen/>
            </w:r>
            <w:r w:rsidRPr="00B8215E">
              <w:t>binary</w:t>
            </w:r>
          </w:p>
        </w:tc>
        <w:tc>
          <w:tcPr>
            <w:tcW w:w="2187" w:type="dxa"/>
            <w:gridSpan w:val="3"/>
          </w:tcPr>
          <w:p w14:paraId="19394322" w14:textId="2EB81A13" w:rsidR="00044E28" w:rsidRPr="00B8215E" w:rsidRDefault="00044E28" w:rsidP="00492F40">
            <w:pPr>
              <w:pStyle w:val="TableColumnHeadingLeft"/>
              <w:rPr>
                <w:i/>
              </w:rPr>
            </w:pPr>
            <w:r w:rsidRPr="00B8215E">
              <w:t>Prefers not to answer</w:t>
            </w:r>
          </w:p>
        </w:tc>
        <w:tc>
          <w:tcPr>
            <w:tcW w:w="2187" w:type="dxa"/>
            <w:gridSpan w:val="3"/>
          </w:tcPr>
          <w:p w14:paraId="06589461" w14:textId="060FC126" w:rsidR="00044E28" w:rsidRPr="00B8215E" w:rsidRDefault="00044E28" w:rsidP="00492F40">
            <w:pPr>
              <w:pStyle w:val="TableColumnHeadingLeft"/>
              <w:rPr>
                <w:i/>
              </w:rPr>
            </w:pPr>
            <w:r w:rsidRPr="00B8215E">
              <w:t>Uses a different term</w:t>
            </w:r>
          </w:p>
        </w:tc>
        <w:tc>
          <w:tcPr>
            <w:tcW w:w="729" w:type="dxa"/>
          </w:tcPr>
          <w:p w14:paraId="0F40FF38" w14:textId="706758D6" w:rsidR="00044E28" w:rsidRPr="00B8215E" w:rsidRDefault="00044E28" w:rsidP="00492F40">
            <w:pPr>
              <w:pStyle w:val="TableColumnHeadingLeft"/>
            </w:pPr>
            <w:r w:rsidRPr="00B8215E">
              <w:t xml:space="preserve">Total </w:t>
            </w:r>
          </w:p>
        </w:tc>
      </w:tr>
      <w:tr w:rsidR="00044E28" w:rsidRPr="00DF31C0" w14:paraId="09662A21" w14:textId="77777777" w:rsidTr="00492F40">
        <w:trPr>
          <w:trHeight w:val="301"/>
        </w:trPr>
        <w:tc>
          <w:tcPr>
            <w:tcW w:w="728" w:type="dxa"/>
            <w:tcMar>
              <w:top w:w="57" w:type="dxa"/>
              <w:bottom w:w="57" w:type="dxa"/>
            </w:tcMar>
          </w:tcPr>
          <w:p w14:paraId="025AF752" w14:textId="7D56A84D" w:rsidR="00044E28" w:rsidRPr="00492F40" w:rsidRDefault="00044E28" w:rsidP="00625DAB">
            <w:pPr>
              <w:pStyle w:val="TableTextLeft"/>
            </w:pPr>
          </w:p>
        </w:tc>
        <w:tc>
          <w:tcPr>
            <w:tcW w:w="728" w:type="dxa"/>
            <w:tcMar>
              <w:top w:w="57" w:type="dxa"/>
              <w:bottom w:w="57" w:type="dxa"/>
            </w:tcMar>
          </w:tcPr>
          <w:p w14:paraId="7B3521B3" w14:textId="2A325DCD" w:rsidR="00044E28" w:rsidRPr="00492F40" w:rsidRDefault="00044E28" w:rsidP="00492F40">
            <w:pPr>
              <w:pStyle w:val="TableTextRight"/>
              <w:rPr>
                <w:b/>
                <w:bCs/>
              </w:rPr>
            </w:pPr>
            <w:r w:rsidRPr="00492F40">
              <w:rPr>
                <w:b/>
                <w:bCs/>
              </w:rPr>
              <w:t>Full time</w:t>
            </w:r>
          </w:p>
        </w:tc>
        <w:tc>
          <w:tcPr>
            <w:tcW w:w="728" w:type="dxa"/>
            <w:tcMar>
              <w:top w:w="57" w:type="dxa"/>
              <w:bottom w:w="57" w:type="dxa"/>
            </w:tcMar>
          </w:tcPr>
          <w:p w14:paraId="6F604B4A" w14:textId="4790540D" w:rsidR="00044E28" w:rsidRPr="00492F40" w:rsidRDefault="00044E28" w:rsidP="00492F40">
            <w:pPr>
              <w:pStyle w:val="TableTextRight"/>
              <w:rPr>
                <w:b/>
                <w:bCs/>
              </w:rPr>
            </w:pPr>
            <w:r w:rsidRPr="00492F40">
              <w:rPr>
                <w:b/>
                <w:bCs/>
              </w:rPr>
              <w:t>Part time</w:t>
            </w:r>
          </w:p>
        </w:tc>
        <w:tc>
          <w:tcPr>
            <w:tcW w:w="728" w:type="dxa"/>
            <w:tcMar>
              <w:top w:w="57" w:type="dxa"/>
              <w:bottom w:w="57" w:type="dxa"/>
            </w:tcMar>
          </w:tcPr>
          <w:p w14:paraId="29F954D0" w14:textId="699D4E37" w:rsidR="00044E28" w:rsidRPr="00492F40" w:rsidRDefault="00044E28" w:rsidP="00492F40">
            <w:pPr>
              <w:pStyle w:val="TableTextRight"/>
              <w:rPr>
                <w:b/>
                <w:bCs/>
              </w:rPr>
            </w:pPr>
            <w:r w:rsidRPr="00492F40">
              <w:rPr>
                <w:b/>
                <w:bCs/>
              </w:rPr>
              <w:t xml:space="preserve">Total </w:t>
            </w:r>
          </w:p>
        </w:tc>
        <w:tc>
          <w:tcPr>
            <w:tcW w:w="728" w:type="dxa"/>
            <w:tcMar>
              <w:top w:w="57" w:type="dxa"/>
              <w:bottom w:w="57" w:type="dxa"/>
            </w:tcMar>
          </w:tcPr>
          <w:p w14:paraId="273825FF" w14:textId="6EF0A390" w:rsidR="00044E28" w:rsidRPr="00492F40" w:rsidRDefault="00044E28" w:rsidP="00492F40">
            <w:pPr>
              <w:pStyle w:val="TableTextRight"/>
              <w:rPr>
                <w:b/>
                <w:bCs/>
              </w:rPr>
            </w:pPr>
            <w:r w:rsidRPr="00492F40">
              <w:rPr>
                <w:b/>
                <w:bCs/>
              </w:rPr>
              <w:t>Full time</w:t>
            </w:r>
          </w:p>
        </w:tc>
        <w:tc>
          <w:tcPr>
            <w:tcW w:w="728" w:type="dxa"/>
            <w:tcMar>
              <w:top w:w="57" w:type="dxa"/>
              <w:bottom w:w="57" w:type="dxa"/>
            </w:tcMar>
          </w:tcPr>
          <w:p w14:paraId="0DFE120B" w14:textId="311D5CD9" w:rsidR="00044E28" w:rsidRPr="00492F40" w:rsidRDefault="00044E28" w:rsidP="00492F40">
            <w:pPr>
              <w:pStyle w:val="TableTextRight"/>
              <w:rPr>
                <w:b/>
                <w:bCs/>
              </w:rPr>
            </w:pPr>
            <w:r w:rsidRPr="00492F40">
              <w:rPr>
                <w:b/>
                <w:bCs/>
              </w:rPr>
              <w:t>Part time</w:t>
            </w:r>
          </w:p>
        </w:tc>
        <w:tc>
          <w:tcPr>
            <w:tcW w:w="729" w:type="dxa"/>
            <w:tcMar>
              <w:top w:w="57" w:type="dxa"/>
              <w:bottom w:w="57" w:type="dxa"/>
            </w:tcMar>
          </w:tcPr>
          <w:p w14:paraId="2E483D5A" w14:textId="12AF8F93" w:rsidR="00044E28" w:rsidRPr="00492F40" w:rsidRDefault="00044E28" w:rsidP="00492F40">
            <w:pPr>
              <w:pStyle w:val="TableTextRight"/>
              <w:rPr>
                <w:b/>
                <w:bCs/>
              </w:rPr>
            </w:pPr>
            <w:r w:rsidRPr="00492F40">
              <w:rPr>
                <w:b/>
                <w:bCs/>
              </w:rPr>
              <w:t xml:space="preserve">Total </w:t>
            </w:r>
          </w:p>
        </w:tc>
        <w:tc>
          <w:tcPr>
            <w:tcW w:w="729" w:type="dxa"/>
            <w:tcMar>
              <w:top w:w="57" w:type="dxa"/>
              <w:bottom w:w="57" w:type="dxa"/>
            </w:tcMar>
          </w:tcPr>
          <w:p w14:paraId="5E993805" w14:textId="021ED6D7" w:rsidR="00044E28" w:rsidRPr="00492F40" w:rsidRDefault="00044E28" w:rsidP="00492F40">
            <w:pPr>
              <w:pStyle w:val="TableTextRight"/>
              <w:rPr>
                <w:b/>
                <w:bCs/>
              </w:rPr>
            </w:pPr>
            <w:r w:rsidRPr="00492F40">
              <w:rPr>
                <w:b/>
                <w:bCs/>
              </w:rPr>
              <w:t>Full time</w:t>
            </w:r>
          </w:p>
        </w:tc>
        <w:tc>
          <w:tcPr>
            <w:tcW w:w="729" w:type="dxa"/>
            <w:tcMar>
              <w:top w:w="57" w:type="dxa"/>
              <w:bottom w:w="57" w:type="dxa"/>
            </w:tcMar>
          </w:tcPr>
          <w:p w14:paraId="0CA9EF7E" w14:textId="79FFB547" w:rsidR="00044E28" w:rsidRPr="00492F40" w:rsidRDefault="00044E28" w:rsidP="00492F40">
            <w:pPr>
              <w:pStyle w:val="TableTextRight"/>
              <w:rPr>
                <w:b/>
                <w:bCs/>
              </w:rPr>
            </w:pPr>
            <w:r w:rsidRPr="00492F40">
              <w:rPr>
                <w:b/>
                <w:bCs/>
              </w:rPr>
              <w:t>Part time</w:t>
            </w:r>
          </w:p>
        </w:tc>
        <w:tc>
          <w:tcPr>
            <w:tcW w:w="729" w:type="dxa"/>
            <w:tcMar>
              <w:top w:w="57" w:type="dxa"/>
              <w:bottom w:w="57" w:type="dxa"/>
            </w:tcMar>
          </w:tcPr>
          <w:p w14:paraId="1423E13C" w14:textId="62D853E8" w:rsidR="00044E28" w:rsidRPr="00492F40" w:rsidRDefault="00044E28" w:rsidP="00492F40">
            <w:pPr>
              <w:pStyle w:val="TableTextRight"/>
              <w:rPr>
                <w:b/>
                <w:bCs/>
              </w:rPr>
            </w:pPr>
            <w:r w:rsidRPr="00492F40">
              <w:rPr>
                <w:b/>
                <w:bCs/>
              </w:rPr>
              <w:t xml:space="preserve">Total </w:t>
            </w:r>
          </w:p>
        </w:tc>
        <w:tc>
          <w:tcPr>
            <w:tcW w:w="729" w:type="dxa"/>
            <w:tcMar>
              <w:top w:w="57" w:type="dxa"/>
              <w:bottom w:w="57" w:type="dxa"/>
            </w:tcMar>
          </w:tcPr>
          <w:p w14:paraId="55318321" w14:textId="1DB18821" w:rsidR="00044E28" w:rsidRPr="00492F40" w:rsidRDefault="00044E28" w:rsidP="00492F40">
            <w:pPr>
              <w:pStyle w:val="TableTextRight"/>
              <w:rPr>
                <w:b/>
                <w:bCs/>
              </w:rPr>
            </w:pPr>
            <w:r w:rsidRPr="00492F40">
              <w:rPr>
                <w:b/>
                <w:bCs/>
              </w:rPr>
              <w:t>Full time</w:t>
            </w:r>
          </w:p>
        </w:tc>
        <w:tc>
          <w:tcPr>
            <w:tcW w:w="729" w:type="dxa"/>
            <w:tcMar>
              <w:top w:w="57" w:type="dxa"/>
              <w:bottom w:w="57" w:type="dxa"/>
            </w:tcMar>
          </w:tcPr>
          <w:p w14:paraId="1ACB67FB" w14:textId="68612CA3" w:rsidR="00044E28" w:rsidRPr="00492F40" w:rsidRDefault="00044E28" w:rsidP="00492F40">
            <w:pPr>
              <w:pStyle w:val="TableTextRight"/>
              <w:rPr>
                <w:b/>
                <w:bCs/>
              </w:rPr>
            </w:pPr>
            <w:r w:rsidRPr="00492F40">
              <w:rPr>
                <w:b/>
                <w:bCs/>
              </w:rPr>
              <w:t>Part time</w:t>
            </w:r>
          </w:p>
        </w:tc>
        <w:tc>
          <w:tcPr>
            <w:tcW w:w="729" w:type="dxa"/>
            <w:tcMar>
              <w:top w:w="57" w:type="dxa"/>
              <w:bottom w:w="57" w:type="dxa"/>
            </w:tcMar>
          </w:tcPr>
          <w:p w14:paraId="635135A7" w14:textId="1BC9D82C" w:rsidR="00044E28" w:rsidRPr="00492F40" w:rsidRDefault="00044E28" w:rsidP="00492F40">
            <w:pPr>
              <w:pStyle w:val="TableTextRight"/>
              <w:rPr>
                <w:b/>
                <w:bCs/>
              </w:rPr>
            </w:pPr>
            <w:r w:rsidRPr="00492F40">
              <w:rPr>
                <w:b/>
                <w:bCs/>
              </w:rPr>
              <w:t xml:space="preserve">Total </w:t>
            </w:r>
          </w:p>
        </w:tc>
        <w:tc>
          <w:tcPr>
            <w:tcW w:w="729" w:type="dxa"/>
            <w:tcMar>
              <w:top w:w="57" w:type="dxa"/>
              <w:bottom w:w="57" w:type="dxa"/>
            </w:tcMar>
          </w:tcPr>
          <w:p w14:paraId="508C51CC" w14:textId="58026CEF" w:rsidR="00044E28" w:rsidRPr="00492F40" w:rsidRDefault="00044E28" w:rsidP="00492F40">
            <w:pPr>
              <w:pStyle w:val="TableTextRight"/>
              <w:rPr>
                <w:b/>
                <w:bCs/>
              </w:rPr>
            </w:pPr>
            <w:r w:rsidRPr="00492F40">
              <w:rPr>
                <w:b/>
                <w:bCs/>
              </w:rPr>
              <w:t>Full time</w:t>
            </w:r>
          </w:p>
        </w:tc>
        <w:tc>
          <w:tcPr>
            <w:tcW w:w="729" w:type="dxa"/>
            <w:tcMar>
              <w:top w:w="57" w:type="dxa"/>
              <w:bottom w:w="57" w:type="dxa"/>
            </w:tcMar>
          </w:tcPr>
          <w:p w14:paraId="0227A5C5" w14:textId="52589A87" w:rsidR="00044E28" w:rsidRPr="00492F40" w:rsidRDefault="00044E28" w:rsidP="00492F40">
            <w:pPr>
              <w:pStyle w:val="TableTextRight"/>
              <w:rPr>
                <w:b/>
                <w:bCs/>
              </w:rPr>
            </w:pPr>
            <w:r w:rsidRPr="00492F40">
              <w:rPr>
                <w:b/>
                <w:bCs/>
              </w:rPr>
              <w:t>Part time</w:t>
            </w:r>
          </w:p>
        </w:tc>
        <w:tc>
          <w:tcPr>
            <w:tcW w:w="729" w:type="dxa"/>
            <w:tcMar>
              <w:top w:w="57" w:type="dxa"/>
              <w:bottom w:w="57" w:type="dxa"/>
            </w:tcMar>
          </w:tcPr>
          <w:p w14:paraId="7F3493D1" w14:textId="4FEC0D42" w:rsidR="00044E28" w:rsidRPr="00492F40" w:rsidRDefault="00044E28" w:rsidP="00492F40">
            <w:pPr>
              <w:pStyle w:val="TableTextRight"/>
              <w:rPr>
                <w:b/>
                <w:bCs/>
              </w:rPr>
            </w:pPr>
            <w:r w:rsidRPr="00492F40">
              <w:rPr>
                <w:b/>
                <w:bCs/>
              </w:rPr>
              <w:t xml:space="preserve">Total </w:t>
            </w:r>
          </w:p>
        </w:tc>
        <w:tc>
          <w:tcPr>
            <w:tcW w:w="729" w:type="dxa"/>
            <w:tcMar>
              <w:top w:w="57" w:type="dxa"/>
              <w:bottom w:w="57" w:type="dxa"/>
            </w:tcMar>
          </w:tcPr>
          <w:p w14:paraId="6473D939" w14:textId="68DFF825" w:rsidR="00044E28" w:rsidRPr="00A97B9C" w:rsidRDefault="00044E28" w:rsidP="00492F40">
            <w:pPr>
              <w:pStyle w:val="TableTextRight"/>
              <w:rPr>
                <w:b/>
                <w:bCs/>
              </w:rPr>
            </w:pPr>
          </w:p>
        </w:tc>
      </w:tr>
      <w:tr w:rsidR="0048600D" w:rsidRPr="00F47A82" w14:paraId="3E53D5CC" w14:textId="77777777" w:rsidTr="00A97B9C">
        <w:trPr>
          <w:cnfStyle w:val="000000010000" w:firstRow="0" w:lastRow="0" w:firstColumn="0" w:lastColumn="0" w:oddVBand="0" w:evenVBand="0" w:oddHBand="0" w:evenHBand="1" w:firstRowFirstColumn="0" w:firstRowLastColumn="0" w:lastRowFirstColumn="0" w:lastRowLastColumn="0"/>
          <w:trHeight w:val="54"/>
        </w:trPr>
        <w:tc>
          <w:tcPr>
            <w:tcW w:w="728" w:type="dxa"/>
            <w:tcMar>
              <w:top w:w="57" w:type="dxa"/>
              <w:bottom w:w="28" w:type="dxa"/>
            </w:tcMar>
            <w:vAlign w:val="bottom"/>
          </w:tcPr>
          <w:p w14:paraId="78717CE3" w14:textId="6F039189" w:rsidR="00A76143" w:rsidRPr="00A97B9C" w:rsidRDefault="00A76143" w:rsidP="00625DAB">
            <w:pPr>
              <w:pStyle w:val="TableTextLeft"/>
            </w:pPr>
            <w:r w:rsidRPr="00A97B9C">
              <w:t>SES 3 </w:t>
            </w:r>
          </w:p>
        </w:tc>
        <w:tc>
          <w:tcPr>
            <w:tcW w:w="728" w:type="dxa"/>
            <w:tcMar>
              <w:top w:w="57" w:type="dxa"/>
              <w:bottom w:w="28" w:type="dxa"/>
            </w:tcMar>
            <w:vAlign w:val="center"/>
          </w:tcPr>
          <w:p w14:paraId="6B9D7471" w14:textId="49C4C78C" w:rsidR="00A76143" w:rsidRPr="00A97B9C" w:rsidRDefault="00A76143" w:rsidP="00A97B9C">
            <w:pPr>
              <w:pStyle w:val="TableTextRight"/>
            </w:pPr>
            <w:r w:rsidRPr="00A97B9C">
              <w:t>–</w:t>
            </w:r>
          </w:p>
        </w:tc>
        <w:tc>
          <w:tcPr>
            <w:tcW w:w="728" w:type="dxa"/>
            <w:tcMar>
              <w:top w:w="57" w:type="dxa"/>
              <w:bottom w:w="28" w:type="dxa"/>
            </w:tcMar>
            <w:vAlign w:val="center"/>
          </w:tcPr>
          <w:p w14:paraId="1123A8B0" w14:textId="1D282865" w:rsidR="00A76143" w:rsidRPr="00A97B9C" w:rsidRDefault="00A76143" w:rsidP="00A97B9C">
            <w:pPr>
              <w:pStyle w:val="TableTextRight"/>
            </w:pPr>
            <w:r w:rsidRPr="00A97B9C">
              <w:t>–</w:t>
            </w:r>
          </w:p>
        </w:tc>
        <w:tc>
          <w:tcPr>
            <w:tcW w:w="728" w:type="dxa"/>
            <w:tcMar>
              <w:top w:w="57" w:type="dxa"/>
              <w:bottom w:w="28" w:type="dxa"/>
            </w:tcMar>
            <w:vAlign w:val="center"/>
          </w:tcPr>
          <w:p w14:paraId="5745DA86" w14:textId="28A2642A" w:rsidR="00A76143" w:rsidRPr="00A97B9C" w:rsidRDefault="00A76143" w:rsidP="00A97B9C">
            <w:pPr>
              <w:pStyle w:val="TableTextRight"/>
            </w:pPr>
            <w:r w:rsidRPr="00A97B9C">
              <w:t>–</w:t>
            </w:r>
          </w:p>
        </w:tc>
        <w:tc>
          <w:tcPr>
            <w:tcW w:w="728" w:type="dxa"/>
            <w:tcMar>
              <w:top w:w="57" w:type="dxa"/>
              <w:bottom w:w="28" w:type="dxa"/>
            </w:tcMar>
            <w:vAlign w:val="center"/>
          </w:tcPr>
          <w:p w14:paraId="1B50D0BC" w14:textId="436DAE69" w:rsidR="00A76143" w:rsidRPr="00A97B9C" w:rsidRDefault="00A76143" w:rsidP="00A97B9C">
            <w:pPr>
              <w:pStyle w:val="TableTextRight"/>
            </w:pPr>
            <w:r w:rsidRPr="00A97B9C">
              <w:t>1</w:t>
            </w:r>
          </w:p>
        </w:tc>
        <w:tc>
          <w:tcPr>
            <w:tcW w:w="728" w:type="dxa"/>
            <w:tcMar>
              <w:top w:w="57" w:type="dxa"/>
              <w:bottom w:w="28" w:type="dxa"/>
            </w:tcMar>
            <w:vAlign w:val="center"/>
          </w:tcPr>
          <w:p w14:paraId="0A4954F7" w14:textId="78E95EF2" w:rsidR="00A76143" w:rsidRPr="00A97B9C" w:rsidRDefault="00A76143" w:rsidP="00A97B9C">
            <w:pPr>
              <w:pStyle w:val="TableTextRight"/>
            </w:pPr>
            <w:r w:rsidRPr="00A97B9C">
              <w:t>–</w:t>
            </w:r>
          </w:p>
        </w:tc>
        <w:tc>
          <w:tcPr>
            <w:tcW w:w="729" w:type="dxa"/>
            <w:tcMar>
              <w:top w:w="57" w:type="dxa"/>
              <w:bottom w:w="28" w:type="dxa"/>
            </w:tcMar>
            <w:vAlign w:val="center"/>
          </w:tcPr>
          <w:p w14:paraId="78374CC7" w14:textId="5759E61B" w:rsidR="00A76143" w:rsidRPr="00A97B9C" w:rsidRDefault="00A76143" w:rsidP="00A97B9C">
            <w:pPr>
              <w:pStyle w:val="TableTextRight"/>
            </w:pPr>
            <w:r w:rsidRPr="00A97B9C">
              <w:t>1</w:t>
            </w:r>
          </w:p>
        </w:tc>
        <w:tc>
          <w:tcPr>
            <w:tcW w:w="729" w:type="dxa"/>
            <w:tcMar>
              <w:top w:w="57" w:type="dxa"/>
              <w:bottom w:w="28" w:type="dxa"/>
            </w:tcMar>
            <w:vAlign w:val="center"/>
          </w:tcPr>
          <w:p w14:paraId="25A8B72B" w14:textId="2BEC52E4" w:rsidR="00A76143" w:rsidRPr="00A97B9C" w:rsidRDefault="00A76143" w:rsidP="00A97B9C">
            <w:pPr>
              <w:pStyle w:val="TableTextRight"/>
            </w:pPr>
            <w:r w:rsidRPr="00A97B9C">
              <w:t>–</w:t>
            </w:r>
          </w:p>
        </w:tc>
        <w:tc>
          <w:tcPr>
            <w:tcW w:w="729" w:type="dxa"/>
            <w:tcMar>
              <w:top w:w="57" w:type="dxa"/>
              <w:bottom w:w="28" w:type="dxa"/>
            </w:tcMar>
            <w:vAlign w:val="center"/>
          </w:tcPr>
          <w:p w14:paraId="3C1904D2" w14:textId="2434BABD" w:rsidR="00A76143" w:rsidRPr="00A97B9C" w:rsidRDefault="00A76143" w:rsidP="00A97B9C">
            <w:pPr>
              <w:pStyle w:val="TableTextRight"/>
            </w:pPr>
            <w:r w:rsidRPr="00A97B9C">
              <w:t>–</w:t>
            </w:r>
          </w:p>
        </w:tc>
        <w:tc>
          <w:tcPr>
            <w:tcW w:w="729" w:type="dxa"/>
            <w:tcMar>
              <w:top w:w="57" w:type="dxa"/>
              <w:bottom w:w="28" w:type="dxa"/>
            </w:tcMar>
            <w:vAlign w:val="center"/>
          </w:tcPr>
          <w:p w14:paraId="0D1F609D" w14:textId="15ECAA32" w:rsidR="00A76143" w:rsidRPr="00A97B9C" w:rsidRDefault="00A76143" w:rsidP="00A97B9C">
            <w:pPr>
              <w:pStyle w:val="TableTextRight"/>
            </w:pPr>
            <w:r w:rsidRPr="00A97B9C">
              <w:t>–</w:t>
            </w:r>
          </w:p>
        </w:tc>
        <w:tc>
          <w:tcPr>
            <w:tcW w:w="729" w:type="dxa"/>
            <w:tcMar>
              <w:top w:w="57" w:type="dxa"/>
              <w:bottom w:w="28" w:type="dxa"/>
            </w:tcMar>
            <w:vAlign w:val="center"/>
          </w:tcPr>
          <w:p w14:paraId="1ED6A034" w14:textId="334A0938" w:rsidR="00A76143" w:rsidRPr="00A97B9C" w:rsidRDefault="00A76143" w:rsidP="00A97B9C">
            <w:pPr>
              <w:pStyle w:val="TableTextRight"/>
            </w:pPr>
            <w:r w:rsidRPr="00A97B9C">
              <w:t>–</w:t>
            </w:r>
          </w:p>
        </w:tc>
        <w:tc>
          <w:tcPr>
            <w:tcW w:w="729" w:type="dxa"/>
            <w:tcMar>
              <w:top w:w="57" w:type="dxa"/>
              <w:bottom w:w="28" w:type="dxa"/>
            </w:tcMar>
            <w:vAlign w:val="center"/>
          </w:tcPr>
          <w:p w14:paraId="5D914C84" w14:textId="3A508701" w:rsidR="00A76143" w:rsidRPr="00A97B9C" w:rsidRDefault="00A76143" w:rsidP="00A97B9C">
            <w:pPr>
              <w:pStyle w:val="TableTextRight"/>
            </w:pPr>
            <w:r w:rsidRPr="00A97B9C">
              <w:t>–</w:t>
            </w:r>
          </w:p>
        </w:tc>
        <w:tc>
          <w:tcPr>
            <w:tcW w:w="729" w:type="dxa"/>
            <w:tcMar>
              <w:top w:w="57" w:type="dxa"/>
              <w:bottom w:w="28" w:type="dxa"/>
            </w:tcMar>
            <w:vAlign w:val="center"/>
          </w:tcPr>
          <w:p w14:paraId="7BAC69E8" w14:textId="3E580D27" w:rsidR="00A76143" w:rsidRPr="00A97B9C" w:rsidRDefault="00A76143" w:rsidP="00A97B9C">
            <w:pPr>
              <w:pStyle w:val="TableTextRight"/>
            </w:pPr>
            <w:r w:rsidRPr="00A97B9C">
              <w:t>–</w:t>
            </w:r>
          </w:p>
        </w:tc>
        <w:tc>
          <w:tcPr>
            <w:tcW w:w="729" w:type="dxa"/>
            <w:tcMar>
              <w:top w:w="57" w:type="dxa"/>
              <w:bottom w:w="28" w:type="dxa"/>
            </w:tcMar>
            <w:vAlign w:val="center"/>
          </w:tcPr>
          <w:p w14:paraId="7028AB72" w14:textId="52FD5833" w:rsidR="00A76143" w:rsidRPr="00A97B9C" w:rsidRDefault="00A76143" w:rsidP="00A97B9C">
            <w:pPr>
              <w:pStyle w:val="TableTextRight"/>
            </w:pPr>
            <w:r w:rsidRPr="00A97B9C">
              <w:t>–</w:t>
            </w:r>
          </w:p>
        </w:tc>
        <w:tc>
          <w:tcPr>
            <w:tcW w:w="729" w:type="dxa"/>
            <w:tcMar>
              <w:top w:w="57" w:type="dxa"/>
              <w:bottom w:w="28" w:type="dxa"/>
            </w:tcMar>
            <w:vAlign w:val="center"/>
          </w:tcPr>
          <w:p w14:paraId="275C806E" w14:textId="5C2D7DDC" w:rsidR="00A76143" w:rsidRPr="00A97B9C" w:rsidRDefault="00A76143" w:rsidP="00A97B9C">
            <w:pPr>
              <w:pStyle w:val="TableTextRight"/>
            </w:pPr>
            <w:r w:rsidRPr="00A97B9C">
              <w:t>–</w:t>
            </w:r>
          </w:p>
        </w:tc>
        <w:tc>
          <w:tcPr>
            <w:tcW w:w="729" w:type="dxa"/>
            <w:tcMar>
              <w:top w:w="57" w:type="dxa"/>
              <w:bottom w:w="28" w:type="dxa"/>
            </w:tcMar>
            <w:vAlign w:val="center"/>
          </w:tcPr>
          <w:p w14:paraId="4512FB3E" w14:textId="584238E3" w:rsidR="00A76143" w:rsidRPr="00A97B9C" w:rsidRDefault="00A76143" w:rsidP="00A97B9C">
            <w:pPr>
              <w:pStyle w:val="TableTextRight"/>
            </w:pPr>
            <w:r w:rsidRPr="00A97B9C">
              <w:t>–</w:t>
            </w:r>
          </w:p>
        </w:tc>
        <w:tc>
          <w:tcPr>
            <w:tcW w:w="729" w:type="dxa"/>
            <w:tcMar>
              <w:top w:w="57" w:type="dxa"/>
              <w:bottom w:w="28" w:type="dxa"/>
            </w:tcMar>
            <w:vAlign w:val="center"/>
          </w:tcPr>
          <w:p w14:paraId="753FD2B2" w14:textId="7C57AC91" w:rsidR="00A76143" w:rsidRPr="00A97B9C" w:rsidRDefault="00A76143" w:rsidP="00A97B9C">
            <w:pPr>
              <w:pStyle w:val="TableTextRight"/>
              <w:rPr>
                <w:b/>
                <w:bCs/>
              </w:rPr>
            </w:pPr>
            <w:r w:rsidRPr="00A97B9C">
              <w:rPr>
                <w:b/>
                <w:bCs/>
              </w:rPr>
              <w:t>1</w:t>
            </w:r>
          </w:p>
        </w:tc>
      </w:tr>
      <w:tr w:rsidR="00A76143" w:rsidRPr="00DF31C0" w14:paraId="23F6C92A" w14:textId="77777777" w:rsidTr="00A97B9C">
        <w:trPr>
          <w:trHeight w:val="101"/>
        </w:trPr>
        <w:tc>
          <w:tcPr>
            <w:tcW w:w="728" w:type="dxa"/>
            <w:tcMar>
              <w:top w:w="57" w:type="dxa"/>
              <w:bottom w:w="28" w:type="dxa"/>
            </w:tcMar>
            <w:vAlign w:val="bottom"/>
          </w:tcPr>
          <w:p w14:paraId="437D3142" w14:textId="6E8CBF3F" w:rsidR="00A76143" w:rsidRPr="00A97B9C" w:rsidRDefault="00A76143" w:rsidP="00625DAB">
            <w:pPr>
              <w:pStyle w:val="TableTextLeft"/>
            </w:pPr>
            <w:r w:rsidRPr="00A97B9C">
              <w:t>SES 2 </w:t>
            </w:r>
          </w:p>
        </w:tc>
        <w:tc>
          <w:tcPr>
            <w:tcW w:w="728" w:type="dxa"/>
            <w:tcMar>
              <w:top w:w="57" w:type="dxa"/>
              <w:bottom w:w="28" w:type="dxa"/>
            </w:tcMar>
            <w:vAlign w:val="center"/>
          </w:tcPr>
          <w:p w14:paraId="27767458" w14:textId="7F8D3FBE" w:rsidR="00A76143" w:rsidRPr="00A97B9C" w:rsidRDefault="00A76143" w:rsidP="00A97B9C">
            <w:pPr>
              <w:pStyle w:val="TableTextRight"/>
            </w:pPr>
            <w:r w:rsidRPr="00A97B9C">
              <w:t>–</w:t>
            </w:r>
          </w:p>
        </w:tc>
        <w:tc>
          <w:tcPr>
            <w:tcW w:w="728" w:type="dxa"/>
            <w:tcMar>
              <w:top w:w="57" w:type="dxa"/>
              <w:bottom w:w="28" w:type="dxa"/>
            </w:tcMar>
            <w:vAlign w:val="center"/>
          </w:tcPr>
          <w:p w14:paraId="77F731F3" w14:textId="68D34FB6" w:rsidR="00A76143" w:rsidRPr="00A97B9C" w:rsidRDefault="00A76143" w:rsidP="00A97B9C">
            <w:pPr>
              <w:pStyle w:val="TableTextRight"/>
            </w:pPr>
            <w:r w:rsidRPr="00A97B9C">
              <w:t>–</w:t>
            </w:r>
          </w:p>
        </w:tc>
        <w:tc>
          <w:tcPr>
            <w:tcW w:w="728" w:type="dxa"/>
            <w:tcMar>
              <w:top w:w="57" w:type="dxa"/>
              <w:bottom w:w="28" w:type="dxa"/>
            </w:tcMar>
            <w:vAlign w:val="center"/>
          </w:tcPr>
          <w:p w14:paraId="5365C167" w14:textId="0DA5E458" w:rsidR="00A76143" w:rsidRPr="00A97B9C" w:rsidRDefault="00A76143" w:rsidP="00A97B9C">
            <w:pPr>
              <w:pStyle w:val="TableTextRight"/>
            </w:pPr>
            <w:r w:rsidRPr="00A97B9C">
              <w:t>–</w:t>
            </w:r>
          </w:p>
        </w:tc>
        <w:tc>
          <w:tcPr>
            <w:tcW w:w="728" w:type="dxa"/>
            <w:tcMar>
              <w:top w:w="57" w:type="dxa"/>
              <w:bottom w:w="28" w:type="dxa"/>
            </w:tcMar>
            <w:vAlign w:val="center"/>
          </w:tcPr>
          <w:p w14:paraId="1D0D703D" w14:textId="3035B4AC" w:rsidR="00A76143" w:rsidRPr="00A97B9C" w:rsidRDefault="00A76143" w:rsidP="00A97B9C">
            <w:pPr>
              <w:pStyle w:val="TableTextRight"/>
            </w:pPr>
            <w:r w:rsidRPr="00A97B9C">
              <w:t>–</w:t>
            </w:r>
          </w:p>
        </w:tc>
        <w:tc>
          <w:tcPr>
            <w:tcW w:w="728" w:type="dxa"/>
            <w:tcMar>
              <w:top w:w="57" w:type="dxa"/>
              <w:bottom w:w="28" w:type="dxa"/>
            </w:tcMar>
            <w:vAlign w:val="center"/>
          </w:tcPr>
          <w:p w14:paraId="213C1E3F" w14:textId="176106E0" w:rsidR="00A76143" w:rsidRPr="00A97B9C" w:rsidRDefault="00A76143" w:rsidP="00A97B9C">
            <w:pPr>
              <w:pStyle w:val="TableTextRight"/>
            </w:pPr>
            <w:r w:rsidRPr="00A97B9C">
              <w:t>–</w:t>
            </w:r>
          </w:p>
        </w:tc>
        <w:tc>
          <w:tcPr>
            <w:tcW w:w="729" w:type="dxa"/>
            <w:tcMar>
              <w:top w:w="57" w:type="dxa"/>
              <w:bottom w:w="28" w:type="dxa"/>
            </w:tcMar>
            <w:vAlign w:val="center"/>
          </w:tcPr>
          <w:p w14:paraId="441414E6" w14:textId="0051716E" w:rsidR="00A76143" w:rsidRPr="00A97B9C" w:rsidRDefault="00A76143" w:rsidP="00A97B9C">
            <w:pPr>
              <w:pStyle w:val="TableTextRight"/>
            </w:pPr>
            <w:r w:rsidRPr="00A97B9C">
              <w:t>–</w:t>
            </w:r>
          </w:p>
        </w:tc>
        <w:tc>
          <w:tcPr>
            <w:tcW w:w="729" w:type="dxa"/>
            <w:tcMar>
              <w:top w:w="57" w:type="dxa"/>
              <w:bottom w:w="28" w:type="dxa"/>
            </w:tcMar>
            <w:vAlign w:val="center"/>
          </w:tcPr>
          <w:p w14:paraId="6D12CC92" w14:textId="4F794953" w:rsidR="00A76143" w:rsidRPr="00A97B9C" w:rsidRDefault="00A76143" w:rsidP="00A97B9C">
            <w:pPr>
              <w:pStyle w:val="TableTextRight"/>
            </w:pPr>
            <w:r w:rsidRPr="00A97B9C">
              <w:t>–</w:t>
            </w:r>
          </w:p>
        </w:tc>
        <w:tc>
          <w:tcPr>
            <w:tcW w:w="729" w:type="dxa"/>
            <w:tcMar>
              <w:top w:w="57" w:type="dxa"/>
              <w:bottom w:w="28" w:type="dxa"/>
            </w:tcMar>
            <w:vAlign w:val="center"/>
          </w:tcPr>
          <w:p w14:paraId="37ADB191" w14:textId="7AFED01D" w:rsidR="00A76143" w:rsidRPr="00A97B9C" w:rsidRDefault="00A76143" w:rsidP="00A97B9C">
            <w:pPr>
              <w:pStyle w:val="TableTextRight"/>
            </w:pPr>
            <w:r w:rsidRPr="00A97B9C">
              <w:t>–</w:t>
            </w:r>
          </w:p>
        </w:tc>
        <w:tc>
          <w:tcPr>
            <w:tcW w:w="729" w:type="dxa"/>
            <w:tcMar>
              <w:top w:w="57" w:type="dxa"/>
              <w:bottom w:w="28" w:type="dxa"/>
            </w:tcMar>
            <w:vAlign w:val="center"/>
          </w:tcPr>
          <w:p w14:paraId="72955C1A" w14:textId="1C82E465" w:rsidR="00A76143" w:rsidRPr="00A97B9C" w:rsidRDefault="00A76143" w:rsidP="00A97B9C">
            <w:pPr>
              <w:pStyle w:val="TableTextRight"/>
            </w:pPr>
            <w:r w:rsidRPr="00A97B9C">
              <w:t>–</w:t>
            </w:r>
          </w:p>
        </w:tc>
        <w:tc>
          <w:tcPr>
            <w:tcW w:w="729" w:type="dxa"/>
            <w:tcMar>
              <w:top w:w="57" w:type="dxa"/>
              <w:bottom w:w="28" w:type="dxa"/>
            </w:tcMar>
            <w:vAlign w:val="center"/>
          </w:tcPr>
          <w:p w14:paraId="17ECADEA" w14:textId="6480B3E8" w:rsidR="00A76143" w:rsidRPr="00A97B9C" w:rsidRDefault="00A76143" w:rsidP="00A97B9C">
            <w:pPr>
              <w:pStyle w:val="TableTextRight"/>
            </w:pPr>
            <w:r w:rsidRPr="00A97B9C">
              <w:t>–</w:t>
            </w:r>
          </w:p>
        </w:tc>
        <w:tc>
          <w:tcPr>
            <w:tcW w:w="729" w:type="dxa"/>
            <w:tcMar>
              <w:top w:w="57" w:type="dxa"/>
              <w:bottom w:w="28" w:type="dxa"/>
            </w:tcMar>
            <w:vAlign w:val="center"/>
          </w:tcPr>
          <w:p w14:paraId="14EDD2AE" w14:textId="3882B47B" w:rsidR="00A76143" w:rsidRPr="00A97B9C" w:rsidRDefault="00A76143" w:rsidP="00A97B9C">
            <w:pPr>
              <w:pStyle w:val="TableTextRight"/>
            </w:pPr>
            <w:r w:rsidRPr="00A97B9C">
              <w:t>–</w:t>
            </w:r>
          </w:p>
        </w:tc>
        <w:tc>
          <w:tcPr>
            <w:tcW w:w="729" w:type="dxa"/>
            <w:tcMar>
              <w:top w:w="57" w:type="dxa"/>
              <w:bottom w:w="28" w:type="dxa"/>
            </w:tcMar>
            <w:vAlign w:val="center"/>
          </w:tcPr>
          <w:p w14:paraId="45843B39" w14:textId="0952AD6D" w:rsidR="00A76143" w:rsidRPr="00A97B9C" w:rsidRDefault="00A76143" w:rsidP="00A97B9C">
            <w:pPr>
              <w:pStyle w:val="TableTextRight"/>
            </w:pPr>
            <w:r w:rsidRPr="00A97B9C">
              <w:t>–</w:t>
            </w:r>
          </w:p>
        </w:tc>
        <w:tc>
          <w:tcPr>
            <w:tcW w:w="729" w:type="dxa"/>
            <w:tcMar>
              <w:top w:w="57" w:type="dxa"/>
              <w:bottom w:w="28" w:type="dxa"/>
            </w:tcMar>
            <w:vAlign w:val="center"/>
          </w:tcPr>
          <w:p w14:paraId="50BE5393" w14:textId="43D3E0CD" w:rsidR="00A76143" w:rsidRPr="00A97B9C" w:rsidRDefault="00A76143" w:rsidP="00A97B9C">
            <w:pPr>
              <w:pStyle w:val="TableTextRight"/>
            </w:pPr>
            <w:r w:rsidRPr="00A97B9C">
              <w:t>–</w:t>
            </w:r>
          </w:p>
        </w:tc>
        <w:tc>
          <w:tcPr>
            <w:tcW w:w="729" w:type="dxa"/>
            <w:tcMar>
              <w:top w:w="57" w:type="dxa"/>
              <w:bottom w:w="28" w:type="dxa"/>
            </w:tcMar>
            <w:vAlign w:val="center"/>
          </w:tcPr>
          <w:p w14:paraId="253CF74B" w14:textId="3263E6C6" w:rsidR="00A76143" w:rsidRPr="00A97B9C" w:rsidRDefault="00A76143" w:rsidP="00A97B9C">
            <w:pPr>
              <w:pStyle w:val="TableTextRight"/>
            </w:pPr>
            <w:r w:rsidRPr="00A97B9C">
              <w:t>–</w:t>
            </w:r>
          </w:p>
        </w:tc>
        <w:tc>
          <w:tcPr>
            <w:tcW w:w="729" w:type="dxa"/>
            <w:tcMar>
              <w:top w:w="57" w:type="dxa"/>
              <w:bottom w:w="28" w:type="dxa"/>
            </w:tcMar>
            <w:vAlign w:val="center"/>
          </w:tcPr>
          <w:p w14:paraId="5FE93B39" w14:textId="3D990CA7" w:rsidR="00A76143" w:rsidRPr="00A97B9C" w:rsidRDefault="00A76143" w:rsidP="00A97B9C">
            <w:pPr>
              <w:pStyle w:val="TableTextRight"/>
            </w:pPr>
            <w:r w:rsidRPr="00A97B9C">
              <w:t>–</w:t>
            </w:r>
          </w:p>
        </w:tc>
        <w:tc>
          <w:tcPr>
            <w:tcW w:w="729" w:type="dxa"/>
            <w:tcMar>
              <w:top w:w="57" w:type="dxa"/>
              <w:bottom w:w="28" w:type="dxa"/>
            </w:tcMar>
            <w:vAlign w:val="center"/>
          </w:tcPr>
          <w:p w14:paraId="48074E81" w14:textId="33872A86" w:rsidR="00A76143" w:rsidRPr="00A97B9C" w:rsidRDefault="00A76143" w:rsidP="00A97B9C">
            <w:pPr>
              <w:pStyle w:val="TableTextRight"/>
              <w:rPr>
                <w:b/>
                <w:bCs/>
              </w:rPr>
            </w:pPr>
            <w:r w:rsidRPr="00A97B9C">
              <w:rPr>
                <w:b/>
                <w:bCs/>
              </w:rPr>
              <w:t>–</w:t>
            </w:r>
          </w:p>
        </w:tc>
      </w:tr>
      <w:tr w:rsidR="0048600D" w:rsidRPr="00F47A82" w14:paraId="4C9F83A2" w14:textId="77777777" w:rsidTr="00A97B9C">
        <w:trPr>
          <w:cnfStyle w:val="000000010000" w:firstRow="0" w:lastRow="0" w:firstColumn="0" w:lastColumn="0" w:oddVBand="0" w:evenVBand="0" w:oddHBand="0" w:evenHBand="1" w:firstRowFirstColumn="0" w:firstRowLastColumn="0" w:lastRowFirstColumn="0" w:lastRowLastColumn="0"/>
          <w:trHeight w:val="148"/>
        </w:trPr>
        <w:tc>
          <w:tcPr>
            <w:tcW w:w="728" w:type="dxa"/>
            <w:tcMar>
              <w:top w:w="57" w:type="dxa"/>
              <w:bottom w:w="28" w:type="dxa"/>
            </w:tcMar>
            <w:vAlign w:val="bottom"/>
          </w:tcPr>
          <w:p w14:paraId="4289AB27" w14:textId="6B42288B" w:rsidR="00A76143" w:rsidRPr="00A97B9C" w:rsidRDefault="00A76143" w:rsidP="00625DAB">
            <w:pPr>
              <w:pStyle w:val="TableTextLeft"/>
            </w:pPr>
            <w:r w:rsidRPr="00A97B9C">
              <w:t>SES 1</w:t>
            </w:r>
          </w:p>
        </w:tc>
        <w:tc>
          <w:tcPr>
            <w:tcW w:w="728" w:type="dxa"/>
            <w:tcMar>
              <w:top w:w="57" w:type="dxa"/>
              <w:bottom w:w="28" w:type="dxa"/>
            </w:tcMar>
            <w:vAlign w:val="center"/>
          </w:tcPr>
          <w:p w14:paraId="5762D2FD" w14:textId="637737EF" w:rsidR="00A76143" w:rsidRPr="00A97B9C" w:rsidRDefault="00A76143" w:rsidP="00A97B9C">
            <w:pPr>
              <w:pStyle w:val="TableTextRight"/>
            </w:pPr>
            <w:r w:rsidRPr="00A97B9C">
              <w:t>–</w:t>
            </w:r>
          </w:p>
        </w:tc>
        <w:tc>
          <w:tcPr>
            <w:tcW w:w="728" w:type="dxa"/>
            <w:tcMar>
              <w:top w:w="57" w:type="dxa"/>
              <w:bottom w:w="28" w:type="dxa"/>
            </w:tcMar>
            <w:vAlign w:val="center"/>
          </w:tcPr>
          <w:p w14:paraId="4B8EFFD7" w14:textId="6FA9C32F" w:rsidR="00A76143" w:rsidRPr="00A97B9C" w:rsidRDefault="00A76143" w:rsidP="00A97B9C">
            <w:pPr>
              <w:pStyle w:val="TableTextRight"/>
            </w:pPr>
            <w:r w:rsidRPr="00A97B9C">
              <w:t>–</w:t>
            </w:r>
          </w:p>
        </w:tc>
        <w:tc>
          <w:tcPr>
            <w:tcW w:w="728" w:type="dxa"/>
            <w:tcMar>
              <w:top w:w="57" w:type="dxa"/>
              <w:bottom w:w="28" w:type="dxa"/>
            </w:tcMar>
            <w:vAlign w:val="center"/>
          </w:tcPr>
          <w:p w14:paraId="68C2F8A8" w14:textId="5EB1C979" w:rsidR="00A76143" w:rsidRPr="00A97B9C" w:rsidRDefault="00A76143" w:rsidP="00A97B9C">
            <w:pPr>
              <w:pStyle w:val="TableTextRight"/>
            </w:pPr>
            <w:r w:rsidRPr="00A97B9C">
              <w:t>–</w:t>
            </w:r>
          </w:p>
        </w:tc>
        <w:tc>
          <w:tcPr>
            <w:tcW w:w="728" w:type="dxa"/>
            <w:tcMar>
              <w:top w:w="57" w:type="dxa"/>
              <w:bottom w:w="28" w:type="dxa"/>
            </w:tcMar>
            <w:vAlign w:val="center"/>
          </w:tcPr>
          <w:p w14:paraId="6A03C399" w14:textId="1479562A" w:rsidR="00A76143" w:rsidRPr="00A97B9C" w:rsidRDefault="00A76143" w:rsidP="00A97B9C">
            <w:pPr>
              <w:pStyle w:val="TableTextRight"/>
            </w:pPr>
            <w:r w:rsidRPr="00A97B9C">
              <w:t> 2</w:t>
            </w:r>
          </w:p>
        </w:tc>
        <w:tc>
          <w:tcPr>
            <w:tcW w:w="728" w:type="dxa"/>
            <w:tcMar>
              <w:top w:w="57" w:type="dxa"/>
              <w:bottom w:w="28" w:type="dxa"/>
            </w:tcMar>
            <w:vAlign w:val="center"/>
          </w:tcPr>
          <w:p w14:paraId="4456FFA3" w14:textId="658B1A45" w:rsidR="00A76143" w:rsidRPr="00A97B9C" w:rsidRDefault="00A76143" w:rsidP="00A97B9C">
            <w:pPr>
              <w:pStyle w:val="TableTextRight"/>
            </w:pPr>
            <w:r w:rsidRPr="00A97B9C">
              <w:t>–</w:t>
            </w:r>
          </w:p>
        </w:tc>
        <w:tc>
          <w:tcPr>
            <w:tcW w:w="729" w:type="dxa"/>
            <w:tcMar>
              <w:top w:w="57" w:type="dxa"/>
              <w:bottom w:w="28" w:type="dxa"/>
            </w:tcMar>
            <w:vAlign w:val="center"/>
          </w:tcPr>
          <w:p w14:paraId="1CA1BD2A" w14:textId="6A0DBDB2" w:rsidR="00A76143" w:rsidRPr="00A97B9C" w:rsidRDefault="00A76143" w:rsidP="00A97B9C">
            <w:pPr>
              <w:pStyle w:val="TableTextRight"/>
            </w:pPr>
            <w:r w:rsidRPr="00A97B9C">
              <w:t> 2</w:t>
            </w:r>
          </w:p>
        </w:tc>
        <w:tc>
          <w:tcPr>
            <w:tcW w:w="729" w:type="dxa"/>
            <w:tcMar>
              <w:top w:w="57" w:type="dxa"/>
              <w:bottom w:w="28" w:type="dxa"/>
            </w:tcMar>
            <w:vAlign w:val="center"/>
          </w:tcPr>
          <w:p w14:paraId="33629F98" w14:textId="247BB7D0" w:rsidR="00A76143" w:rsidRPr="00A97B9C" w:rsidRDefault="00A76143" w:rsidP="00A97B9C">
            <w:pPr>
              <w:pStyle w:val="TableTextRight"/>
            </w:pPr>
            <w:r w:rsidRPr="00A97B9C">
              <w:t>–</w:t>
            </w:r>
          </w:p>
        </w:tc>
        <w:tc>
          <w:tcPr>
            <w:tcW w:w="729" w:type="dxa"/>
            <w:tcMar>
              <w:top w:w="57" w:type="dxa"/>
              <w:bottom w:w="28" w:type="dxa"/>
            </w:tcMar>
            <w:vAlign w:val="center"/>
          </w:tcPr>
          <w:p w14:paraId="70821420" w14:textId="39476BDF" w:rsidR="00A76143" w:rsidRPr="00A97B9C" w:rsidRDefault="00A76143" w:rsidP="00A97B9C">
            <w:pPr>
              <w:pStyle w:val="TableTextRight"/>
            </w:pPr>
            <w:r w:rsidRPr="00A97B9C">
              <w:t>–</w:t>
            </w:r>
          </w:p>
        </w:tc>
        <w:tc>
          <w:tcPr>
            <w:tcW w:w="729" w:type="dxa"/>
            <w:tcMar>
              <w:top w:w="57" w:type="dxa"/>
              <w:bottom w:w="28" w:type="dxa"/>
            </w:tcMar>
            <w:vAlign w:val="center"/>
          </w:tcPr>
          <w:p w14:paraId="2202B43F" w14:textId="04022487" w:rsidR="00A76143" w:rsidRPr="00A97B9C" w:rsidRDefault="00A76143" w:rsidP="00A97B9C">
            <w:pPr>
              <w:pStyle w:val="TableTextRight"/>
            </w:pPr>
            <w:r w:rsidRPr="00A97B9C">
              <w:t>–</w:t>
            </w:r>
          </w:p>
        </w:tc>
        <w:tc>
          <w:tcPr>
            <w:tcW w:w="729" w:type="dxa"/>
            <w:tcMar>
              <w:top w:w="57" w:type="dxa"/>
              <w:bottom w:w="28" w:type="dxa"/>
            </w:tcMar>
            <w:vAlign w:val="center"/>
          </w:tcPr>
          <w:p w14:paraId="4AF7E9AF" w14:textId="614012B4" w:rsidR="00A76143" w:rsidRPr="00A97B9C" w:rsidRDefault="00A76143" w:rsidP="00A97B9C">
            <w:pPr>
              <w:pStyle w:val="TableTextRight"/>
            </w:pPr>
            <w:r w:rsidRPr="00A97B9C">
              <w:t>–</w:t>
            </w:r>
          </w:p>
        </w:tc>
        <w:tc>
          <w:tcPr>
            <w:tcW w:w="729" w:type="dxa"/>
            <w:tcMar>
              <w:top w:w="57" w:type="dxa"/>
              <w:bottom w:w="28" w:type="dxa"/>
            </w:tcMar>
            <w:vAlign w:val="center"/>
          </w:tcPr>
          <w:p w14:paraId="10EF016F" w14:textId="721A5E0D" w:rsidR="00A76143" w:rsidRPr="00A97B9C" w:rsidRDefault="00A76143" w:rsidP="00A97B9C">
            <w:pPr>
              <w:pStyle w:val="TableTextRight"/>
            </w:pPr>
            <w:r w:rsidRPr="00A97B9C">
              <w:t>–</w:t>
            </w:r>
          </w:p>
        </w:tc>
        <w:tc>
          <w:tcPr>
            <w:tcW w:w="729" w:type="dxa"/>
            <w:tcMar>
              <w:top w:w="57" w:type="dxa"/>
              <w:bottom w:w="28" w:type="dxa"/>
            </w:tcMar>
            <w:vAlign w:val="center"/>
          </w:tcPr>
          <w:p w14:paraId="0E7F5F1A" w14:textId="789710AE" w:rsidR="00A76143" w:rsidRPr="00A97B9C" w:rsidRDefault="00A76143" w:rsidP="00A97B9C">
            <w:pPr>
              <w:pStyle w:val="TableTextRight"/>
            </w:pPr>
            <w:r w:rsidRPr="00A97B9C">
              <w:t>–</w:t>
            </w:r>
          </w:p>
        </w:tc>
        <w:tc>
          <w:tcPr>
            <w:tcW w:w="729" w:type="dxa"/>
            <w:tcMar>
              <w:top w:w="57" w:type="dxa"/>
              <w:bottom w:w="28" w:type="dxa"/>
            </w:tcMar>
            <w:vAlign w:val="center"/>
          </w:tcPr>
          <w:p w14:paraId="4D49B1C0" w14:textId="5667DC12" w:rsidR="00A76143" w:rsidRPr="00A97B9C" w:rsidRDefault="00A76143" w:rsidP="00A97B9C">
            <w:pPr>
              <w:pStyle w:val="TableTextRight"/>
            </w:pPr>
            <w:r w:rsidRPr="00A97B9C">
              <w:t>–</w:t>
            </w:r>
          </w:p>
        </w:tc>
        <w:tc>
          <w:tcPr>
            <w:tcW w:w="729" w:type="dxa"/>
            <w:tcMar>
              <w:top w:w="57" w:type="dxa"/>
              <w:bottom w:w="28" w:type="dxa"/>
            </w:tcMar>
            <w:vAlign w:val="center"/>
          </w:tcPr>
          <w:p w14:paraId="65029564" w14:textId="697277ED" w:rsidR="00A76143" w:rsidRPr="00A97B9C" w:rsidRDefault="00A76143" w:rsidP="00A97B9C">
            <w:pPr>
              <w:pStyle w:val="TableTextRight"/>
            </w:pPr>
            <w:r w:rsidRPr="00A97B9C">
              <w:t>–</w:t>
            </w:r>
          </w:p>
        </w:tc>
        <w:tc>
          <w:tcPr>
            <w:tcW w:w="729" w:type="dxa"/>
            <w:tcMar>
              <w:top w:w="57" w:type="dxa"/>
              <w:bottom w:w="28" w:type="dxa"/>
            </w:tcMar>
            <w:vAlign w:val="center"/>
          </w:tcPr>
          <w:p w14:paraId="7F3BFA9A" w14:textId="676FB3AF" w:rsidR="00A76143" w:rsidRPr="00A97B9C" w:rsidRDefault="00A76143" w:rsidP="00A97B9C">
            <w:pPr>
              <w:pStyle w:val="TableTextRight"/>
            </w:pPr>
            <w:r w:rsidRPr="00A97B9C">
              <w:t>–</w:t>
            </w:r>
          </w:p>
        </w:tc>
        <w:tc>
          <w:tcPr>
            <w:tcW w:w="729" w:type="dxa"/>
            <w:tcMar>
              <w:top w:w="57" w:type="dxa"/>
              <w:bottom w:w="28" w:type="dxa"/>
            </w:tcMar>
            <w:vAlign w:val="center"/>
          </w:tcPr>
          <w:p w14:paraId="3CABB938" w14:textId="5B88B66A" w:rsidR="00A76143" w:rsidRPr="00A97B9C" w:rsidRDefault="00A76143" w:rsidP="00A97B9C">
            <w:pPr>
              <w:pStyle w:val="TableTextRight"/>
              <w:rPr>
                <w:b/>
                <w:bCs/>
              </w:rPr>
            </w:pPr>
            <w:r w:rsidRPr="00A97B9C">
              <w:rPr>
                <w:b/>
                <w:bCs/>
              </w:rPr>
              <w:t> 2</w:t>
            </w:r>
          </w:p>
        </w:tc>
      </w:tr>
      <w:tr w:rsidR="00A76143" w:rsidRPr="00DF31C0" w14:paraId="28869A90" w14:textId="77777777" w:rsidTr="00A97B9C">
        <w:trPr>
          <w:trHeight w:val="196"/>
        </w:trPr>
        <w:tc>
          <w:tcPr>
            <w:tcW w:w="728" w:type="dxa"/>
            <w:tcMar>
              <w:top w:w="57" w:type="dxa"/>
              <w:bottom w:w="28" w:type="dxa"/>
            </w:tcMar>
            <w:vAlign w:val="bottom"/>
          </w:tcPr>
          <w:p w14:paraId="209A2A02" w14:textId="0B69FE51" w:rsidR="00A76143" w:rsidRPr="00A97B9C" w:rsidRDefault="00A76143" w:rsidP="00625DAB">
            <w:pPr>
              <w:pStyle w:val="TableTextLeft"/>
            </w:pPr>
            <w:r w:rsidRPr="00A97B9C">
              <w:t>EL 2</w:t>
            </w:r>
          </w:p>
        </w:tc>
        <w:tc>
          <w:tcPr>
            <w:tcW w:w="728" w:type="dxa"/>
            <w:tcMar>
              <w:top w:w="57" w:type="dxa"/>
              <w:bottom w:w="28" w:type="dxa"/>
            </w:tcMar>
            <w:vAlign w:val="center"/>
          </w:tcPr>
          <w:p w14:paraId="538D7A0C" w14:textId="09032F31" w:rsidR="00A76143" w:rsidRPr="00A97B9C" w:rsidRDefault="00A76143" w:rsidP="00A97B9C">
            <w:pPr>
              <w:pStyle w:val="TableTextRight"/>
            </w:pPr>
            <w:r w:rsidRPr="00A97B9C">
              <w:t> 6</w:t>
            </w:r>
          </w:p>
        </w:tc>
        <w:tc>
          <w:tcPr>
            <w:tcW w:w="728" w:type="dxa"/>
            <w:tcMar>
              <w:top w:w="57" w:type="dxa"/>
              <w:bottom w:w="28" w:type="dxa"/>
            </w:tcMar>
            <w:vAlign w:val="center"/>
          </w:tcPr>
          <w:p w14:paraId="70FB8EC7" w14:textId="434D32B1" w:rsidR="00A76143" w:rsidRPr="00A97B9C" w:rsidRDefault="00A76143" w:rsidP="00A97B9C">
            <w:pPr>
              <w:pStyle w:val="TableTextRight"/>
            </w:pPr>
            <w:r w:rsidRPr="00A97B9C">
              <w:t>–</w:t>
            </w:r>
          </w:p>
        </w:tc>
        <w:tc>
          <w:tcPr>
            <w:tcW w:w="728" w:type="dxa"/>
            <w:tcMar>
              <w:top w:w="57" w:type="dxa"/>
              <w:bottom w:w="28" w:type="dxa"/>
            </w:tcMar>
            <w:vAlign w:val="center"/>
          </w:tcPr>
          <w:p w14:paraId="0EEC3380" w14:textId="3B3E6603" w:rsidR="00A76143" w:rsidRPr="00A97B9C" w:rsidRDefault="00A76143" w:rsidP="00A97B9C">
            <w:pPr>
              <w:pStyle w:val="TableTextRight"/>
            </w:pPr>
            <w:r w:rsidRPr="00A97B9C">
              <w:t> 6</w:t>
            </w:r>
          </w:p>
        </w:tc>
        <w:tc>
          <w:tcPr>
            <w:tcW w:w="728" w:type="dxa"/>
            <w:tcMar>
              <w:top w:w="57" w:type="dxa"/>
              <w:bottom w:w="28" w:type="dxa"/>
            </w:tcMar>
            <w:vAlign w:val="center"/>
          </w:tcPr>
          <w:p w14:paraId="0E1E0767" w14:textId="291F74F3" w:rsidR="00A76143" w:rsidRPr="00A97B9C" w:rsidRDefault="00A76143" w:rsidP="00A97B9C">
            <w:pPr>
              <w:pStyle w:val="TableTextRight"/>
            </w:pPr>
            <w:r w:rsidRPr="00A97B9C">
              <w:t> 2</w:t>
            </w:r>
          </w:p>
        </w:tc>
        <w:tc>
          <w:tcPr>
            <w:tcW w:w="728" w:type="dxa"/>
            <w:tcMar>
              <w:top w:w="57" w:type="dxa"/>
              <w:bottom w:w="28" w:type="dxa"/>
            </w:tcMar>
            <w:vAlign w:val="center"/>
          </w:tcPr>
          <w:p w14:paraId="2B24BCEA" w14:textId="039E7C48" w:rsidR="00A76143" w:rsidRPr="00A97B9C" w:rsidRDefault="00A76143" w:rsidP="00A97B9C">
            <w:pPr>
              <w:pStyle w:val="TableTextRight"/>
            </w:pPr>
            <w:r w:rsidRPr="00A97B9C">
              <w:t>–</w:t>
            </w:r>
          </w:p>
        </w:tc>
        <w:tc>
          <w:tcPr>
            <w:tcW w:w="729" w:type="dxa"/>
            <w:tcMar>
              <w:top w:w="57" w:type="dxa"/>
              <w:bottom w:w="28" w:type="dxa"/>
            </w:tcMar>
            <w:vAlign w:val="center"/>
          </w:tcPr>
          <w:p w14:paraId="0D3626F5" w14:textId="10477C8C" w:rsidR="00A76143" w:rsidRPr="00A97B9C" w:rsidRDefault="00A76143" w:rsidP="00A97B9C">
            <w:pPr>
              <w:pStyle w:val="TableTextRight"/>
            </w:pPr>
            <w:r w:rsidRPr="00A97B9C">
              <w:t> 2</w:t>
            </w:r>
          </w:p>
        </w:tc>
        <w:tc>
          <w:tcPr>
            <w:tcW w:w="729" w:type="dxa"/>
            <w:tcMar>
              <w:top w:w="57" w:type="dxa"/>
              <w:bottom w:w="28" w:type="dxa"/>
            </w:tcMar>
            <w:vAlign w:val="center"/>
          </w:tcPr>
          <w:p w14:paraId="290D0357" w14:textId="721290AC" w:rsidR="00A76143" w:rsidRPr="00A97B9C" w:rsidRDefault="00A76143" w:rsidP="00A97B9C">
            <w:pPr>
              <w:pStyle w:val="TableTextRight"/>
            </w:pPr>
            <w:r w:rsidRPr="00A97B9C">
              <w:t>–</w:t>
            </w:r>
          </w:p>
        </w:tc>
        <w:tc>
          <w:tcPr>
            <w:tcW w:w="729" w:type="dxa"/>
            <w:tcMar>
              <w:top w:w="57" w:type="dxa"/>
              <w:bottom w:w="28" w:type="dxa"/>
            </w:tcMar>
            <w:vAlign w:val="center"/>
          </w:tcPr>
          <w:p w14:paraId="53395590" w14:textId="4D45115E" w:rsidR="00A76143" w:rsidRPr="00A97B9C" w:rsidRDefault="00A76143" w:rsidP="00A97B9C">
            <w:pPr>
              <w:pStyle w:val="TableTextRight"/>
            </w:pPr>
            <w:r w:rsidRPr="00A97B9C">
              <w:t>–</w:t>
            </w:r>
          </w:p>
        </w:tc>
        <w:tc>
          <w:tcPr>
            <w:tcW w:w="729" w:type="dxa"/>
            <w:tcMar>
              <w:top w:w="57" w:type="dxa"/>
              <w:bottom w:w="28" w:type="dxa"/>
            </w:tcMar>
            <w:vAlign w:val="center"/>
          </w:tcPr>
          <w:p w14:paraId="52AF91BC" w14:textId="6DB818CA" w:rsidR="00A76143" w:rsidRPr="00A97B9C" w:rsidRDefault="00A76143" w:rsidP="00A97B9C">
            <w:pPr>
              <w:pStyle w:val="TableTextRight"/>
            </w:pPr>
            <w:r w:rsidRPr="00A97B9C">
              <w:t>–</w:t>
            </w:r>
          </w:p>
        </w:tc>
        <w:tc>
          <w:tcPr>
            <w:tcW w:w="729" w:type="dxa"/>
            <w:tcMar>
              <w:top w:w="57" w:type="dxa"/>
              <w:bottom w:w="28" w:type="dxa"/>
            </w:tcMar>
            <w:vAlign w:val="center"/>
          </w:tcPr>
          <w:p w14:paraId="0897E0D8" w14:textId="4A9BEED3" w:rsidR="00A76143" w:rsidRPr="00A97B9C" w:rsidRDefault="00A76143" w:rsidP="00A97B9C">
            <w:pPr>
              <w:pStyle w:val="TableTextRight"/>
            </w:pPr>
            <w:r w:rsidRPr="00A97B9C">
              <w:t>–</w:t>
            </w:r>
          </w:p>
        </w:tc>
        <w:tc>
          <w:tcPr>
            <w:tcW w:w="729" w:type="dxa"/>
            <w:tcMar>
              <w:top w:w="57" w:type="dxa"/>
              <w:bottom w:w="28" w:type="dxa"/>
            </w:tcMar>
            <w:vAlign w:val="center"/>
          </w:tcPr>
          <w:p w14:paraId="73C68AF1" w14:textId="5B25EECA" w:rsidR="00A76143" w:rsidRPr="00A97B9C" w:rsidRDefault="00A76143" w:rsidP="00A97B9C">
            <w:pPr>
              <w:pStyle w:val="TableTextRight"/>
            </w:pPr>
            <w:r w:rsidRPr="00A97B9C">
              <w:t>–</w:t>
            </w:r>
          </w:p>
        </w:tc>
        <w:tc>
          <w:tcPr>
            <w:tcW w:w="729" w:type="dxa"/>
            <w:tcMar>
              <w:top w:w="57" w:type="dxa"/>
              <w:bottom w:w="28" w:type="dxa"/>
            </w:tcMar>
            <w:vAlign w:val="center"/>
          </w:tcPr>
          <w:p w14:paraId="24B63030" w14:textId="5946A8ED" w:rsidR="00A76143" w:rsidRPr="00A97B9C" w:rsidRDefault="00A76143" w:rsidP="00A97B9C">
            <w:pPr>
              <w:pStyle w:val="TableTextRight"/>
            </w:pPr>
            <w:r w:rsidRPr="00A97B9C">
              <w:t>–</w:t>
            </w:r>
          </w:p>
        </w:tc>
        <w:tc>
          <w:tcPr>
            <w:tcW w:w="729" w:type="dxa"/>
            <w:tcMar>
              <w:top w:w="57" w:type="dxa"/>
              <w:bottom w:w="28" w:type="dxa"/>
            </w:tcMar>
            <w:vAlign w:val="center"/>
          </w:tcPr>
          <w:p w14:paraId="3643F414" w14:textId="06CB7B5F" w:rsidR="00A76143" w:rsidRPr="00A97B9C" w:rsidRDefault="00A76143" w:rsidP="00A97B9C">
            <w:pPr>
              <w:pStyle w:val="TableTextRight"/>
            </w:pPr>
            <w:r w:rsidRPr="00A97B9C">
              <w:t>–</w:t>
            </w:r>
          </w:p>
        </w:tc>
        <w:tc>
          <w:tcPr>
            <w:tcW w:w="729" w:type="dxa"/>
            <w:tcMar>
              <w:top w:w="57" w:type="dxa"/>
              <w:bottom w:w="28" w:type="dxa"/>
            </w:tcMar>
            <w:vAlign w:val="center"/>
          </w:tcPr>
          <w:p w14:paraId="7D8F445E" w14:textId="474894DF" w:rsidR="00A76143" w:rsidRPr="00A97B9C" w:rsidRDefault="00A76143" w:rsidP="00A97B9C">
            <w:pPr>
              <w:pStyle w:val="TableTextRight"/>
            </w:pPr>
            <w:r w:rsidRPr="00A97B9C">
              <w:t>–</w:t>
            </w:r>
          </w:p>
        </w:tc>
        <w:tc>
          <w:tcPr>
            <w:tcW w:w="729" w:type="dxa"/>
            <w:tcMar>
              <w:top w:w="57" w:type="dxa"/>
              <w:bottom w:w="28" w:type="dxa"/>
            </w:tcMar>
            <w:vAlign w:val="center"/>
          </w:tcPr>
          <w:p w14:paraId="6F5AF94A" w14:textId="4684130A" w:rsidR="00A76143" w:rsidRPr="00A97B9C" w:rsidRDefault="00A76143" w:rsidP="00A97B9C">
            <w:pPr>
              <w:pStyle w:val="TableTextRight"/>
            </w:pPr>
            <w:r w:rsidRPr="00A97B9C">
              <w:t>–</w:t>
            </w:r>
          </w:p>
        </w:tc>
        <w:tc>
          <w:tcPr>
            <w:tcW w:w="729" w:type="dxa"/>
            <w:tcMar>
              <w:top w:w="57" w:type="dxa"/>
              <w:bottom w:w="28" w:type="dxa"/>
            </w:tcMar>
            <w:vAlign w:val="center"/>
          </w:tcPr>
          <w:p w14:paraId="52A535CE" w14:textId="5EB9ED71" w:rsidR="00A76143" w:rsidRPr="00A97B9C" w:rsidRDefault="00A76143" w:rsidP="00A97B9C">
            <w:pPr>
              <w:pStyle w:val="TableTextRight"/>
              <w:rPr>
                <w:b/>
                <w:bCs/>
              </w:rPr>
            </w:pPr>
            <w:r w:rsidRPr="00A97B9C">
              <w:rPr>
                <w:b/>
                <w:bCs/>
              </w:rPr>
              <w:t> 8</w:t>
            </w:r>
          </w:p>
        </w:tc>
      </w:tr>
      <w:tr w:rsidR="0048600D" w:rsidRPr="00F47A82" w14:paraId="25A34484" w14:textId="77777777" w:rsidTr="00A97B9C">
        <w:trPr>
          <w:cnfStyle w:val="000000010000" w:firstRow="0" w:lastRow="0" w:firstColumn="0" w:lastColumn="0" w:oddVBand="0" w:evenVBand="0" w:oddHBand="0" w:evenHBand="1" w:firstRowFirstColumn="0" w:firstRowLastColumn="0" w:lastRowFirstColumn="0" w:lastRowLastColumn="0"/>
          <w:trHeight w:val="244"/>
        </w:trPr>
        <w:tc>
          <w:tcPr>
            <w:tcW w:w="728" w:type="dxa"/>
            <w:tcMar>
              <w:top w:w="57" w:type="dxa"/>
              <w:bottom w:w="28" w:type="dxa"/>
            </w:tcMar>
            <w:vAlign w:val="bottom"/>
          </w:tcPr>
          <w:p w14:paraId="2012EF33" w14:textId="3BC9B7CE" w:rsidR="00A76143" w:rsidRPr="00A97B9C" w:rsidRDefault="00A76143" w:rsidP="00625DAB">
            <w:pPr>
              <w:pStyle w:val="TableTextLeft"/>
            </w:pPr>
            <w:r w:rsidRPr="00A97B9C">
              <w:t>EL 1</w:t>
            </w:r>
          </w:p>
        </w:tc>
        <w:tc>
          <w:tcPr>
            <w:tcW w:w="728" w:type="dxa"/>
            <w:tcMar>
              <w:top w:w="57" w:type="dxa"/>
              <w:bottom w:w="28" w:type="dxa"/>
            </w:tcMar>
            <w:vAlign w:val="center"/>
          </w:tcPr>
          <w:p w14:paraId="6BC83B67" w14:textId="1C0EFC10" w:rsidR="00A76143" w:rsidRPr="00A97B9C" w:rsidRDefault="00A76143" w:rsidP="00A97B9C">
            <w:pPr>
              <w:pStyle w:val="TableTextRight"/>
            </w:pPr>
            <w:r w:rsidRPr="00A97B9C">
              <w:t> 8</w:t>
            </w:r>
          </w:p>
        </w:tc>
        <w:tc>
          <w:tcPr>
            <w:tcW w:w="728" w:type="dxa"/>
            <w:tcMar>
              <w:top w:w="57" w:type="dxa"/>
              <w:bottom w:w="28" w:type="dxa"/>
            </w:tcMar>
            <w:vAlign w:val="center"/>
          </w:tcPr>
          <w:p w14:paraId="69A5AB99" w14:textId="53DB5347" w:rsidR="00A76143" w:rsidRPr="00A97B9C" w:rsidRDefault="00A76143" w:rsidP="00A97B9C">
            <w:pPr>
              <w:pStyle w:val="TableTextRight"/>
            </w:pPr>
            <w:r w:rsidRPr="00A97B9C">
              <w:t>–</w:t>
            </w:r>
          </w:p>
        </w:tc>
        <w:tc>
          <w:tcPr>
            <w:tcW w:w="728" w:type="dxa"/>
            <w:tcMar>
              <w:top w:w="57" w:type="dxa"/>
              <w:bottom w:w="28" w:type="dxa"/>
            </w:tcMar>
            <w:vAlign w:val="center"/>
          </w:tcPr>
          <w:p w14:paraId="0A04EDC5" w14:textId="30E879C9" w:rsidR="00A76143" w:rsidRPr="00A97B9C" w:rsidRDefault="00A76143" w:rsidP="00A97B9C">
            <w:pPr>
              <w:pStyle w:val="TableTextRight"/>
            </w:pPr>
            <w:r w:rsidRPr="00A97B9C">
              <w:t> 8</w:t>
            </w:r>
          </w:p>
        </w:tc>
        <w:tc>
          <w:tcPr>
            <w:tcW w:w="728" w:type="dxa"/>
            <w:tcMar>
              <w:top w:w="57" w:type="dxa"/>
              <w:bottom w:w="28" w:type="dxa"/>
            </w:tcMar>
            <w:vAlign w:val="center"/>
          </w:tcPr>
          <w:p w14:paraId="75467E72" w14:textId="434FACA7" w:rsidR="00A76143" w:rsidRPr="00A97B9C" w:rsidRDefault="00A76143" w:rsidP="00A97B9C">
            <w:pPr>
              <w:pStyle w:val="TableTextRight"/>
            </w:pPr>
            <w:r w:rsidRPr="00A97B9C">
              <w:t> 6</w:t>
            </w:r>
          </w:p>
        </w:tc>
        <w:tc>
          <w:tcPr>
            <w:tcW w:w="728" w:type="dxa"/>
            <w:tcMar>
              <w:top w:w="57" w:type="dxa"/>
              <w:bottom w:w="28" w:type="dxa"/>
            </w:tcMar>
            <w:vAlign w:val="center"/>
          </w:tcPr>
          <w:p w14:paraId="05D844B2" w14:textId="7276C9A1" w:rsidR="00A76143" w:rsidRPr="00A97B9C" w:rsidRDefault="00A76143" w:rsidP="00A97B9C">
            <w:pPr>
              <w:pStyle w:val="TableTextRight"/>
            </w:pPr>
            <w:r w:rsidRPr="00A97B9C">
              <w:t> 2</w:t>
            </w:r>
          </w:p>
        </w:tc>
        <w:tc>
          <w:tcPr>
            <w:tcW w:w="729" w:type="dxa"/>
            <w:tcMar>
              <w:top w:w="57" w:type="dxa"/>
              <w:bottom w:w="28" w:type="dxa"/>
            </w:tcMar>
            <w:vAlign w:val="center"/>
          </w:tcPr>
          <w:p w14:paraId="6F48DB28" w14:textId="6FC7B998" w:rsidR="00A76143" w:rsidRPr="00A97B9C" w:rsidRDefault="00A76143" w:rsidP="00A97B9C">
            <w:pPr>
              <w:pStyle w:val="TableTextRight"/>
            </w:pPr>
            <w:r w:rsidRPr="00A97B9C">
              <w:t> 8</w:t>
            </w:r>
          </w:p>
        </w:tc>
        <w:tc>
          <w:tcPr>
            <w:tcW w:w="729" w:type="dxa"/>
            <w:tcMar>
              <w:top w:w="57" w:type="dxa"/>
              <w:bottom w:w="28" w:type="dxa"/>
            </w:tcMar>
            <w:vAlign w:val="center"/>
          </w:tcPr>
          <w:p w14:paraId="4F918AF0" w14:textId="2016B32C" w:rsidR="00A76143" w:rsidRPr="00A97B9C" w:rsidRDefault="00A76143" w:rsidP="00A97B9C">
            <w:pPr>
              <w:pStyle w:val="TableTextRight"/>
            </w:pPr>
            <w:r w:rsidRPr="00A97B9C">
              <w:t>–</w:t>
            </w:r>
          </w:p>
        </w:tc>
        <w:tc>
          <w:tcPr>
            <w:tcW w:w="729" w:type="dxa"/>
            <w:tcMar>
              <w:top w:w="57" w:type="dxa"/>
              <w:bottom w:w="28" w:type="dxa"/>
            </w:tcMar>
            <w:vAlign w:val="center"/>
          </w:tcPr>
          <w:p w14:paraId="0E191B1D" w14:textId="21E45370" w:rsidR="00A76143" w:rsidRPr="00A97B9C" w:rsidRDefault="00A76143" w:rsidP="00A97B9C">
            <w:pPr>
              <w:pStyle w:val="TableTextRight"/>
            </w:pPr>
            <w:r w:rsidRPr="00A97B9C">
              <w:t>–</w:t>
            </w:r>
          </w:p>
        </w:tc>
        <w:tc>
          <w:tcPr>
            <w:tcW w:w="729" w:type="dxa"/>
            <w:tcMar>
              <w:top w:w="57" w:type="dxa"/>
              <w:bottom w:w="28" w:type="dxa"/>
            </w:tcMar>
            <w:vAlign w:val="center"/>
          </w:tcPr>
          <w:p w14:paraId="4B44007D" w14:textId="4F61A8DB" w:rsidR="00A76143" w:rsidRPr="00A97B9C" w:rsidRDefault="00A76143" w:rsidP="00A97B9C">
            <w:pPr>
              <w:pStyle w:val="TableTextRight"/>
            </w:pPr>
            <w:r w:rsidRPr="00A97B9C">
              <w:t>–</w:t>
            </w:r>
          </w:p>
        </w:tc>
        <w:tc>
          <w:tcPr>
            <w:tcW w:w="729" w:type="dxa"/>
            <w:tcMar>
              <w:top w:w="57" w:type="dxa"/>
              <w:bottom w:w="28" w:type="dxa"/>
            </w:tcMar>
            <w:vAlign w:val="center"/>
          </w:tcPr>
          <w:p w14:paraId="12304588" w14:textId="7097CA19" w:rsidR="00A76143" w:rsidRPr="00A97B9C" w:rsidRDefault="00A76143" w:rsidP="00A97B9C">
            <w:pPr>
              <w:pStyle w:val="TableTextRight"/>
            </w:pPr>
            <w:r w:rsidRPr="00A97B9C">
              <w:t>–</w:t>
            </w:r>
          </w:p>
        </w:tc>
        <w:tc>
          <w:tcPr>
            <w:tcW w:w="729" w:type="dxa"/>
            <w:tcMar>
              <w:top w:w="57" w:type="dxa"/>
              <w:bottom w:w="28" w:type="dxa"/>
            </w:tcMar>
            <w:vAlign w:val="center"/>
          </w:tcPr>
          <w:p w14:paraId="17BAA6D6" w14:textId="0A311A8B" w:rsidR="00A76143" w:rsidRPr="00A97B9C" w:rsidRDefault="00A76143" w:rsidP="00A97B9C">
            <w:pPr>
              <w:pStyle w:val="TableTextRight"/>
            </w:pPr>
            <w:r w:rsidRPr="00A97B9C">
              <w:t>–</w:t>
            </w:r>
          </w:p>
        </w:tc>
        <w:tc>
          <w:tcPr>
            <w:tcW w:w="729" w:type="dxa"/>
            <w:tcMar>
              <w:top w:w="57" w:type="dxa"/>
              <w:bottom w:w="28" w:type="dxa"/>
            </w:tcMar>
            <w:vAlign w:val="center"/>
          </w:tcPr>
          <w:p w14:paraId="7445F40C" w14:textId="18D40AE9" w:rsidR="00A76143" w:rsidRPr="00A97B9C" w:rsidRDefault="00A76143" w:rsidP="00A97B9C">
            <w:pPr>
              <w:pStyle w:val="TableTextRight"/>
            </w:pPr>
            <w:r w:rsidRPr="00A97B9C">
              <w:t>–</w:t>
            </w:r>
          </w:p>
        </w:tc>
        <w:tc>
          <w:tcPr>
            <w:tcW w:w="729" w:type="dxa"/>
            <w:tcMar>
              <w:top w:w="57" w:type="dxa"/>
              <w:bottom w:w="28" w:type="dxa"/>
            </w:tcMar>
            <w:vAlign w:val="center"/>
          </w:tcPr>
          <w:p w14:paraId="50C269B5" w14:textId="19B339E7" w:rsidR="00A76143" w:rsidRPr="00A97B9C" w:rsidRDefault="00A76143" w:rsidP="00A97B9C">
            <w:pPr>
              <w:pStyle w:val="TableTextRight"/>
            </w:pPr>
            <w:r w:rsidRPr="00A97B9C">
              <w:t>–</w:t>
            </w:r>
          </w:p>
        </w:tc>
        <w:tc>
          <w:tcPr>
            <w:tcW w:w="729" w:type="dxa"/>
            <w:tcMar>
              <w:top w:w="57" w:type="dxa"/>
              <w:bottom w:w="28" w:type="dxa"/>
            </w:tcMar>
            <w:vAlign w:val="center"/>
          </w:tcPr>
          <w:p w14:paraId="4F951DBA" w14:textId="0BC121AC" w:rsidR="00A76143" w:rsidRPr="00A97B9C" w:rsidRDefault="00A76143" w:rsidP="00A97B9C">
            <w:pPr>
              <w:pStyle w:val="TableTextRight"/>
            </w:pPr>
            <w:r w:rsidRPr="00A97B9C">
              <w:t>–</w:t>
            </w:r>
          </w:p>
        </w:tc>
        <w:tc>
          <w:tcPr>
            <w:tcW w:w="729" w:type="dxa"/>
            <w:tcMar>
              <w:top w:w="57" w:type="dxa"/>
              <w:bottom w:w="28" w:type="dxa"/>
            </w:tcMar>
            <w:vAlign w:val="center"/>
          </w:tcPr>
          <w:p w14:paraId="195FDD2D" w14:textId="0B35734B" w:rsidR="00A76143" w:rsidRPr="00A97B9C" w:rsidRDefault="00A76143" w:rsidP="00A97B9C">
            <w:pPr>
              <w:pStyle w:val="TableTextRight"/>
            </w:pPr>
            <w:r w:rsidRPr="00A97B9C">
              <w:t>–</w:t>
            </w:r>
          </w:p>
        </w:tc>
        <w:tc>
          <w:tcPr>
            <w:tcW w:w="729" w:type="dxa"/>
            <w:tcMar>
              <w:top w:w="57" w:type="dxa"/>
              <w:bottom w:w="28" w:type="dxa"/>
            </w:tcMar>
            <w:vAlign w:val="center"/>
          </w:tcPr>
          <w:p w14:paraId="0356BC1D" w14:textId="564734E4" w:rsidR="00A76143" w:rsidRPr="00A97B9C" w:rsidRDefault="00A76143" w:rsidP="00A97B9C">
            <w:pPr>
              <w:pStyle w:val="TableTextRight"/>
              <w:rPr>
                <w:b/>
                <w:bCs/>
              </w:rPr>
            </w:pPr>
            <w:r w:rsidRPr="00A97B9C">
              <w:rPr>
                <w:b/>
                <w:bCs/>
              </w:rPr>
              <w:t> 16</w:t>
            </w:r>
          </w:p>
        </w:tc>
      </w:tr>
      <w:tr w:rsidR="00A76143" w:rsidRPr="00DF31C0" w14:paraId="6E9BFDC7" w14:textId="77777777" w:rsidTr="00A97B9C">
        <w:trPr>
          <w:trHeight w:val="136"/>
        </w:trPr>
        <w:tc>
          <w:tcPr>
            <w:tcW w:w="728" w:type="dxa"/>
            <w:tcMar>
              <w:top w:w="57" w:type="dxa"/>
              <w:bottom w:w="28" w:type="dxa"/>
            </w:tcMar>
            <w:vAlign w:val="bottom"/>
          </w:tcPr>
          <w:p w14:paraId="08EF5804" w14:textId="2AD51A83" w:rsidR="00A76143" w:rsidRPr="00A97B9C" w:rsidRDefault="00A76143" w:rsidP="00625DAB">
            <w:pPr>
              <w:pStyle w:val="TableTextLeft"/>
            </w:pPr>
            <w:r w:rsidRPr="00A97B9C">
              <w:t>APS 6</w:t>
            </w:r>
          </w:p>
        </w:tc>
        <w:tc>
          <w:tcPr>
            <w:tcW w:w="728" w:type="dxa"/>
            <w:tcMar>
              <w:top w:w="57" w:type="dxa"/>
              <w:bottom w:w="28" w:type="dxa"/>
            </w:tcMar>
            <w:vAlign w:val="center"/>
          </w:tcPr>
          <w:p w14:paraId="6BC3227A" w14:textId="2B5B5C55" w:rsidR="00A76143" w:rsidRPr="00A97B9C" w:rsidRDefault="00A76143" w:rsidP="00A97B9C">
            <w:pPr>
              <w:pStyle w:val="TableTextRight"/>
            </w:pPr>
            <w:r w:rsidRPr="00A97B9C">
              <w:t> 8</w:t>
            </w:r>
          </w:p>
        </w:tc>
        <w:tc>
          <w:tcPr>
            <w:tcW w:w="728" w:type="dxa"/>
            <w:tcMar>
              <w:top w:w="57" w:type="dxa"/>
              <w:bottom w:w="28" w:type="dxa"/>
            </w:tcMar>
            <w:vAlign w:val="center"/>
          </w:tcPr>
          <w:p w14:paraId="79A90CF6" w14:textId="1C94B361" w:rsidR="00A76143" w:rsidRPr="00A97B9C" w:rsidRDefault="00A76143" w:rsidP="00A97B9C">
            <w:pPr>
              <w:pStyle w:val="TableTextRight"/>
            </w:pPr>
            <w:r w:rsidRPr="00A97B9C">
              <w:t>–</w:t>
            </w:r>
          </w:p>
        </w:tc>
        <w:tc>
          <w:tcPr>
            <w:tcW w:w="728" w:type="dxa"/>
            <w:tcMar>
              <w:top w:w="57" w:type="dxa"/>
              <w:bottom w:w="28" w:type="dxa"/>
            </w:tcMar>
            <w:vAlign w:val="center"/>
          </w:tcPr>
          <w:p w14:paraId="34329EED" w14:textId="2B598A8E" w:rsidR="00A76143" w:rsidRPr="00A97B9C" w:rsidRDefault="00A76143" w:rsidP="00A97B9C">
            <w:pPr>
              <w:pStyle w:val="TableTextRight"/>
            </w:pPr>
            <w:r w:rsidRPr="00A97B9C">
              <w:t> 8</w:t>
            </w:r>
          </w:p>
        </w:tc>
        <w:tc>
          <w:tcPr>
            <w:tcW w:w="728" w:type="dxa"/>
            <w:tcMar>
              <w:top w:w="57" w:type="dxa"/>
              <w:bottom w:w="28" w:type="dxa"/>
            </w:tcMar>
            <w:vAlign w:val="center"/>
          </w:tcPr>
          <w:p w14:paraId="3D503D87" w14:textId="1719964B" w:rsidR="00A76143" w:rsidRPr="00A97B9C" w:rsidRDefault="00A76143" w:rsidP="00A97B9C">
            <w:pPr>
              <w:pStyle w:val="TableTextRight"/>
            </w:pPr>
            <w:r w:rsidRPr="00A97B9C">
              <w:t> 4</w:t>
            </w:r>
          </w:p>
        </w:tc>
        <w:tc>
          <w:tcPr>
            <w:tcW w:w="728" w:type="dxa"/>
            <w:tcMar>
              <w:top w:w="57" w:type="dxa"/>
              <w:bottom w:w="28" w:type="dxa"/>
            </w:tcMar>
            <w:vAlign w:val="center"/>
          </w:tcPr>
          <w:p w14:paraId="4F3DD5B0" w14:textId="0FB24D62" w:rsidR="00A76143" w:rsidRPr="00A97B9C" w:rsidRDefault="00A76143" w:rsidP="00A97B9C">
            <w:pPr>
              <w:pStyle w:val="TableTextRight"/>
            </w:pPr>
            <w:r w:rsidRPr="00A97B9C">
              <w:t> –</w:t>
            </w:r>
          </w:p>
        </w:tc>
        <w:tc>
          <w:tcPr>
            <w:tcW w:w="729" w:type="dxa"/>
            <w:tcMar>
              <w:top w:w="57" w:type="dxa"/>
              <w:bottom w:w="28" w:type="dxa"/>
            </w:tcMar>
            <w:vAlign w:val="center"/>
          </w:tcPr>
          <w:p w14:paraId="06EAFC32" w14:textId="4B67ED7A" w:rsidR="00A76143" w:rsidRPr="00A97B9C" w:rsidRDefault="00A76143" w:rsidP="00A97B9C">
            <w:pPr>
              <w:pStyle w:val="TableTextRight"/>
            </w:pPr>
            <w:r w:rsidRPr="00A97B9C">
              <w:t> 4</w:t>
            </w:r>
          </w:p>
        </w:tc>
        <w:tc>
          <w:tcPr>
            <w:tcW w:w="729" w:type="dxa"/>
            <w:tcMar>
              <w:top w:w="57" w:type="dxa"/>
              <w:bottom w:w="28" w:type="dxa"/>
            </w:tcMar>
            <w:vAlign w:val="center"/>
          </w:tcPr>
          <w:p w14:paraId="5B824038" w14:textId="464F6478" w:rsidR="00A76143" w:rsidRPr="00A97B9C" w:rsidRDefault="00A76143" w:rsidP="00A97B9C">
            <w:pPr>
              <w:pStyle w:val="TableTextRight"/>
            </w:pPr>
            <w:r w:rsidRPr="00A97B9C">
              <w:t>–</w:t>
            </w:r>
          </w:p>
        </w:tc>
        <w:tc>
          <w:tcPr>
            <w:tcW w:w="729" w:type="dxa"/>
            <w:tcMar>
              <w:top w:w="57" w:type="dxa"/>
              <w:bottom w:w="28" w:type="dxa"/>
            </w:tcMar>
            <w:vAlign w:val="center"/>
          </w:tcPr>
          <w:p w14:paraId="5525B0E2" w14:textId="6ECE2E73" w:rsidR="00A76143" w:rsidRPr="00A97B9C" w:rsidRDefault="00A76143" w:rsidP="00A97B9C">
            <w:pPr>
              <w:pStyle w:val="TableTextRight"/>
            </w:pPr>
            <w:r w:rsidRPr="00A97B9C">
              <w:t>–</w:t>
            </w:r>
          </w:p>
        </w:tc>
        <w:tc>
          <w:tcPr>
            <w:tcW w:w="729" w:type="dxa"/>
            <w:tcMar>
              <w:top w:w="57" w:type="dxa"/>
              <w:bottom w:w="28" w:type="dxa"/>
            </w:tcMar>
            <w:vAlign w:val="center"/>
          </w:tcPr>
          <w:p w14:paraId="39833EEA" w14:textId="76D8F054" w:rsidR="00A76143" w:rsidRPr="00A97B9C" w:rsidRDefault="00A76143" w:rsidP="00A97B9C">
            <w:pPr>
              <w:pStyle w:val="TableTextRight"/>
            </w:pPr>
            <w:r w:rsidRPr="00A97B9C">
              <w:t>–</w:t>
            </w:r>
          </w:p>
        </w:tc>
        <w:tc>
          <w:tcPr>
            <w:tcW w:w="729" w:type="dxa"/>
            <w:tcMar>
              <w:top w:w="57" w:type="dxa"/>
              <w:bottom w:w="28" w:type="dxa"/>
            </w:tcMar>
            <w:vAlign w:val="center"/>
          </w:tcPr>
          <w:p w14:paraId="5A768588" w14:textId="7B88BEC6" w:rsidR="00A76143" w:rsidRPr="00A97B9C" w:rsidRDefault="00A76143" w:rsidP="00A97B9C">
            <w:pPr>
              <w:pStyle w:val="TableTextRight"/>
            </w:pPr>
            <w:r w:rsidRPr="00A97B9C">
              <w:t>–</w:t>
            </w:r>
          </w:p>
        </w:tc>
        <w:tc>
          <w:tcPr>
            <w:tcW w:w="729" w:type="dxa"/>
            <w:tcMar>
              <w:top w:w="57" w:type="dxa"/>
              <w:bottom w:w="28" w:type="dxa"/>
            </w:tcMar>
            <w:vAlign w:val="center"/>
          </w:tcPr>
          <w:p w14:paraId="70273E59" w14:textId="480BA04D" w:rsidR="00A76143" w:rsidRPr="00A97B9C" w:rsidRDefault="00A76143" w:rsidP="00A97B9C">
            <w:pPr>
              <w:pStyle w:val="TableTextRight"/>
            </w:pPr>
            <w:r w:rsidRPr="00A97B9C">
              <w:t>–</w:t>
            </w:r>
          </w:p>
        </w:tc>
        <w:tc>
          <w:tcPr>
            <w:tcW w:w="729" w:type="dxa"/>
            <w:tcMar>
              <w:top w:w="57" w:type="dxa"/>
              <w:bottom w:w="28" w:type="dxa"/>
            </w:tcMar>
            <w:vAlign w:val="center"/>
          </w:tcPr>
          <w:p w14:paraId="0B6C9B98" w14:textId="011172E2" w:rsidR="00A76143" w:rsidRPr="00A97B9C" w:rsidRDefault="00A76143" w:rsidP="00A97B9C">
            <w:pPr>
              <w:pStyle w:val="TableTextRight"/>
            </w:pPr>
            <w:r w:rsidRPr="00A97B9C">
              <w:t>–</w:t>
            </w:r>
          </w:p>
        </w:tc>
        <w:tc>
          <w:tcPr>
            <w:tcW w:w="729" w:type="dxa"/>
            <w:tcMar>
              <w:top w:w="57" w:type="dxa"/>
              <w:bottom w:w="28" w:type="dxa"/>
            </w:tcMar>
            <w:vAlign w:val="center"/>
          </w:tcPr>
          <w:p w14:paraId="03DF07FA" w14:textId="1570F177" w:rsidR="00A76143" w:rsidRPr="00A97B9C" w:rsidRDefault="00A76143" w:rsidP="00A97B9C">
            <w:pPr>
              <w:pStyle w:val="TableTextRight"/>
            </w:pPr>
            <w:r w:rsidRPr="00A97B9C">
              <w:t>–</w:t>
            </w:r>
          </w:p>
        </w:tc>
        <w:tc>
          <w:tcPr>
            <w:tcW w:w="729" w:type="dxa"/>
            <w:tcMar>
              <w:top w:w="57" w:type="dxa"/>
              <w:bottom w:w="28" w:type="dxa"/>
            </w:tcMar>
            <w:vAlign w:val="center"/>
          </w:tcPr>
          <w:p w14:paraId="3649A966" w14:textId="28EC1FE6" w:rsidR="00A76143" w:rsidRPr="00A97B9C" w:rsidRDefault="00A76143" w:rsidP="00A97B9C">
            <w:pPr>
              <w:pStyle w:val="TableTextRight"/>
            </w:pPr>
            <w:r w:rsidRPr="00A97B9C">
              <w:t>–</w:t>
            </w:r>
          </w:p>
        </w:tc>
        <w:tc>
          <w:tcPr>
            <w:tcW w:w="729" w:type="dxa"/>
            <w:tcMar>
              <w:top w:w="57" w:type="dxa"/>
              <w:bottom w:w="28" w:type="dxa"/>
            </w:tcMar>
            <w:vAlign w:val="center"/>
          </w:tcPr>
          <w:p w14:paraId="666D9DEA" w14:textId="05908C58" w:rsidR="00A76143" w:rsidRPr="00A97B9C" w:rsidRDefault="00A76143" w:rsidP="00A97B9C">
            <w:pPr>
              <w:pStyle w:val="TableTextRight"/>
            </w:pPr>
            <w:r w:rsidRPr="00A97B9C">
              <w:t>–</w:t>
            </w:r>
          </w:p>
        </w:tc>
        <w:tc>
          <w:tcPr>
            <w:tcW w:w="729" w:type="dxa"/>
            <w:tcMar>
              <w:top w:w="57" w:type="dxa"/>
              <w:bottom w:w="28" w:type="dxa"/>
            </w:tcMar>
            <w:vAlign w:val="center"/>
          </w:tcPr>
          <w:p w14:paraId="449D5C3F" w14:textId="58C28A9B" w:rsidR="00A76143" w:rsidRPr="00A97B9C" w:rsidRDefault="00A76143" w:rsidP="00A97B9C">
            <w:pPr>
              <w:pStyle w:val="TableTextRight"/>
              <w:rPr>
                <w:b/>
                <w:bCs/>
              </w:rPr>
            </w:pPr>
            <w:r w:rsidRPr="00A97B9C">
              <w:rPr>
                <w:b/>
                <w:bCs/>
              </w:rPr>
              <w:t> 12</w:t>
            </w:r>
          </w:p>
        </w:tc>
      </w:tr>
      <w:tr w:rsidR="0048600D" w:rsidRPr="00F47A82" w14:paraId="76A2D97B" w14:textId="77777777" w:rsidTr="00A97B9C">
        <w:trPr>
          <w:cnfStyle w:val="000000010000" w:firstRow="0" w:lastRow="0" w:firstColumn="0" w:lastColumn="0" w:oddVBand="0" w:evenVBand="0" w:oddHBand="0" w:evenHBand="1" w:firstRowFirstColumn="0" w:firstRowLastColumn="0" w:lastRowFirstColumn="0" w:lastRowLastColumn="0"/>
          <w:trHeight w:val="284"/>
        </w:trPr>
        <w:tc>
          <w:tcPr>
            <w:tcW w:w="728" w:type="dxa"/>
            <w:tcMar>
              <w:top w:w="57" w:type="dxa"/>
              <w:bottom w:w="28" w:type="dxa"/>
            </w:tcMar>
            <w:vAlign w:val="bottom"/>
          </w:tcPr>
          <w:p w14:paraId="38D05AA9" w14:textId="186E23F4" w:rsidR="00A76143" w:rsidRPr="00A97B9C" w:rsidRDefault="00A76143" w:rsidP="00625DAB">
            <w:pPr>
              <w:pStyle w:val="TableTextLeft"/>
            </w:pPr>
            <w:r w:rsidRPr="00A97B9C">
              <w:t>APS 5</w:t>
            </w:r>
          </w:p>
        </w:tc>
        <w:tc>
          <w:tcPr>
            <w:tcW w:w="728" w:type="dxa"/>
            <w:tcMar>
              <w:top w:w="57" w:type="dxa"/>
              <w:bottom w:w="28" w:type="dxa"/>
            </w:tcMar>
            <w:vAlign w:val="center"/>
          </w:tcPr>
          <w:p w14:paraId="622D76C2" w14:textId="45F01EBD" w:rsidR="00A76143" w:rsidRPr="00A97B9C" w:rsidRDefault="00A76143" w:rsidP="00A97B9C">
            <w:pPr>
              <w:pStyle w:val="TableTextRight"/>
            </w:pPr>
            <w:r w:rsidRPr="00A97B9C">
              <w:t> 5</w:t>
            </w:r>
          </w:p>
        </w:tc>
        <w:tc>
          <w:tcPr>
            <w:tcW w:w="728" w:type="dxa"/>
            <w:tcMar>
              <w:top w:w="57" w:type="dxa"/>
              <w:bottom w:w="28" w:type="dxa"/>
            </w:tcMar>
            <w:vAlign w:val="center"/>
          </w:tcPr>
          <w:p w14:paraId="04393F16" w14:textId="1564B645" w:rsidR="00A76143" w:rsidRPr="00A97B9C" w:rsidRDefault="00A76143" w:rsidP="00A97B9C">
            <w:pPr>
              <w:pStyle w:val="TableTextRight"/>
            </w:pPr>
            <w:r w:rsidRPr="00A97B9C">
              <w:t>–</w:t>
            </w:r>
          </w:p>
        </w:tc>
        <w:tc>
          <w:tcPr>
            <w:tcW w:w="728" w:type="dxa"/>
            <w:tcMar>
              <w:top w:w="57" w:type="dxa"/>
              <w:bottom w:w="28" w:type="dxa"/>
            </w:tcMar>
            <w:vAlign w:val="center"/>
          </w:tcPr>
          <w:p w14:paraId="5DC789B4" w14:textId="604142C8" w:rsidR="00A76143" w:rsidRPr="00A97B9C" w:rsidRDefault="00A76143" w:rsidP="00A97B9C">
            <w:pPr>
              <w:pStyle w:val="TableTextRight"/>
            </w:pPr>
            <w:r w:rsidRPr="00A97B9C">
              <w:t> 5</w:t>
            </w:r>
          </w:p>
        </w:tc>
        <w:tc>
          <w:tcPr>
            <w:tcW w:w="728" w:type="dxa"/>
            <w:tcMar>
              <w:top w:w="57" w:type="dxa"/>
              <w:bottom w:w="28" w:type="dxa"/>
            </w:tcMar>
            <w:vAlign w:val="center"/>
          </w:tcPr>
          <w:p w14:paraId="7BBE9234" w14:textId="2F06B0C4" w:rsidR="00A76143" w:rsidRPr="00A97B9C" w:rsidRDefault="00A76143" w:rsidP="00A97B9C">
            <w:pPr>
              <w:pStyle w:val="TableTextRight"/>
            </w:pPr>
            <w:r w:rsidRPr="00A97B9C">
              <w:t> 1</w:t>
            </w:r>
          </w:p>
        </w:tc>
        <w:tc>
          <w:tcPr>
            <w:tcW w:w="728" w:type="dxa"/>
            <w:tcMar>
              <w:top w:w="57" w:type="dxa"/>
              <w:bottom w:w="28" w:type="dxa"/>
            </w:tcMar>
            <w:vAlign w:val="center"/>
          </w:tcPr>
          <w:p w14:paraId="517BDD43" w14:textId="27EAF1E6" w:rsidR="00A76143" w:rsidRPr="00A97B9C" w:rsidRDefault="00A76143" w:rsidP="00A97B9C">
            <w:pPr>
              <w:pStyle w:val="TableTextRight"/>
            </w:pPr>
            <w:r w:rsidRPr="00A97B9C">
              <w:t> 2</w:t>
            </w:r>
          </w:p>
        </w:tc>
        <w:tc>
          <w:tcPr>
            <w:tcW w:w="729" w:type="dxa"/>
            <w:tcMar>
              <w:top w:w="57" w:type="dxa"/>
              <w:bottom w:w="28" w:type="dxa"/>
            </w:tcMar>
            <w:vAlign w:val="center"/>
          </w:tcPr>
          <w:p w14:paraId="1579B609" w14:textId="401C5B55" w:rsidR="00A76143" w:rsidRPr="00A97B9C" w:rsidRDefault="00A76143" w:rsidP="00A97B9C">
            <w:pPr>
              <w:pStyle w:val="TableTextRight"/>
            </w:pPr>
            <w:r w:rsidRPr="00A97B9C">
              <w:t> 3</w:t>
            </w:r>
          </w:p>
        </w:tc>
        <w:tc>
          <w:tcPr>
            <w:tcW w:w="729" w:type="dxa"/>
            <w:tcMar>
              <w:top w:w="57" w:type="dxa"/>
              <w:bottom w:w="28" w:type="dxa"/>
            </w:tcMar>
            <w:vAlign w:val="center"/>
          </w:tcPr>
          <w:p w14:paraId="0BF125FC" w14:textId="53B129ED" w:rsidR="00A76143" w:rsidRPr="00A97B9C" w:rsidRDefault="00A76143" w:rsidP="00A97B9C">
            <w:pPr>
              <w:pStyle w:val="TableTextRight"/>
            </w:pPr>
            <w:r w:rsidRPr="00A97B9C">
              <w:t>–</w:t>
            </w:r>
          </w:p>
        </w:tc>
        <w:tc>
          <w:tcPr>
            <w:tcW w:w="729" w:type="dxa"/>
            <w:tcMar>
              <w:top w:w="57" w:type="dxa"/>
              <w:bottom w:w="28" w:type="dxa"/>
            </w:tcMar>
            <w:vAlign w:val="center"/>
          </w:tcPr>
          <w:p w14:paraId="67B7562D" w14:textId="4EA25BC6" w:rsidR="00A76143" w:rsidRPr="00A97B9C" w:rsidRDefault="00A76143" w:rsidP="00A97B9C">
            <w:pPr>
              <w:pStyle w:val="TableTextRight"/>
            </w:pPr>
            <w:r w:rsidRPr="00A97B9C">
              <w:t>–</w:t>
            </w:r>
          </w:p>
        </w:tc>
        <w:tc>
          <w:tcPr>
            <w:tcW w:w="729" w:type="dxa"/>
            <w:tcMar>
              <w:top w:w="57" w:type="dxa"/>
              <w:bottom w:w="28" w:type="dxa"/>
            </w:tcMar>
            <w:vAlign w:val="center"/>
          </w:tcPr>
          <w:p w14:paraId="6F2CB22C" w14:textId="45A7A806" w:rsidR="00A76143" w:rsidRPr="00A97B9C" w:rsidRDefault="00A76143" w:rsidP="00A97B9C">
            <w:pPr>
              <w:pStyle w:val="TableTextRight"/>
            </w:pPr>
            <w:r w:rsidRPr="00A97B9C">
              <w:t>–</w:t>
            </w:r>
          </w:p>
        </w:tc>
        <w:tc>
          <w:tcPr>
            <w:tcW w:w="729" w:type="dxa"/>
            <w:tcMar>
              <w:top w:w="57" w:type="dxa"/>
              <w:bottom w:w="28" w:type="dxa"/>
            </w:tcMar>
            <w:vAlign w:val="center"/>
          </w:tcPr>
          <w:p w14:paraId="54FE966F" w14:textId="4BE5DA00" w:rsidR="00A76143" w:rsidRPr="00A97B9C" w:rsidRDefault="00A76143" w:rsidP="00A97B9C">
            <w:pPr>
              <w:pStyle w:val="TableTextRight"/>
            </w:pPr>
            <w:r w:rsidRPr="00A97B9C">
              <w:t>–</w:t>
            </w:r>
          </w:p>
        </w:tc>
        <w:tc>
          <w:tcPr>
            <w:tcW w:w="729" w:type="dxa"/>
            <w:tcMar>
              <w:top w:w="57" w:type="dxa"/>
              <w:bottom w:w="28" w:type="dxa"/>
            </w:tcMar>
            <w:vAlign w:val="center"/>
          </w:tcPr>
          <w:p w14:paraId="224F36D7" w14:textId="4BE91A73" w:rsidR="00A76143" w:rsidRPr="00A97B9C" w:rsidRDefault="00A76143" w:rsidP="00A97B9C">
            <w:pPr>
              <w:pStyle w:val="TableTextRight"/>
            </w:pPr>
            <w:r w:rsidRPr="00A97B9C">
              <w:t>–</w:t>
            </w:r>
          </w:p>
        </w:tc>
        <w:tc>
          <w:tcPr>
            <w:tcW w:w="729" w:type="dxa"/>
            <w:tcMar>
              <w:top w:w="57" w:type="dxa"/>
              <w:bottom w:w="28" w:type="dxa"/>
            </w:tcMar>
            <w:vAlign w:val="center"/>
          </w:tcPr>
          <w:p w14:paraId="24788A59" w14:textId="48A88F8F" w:rsidR="00A76143" w:rsidRPr="00A97B9C" w:rsidRDefault="00A76143" w:rsidP="00A97B9C">
            <w:pPr>
              <w:pStyle w:val="TableTextRight"/>
            </w:pPr>
            <w:r w:rsidRPr="00A97B9C">
              <w:t>–</w:t>
            </w:r>
          </w:p>
        </w:tc>
        <w:tc>
          <w:tcPr>
            <w:tcW w:w="729" w:type="dxa"/>
            <w:tcMar>
              <w:top w:w="57" w:type="dxa"/>
              <w:bottom w:w="28" w:type="dxa"/>
            </w:tcMar>
            <w:vAlign w:val="center"/>
          </w:tcPr>
          <w:p w14:paraId="7BBB096D" w14:textId="05983C5E" w:rsidR="00A76143" w:rsidRPr="00A97B9C" w:rsidRDefault="00A76143" w:rsidP="00A97B9C">
            <w:pPr>
              <w:pStyle w:val="TableTextRight"/>
            </w:pPr>
            <w:r w:rsidRPr="00A97B9C">
              <w:t>–</w:t>
            </w:r>
          </w:p>
        </w:tc>
        <w:tc>
          <w:tcPr>
            <w:tcW w:w="729" w:type="dxa"/>
            <w:tcMar>
              <w:top w:w="57" w:type="dxa"/>
              <w:bottom w:w="28" w:type="dxa"/>
            </w:tcMar>
            <w:vAlign w:val="center"/>
          </w:tcPr>
          <w:p w14:paraId="1D8C8F44" w14:textId="3C508657" w:rsidR="00A76143" w:rsidRPr="00A97B9C" w:rsidRDefault="00A76143" w:rsidP="00A97B9C">
            <w:pPr>
              <w:pStyle w:val="TableTextRight"/>
            </w:pPr>
            <w:r w:rsidRPr="00A97B9C">
              <w:t>–</w:t>
            </w:r>
          </w:p>
        </w:tc>
        <w:tc>
          <w:tcPr>
            <w:tcW w:w="729" w:type="dxa"/>
            <w:tcMar>
              <w:top w:w="57" w:type="dxa"/>
              <w:bottom w:w="28" w:type="dxa"/>
            </w:tcMar>
            <w:vAlign w:val="center"/>
          </w:tcPr>
          <w:p w14:paraId="38496DC2" w14:textId="783E872D" w:rsidR="00A76143" w:rsidRPr="00A97B9C" w:rsidRDefault="00A76143" w:rsidP="00A97B9C">
            <w:pPr>
              <w:pStyle w:val="TableTextRight"/>
            </w:pPr>
            <w:r w:rsidRPr="00A97B9C">
              <w:t>–</w:t>
            </w:r>
          </w:p>
        </w:tc>
        <w:tc>
          <w:tcPr>
            <w:tcW w:w="729" w:type="dxa"/>
            <w:tcMar>
              <w:top w:w="57" w:type="dxa"/>
              <w:bottom w:w="28" w:type="dxa"/>
            </w:tcMar>
            <w:vAlign w:val="center"/>
          </w:tcPr>
          <w:p w14:paraId="4E059D14" w14:textId="0E35CE85" w:rsidR="00A76143" w:rsidRPr="00A97B9C" w:rsidRDefault="00A76143" w:rsidP="00A97B9C">
            <w:pPr>
              <w:pStyle w:val="TableTextRight"/>
              <w:rPr>
                <w:b/>
                <w:bCs/>
              </w:rPr>
            </w:pPr>
            <w:r w:rsidRPr="00A97B9C">
              <w:rPr>
                <w:b/>
                <w:bCs/>
              </w:rPr>
              <w:t> 8</w:t>
            </w:r>
          </w:p>
        </w:tc>
      </w:tr>
      <w:tr w:rsidR="00A76143" w:rsidRPr="00DF31C0" w14:paraId="0BF6FC28" w14:textId="77777777" w:rsidTr="00A97B9C">
        <w:trPr>
          <w:trHeight w:val="232"/>
        </w:trPr>
        <w:tc>
          <w:tcPr>
            <w:tcW w:w="728" w:type="dxa"/>
            <w:tcMar>
              <w:top w:w="57" w:type="dxa"/>
              <w:bottom w:w="28" w:type="dxa"/>
            </w:tcMar>
            <w:vAlign w:val="bottom"/>
          </w:tcPr>
          <w:p w14:paraId="76025D3D" w14:textId="0A9EA238" w:rsidR="00A76143" w:rsidRPr="00A97B9C" w:rsidRDefault="00A76143" w:rsidP="00625DAB">
            <w:pPr>
              <w:pStyle w:val="TableTextLeft"/>
            </w:pPr>
            <w:r w:rsidRPr="00A97B9C">
              <w:t>APS 4</w:t>
            </w:r>
          </w:p>
        </w:tc>
        <w:tc>
          <w:tcPr>
            <w:tcW w:w="728" w:type="dxa"/>
            <w:tcMar>
              <w:top w:w="57" w:type="dxa"/>
              <w:bottom w:w="28" w:type="dxa"/>
            </w:tcMar>
            <w:vAlign w:val="center"/>
          </w:tcPr>
          <w:p w14:paraId="771E87F5" w14:textId="11D4C5CF" w:rsidR="00A76143" w:rsidRPr="00A97B9C" w:rsidRDefault="00A76143" w:rsidP="00A97B9C">
            <w:pPr>
              <w:pStyle w:val="TableTextRight"/>
            </w:pPr>
            <w:r w:rsidRPr="00A97B9C">
              <w:t>–</w:t>
            </w:r>
          </w:p>
        </w:tc>
        <w:tc>
          <w:tcPr>
            <w:tcW w:w="728" w:type="dxa"/>
            <w:tcMar>
              <w:top w:w="57" w:type="dxa"/>
              <w:bottom w:w="28" w:type="dxa"/>
            </w:tcMar>
            <w:vAlign w:val="center"/>
          </w:tcPr>
          <w:p w14:paraId="00507A3F" w14:textId="2AB53E70" w:rsidR="00A76143" w:rsidRPr="00A97B9C" w:rsidRDefault="00A76143" w:rsidP="00A97B9C">
            <w:pPr>
              <w:pStyle w:val="TableTextRight"/>
            </w:pPr>
            <w:r w:rsidRPr="00A97B9C">
              <w:t>–</w:t>
            </w:r>
          </w:p>
        </w:tc>
        <w:tc>
          <w:tcPr>
            <w:tcW w:w="728" w:type="dxa"/>
            <w:tcMar>
              <w:top w:w="57" w:type="dxa"/>
              <w:bottom w:w="28" w:type="dxa"/>
            </w:tcMar>
            <w:vAlign w:val="center"/>
          </w:tcPr>
          <w:p w14:paraId="3F3F97D2" w14:textId="062916EC" w:rsidR="00A76143" w:rsidRPr="00A97B9C" w:rsidRDefault="00A76143" w:rsidP="00A97B9C">
            <w:pPr>
              <w:pStyle w:val="TableTextRight"/>
            </w:pPr>
            <w:r w:rsidRPr="00A97B9C">
              <w:t>–</w:t>
            </w:r>
          </w:p>
        </w:tc>
        <w:tc>
          <w:tcPr>
            <w:tcW w:w="728" w:type="dxa"/>
            <w:tcMar>
              <w:top w:w="57" w:type="dxa"/>
              <w:bottom w:w="28" w:type="dxa"/>
            </w:tcMar>
            <w:vAlign w:val="center"/>
          </w:tcPr>
          <w:p w14:paraId="5C8CA7B2" w14:textId="7161131B" w:rsidR="00A76143" w:rsidRPr="00A97B9C" w:rsidRDefault="00A76143" w:rsidP="00A97B9C">
            <w:pPr>
              <w:pStyle w:val="TableTextRight"/>
            </w:pPr>
            <w:r w:rsidRPr="00A97B9C">
              <w:t>–</w:t>
            </w:r>
          </w:p>
        </w:tc>
        <w:tc>
          <w:tcPr>
            <w:tcW w:w="728" w:type="dxa"/>
            <w:tcMar>
              <w:top w:w="57" w:type="dxa"/>
              <w:bottom w:w="28" w:type="dxa"/>
            </w:tcMar>
            <w:vAlign w:val="center"/>
          </w:tcPr>
          <w:p w14:paraId="630D98E1" w14:textId="27A6E302" w:rsidR="00A76143" w:rsidRPr="00A97B9C" w:rsidRDefault="00A76143" w:rsidP="00A97B9C">
            <w:pPr>
              <w:pStyle w:val="TableTextRight"/>
            </w:pPr>
            <w:r w:rsidRPr="00A97B9C">
              <w:t> 1</w:t>
            </w:r>
          </w:p>
        </w:tc>
        <w:tc>
          <w:tcPr>
            <w:tcW w:w="729" w:type="dxa"/>
            <w:tcMar>
              <w:top w:w="57" w:type="dxa"/>
              <w:bottom w:w="28" w:type="dxa"/>
            </w:tcMar>
            <w:vAlign w:val="center"/>
          </w:tcPr>
          <w:p w14:paraId="58ABE21A" w14:textId="2072F05B" w:rsidR="00A76143" w:rsidRPr="00A97B9C" w:rsidRDefault="00A76143" w:rsidP="00A97B9C">
            <w:pPr>
              <w:pStyle w:val="TableTextRight"/>
            </w:pPr>
            <w:r w:rsidRPr="00A97B9C">
              <w:t> 1</w:t>
            </w:r>
          </w:p>
        </w:tc>
        <w:tc>
          <w:tcPr>
            <w:tcW w:w="729" w:type="dxa"/>
            <w:tcMar>
              <w:top w:w="57" w:type="dxa"/>
              <w:bottom w:w="28" w:type="dxa"/>
            </w:tcMar>
            <w:vAlign w:val="center"/>
          </w:tcPr>
          <w:p w14:paraId="34BB471B" w14:textId="3426D591" w:rsidR="00A76143" w:rsidRPr="00A97B9C" w:rsidRDefault="00A76143" w:rsidP="00A97B9C">
            <w:pPr>
              <w:pStyle w:val="TableTextRight"/>
            </w:pPr>
            <w:r w:rsidRPr="00A97B9C">
              <w:t>–</w:t>
            </w:r>
          </w:p>
        </w:tc>
        <w:tc>
          <w:tcPr>
            <w:tcW w:w="729" w:type="dxa"/>
            <w:tcMar>
              <w:top w:w="57" w:type="dxa"/>
              <w:bottom w:w="28" w:type="dxa"/>
            </w:tcMar>
            <w:vAlign w:val="center"/>
          </w:tcPr>
          <w:p w14:paraId="2CD2AB65" w14:textId="50DBDEBC" w:rsidR="00A76143" w:rsidRPr="00A97B9C" w:rsidRDefault="00A76143" w:rsidP="00A97B9C">
            <w:pPr>
              <w:pStyle w:val="TableTextRight"/>
            </w:pPr>
            <w:r w:rsidRPr="00A97B9C">
              <w:t>–</w:t>
            </w:r>
          </w:p>
        </w:tc>
        <w:tc>
          <w:tcPr>
            <w:tcW w:w="729" w:type="dxa"/>
            <w:tcMar>
              <w:top w:w="57" w:type="dxa"/>
              <w:bottom w:w="28" w:type="dxa"/>
            </w:tcMar>
            <w:vAlign w:val="center"/>
          </w:tcPr>
          <w:p w14:paraId="3DD4318C" w14:textId="1DFCC1F1" w:rsidR="00A76143" w:rsidRPr="00A97B9C" w:rsidRDefault="00A76143" w:rsidP="00A97B9C">
            <w:pPr>
              <w:pStyle w:val="TableTextRight"/>
            </w:pPr>
            <w:r w:rsidRPr="00A97B9C">
              <w:t>–</w:t>
            </w:r>
          </w:p>
        </w:tc>
        <w:tc>
          <w:tcPr>
            <w:tcW w:w="729" w:type="dxa"/>
            <w:tcMar>
              <w:top w:w="57" w:type="dxa"/>
              <w:bottom w:w="28" w:type="dxa"/>
            </w:tcMar>
            <w:vAlign w:val="center"/>
          </w:tcPr>
          <w:p w14:paraId="5F7ED9A9" w14:textId="04A906C2" w:rsidR="00A76143" w:rsidRPr="00A97B9C" w:rsidRDefault="00A76143" w:rsidP="00A97B9C">
            <w:pPr>
              <w:pStyle w:val="TableTextRight"/>
            </w:pPr>
            <w:r w:rsidRPr="00A97B9C">
              <w:t>–</w:t>
            </w:r>
          </w:p>
        </w:tc>
        <w:tc>
          <w:tcPr>
            <w:tcW w:w="729" w:type="dxa"/>
            <w:tcMar>
              <w:top w:w="57" w:type="dxa"/>
              <w:bottom w:w="28" w:type="dxa"/>
            </w:tcMar>
            <w:vAlign w:val="center"/>
          </w:tcPr>
          <w:p w14:paraId="5DC67BFC" w14:textId="6374E989" w:rsidR="00A76143" w:rsidRPr="00A97B9C" w:rsidRDefault="00A76143" w:rsidP="00A97B9C">
            <w:pPr>
              <w:pStyle w:val="TableTextRight"/>
            </w:pPr>
            <w:r w:rsidRPr="00A97B9C">
              <w:t>–</w:t>
            </w:r>
          </w:p>
        </w:tc>
        <w:tc>
          <w:tcPr>
            <w:tcW w:w="729" w:type="dxa"/>
            <w:tcMar>
              <w:top w:w="57" w:type="dxa"/>
              <w:bottom w:w="28" w:type="dxa"/>
            </w:tcMar>
            <w:vAlign w:val="center"/>
          </w:tcPr>
          <w:p w14:paraId="0D5014F1" w14:textId="17301B4B" w:rsidR="00A76143" w:rsidRPr="00A97B9C" w:rsidRDefault="00A76143" w:rsidP="00A97B9C">
            <w:pPr>
              <w:pStyle w:val="TableTextRight"/>
            </w:pPr>
            <w:r w:rsidRPr="00A97B9C">
              <w:t>–</w:t>
            </w:r>
          </w:p>
        </w:tc>
        <w:tc>
          <w:tcPr>
            <w:tcW w:w="729" w:type="dxa"/>
            <w:tcMar>
              <w:top w:w="57" w:type="dxa"/>
              <w:bottom w:w="28" w:type="dxa"/>
            </w:tcMar>
            <w:vAlign w:val="center"/>
          </w:tcPr>
          <w:p w14:paraId="6912C865" w14:textId="2B93BCA7" w:rsidR="00A76143" w:rsidRPr="00A97B9C" w:rsidRDefault="00A76143" w:rsidP="00A97B9C">
            <w:pPr>
              <w:pStyle w:val="TableTextRight"/>
            </w:pPr>
            <w:r w:rsidRPr="00A97B9C">
              <w:t>–</w:t>
            </w:r>
          </w:p>
        </w:tc>
        <w:tc>
          <w:tcPr>
            <w:tcW w:w="729" w:type="dxa"/>
            <w:tcMar>
              <w:top w:w="57" w:type="dxa"/>
              <w:bottom w:w="28" w:type="dxa"/>
            </w:tcMar>
            <w:vAlign w:val="center"/>
          </w:tcPr>
          <w:p w14:paraId="1186BC27" w14:textId="5DB9132E" w:rsidR="00A76143" w:rsidRPr="00A97B9C" w:rsidRDefault="00A76143" w:rsidP="00A97B9C">
            <w:pPr>
              <w:pStyle w:val="TableTextRight"/>
            </w:pPr>
            <w:r w:rsidRPr="00A97B9C">
              <w:t>–</w:t>
            </w:r>
          </w:p>
        </w:tc>
        <w:tc>
          <w:tcPr>
            <w:tcW w:w="729" w:type="dxa"/>
            <w:tcMar>
              <w:top w:w="57" w:type="dxa"/>
              <w:bottom w:w="28" w:type="dxa"/>
            </w:tcMar>
            <w:vAlign w:val="center"/>
          </w:tcPr>
          <w:p w14:paraId="425DE825" w14:textId="2021B49D" w:rsidR="00A76143" w:rsidRPr="00A97B9C" w:rsidRDefault="00A76143" w:rsidP="00A97B9C">
            <w:pPr>
              <w:pStyle w:val="TableTextRight"/>
            </w:pPr>
            <w:r w:rsidRPr="00A97B9C">
              <w:t>–</w:t>
            </w:r>
          </w:p>
        </w:tc>
        <w:tc>
          <w:tcPr>
            <w:tcW w:w="729" w:type="dxa"/>
            <w:tcMar>
              <w:top w:w="57" w:type="dxa"/>
              <w:bottom w:w="28" w:type="dxa"/>
            </w:tcMar>
            <w:vAlign w:val="center"/>
          </w:tcPr>
          <w:p w14:paraId="1F7F84E5" w14:textId="1327E161" w:rsidR="00A76143" w:rsidRPr="00A97B9C" w:rsidRDefault="00A76143" w:rsidP="00A97B9C">
            <w:pPr>
              <w:pStyle w:val="TableTextRight"/>
              <w:rPr>
                <w:b/>
                <w:bCs/>
              </w:rPr>
            </w:pPr>
            <w:r w:rsidRPr="00A97B9C">
              <w:rPr>
                <w:b/>
                <w:bCs/>
              </w:rPr>
              <w:t> 1</w:t>
            </w:r>
          </w:p>
        </w:tc>
      </w:tr>
      <w:tr w:rsidR="0048600D" w:rsidRPr="00F47A82" w14:paraId="5F732844" w14:textId="77777777" w:rsidTr="00A97B9C">
        <w:trPr>
          <w:cnfStyle w:val="000000010000" w:firstRow="0" w:lastRow="0" w:firstColumn="0" w:lastColumn="0" w:oddVBand="0" w:evenVBand="0" w:oddHBand="0" w:evenHBand="1" w:firstRowFirstColumn="0" w:firstRowLastColumn="0" w:lastRowFirstColumn="0" w:lastRowLastColumn="0"/>
          <w:trHeight w:val="138"/>
        </w:trPr>
        <w:tc>
          <w:tcPr>
            <w:tcW w:w="728" w:type="dxa"/>
            <w:tcMar>
              <w:top w:w="57" w:type="dxa"/>
              <w:bottom w:w="28" w:type="dxa"/>
            </w:tcMar>
            <w:vAlign w:val="bottom"/>
          </w:tcPr>
          <w:p w14:paraId="6E894ECD" w14:textId="2A3B8772" w:rsidR="00A76143" w:rsidRPr="00A97B9C" w:rsidRDefault="00A76143" w:rsidP="00625DAB">
            <w:pPr>
              <w:pStyle w:val="TableTextLeft"/>
            </w:pPr>
            <w:r w:rsidRPr="00A97B9C">
              <w:t>APS 3</w:t>
            </w:r>
          </w:p>
        </w:tc>
        <w:tc>
          <w:tcPr>
            <w:tcW w:w="728" w:type="dxa"/>
            <w:tcMar>
              <w:top w:w="57" w:type="dxa"/>
              <w:bottom w:w="28" w:type="dxa"/>
            </w:tcMar>
            <w:vAlign w:val="center"/>
          </w:tcPr>
          <w:p w14:paraId="3E0B82C1" w14:textId="481AA9E6" w:rsidR="00A76143" w:rsidRPr="00A97B9C" w:rsidRDefault="00A76143" w:rsidP="00A97B9C">
            <w:pPr>
              <w:pStyle w:val="TableTextRight"/>
            </w:pPr>
            <w:r w:rsidRPr="00A97B9C">
              <w:t>–</w:t>
            </w:r>
          </w:p>
        </w:tc>
        <w:tc>
          <w:tcPr>
            <w:tcW w:w="728" w:type="dxa"/>
            <w:tcMar>
              <w:top w:w="57" w:type="dxa"/>
              <w:bottom w:w="28" w:type="dxa"/>
            </w:tcMar>
            <w:vAlign w:val="center"/>
          </w:tcPr>
          <w:p w14:paraId="16847A2E" w14:textId="41F4C59B" w:rsidR="00A76143" w:rsidRPr="00A97B9C" w:rsidRDefault="00A76143" w:rsidP="00A97B9C">
            <w:pPr>
              <w:pStyle w:val="TableTextRight"/>
            </w:pPr>
            <w:r w:rsidRPr="00A97B9C">
              <w:t>–</w:t>
            </w:r>
          </w:p>
        </w:tc>
        <w:tc>
          <w:tcPr>
            <w:tcW w:w="728" w:type="dxa"/>
            <w:tcMar>
              <w:top w:w="57" w:type="dxa"/>
              <w:bottom w:w="28" w:type="dxa"/>
            </w:tcMar>
            <w:vAlign w:val="center"/>
          </w:tcPr>
          <w:p w14:paraId="1E05FB85" w14:textId="664D981C" w:rsidR="00A76143" w:rsidRPr="00A97B9C" w:rsidRDefault="00A76143" w:rsidP="00A97B9C">
            <w:pPr>
              <w:pStyle w:val="TableTextRight"/>
            </w:pPr>
            <w:r w:rsidRPr="00A97B9C">
              <w:t>–</w:t>
            </w:r>
          </w:p>
        </w:tc>
        <w:tc>
          <w:tcPr>
            <w:tcW w:w="728" w:type="dxa"/>
            <w:tcMar>
              <w:top w:w="57" w:type="dxa"/>
              <w:bottom w:w="28" w:type="dxa"/>
            </w:tcMar>
            <w:vAlign w:val="center"/>
          </w:tcPr>
          <w:p w14:paraId="456642D2" w14:textId="49D14AFB" w:rsidR="00A76143" w:rsidRPr="00A97B9C" w:rsidRDefault="00A76143" w:rsidP="00A97B9C">
            <w:pPr>
              <w:pStyle w:val="TableTextRight"/>
            </w:pPr>
            <w:r w:rsidRPr="00A97B9C">
              <w:t>–</w:t>
            </w:r>
          </w:p>
        </w:tc>
        <w:tc>
          <w:tcPr>
            <w:tcW w:w="728" w:type="dxa"/>
            <w:tcMar>
              <w:top w:w="57" w:type="dxa"/>
              <w:bottom w:w="28" w:type="dxa"/>
            </w:tcMar>
            <w:vAlign w:val="center"/>
          </w:tcPr>
          <w:p w14:paraId="5D7A9BC8" w14:textId="7D364CBB" w:rsidR="00A76143" w:rsidRPr="00A97B9C" w:rsidRDefault="00A76143" w:rsidP="00A97B9C">
            <w:pPr>
              <w:pStyle w:val="TableTextRight"/>
            </w:pPr>
            <w:r w:rsidRPr="00A97B9C">
              <w:t>–</w:t>
            </w:r>
          </w:p>
        </w:tc>
        <w:tc>
          <w:tcPr>
            <w:tcW w:w="729" w:type="dxa"/>
            <w:tcMar>
              <w:top w:w="57" w:type="dxa"/>
              <w:bottom w:w="28" w:type="dxa"/>
            </w:tcMar>
            <w:vAlign w:val="center"/>
          </w:tcPr>
          <w:p w14:paraId="1123CE8C" w14:textId="272AA210" w:rsidR="00A76143" w:rsidRPr="00A97B9C" w:rsidRDefault="00A76143" w:rsidP="00A97B9C">
            <w:pPr>
              <w:pStyle w:val="TableTextRight"/>
            </w:pPr>
            <w:r w:rsidRPr="00A97B9C">
              <w:t>–</w:t>
            </w:r>
          </w:p>
        </w:tc>
        <w:tc>
          <w:tcPr>
            <w:tcW w:w="729" w:type="dxa"/>
            <w:tcMar>
              <w:top w:w="57" w:type="dxa"/>
              <w:bottom w:w="28" w:type="dxa"/>
            </w:tcMar>
            <w:vAlign w:val="center"/>
          </w:tcPr>
          <w:p w14:paraId="13058E42" w14:textId="29980AAB" w:rsidR="00A76143" w:rsidRPr="00A97B9C" w:rsidRDefault="00A76143" w:rsidP="00A97B9C">
            <w:pPr>
              <w:pStyle w:val="TableTextRight"/>
            </w:pPr>
            <w:r w:rsidRPr="00A97B9C">
              <w:t>–</w:t>
            </w:r>
          </w:p>
        </w:tc>
        <w:tc>
          <w:tcPr>
            <w:tcW w:w="729" w:type="dxa"/>
            <w:tcMar>
              <w:top w:w="57" w:type="dxa"/>
              <w:bottom w:w="28" w:type="dxa"/>
            </w:tcMar>
            <w:vAlign w:val="center"/>
          </w:tcPr>
          <w:p w14:paraId="61DEE6EB" w14:textId="48DE0734" w:rsidR="00A76143" w:rsidRPr="00A97B9C" w:rsidRDefault="00A76143" w:rsidP="00A97B9C">
            <w:pPr>
              <w:pStyle w:val="TableTextRight"/>
            </w:pPr>
            <w:r w:rsidRPr="00A97B9C">
              <w:t>–</w:t>
            </w:r>
          </w:p>
        </w:tc>
        <w:tc>
          <w:tcPr>
            <w:tcW w:w="729" w:type="dxa"/>
            <w:tcMar>
              <w:top w:w="57" w:type="dxa"/>
              <w:bottom w:w="28" w:type="dxa"/>
            </w:tcMar>
            <w:vAlign w:val="center"/>
          </w:tcPr>
          <w:p w14:paraId="622714EA" w14:textId="08C741DE" w:rsidR="00A76143" w:rsidRPr="00A97B9C" w:rsidRDefault="00A76143" w:rsidP="00A97B9C">
            <w:pPr>
              <w:pStyle w:val="TableTextRight"/>
            </w:pPr>
            <w:r w:rsidRPr="00A97B9C">
              <w:t>–</w:t>
            </w:r>
          </w:p>
        </w:tc>
        <w:tc>
          <w:tcPr>
            <w:tcW w:w="729" w:type="dxa"/>
            <w:tcMar>
              <w:top w:w="57" w:type="dxa"/>
              <w:bottom w:w="28" w:type="dxa"/>
            </w:tcMar>
            <w:vAlign w:val="center"/>
          </w:tcPr>
          <w:p w14:paraId="74ACB47A" w14:textId="5F368B4F" w:rsidR="00A76143" w:rsidRPr="00A97B9C" w:rsidRDefault="00A76143" w:rsidP="00A97B9C">
            <w:pPr>
              <w:pStyle w:val="TableTextRight"/>
            </w:pPr>
            <w:r w:rsidRPr="00A97B9C">
              <w:t>–</w:t>
            </w:r>
          </w:p>
        </w:tc>
        <w:tc>
          <w:tcPr>
            <w:tcW w:w="729" w:type="dxa"/>
            <w:tcMar>
              <w:top w:w="57" w:type="dxa"/>
              <w:bottom w:w="28" w:type="dxa"/>
            </w:tcMar>
            <w:vAlign w:val="center"/>
          </w:tcPr>
          <w:p w14:paraId="3EF588AC" w14:textId="4A8B2F3D" w:rsidR="00A76143" w:rsidRPr="00A97B9C" w:rsidRDefault="00A76143" w:rsidP="00A97B9C">
            <w:pPr>
              <w:pStyle w:val="TableTextRight"/>
            </w:pPr>
            <w:r w:rsidRPr="00A97B9C">
              <w:t>–</w:t>
            </w:r>
          </w:p>
        </w:tc>
        <w:tc>
          <w:tcPr>
            <w:tcW w:w="729" w:type="dxa"/>
            <w:tcMar>
              <w:top w:w="57" w:type="dxa"/>
              <w:bottom w:w="28" w:type="dxa"/>
            </w:tcMar>
            <w:vAlign w:val="center"/>
          </w:tcPr>
          <w:p w14:paraId="774DE8C2" w14:textId="58A01352" w:rsidR="00A76143" w:rsidRPr="00A97B9C" w:rsidRDefault="00A76143" w:rsidP="00A97B9C">
            <w:pPr>
              <w:pStyle w:val="TableTextRight"/>
            </w:pPr>
            <w:r w:rsidRPr="00A97B9C">
              <w:t>–</w:t>
            </w:r>
          </w:p>
        </w:tc>
        <w:tc>
          <w:tcPr>
            <w:tcW w:w="729" w:type="dxa"/>
            <w:tcMar>
              <w:top w:w="57" w:type="dxa"/>
              <w:bottom w:w="28" w:type="dxa"/>
            </w:tcMar>
            <w:vAlign w:val="center"/>
          </w:tcPr>
          <w:p w14:paraId="3514F8CA" w14:textId="10121AAA" w:rsidR="00A76143" w:rsidRPr="00A97B9C" w:rsidRDefault="00A76143" w:rsidP="00A97B9C">
            <w:pPr>
              <w:pStyle w:val="TableTextRight"/>
            </w:pPr>
            <w:r w:rsidRPr="00A97B9C">
              <w:t>–</w:t>
            </w:r>
          </w:p>
        </w:tc>
        <w:tc>
          <w:tcPr>
            <w:tcW w:w="729" w:type="dxa"/>
            <w:tcMar>
              <w:top w:w="57" w:type="dxa"/>
              <w:bottom w:w="28" w:type="dxa"/>
            </w:tcMar>
            <w:vAlign w:val="center"/>
          </w:tcPr>
          <w:p w14:paraId="3494EBEA" w14:textId="2195B87D" w:rsidR="00A76143" w:rsidRPr="00A97B9C" w:rsidRDefault="00A76143" w:rsidP="00A97B9C">
            <w:pPr>
              <w:pStyle w:val="TableTextRight"/>
            </w:pPr>
            <w:r w:rsidRPr="00A97B9C">
              <w:t>–</w:t>
            </w:r>
          </w:p>
        </w:tc>
        <w:tc>
          <w:tcPr>
            <w:tcW w:w="729" w:type="dxa"/>
            <w:tcMar>
              <w:top w:w="57" w:type="dxa"/>
              <w:bottom w:w="28" w:type="dxa"/>
            </w:tcMar>
            <w:vAlign w:val="center"/>
          </w:tcPr>
          <w:p w14:paraId="14BA0A06" w14:textId="07D346E4" w:rsidR="00A76143" w:rsidRPr="00A97B9C" w:rsidRDefault="00A76143" w:rsidP="00A97B9C">
            <w:pPr>
              <w:pStyle w:val="TableTextRight"/>
            </w:pPr>
            <w:r w:rsidRPr="00A97B9C">
              <w:t>–</w:t>
            </w:r>
          </w:p>
        </w:tc>
        <w:tc>
          <w:tcPr>
            <w:tcW w:w="729" w:type="dxa"/>
            <w:tcMar>
              <w:top w:w="57" w:type="dxa"/>
              <w:bottom w:w="28" w:type="dxa"/>
            </w:tcMar>
            <w:vAlign w:val="center"/>
          </w:tcPr>
          <w:p w14:paraId="45C371F7" w14:textId="4F534423" w:rsidR="00A76143" w:rsidRPr="00A97B9C" w:rsidRDefault="00A76143" w:rsidP="00A97B9C">
            <w:pPr>
              <w:pStyle w:val="TableTextRight"/>
              <w:rPr>
                <w:b/>
                <w:bCs/>
              </w:rPr>
            </w:pPr>
            <w:r w:rsidRPr="00A97B9C">
              <w:rPr>
                <w:b/>
                <w:bCs/>
              </w:rPr>
              <w:t>–</w:t>
            </w:r>
          </w:p>
        </w:tc>
      </w:tr>
      <w:tr w:rsidR="00A76143" w:rsidRPr="00DF31C0" w14:paraId="2835BE8E" w14:textId="77777777" w:rsidTr="00A97B9C">
        <w:trPr>
          <w:trHeight w:val="45"/>
        </w:trPr>
        <w:tc>
          <w:tcPr>
            <w:tcW w:w="728" w:type="dxa"/>
            <w:tcMar>
              <w:top w:w="57" w:type="dxa"/>
              <w:bottom w:w="28" w:type="dxa"/>
            </w:tcMar>
            <w:vAlign w:val="bottom"/>
          </w:tcPr>
          <w:p w14:paraId="61A15A9F" w14:textId="0B1B184C" w:rsidR="00A76143" w:rsidRPr="00A97B9C" w:rsidRDefault="00A76143" w:rsidP="00625DAB">
            <w:pPr>
              <w:pStyle w:val="TableTextLeft"/>
            </w:pPr>
            <w:r w:rsidRPr="00A97B9C">
              <w:t>APS 2</w:t>
            </w:r>
          </w:p>
        </w:tc>
        <w:tc>
          <w:tcPr>
            <w:tcW w:w="728" w:type="dxa"/>
            <w:tcMar>
              <w:top w:w="57" w:type="dxa"/>
              <w:bottom w:w="28" w:type="dxa"/>
            </w:tcMar>
            <w:vAlign w:val="center"/>
          </w:tcPr>
          <w:p w14:paraId="5A6631FB" w14:textId="4869CC1B" w:rsidR="00A76143" w:rsidRPr="00A97B9C" w:rsidRDefault="00A76143" w:rsidP="00A97B9C">
            <w:pPr>
              <w:pStyle w:val="TableTextRight"/>
            </w:pPr>
            <w:r w:rsidRPr="00A97B9C">
              <w:t>–</w:t>
            </w:r>
          </w:p>
        </w:tc>
        <w:tc>
          <w:tcPr>
            <w:tcW w:w="728" w:type="dxa"/>
            <w:tcMar>
              <w:top w:w="57" w:type="dxa"/>
              <w:bottom w:w="28" w:type="dxa"/>
            </w:tcMar>
            <w:vAlign w:val="center"/>
          </w:tcPr>
          <w:p w14:paraId="5BE73F88" w14:textId="1DC7F609" w:rsidR="00A76143" w:rsidRPr="00A97B9C" w:rsidRDefault="00A76143" w:rsidP="00A97B9C">
            <w:pPr>
              <w:pStyle w:val="TableTextRight"/>
            </w:pPr>
            <w:r w:rsidRPr="00A97B9C">
              <w:t>–</w:t>
            </w:r>
          </w:p>
        </w:tc>
        <w:tc>
          <w:tcPr>
            <w:tcW w:w="728" w:type="dxa"/>
            <w:tcMar>
              <w:top w:w="57" w:type="dxa"/>
              <w:bottom w:w="28" w:type="dxa"/>
            </w:tcMar>
            <w:vAlign w:val="center"/>
          </w:tcPr>
          <w:p w14:paraId="6C16719A" w14:textId="1B368306" w:rsidR="00A76143" w:rsidRPr="00A97B9C" w:rsidRDefault="00A76143" w:rsidP="00A97B9C">
            <w:pPr>
              <w:pStyle w:val="TableTextRight"/>
            </w:pPr>
            <w:r w:rsidRPr="00A97B9C">
              <w:t>–</w:t>
            </w:r>
          </w:p>
        </w:tc>
        <w:tc>
          <w:tcPr>
            <w:tcW w:w="728" w:type="dxa"/>
            <w:tcMar>
              <w:top w:w="57" w:type="dxa"/>
              <w:bottom w:w="28" w:type="dxa"/>
            </w:tcMar>
            <w:vAlign w:val="center"/>
          </w:tcPr>
          <w:p w14:paraId="717E0605" w14:textId="154D4929" w:rsidR="00A76143" w:rsidRPr="00A97B9C" w:rsidRDefault="00A76143" w:rsidP="00A97B9C">
            <w:pPr>
              <w:pStyle w:val="TableTextRight"/>
            </w:pPr>
            <w:r w:rsidRPr="00A97B9C">
              <w:t>–</w:t>
            </w:r>
          </w:p>
        </w:tc>
        <w:tc>
          <w:tcPr>
            <w:tcW w:w="728" w:type="dxa"/>
            <w:tcMar>
              <w:top w:w="57" w:type="dxa"/>
              <w:bottom w:w="28" w:type="dxa"/>
            </w:tcMar>
            <w:vAlign w:val="center"/>
          </w:tcPr>
          <w:p w14:paraId="17AB3BB6" w14:textId="50FC646A" w:rsidR="00A76143" w:rsidRPr="00A97B9C" w:rsidRDefault="00A76143" w:rsidP="00A97B9C">
            <w:pPr>
              <w:pStyle w:val="TableTextRight"/>
            </w:pPr>
            <w:r w:rsidRPr="00A97B9C">
              <w:t>–</w:t>
            </w:r>
          </w:p>
        </w:tc>
        <w:tc>
          <w:tcPr>
            <w:tcW w:w="729" w:type="dxa"/>
            <w:tcMar>
              <w:top w:w="57" w:type="dxa"/>
              <w:bottom w:w="28" w:type="dxa"/>
            </w:tcMar>
            <w:vAlign w:val="center"/>
          </w:tcPr>
          <w:p w14:paraId="55B2B763" w14:textId="7DA50B06" w:rsidR="00A76143" w:rsidRPr="00A97B9C" w:rsidRDefault="00A76143" w:rsidP="00A97B9C">
            <w:pPr>
              <w:pStyle w:val="TableTextRight"/>
            </w:pPr>
            <w:r w:rsidRPr="00A97B9C">
              <w:t>–</w:t>
            </w:r>
          </w:p>
        </w:tc>
        <w:tc>
          <w:tcPr>
            <w:tcW w:w="729" w:type="dxa"/>
            <w:tcMar>
              <w:top w:w="57" w:type="dxa"/>
              <w:bottom w:w="28" w:type="dxa"/>
            </w:tcMar>
            <w:vAlign w:val="center"/>
          </w:tcPr>
          <w:p w14:paraId="3A235D8A" w14:textId="3FA4E130" w:rsidR="00A76143" w:rsidRPr="00A97B9C" w:rsidRDefault="00A76143" w:rsidP="00A97B9C">
            <w:pPr>
              <w:pStyle w:val="TableTextRight"/>
            </w:pPr>
            <w:r w:rsidRPr="00A97B9C">
              <w:t>–</w:t>
            </w:r>
          </w:p>
        </w:tc>
        <w:tc>
          <w:tcPr>
            <w:tcW w:w="729" w:type="dxa"/>
            <w:tcMar>
              <w:top w:w="57" w:type="dxa"/>
              <w:bottom w:w="28" w:type="dxa"/>
            </w:tcMar>
            <w:vAlign w:val="center"/>
          </w:tcPr>
          <w:p w14:paraId="6D84F0CB" w14:textId="335FB997" w:rsidR="00A76143" w:rsidRPr="00A97B9C" w:rsidRDefault="00A76143" w:rsidP="00A97B9C">
            <w:pPr>
              <w:pStyle w:val="TableTextRight"/>
            </w:pPr>
            <w:r w:rsidRPr="00A97B9C">
              <w:t>–</w:t>
            </w:r>
          </w:p>
        </w:tc>
        <w:tc>
          <w:tcPr>
            <w:tcW w:w="729" w:type="dxa"/>
            <w:tcMar>
              <w:top w:w="57" w:type="dxa"/>
              <w:bottom w:w="28" w:type="dxa"/>
            </w:tcMar>
            <w:vAlign w:val="center"/>
          </w:tcPr>
          <w:p w14:paraId="45B3C5A1" w14:textId="7A5FB6CF" w:rsidR="00A76143" w:rsidRPr="00A97B9C" w:rsidRDefault="00A76143" w:rsidP="00A97B9C">
            <w:pPr>
              <w:pStyle w:val="TableTextRight"/>
            </w:pPr>
            <w:r w:rsidRPr="00A97B9C">
              <w:t>–</w:t>
            </w:r>
          </w:p>
        </w:tc>
        <w:tc>
          <w:tcPr>
            <w:tcW w:w="729" w:type="dxa"/>
            <w:tcMar>
              <w:top w:w="57" w:type="dxa"/>
              <w:bottom w:w="28" w:type="dxa"/>
            </w:tcMar>
            <w:vAlign w:val="center"/>
          </w:tcPr>
          <w:p w14:paraId="099D42A3" w14:textId="44F5250D" w:rsidR="00A76143" w:rsidRPr="00A97B9C" w:rsidRDefault="00A76143" w:rsidP="00A97B9C">
            <w:pPr>
              <w:pStyle w:val="TableTextRight"/>
            </w:pPr>
            <w:r w:rsidRPr="00A97B9C">
              <w:t>–</w:t>
            </w:r>
          </w:p>
        </w:tc>
        <w:tc>
          <w:tcPr>
            <w:tcW w:w="729" w:type="dxa"/>
            <w:tcMar>
              <w:top w:w="57" w:type="dxa"/>
              <w:bottom w:w="28" w:type="dxa"/>
            </w:tcMar>
            <w:vAlign w:val="center"/>
          </w:tcPr>
          <w:p w14:paraId="4EF406A1" w14:textId="0B9B3553" w:rsidR="00A76143" w:rsidRPr="00A97B9C" w:rsidRDefault="00A76143" w:rsidP="00A97B9C">
            <w:pPr>
              <w:pStyle w:val="TableTextRight"/>
            </w:pPr>
            <w:r w:rsidRPr="00A97B9C">
              <w:t>–</w:t>
            </w:r>
          </w:p>
        </w:tc>
        <w:tc>
          <w:tcPr>
            <w:tcW w:w="729" w:type="dxa"/>
            <w:tcMar>
              <w:top w:w="57" w:type="dxa"/>
              <w:bottom w:w="28" w:type="dxa"/>
            </w:tcMar>
            <w:vAlign w:val="center"/>
          </w:tcPr>
          <w:p w14:paraId="34429CC8" w14:textId="5C595D35" w:rsidR="00A76143" w:rsidRPr="00A97B9C" w:rsidRDefault="00A76143" w:rsidP="00A97B9C">
            <w:pPr>
              <w:pStyle w:val="TableTextRight"/>
            </w:pPr>
            <w:r w:rsidRPr="00A97B9C">
              <w:t>–</w:t>
            </w:r>
          </w:p>
        </w:tc>
        <w:tc>
          <w:tcPr>
            <w:tcW w:w="729" w:type="dxa"/>
            <w:tcMar>
              <w:top w:w="57" w:type="dxa"/>
              <w:bottom w:w="28" w:type="dxa"/>
            </w:tcMar>
            <w:vAlign w:val="center"/>
          </w:tcPr>
          <w:p w14:paraId="30C1E751" w14:textId="6B59B2F6" w:rsidR="00A76143" w:rsidRPr="00A97B9C" w:rsidRDefault="00A76143" w:rsidP="00A97B9C">
            <w:pPr>
              <w:pStyle w:val="TableTextRight"/>
            </w:pPr>
            <w:r w:rsidRPr="00A97B9C">
              <w:t>–</w:t>
            </w:r>
          </w:p>
        </w:tc>
        <w:tc>
          <w:tcPr>
            <w:tcW w:w="729" w:type="dxa"/>
            <w:tcMar>
              <w:top w:w="57" w:type="dxa"/>
              <w:bottom w:w="28" w:type="dxa"/>
            </w:tcMar>
            <w:vAlign w:val="center"/>
          </w:tcPr>
          <w:p w14:paraId="33BDF4D2" w14:textId="6B33791B" w:rsidR="00A76143" w:rsidRPr="00A97B9C" w:rsidRDefault="00A76143" w:rsidP="00A97B9C">
            <w:pPr>
              <w:pStyle w:val="TableTextRight"/>
            </w:pPr>
            <w:r w:rsidRPr="00A97B9C">
              <w:t>–</w:t>
            </w:r>
          </w:p>
        </w:tc>
        <w:tc>
          <w:tcPr>
            <w:tcW w:w="729" w:type="dxa"/>
            <w:tcMar>
              <w:top w:w="57" w:type="dxa"/>
              <w:bottom w:w="28" w:type="dxa"/>
            </w:tcMar>
            <w:vAlign w:val="center"/>
          </w:tcPr>
          <w:p w14:paraId="1C5A50D8" w14:textId="30B9F6D2" w:rsidR="00A76143" w:rsidRPr="00A97B9C" w:rsidRDefault="00A76143" w:rsidP="00A97B9C">
            <w:pPr>
              <w:pStyle w:val="TableTextRight"/>
            </w:pPr>
            <w:r w:rsidRPr="00A97B9C">
              <w:t>–</w:t>
            </w:r>
          </w:p>
        </w:tc>
        <w:tc>
          <w:tcPr>
            <w:tcW w:w="729" w:type="dxa"/>
            <w:tcMar>
              <w:top w:w="57" w:type="dxa"/>
              <w:bottom w:w="28" w:type="dxa"/>
            </w:tcMar>
            <w:vAlign w:val="center"/>
          </w:tcPr>
          <w:p w14:paraId="0A27D8B0" w14:textId="693EB36C" w:rsidR="00A76143" w:rsidRPr="00A97B9C" w:rsidRDefault="00A76143" w:rsidP="00A97B9C">
            <w:pPr>
              <w:pStyle w:val="TableTextRight"/>
              <w:rPr>
                <w:b/>
                <w:bCs/>
              </w:rPr>
            </w:pPr>
            <w:r w:rsidRPr="00A97B9C">
              <w:rPr>
                <w:b/>
                <w:bCs/>
              </w:rPr>
              <w:t>–</w:t>
            </w:r>
          </w:p>
        </w:tc>
      </w:tr>
      <w:tr w:rsidR="0048600D" w:rsidRPr="00F47A82" w14:paraId="77C4618B" w14:textId="77777777" w:rsidTr="00A97B9C">
        <w:trPr>
          <w:cnfStyle w:val="000000010000" w:firstRow="0" w:lastRow="0" w:firstColumn="0" w:lastColumn="0" w:oddVBand="0" w:evenVBand="0" w:oddHBand="0" w:evenHBand="1" w:firstRowFirstColumn="0" w:firstRowLastColumn="0" w:lastRowFirstColumn="0" w:lastRowLastColumn="0"/>
          <w:trHeight w:val="92"/>
        </w:trPr>
        <w:tc>
          <w:tcPr>
            <w:tcW w:w="728" w:type="dxa"/>
            <w:tcMar>
              <w:top w:w="57" w:type="dxa"/>
              <w:bottom w:w="28" w:type="dxa"/>
            </w:tcMar>
            <w:vAlign w:val="bottom"/>
          </w:tcPr>
          <w:p w14:paraId="60568986" w14:textId="67B7A029" w:rsidR="00A76143" w:rsidRPr="00A97B9C" w:rsidRDefault="00A76143" w:rsidP="00625DAB">
            <w:pPr>
              <w:pStyle w:val="TableTextLeft"/>
            </w:pPr>
            <w:r w:rsidRPr="00A97B9C">
              <w:t>APS 1</w:t>
            </w:r>
          </w:p>
        </w:tc>
        <w:tc>
          <w:tcPr>
            <w:tcW w:w="728" w:type="dxa"/>
            <w:tcMar>
              <w:top w:w="57" w:type="dxa"/>
              <w:bottom w:w="28" w:type="dxa"/>
            </w:tcMar>
            <w:vAlign w:val="center"/>
          </w:tcPr>
          <w:p w14:paraId="1269715A" w14:textId="25762DF9" w:rsidR="00A76143" w:rsidRPr="00A97B9C" w:rsidRDefault="00A76143" w:rsidP="00A97B9C">
            <w:pPr>
              <w:pStyle w:val="TableTextRight"/>
            </w:pPr>
            <w:r w:rsidRPr="00A97B9C">
              <w:t>–</w:t>
            </w:r>
          </w:p>
        </w:tc>
        <w:tc>
          <w:tcPr>
            <w:tcW w:w="728" w:type="dxa"/>
            <w:tcMar>
              <w:top w:w="57" w:type="dxa"/>
              <w:bottom w:w="28" w:type="dxa"/>
            </w:tcMar>
            <w:vAlign w:val="center"/>
          </w:tcPr>
          <w:p w14:paraId="74DD7F2D" w14:textId="41CE66F9" w:rsidR="00A76143" w:rsidRPr="00A97B9C" w:rsidRDefault="00A76143" w:rsidP="00A97B9C">
            <w:pPr>
              <w:pStyle w:val="TableTextRight"/>
            </w:pPr>
            <w:r w:rsidRPr="00A97B9C">
              <w:t>–</w:t>
            </w:r>
          </w:p>
        </w:tc>
        <w:tc>
          <w:tcPr>
            <w:tcW w:w="728" w:type="dxa"/>
            <w:tcMar>
              <w:top w:w="57" w:type="dxa"/>
              <w:bottom w:w="28" w:type="dxa"/>
            </w:tcMar>
            <w:vAlign w:val="center"/>
          </w:tcPr>
          <w:p w14:paraId="0731F3C8" w14:textId="26513D2B" w:rsidR="00A76143" w:rsidRPr="00A97B9C" w:rsidRDefault="00A76143" w:rsidP="00A97B9C">
            <w:pPr>
              <w:pStyle w:val="TableTextRight"/>
            </w:pPr>
            <w:r w:rsidRPr="00A97B9C">
              <w:t>–</w:t>
            </w:r>
          </w:p>
        </w:tc>
        <w:tc>
          <w:tcPr>
            <w:tcW w:w="728" w:type="dxa"/>
            <w:tcMar>
              <w:top w:w="57" w:type="dxa"/>
              <w:bottom w:w="28" w:type="dxa"/>
            </w:tcMar>
            <w:vAlign w:val="center"/>
          </w:tcPr>
          <w:p w14:paraId="62554B80" w14:textId="15A464E1" w:rsidR="00A76143" w:rsidRPr="00A97B9C" w:rsidRDefault="00A76143" w:rsidP="00A97B9C">
            <w:pPr>
              <w:pStyle w:val="TableTextRight"/>
            </w:pPr>
            <w:r w:rsidRPr="00A97B9C">
              <w:t>–</w:t>
            </w:r>
          </w:p>
        </w:tc>
        <w:tc>
          <w:tcPr>
            <w:tcW w:w="728" w:type="dxa"/>
            <w:tcMar>
              <w:top w:w="57" w:type="dxa"/>
              <w:bottom w:w="28" w:type="dxa"/>
            </w:tcMar>
            <w:vAlign w:val="center"/>
          </w:tcPr>
          <w:p w14:paraId="7261AE0E" w14:textId="5EBEBF70" w:rsidR="00A76143" w:rsidRPr="00A97B9C" w:rsidRDefault="00A76143" w:rsidP="00A97B9C">
            <w:pPr>
              <w:pStyle w:val="TableTextRight"/>
            </w:pPr>
            <w:r w:rsidRPr="00A97B9C">
              <w:t>–</w:t>
            </w:r>
          </w:p>
        </w:tc>
        <w:tc>
          <w:tcPr>
            <w:tcW w:w="729" w:type="dxa"/>
            <w:tcMar>
              <w:top w:w="57" w:type="dxa"/>
              <w:bottom w:w="28" w:type="dxa"/>
            </w:tcMar>
            <w:vAlign w:val="center"/>
          </w:tcPr>
          <w:p w14:paraId="382F3DFC" w14:textId="56C31243" w:rsidR="00A76143" w:rsidRPr="00A97B9C" w:rsidRDefault="00A76143" w:rsidP="00A97B9C">
            <w:pPr>
              <w:pStyle w:val="TableTextRight"/>
            </w:pPr>
            <w:r w:rsidRPr="00A97B9C">
              <w:t>–</w:t>
            </w:r>
          </w:p>
        </w:tc>
        <w:tc>
          <w:tcPr>
            <w:tcW w:w="729" w:type="dxa"/>
            <w:tcMar>
              <w:top w:w="57" w:type="dxa"/>
              <w:bottom w:w="28" w:type="dxa"/>
            </w:tcMar>
            <w:vAlign w:val="center"/>
          </w:tcPr>
          <w:p w14:paraId="7C1DD603" w14:textId="14A087BB" w:rsidR="00A76143" w:rsidRPr="00A97B9C" w:rsidRDefault="00A76143" w:rsidP="00A97B9C">
            <w:pPr>
              <w:pStyle w:val="TableTextRight"/>
            </w:pPr>
            <w:r w:rsidRPr="00A97B9C">
              <w:t>–</w:t>
            </w:r>
          </w:p>
        </w:tc>
        <w:tc>
          <w:tcPr>
            <w:tcW w:w="729" w:type="dxa"/>
            <w:tcMar>
              <w:top w:w="57" w:type="dxa"/>
              <w:bottom w:w="28" w:type="dxa"/>
            </w:tcMar>
            <w:vAlign w:val="center"/>
          </w:tcPr>
          <w:p w14:paraId="58EBE3A9" w14:textId="6D83E048" w:rsidR="00A76143" w:rsidRPr="00A97B9C" w:rsidRDefault="00A76143" w:rsidP="00A97B9C">
            <w:pPr>
              <w:pStyle w:val="TableTextRight"/>
            </w:pPr>
            <w:r w:rsidRPr="00A97B9C">
              <w:t>–</w:t>
            </w:r>
          </w:p>
        </w:tc>
        <w:tc>
          <w:tcPr>
            <w:tcW w:w="729" w:type="dxa"/>
            <w:tcMar>
              <w:top w:w="57" w:type="dxa"/>
              <w:bottom w:w="28" w:type="dxa"/>
            </w:tcMar>
            <w:vAlign w:val="center"/>
          </w:tcPr>
          <w:p w14:paraId="4F3D9CD4" w14:textId="774011B4" w:rsidR="00A76143" w:rsidRPr="00A97B9C" w:rsidRDefault="00A76143" w:rsidP="00A97B9C">
            <w:pPr>
              <w:pStyle w:val="TableTextRight"/>
            </w:pPr>
            <w:r w:rsidRPr="00A97B9C">
              <w:t>–</w:t>
            </w:r>
          </w:p>
        </w:tc>
        <w:tc>
          <w:tcPr>
            <w:tcW w:w="729" w:type="dxa"/>
            <w:tcMar>
              <w:top w:w="57" w:type="dxa"/>
              <w:bottom w:w="28" w:type="dxa"/>
            </w:tcMar>
            <w:vAlign w:val="center"/>
          </w:tcPr>
          <w:p w14:paraId="103096C4" w14:textId="6FF427CA" w:rsidR="00A76143" w:rsidRPr="00A97B9C" w:rsidRDefault="00A76143" w:rsidP="00A97B9C">
            <w:pPr>
              <w:pStyle w:val="TableTextRight"/>
            </w:pPr>
            <w:r w:rsidRPr="00A97B9C">
              <w:t>–</w:t>
            </w:r>
          </w:p>
        </w:tc>
        <w:tc>
          <w:tcPr>
            <w:tcW w:w="729" w:type="dxa"/>
            <w:tcMar>
              <w:top w:w="57" w:type="dxa"/>
              <w:bottom w:w="28" w:type="dxa"/>
            </w:tcMar>
            <w:vAlign w:val="center"/>
          </w:tcPr>
          <w:p w14:paraId="0D272B53" w14:textId="04A764E6" w:rsidR="00A76143" w:rsidRPr="00A97B9C" w:rsidRDefault="00A76143" w:rsidP="00A97B9C">
            <w:pPr>
              <w:pStyle w:val="TableTextRight"/>
            </w:pPr>
            <w:r w:rsidRPr="00A97B9C">
              <w:t>–</w:t>
            </w:r>
          </w:p>
        </w:tc>
        <w:tc>
          <w:tcPr>
            <w:tcW w:w="729" w:type="dxa"/>
            <w:tcMar>
              <w:top w:w="57" w:type="dxa"/>
              <w:bottom w:w="28" w:type="dxa"/>
            </w:tcMar>
            <w:vAlign w:val="center"/>
          </w:tcPr>
          <w:p w14:paraId="1CA9732E" w14:textId="24D6906A" w:rsidR="00A76143" w:rsidRPr="00A97B9C" w:rsidRDefault="00A76143" w:rsidP="00A97B9C">
            <w:pPr>
              <w:pStyle w:val="TableTextRight"/>
            </w:pPr>
            <w:r w:rsidRPr="00A97B9C">
              <w:t>–</w:t>
            </w:r>
          </w:p>
        </w:tc>
        <w:tc>
          <w:tcPr>
            <w:tcW w:w="729" w:type="dxa"/>
            <w:tcMar>
              <w:top w:w="57" w:type="dxa"/>
              <w:bottom w:w="28" w:type="dxa"/>
            </w:tcMar>
            <w:vAlign w:val="center"/>
          </w:tcPr>
          <w:p w14:paraId="64D7B044" w14:textId="566F0993" w:rsidR="00A76143" w:rsidRPr="00A97B9C" w:rsidRDefault="00A76143" w:rsidP="00A97B9C">
            <w:pPr>
              <w:pStyle w:val="TableTextRight"/>
            </w:pPr>
            <w:r w:rsidRPr="00A97B9C">
              <w:t>–</w:t>
            </w:r>
          </w:p>
        </w:tc>
        <w:tc>
          <w:tcPr>
            <w:tcW w:w="729" w:type="dxa"/>
            <w:tcMar>
              <w:top w:w="57" w:type="dxa"/>
              <w:bottom w:w="28" w:type="dxa"/>
            </w:tcMar>
            <w:vAlign w:val="center"/>
          </w:tcPr>
          <w:p w14:paraId="0802D8D2" w14:textId="7CCF28C9" w:rsidR="00A76143" w:rsidRPr="00A97B9C" w:rsidRDefault="00A76143" w:rsidP="00A97B9C">
            <w:pPr>
              <w:pStyle w:val="TableTextRight"/>
            </w:pPr>
            <w:r w:rsidRPr="00A97B9C">
              <w:t>–</w:t>
            </w:r>
          </w:p>
        </w:tc>
        <w:tc>
          <w:tcPr>
            <w:tcW w:w="729" w:type="dxa"/>
            <w:tcMar>
              <w:top w:w="57" w:type="dxa"/>
              <w:bottom w:w="28" w:type="dxa"/>
            </w:tcMar>
            <w:vAlign w:val="center"/>
          </w:tcPr>
          <w:p w14:paraId="5A1C412E" w14:textId="325CA5CD" w:rsidR="00A76143" w:rsidRPr="00A97B9C" w:rsidRDefault="00A76143" w:rsidP="00A97B9C">
            <w:pPr>
              <w:pStyle w:val="TableTextRight"/>
            </w:pPr>
            <w:r w:rsidRPr="00A97B9C">
              <w:t>–</w:t>
            </w:r>
          </w:p>
        </w:tc>
        <w:tc>
          <w:tcPr>
            <w:tcW w:w="729" w:type="dxa"/>
            <w:tcMar>
              <w:top w:w="57" w:type="dxa"/>
              <w:bottom w:w="28" w:type="dxa"/>
            </w:tcMar>
            <w:vAlign w:val="center"/>
          </w:tcPr>
          <w:p w14:paraId="313A9341" w14:textId="275169D7" w:rsidR="00A76143" w:rsidRPr="00A97B9C" w:rsidRDefault="00A76143" w:rsidP="00A97B9C">
            <w:pPr>
              <w:pStyle w:val="TableTextRight"/>
              <w:rPr>
                <w:b/>
                <w:bCs/>
              </w:rPr>
            </w:pPr>
            <w:r w:rsidRPr="00A97B9C">
              <w:rPr>
                <w:b/>
                <w:bCs/>
              </w:rPr>
              <w:t>–</w:t>
            </w:r>
          </w:p>
        </w:tc>
      </w:tr>
      <w:tr w:rsidR="00A76143" w:rsidRPr="00DF31C0" w14:paraId="71D3A95C" w14:textId="77777777" w:rsidTr="00A97B9C">
        <w:trPr>
          <w:trHeight w:val="140"/>
        </w:trPr>
        <w:tc>
          <w:tcPr>
            <w:tcW w:w="728" w:type="dxa"/>
            <w:tcMar>
              <w:top w:w="57" w:type="dxa"/>
              <w:bottom w:w="28" w:type="dxa"/>
            </w:tcMar>
            <w:vAlign w:val="bottom"/>
          </w:tcPr>
          <w:p w14:paraId="75D79536" w14:textId="7779C566" w:rsidR="00A76143" w:rsidRPr="00A97B9C" w:rsidRDefault="00A76143" w:rsidP="00625DAB">
            <w:pPr>
              <w:pStyle w:val="TableTextLeft"/>
            </w:pPr>
            <w:r w:rsidRPr="00A97B9C">
              <w:t xml:space="preserve">Other </w:t>
            </w:r>
          </w:p>
        </w:tc>
        <w:tc>
          <w:tcPr>
            <w:tcW w:w="728" w:type="dxa"/>
            <w:tcMar>
              <w:top w:w="57" w:type="dxa"/>
              <w:bottom w:w="28" w:type="dxa"/>
            </w:tcMar>
            <w:vAlign w:val="center"/>
          </w:tcPr>
          <w:p w14:paraId="617771DA" w14:textId="795611B4" w:rsidR="00A76143" w:rsidRPr="00A97B9C" w:rsidRDefault="00A76143" w:rsidP="00A97B9C">
            <w:pPr>
              <w:pStyle w:val="TableTextRight"/>
            </w:pPr>
            <w:r w:rsidRPr="00A97B9C">
              <w:t>–</w:t>
            </w:r>
          </w:p>
        </w:tc>
        <w:tc>
          <w:tcPr>
            <w:tcW w:w="728" w:type="dxa"/>
            <w:tcMar>
              <w:top w:w="57" w:type="dxa"/>
              <w:bottom w:w="28" w:type="dxa"/>
            </w:tcMar>
            <w:vAlign w:val="center"/>
          </w:tcPr>
          <w:p w14:paraId="269CDA1A" w14:textId="75F213DC" w:rsidR="00A76143" w:rsidRPr="00A97B9C" w:rsidRDefault="00A76143" w:rsidP="00A97B9C">
            <w:pPr>
              <w:pStyle w:val="TableTextRight"/>
            </w:pPr>
            <w:r w:rsidRPr="00A97B9C">
              <w:t>–</w:t>
            </w:r>
          </w:p>
        </w:tc>
        <w:tc>
          <w:tcPr>
            <w:tcW w:w="728" w:type="dxa"/>
            <w:tcMar>
              <w:top w:w="57" w:type="dxa"/>
              <w:bottom w:w="28" w:type="dxa"/>
            </w:tcMar>
            <w:vAlign w:val="center"/>
          </w:tcPr>
          <w:p w14:paraId="02E46438" w14:textId="62F0C74C" w:rsidR="00A76143" w:rsidRPr="00A97B9C" w:rsidRDefault="00A76143" w:rsidP="00A97B9C">
            <w:pPr>
              <w:pStyle w:val="TableTextRight"/>
            </w:pPr>
            <w:r w:rsidRPr="00A97B9C">
              <w:t>–</w:t>
            </w:r>
          </w:p>
        </w:tc>
        <w:tc>
          <w:tcPr>
            <w:tcW w:w="728" w:type="dxa"/>
            <w:tcMar>
              <w:top w:w="57" w:type="dxa"/>
              <w:bottom w:w="28" w:type="dxa"/>
            </w:tcMar>
            <w:vAlign w:val="center"/>
          </w:tcPr>
          <w:p w14:paraId="3D13F93F" w14:textId="4A1A897F" w:rsidR="00A76143" w:rsidRPr="00A97B9C" w:rsidRDefault="00A76143" w:rsidP="00A97B9C">
            <w:pPr>
              <w:pStyle w:val="TableTextRight"/>
            </w:pPr>
            <w:r w:rsidRPr="00A97B9C">
              <w:t>–</w:t>
            </w:r>
          </w:p>
        </w:tc>
        <w:tc>
          <w:tcPr>
            <w:tcW w:w="728" w:type="dxa"/>
            <w:tcMar>
              <w:top w:w="57" w:type="dxa"/>
              <w:bottom w:w="28" w:type="dxa"/>
            </w:tcMar>
            <w:vAlign w:val="center"/>
          </w:tcPr>
          <w:p w14:paraId="70CAC688" w14:textId="7719B3A3" w:rsidR="00A76143" w:rsidRPr="00A97B9C" w:rsidRDefault="00A76143" w:rsidP="00A97B9C">
            <w:pPr>
              <w:pStyle w:val="TableTextRight"/>
            </w:pPr>
            <w:r w:rsidRPr="00A97B9C">
              <w:t>–</w:t>
            </w:r>
          </w:p>
        </w:tc>
        <w:tc>
          <w:tcPr>
            <w:tcW w:w="729" w:type="dxa"/>
            <w:tcMar>
              <w:top w:w="57" w:type="dxa"/>
              <w:bottom w:w="28" w:type="dxa"/>
            </w:tcMar>
            <w:vAlign w:val="center"/>
          </w:tcPr>
          <w:p w14:paraId="4BC6897A" w14:textId="300D60A3" w:rsidR="00A76143" w:rsidRPr="00A97B9C" w:rsidRDefault="00A76143" w:rsidP="00A97B9C">
            <w:pPr>
              <w:pStyle w:val="TableTextRight"/>
            </w:pPr>
            <w:r w:rsidRPr="00A97B9C">
              <w:t>–</w:t>
            </w:r>
          </w:p>
        </w:tc>
        <w:tc>
          <w:tcPr>
            <w:tcW w:w="729" w:type="dxa"/>
            <w:tcMar>
              <w:top w:w="57" w:type="dxa"/>
              <w:bottom w:w="28" w:type="dxa"/>
            </w:tcMar>
            <w:vAlign w:val="center"/>
          </w:tcPr>
          <w:p w14:paraId="20D18F28" w14:textId="0C4120C3" w:rsidR="00A76143" w:rsidRPr="00A97B9C" w:rsidRDefault="00A76143" w:rsidP="00A97B9C">
            <w:pPr>
              <w:pStyle w:val="TableTextRight"/>
            </w:pPr>
            <w:r w:rsidRPr="00A97B9C">
              <w:t>–</w:t>
            </w:r>
          </w:p>
        </w:tc>
        <w:tc>
          <w:tcPr>
            <w:tcW w:w="729" w:type="dxa"/>
            <w:tcMar>
              <w:top w:w="57" w:type="dxa"/>
              <w:bottom w:w="28" w:type="dxa"/>
            </w:tcMar>
            <w:vAlign w:val="center"/>
          </w:tcPr>
          <w:p w14:paraId="02AEF46A" w14:textId="3992A09F" w:rsidR="00A76143" w:rsidRPr="00A97B9C" w:rsidRDefault="00A76143" w:rsidP="00A97B9C">
            <w:pPr>
              <w:pStyle w:val="TableTextRight"/>
            </w:pPr>
            <w:r w:rsidRPr="00A97B9C">
              <w:t>–</w:t>
            </w:r>
          </w:p>
        </w:tc>
        <w:tc>
          <w:tcPr>
            <w:tcW w:w="729" w:type="dxa"/>
            <w:tcMar>
              <w:top w:w="57" w:type="dxa"/>
              <w:bottom w:w="28" w:type="dxa"/>
            </w:tcMar>
            <w:vAlign w:val="center"/>
          </w:tcPr>
          <w:p w14:paraId="2FE55D13" w14:textId="4928CE0D" w:rsidR="00A76143" w:rsidRPr="00A97B9C" w:rsidRDefault="00A76143" w:rsidP="00A97B9C">
            <w:pPr>
              <w:pStyle w:val="TableTextRight"/>
            </w:pPr>
            <w:r w:rsidRPr="00A97B9C">
              <w:t>–</w:t>
            </w:r>
          </w:p>
        </w:tc>
        <w:tc>
          <w:tcPr>
            <w:tcW w:w="729" w:type="dxa"/>
            <w:tcMar>
              <w:top w:w="57" w:type="dxa"/>
              <w:bottom w:w="28" w:type="dxa"/>
            </w:tcMar>
            <w:vAlign w:val="center"/>
          </w:tcPr>
          <w:p w14:paraId="44FF547B" w14:textId="3D759DD7" w:rsidR="00A76143" w:rsidRPr="00A97B9C" w:rsidRDefault="00A76143" w:rsidP="00A97B9C">
            <w:pPr>
              <w:pStyle w:val="TableTextRight"/>
            </w:pPr>
            <w:r w:rsidRPr="00A97B9C">
              <w:t>–</w:t>
            </w:r>
          </w:p>
        </w:tc>
        <w:tc>
          <w:tcPr>
            <w:tcW w:w="729" w:type="dxa"/>
            <w:tcMar>
              <w:top w:w="57" w:type="dxa"/>
              <w:bottom w:w="28" w:type="dxa"/>
            </w:tcMar>
            <w:vAlign w:val="center"/>
          </w:tcPr>
          <w:p w14:paraId="456ACD68" w14:textId="64352821" w:rsidR="00A76143" w:rsidRPr="00A97B9C" w:rsidRDefault="00A76143" w:rsidP="00A97B9C">
            <w:pPr>
              <w:pStyle w:val="TableTextRight"/>
            </w:pPr>
            <w:r w:rsidRPr="00A97B9C">
              <w:t>–</w:t>
            </w:r>
          </w:p>
        </w:tc>
        <w:tc>
          <w:tcPr>
            <w:tcW w:w="729" w:type="dxa"/>
            <w:tcMar>
              <w:top w:w="57" w:type="dxa"/>
              <w:bottom w:w="28" w:type="dxa"/>
            </w:tcMar>
            <w:vAlign w:val="center"/>
          </w:tcPr>
          <w:p w14:paraId="697E8209" w14:textId="665170D3" w:rsidR="00A76143" w:rsidRPr="00A97B9C" w:rsidRDefault="00A76143" w:rsidP="00A97B9C">
            <w:pPr>
              <w:pStyle w:val="TableTextRight"/>
            </w:pPr>
            <w:r w:rsidRPr="00A97B9C">
              <w:t>–</w:t>
            </w:r>
          </w:p>
        </w:tc>
        <w:tc>
          <w:tcPr>
            <w:tcW w:w="729" w:type="dxa"/>
            <w:tcMar>
              <w:top w:w="57" w:type="dxa"/>
              <w:bottom w:w="28" w:type="dxa"/>
            </w:tcMar>
            <w:vAlign w:val="center"/>
          </w:tcPr>
          <w:p w14:paraId="5A1EE0AA" w14:textId="5D622BA3" w:rsidR="00A76143" w:rsidRPr="00A97B9C" w:rsidRDefault="00A76143" w:rsidP="00A97B9C">
            <w:pPr>
              <w:pStyle w:val="TableTextRight"/>
            </w:pPr>
            <w:r w:rsidRPr="00A97B9C">
              <w:t>–</w:t>
            </w:r>
          </w:p>
        </w:tc>
        <w:tc>
          <w:tcPr>
            <w:tcW w:w="729" w:type="dxa"/>
            <w:tcMar>
              <w:top w:w="57" w:type="dxa"/>
              <w:bottom w:w="28" w:type="dxa"/>
            </w:tcMar>
            <w:vAlign w:val="center"/>
          </w:tcPr>
          <w:p w14:paraId="0DA8AD89" w14:textId="1A30F604" w:rsidR="00A76143" w:rsidRPr="00A97B9C" w:rsidRDefault="00A76143" w:rsidP="00A97B9C">
            <w:pPr>
              <w:pStyle w:val="TableTextRight"/>
            </w:pPr>
            <w:r w:rsidRPr="00A97B9C">
              <w:t>–</w:t>
            </w:r>
          </w:p>
        </w:tc>
        <w:tc>
          <w:tcPr>
            <w:tcW w:w="729" w:type="dxa"/>
            <w:tcMar>
              <w:top w:w="57" w:type="dxa"/>
              <w:bottom w:w="28" w:type="dxa"/>
            </w:tcMar>
            <w:vAlign w:val="center"/>
          </w:tcPr>
          <w:p w14:paraId="30D19274" w14:textId="635ABD36" w:rsidR="00A76143" w:rsidRPr="00A97B9C" w:rsidRDefault="00A76143" w:rsidP="00A97B9C">
            <w:pPr>
              <w:pStyle w:val="TableTextRight"/>
            </w:pPr>
            <w:r w:rsidRPr="00A97B9C">
              <w:t>–</w:t>
            </w:r>
          </w:p>
        </w:tc>
        <w:tc>
          <w:tcPr>
            <w:tcW w:w="729" w:type="dxa"/>
            <w:tcMar>
              <w:top w:w="57" w:type="dxa"/>
              <w:bottom w:w="28" w:type="dxa"/>
            </w:tcMar>
            <w:vAlign w:val="center"/>
          </w:tcPr>
          <w:p w14:paraId="0F8B3C5A" w14:textId="2B199E94" w:rsidR="00A76143" w:rsidRPr="00A97B9C" w:rsidRDefault="00A76143" w:rsidP="00A97B9C">
            <w:pPr>
              <w:pStyle w:val="TableTextRight"/>
              <w:rPr>
                <w:b/>
                <w:bCs/>
              </w:rPr>
            </w:pPr>
            <w:r w:rsidRPr="00A97B9C">
              <w:rPr>
                <w:b/>
                <w:bCs/>
              </w:rPr>
              <w:t>–</w:t>
            </w:r>
          </w:p>
        </w:tc>
      </w:tr>
      <w:tr w:rsidR="0048600D" w:rsidRPr="00F47A82" w14:paraId="1682EF21" w14:textId="77777777" w:rsidTr="00A97B9C">
        <w:trPr>
          <w:cnfStyle w:val="000000010000" w:firstRow="0" w:lastRow="0" w:firstColumn="0" w:lastColumn="0" w:oddVBand="0" w:evenVBand="0" w:oddHBand="0" w:evenHBand="1" w:firstRowFirstColumn="0" w:firstRowLastColumn="0" w:lastRowFirstColumn="0" w:lastRowLastColumn="0"/>
          <w:trHeight w:val="47"/>
        </w:trPr>
        <w:tc>
          <w:tcPr>
            <w:tcW w:w="728" w:type="dxa"/>
            <w:tcMar>
              <w:top w:w="57" w:type="dxa"/>
              <w:bottom w:w="28" w:type="dxa"/>
            </w:tcMar>
            <w:vAlign w:val="bottom"/>
          </w:tcPr>
          <w:p w14:paraId="2C97F1AC" w14:textId="404B5BAC" w:rsidR="00A76143" w:rsidRPr="00697C8F" w:rsidRDefault="00A76143" w:rsidP="00625DAB">
            <w:pPr>
              <w:pStyle w:val="TableTextLeft"/>
              <w:rPr>
                <w:b/>
                <w:bCs/>
              </w:rPr>
            </w:pPr>
            <w:r w:rsidRPr="00697C8F">
              <w:rPr>
                <w:b/>
                <w:bCs/>
              </w:rPr>
              <w:t>Total</w:t>
            </w:r>
          </w:p>
        </w:tc>
        <w:tc>
          <w:tcPr>
            <w:tcW w:w="728" w:type="dxa"/>
            <w:tcMar>
              <w:top w:w="57" w:type="dxa"/>
              <w:bottom w:w="28" w:type="dxa"/>
            </w:tcMar>
            <w:vAlign w:val="center"/>
          </w:tcPr>
          <w:p w14:paraId="4ADE2963" w14:textId="1500ACE7" w:rsidR="00A76143" w:rsidRPr="00A97B9C" w:rsidRDefault="00A76143" w:rsidP="00A97B9C">
            <w:pPr>
              <w:pStyle w:val="TableTextRight"/>
              <w:rPr>
                <w:b/>
                <w:bCs/>
              </w:rPr>
            </w:pPr>
            <w:r w:rsidRPr="00A97B9C">
              <w:rPr>
                <w:b/>
                <w:bCs/>
              </w:rPr>
              <w:t>27</w:t>
            </w:r>
          </w:p>
        </w:tc>
        <w:tc>
          <w:tcPr>
            <w:tcW w:w="728" w:type="dxa"/>
            <w:tcMar>
              <w:top w:w="57" w:type="dxa"/>
              <w:bottom w:w="28" w:type="dxa"/>
            </w:tcMar>
            <w:vAlign w:val="center"/>
          </w:tcPr>
          <w:p w14:paraId="26270446" w14:textId="10E56511" w:rsidR="00A76143" w:rsidRPr="00A97B9C" w:rsidRDefault="00A76143" w:rsidP="00A97B9C">
            <w:pPr>
              <w:pStyle w:val="TableTextRight"/>
              <w:rPr>
                <w:b/>
                <w:bCs/>
              </w:rPr>
            </w:pPr>
            <w:r w:rsidRPr="00A97B9C">
              <w:rPr>
                <w:b/>
                <w:bCs/>
              </w:rPr>
              <w:t>–</w:t>
            </w:r>
          </w:p>
        </w:tc>
        <w:tc>
          <w:tcPr>
            <w:tcW w:w="728" w:type="dxa"/>
            <w:tcMar>
              <w:top w:w="57" w:type="dxa"/>
              <w:bottom w:w="28" w:type="dxa"/>
            </w:tcMar>
            <w:vAlign w:val="center"/>
          </w:tcPr>
          <w:p w14:paraId="64B58D9C" w14:textId="79BFF983" w:rsidR="00A76143" w:rsidRPr="00A97B9C" w:rsidRDefault="00A76143" w:rsidP="00A97B9C">
            <w:pPr>
              <w:pStyle w:val="TableTextRight"/>
              <w:rPr>
                <w:b/>
                <w:bCs/>
              </w:rPr>
            </w:pPr>
            <w:r w:rsidRPr="00A97B9C">
              <w:rPr>
                <w:b/>
                <w:bCs/>
              </w:rPr>
              <w:t>27</w:t>
            </w:r>
          </w:p>
        </w:tc>
        <w:tc>
          <w:tcPr>
            <w:tcW w:w="728" w:type="dxa"/>
            <w:tcMar>
              <w:top w:w="57" w:type="dxa"/>
              <w:bottom w:w="28" w:type="dxa"/>
            </w:tcMar>
            <w:vAlign w:val="center"/>
          </w:tcPr>
          <w:p w14:paraId="48209E42" w14:textId="00F87015" w:rsidR="00A76143" w:rsidRPr="00A97B9C" w:rsidRDefault="00A76143" w:rsidP="00A97B9C">
            <w:pPr>
              <w:pStyle w:val="TableTextRight"/>
              <w:rPr>
                <w:b/>
                <w:bCs/>
              </w:rPr>
            </w:pPr>
            <w:r w:rsidRPr="00A97B9C">
              <w:rPr>
                <w:b/>
                <w:bCs/>
              </w:rPr>
              <w:t>16</w:t>
            </w:r>
          </w:p>
        </w:tc>
        <w:tc>
          <w:tcPr>
            <w:tcW w:w="728" w:type="dxa"/>
            <w:tcMar>
              <w:top w:w="57" w:type="dxa"/>
              <w:bottom w:w="28" w:type="dxa"/>
            </w:tcMar>
            <w:vAlign w:val="center"/>
          </w:tcPr>
          <w:p w14:paraId="377DDFB6" w14:textId="55F089EE" w:rsidR="00A76143" w:rsidRPr="00A97B9C" w:rsidRDefault="00A76143" w:rsidP="00A97B9C">
            <w:pPr>
              <w:pStyle w:val="TableTextRight"/>
              <w:rPr>
                <w:b/>
                <w:bCs/>
              </w:rPr>
            </w:pPr>
            <w:r w:rsidRPr="00A97B9C">
              <w:rPr>
                <w:b/>
                <w:bCs/>
              </w:rPr>
              <w:t>5</w:t>
            </w:r>
          </w:p>
        </w:tc>
        <w:tc>
          <w:tcPr>
            <w:tcW w:w="729" w:type="dxa"/>
            <w:tcMar>
              <w:top w:w="57" w:type="dxa"/>
              <w:bottom w:w="28" w:type="dxa"/>
            </w:tcMar>
            <w:vAlign w:val="center"/>
          </w:tcPr>
          <w:p w14:paraId="64FC52C3" w14:textId="39923CAB" w:rsidR="00A76143" w:rsidRPr="00A97B9C" w:rsidRDefault="00A76143" w:rsidP="00A97B9C">
            <w:pPr>
              <w:pStyle w:val="TableTextRight"/>
              <w:rPr>
                <w:b/>
                <w:bCs/>
              </w:rPr>
            </w:pPr>
            <w:r w:rsidRPr="00A97B9C">
              <w:rPr>
                <w:b/>
                <w:bCs/>
              </w:rPr>
              <w:t>21</w:t>
            </w:r>
          </w:p>
        </w:tc>
        <w:tc>
          <w:tcPr>
            <w:tcW w:w="729" w:type="dxa"/>
            <w:tcMar>
              <w:top w:w="57" w:type="dxa"/>
              <w:bottom w:w="28" w:type="dxa"/>
            </w:tcMar>
            <w:vAlign w:val="center"/>
          </w:tcPr>
          <w:p w14:paraId="172AF29A" w14:textId="4B62F3B9"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2DE84DD5" w14:textId="2E2CE30A"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7D72430A" w14:textId="0B0EC084"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18CA9EEA" w14:textId="4FFC3F2D"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74C34E6C" w14:textId="1B10762B"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6A425BB9" w14:textId="61921AC6"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3370914E" w14:textId="3D19FEE3"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2CF695BC" w14:textId="295425F4"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72DAAF73" w14:textId="1C40D32A" w:rsidR="00A76143" w:rsidRPr="00A97B9C" w:rsidRDefault="00A76143" w:rsidP="00A97B9C">
            <w:pPr>
              <w:pStyle w:val="TableTextRight"/>
              <w:rPr>
                <w:b/>
                <w:bCs/>
              </w:rPr>
            </w:pPr>
            <w:r w:rsidRPr="00A97B9C">
              <w:rPr>
                <w:b/>
                <w:bCs/>
              </w:rPr>
              <w:t>–</w:t>
            </w:r>
          </w:p>
        </w:tc>
        <w:tc>
          <w:tcPr>
            <w:tcW w:w="729" w:type="dxa"/>
            <w:tcMar>
              <w:top w:w="57" w:type="dxa"/>
              <w:bottom w:w="28" w:type="dxa"/>
            </w:tcMar>
            <w:vAlign w:val="center"/>
          </w:tcPr>
          <w:p w14:paraId="4AB07450" w14:textId="1C7B19AC" w:rsidR="00A76143" w:rsidRPr="00A97B9C" w:rsidRDefault="00A76143" w:rsidP="00A97B9C">
            <w:pPr>
              <w:pStyle w:val="TableTextRight"/>
              <w:rPr>
                <w:b/>
                <w:bCs/>
              </w:rPr>
            </w:pPr>
            <w:r w:rsidRPr="00A97B9C">
              <w:rPr>
                <w:b/>
                <w:bCs/>
              </w:rPr>
              <w:t>48</w:t>
            </w:r>
          </w:p>
        </w:tc>
      </w:tr>
    </w:tbl>
    <w:p w14:paraId="244DBD71" w14:textId="77777777" w:rsidR="00A97B9C" w:rsidRDefault="00A97B9C" w:rsidP="00A97B9C"/>
    <w:p w14:paraId="564073E5" w14:textId="77777777" w:rsidR="000D0F04" w:rsidRDefault="000D0F04" w:rsidP="008E32DC">
      <w:pPr>
        <w:pStyle w:val="TableMainHeading"/>
        <w:sectPr w:rsidR="000D0F04" w:rsidSect="004B423B">
          <w:headerReference w:type="even" r:id="rId103"/>
          <w:headerReference w:type="default" r:id="rId104"/>
          <w:footerReference w:type="even" r:id="rId105"/>
          <w:footerReference w:type="default" r:id="rId106"/>
          <w:pgSz w:w="16840" w:h="11907" w:orient="landscape" w:code="9"/>
          <w:pgMar w:top="2098" w:right="2835" w:bottom="2098" w:left="2466" w:header="1531" w:footer="1531" w:gutter="0"/>
          <w:cols w:space="708"/>
          <w:docGrid w:linePitch="360"/>
        </w:sectPr>
      </w:pPr>
    </w:p>
    <w:p w14:paraId="533B3DFE" w14:textId="55696440" w:rsidR="415510F5" w:rsidRDefault="415510F5" w:rsidP="008E32DC">
      <w:pPr>
        <w:pStyle w:val="TableMainHeading"/>
      </w:pPr>
      <w:r w:rsidRPr="00187FD8">
        <w:lastRenderedPageBreak/>
        <w:t xml:space="preserve">Table </w:t>
      </w:r>
      <w:r w:rsidR="00EC40F5" w:rsidRPr="00187FD8">
        <w:t>1</w:t>
      </w:r>
      <w:r w:rsidR="00AA7EE9">
        <w:t>9</w:t>
      </w:r>
      <w:r w:rsidRPr="00187FD8">
        <w:t>:</w:t>
      </w:r>
      <w:r w:rsidRPr="44E84EAD">
        <w:t xml:space="preserve"> APS non</w:t>
      </w:r>
      <w:r w:rsidR="00B84FF2">
        <w:noBreakHyphen/>
      </w:r>
      <w:r w:rsidRPr="44E84EAD">
        <w:t>ongoing employees by classification (headcount) 2024</w:t>
      </w:r>
      <w:r w:rsidR="00A76143">
        <w:t>–</w:t>
      </w:r>
      <w:r w:rsidRPr="44E84EAD">
        <w:t>25</w:t>
      </w:r>
    </w:p>
    <w:tbl>
      <w:tblPr>
        <w:tblStyle w:val="AOFMTablemain"/>
        <w:tblW w:w="5000" w:type="pct"/>
        <w:tblLayout w:type="fixed"/>
        <w:tblLook w:val="04A0" w:firstRow="1" w:lastRow="0" w:firstColumn="1" w:lastColumn="0" w:noHBand="0" w:noVBand="1"/>
      </w:tblPr>
      <w:tblGrid>
        <w:gridCol w:w="709"/>
        <w:gridCol w:w="744"/>
        <w:gridCol w:w="672"/>
        <w:gridCol w:w="669"/>
        <w:gridCol w:w="667"/>
        <w:gridCol w:w="669"/>
        <w:gridCol w:w="668"/>
        <w:gridCol w:w="584"/>
        <w:gridCol w:w="584"/>
        <w:gridCol w:w="704"/>
        <w:gridCol w:w="584"/>
        <w:gridCol w:w="612"/>
        <w:gridCol w:w="751"/>
        <w:gridCol w:w="710"/>
        <w:gridCol w:w="796"/>
        <w:gridCol w:w="650"/>
        <w:gridCol w:w="766"/>
      </w:tblGrid>
      <w:tr w:rsidR="0048600D" w:rsidRPr="003B174A" w14:paraId="26A29BEC" w14:textId="77777777" w:rsidTr="001F10B3">
        <w:trPr>
          <w:cnfStyle w:val="100000000000" w:firstRow="1" w:lastRow="0" w:firstColumn="0" w:lastColumn="0" w:oddVBand="0" w:evenVBand="0" w:oddHBand="0" w:evenHBand="0" w:firstRowFirstColumn="0" w:firstRowLastColumn="0" w:lastRowFirstColumn="0" w:lastRowLastColumn="0"/>
          <w:trHeight w:val="261"/>
        </w:trPr>
        <w:tc>
          <w:tcPr>
            <w:tcW w:w="709" w:type="dxa"/>
          </w:tcPr>
          <w:p w14:paraId="19C7C134" w14:textId="77777777" w:rsidR="00335720" w:rsidRPr="00DF31C0" w:rsidRDefault="00335720" w:rsidP="00A97B9C">
            <w:pPr>
              <w:pStyle w:val="TableColumnHeadingLeft"/>
            </w:pPr>
          </w:p>
        </w:tc>
        <w:tc>
          <w:tcPr>
            <w:tcW w:w="2085" w:type="dxa"/>
            <w:gridSpan w:val="3"/>
          </w:tcPr>
          <w:p w14:paraId="5756893F" w14:textId="175481F1" w:rsidR="00335720" w:rsidRPr="00B8215E" w:rsidRDefault="00335720" w:rsidP="00A97B9C">
            <w:pPr>
              <w:pStyle w:val="TableColumnHeadingLeft"/>
              <w:rPr>
                <w:bCs/>
                <w:i/>
                <w:iCs/>
              </w:rPr>
            </w:pPr>
            <w:r w:rsidRPr="00B8215E">
              <w:rPr>
                <w:bCs/>
              </w:rPr>
              <w:t>Man/Male</w:t>
            </w:r>
          </w:p>
        </w:tc>
        <w:tc>
          <w:tcPr>
            <w:tcW w:w="2004" w:type="dxa"/>
            <w:gridSpan w:val="3"/>
          </w:tcPr>
          <w:p w14:paraId="291252AE" w14:textId="0C498FF0" w:rsidR="00335720" w:rsidRPr="00B8215E" w:rsidRDefault="00335720" w:rsidP="00A97B9C">
            <w:pPr>
              <w:pStyle w:val="TableColumnHeadingLeft"/>
              <w:rPr>
                <w:bCs/>
                <w:i/>
                <w:iCs/>
              </w:rPr>
            </w:pPr>
            <w:r w:rsidRPr="00B8215E">
              <w:rPr>
                <w:bCs/>
              </w:rPr>
              <w:t>Woman/Female</w:t>
            </w:r>
          </w:p>
        </w:tc>
        <w:tc>
          <w:tcPr>
            <w:tcW w:w="1872" w:type="dxa"/>
            <w:gridSpan w:val="3"/>
          </w:tcPr>
          <w:p w14:paraId="39D01BA3" w14:textId="172A6892" w:rsidR="00335720" w:rsidRPr="00B8215E" w:rsidRDefault="00335720" w:rsidP="00A97B9C">
            <w:pPr>
              <w:pStyle w:val="TableColumnHeadingLeft"/>
              <w:rPr>
                <w:bCs/>
                <w:i/>
                <w:iCs/>
              </w:rPr>
            </w:pPr>
            <w:r w:rsidRPr="00B8215E">
              <w:rPr>
                <w:bCs/>
              </w:rPr>
              <w:t>Non</w:t>
            </w:r>
            <w:r w:rsidR="00B84FF2">
              <w:rPr>
                <w:bCs/>
              </w:rPr>
              <w:noBreakHyphen/>
            </w:r>
            <w:r w:rsidRPr="00B8215E">
              <w:rPr>
                <w:bCs/>
              </w:rPr>
              <w:t>binary</w:t>
            </w:r>
          </w:p>
        </w:tc>
        <w:tc>
          <w:tcPr>
            <w:tcW w:w="1947" w:type="dxa"/>
            <w:gridSpan w:val="3"/>
          </w:tcPr>
          <w:p w14:paraId="56A1D5B4" w14:textId="3D19F218" w:rsidR="00335720" w:rsidRPr="00B8215E" w:rsidRDefault="00335720" w:rsidP="00A97B9C">
            <w:pPr>
              <w:pStyle w:val="TableColumnHeadingLeft"/>
              <w:rPr>
                <w:bCs/>
                <w:i/>
                <w:iCs/>
              </w:rPr>
            </w:pPr>
            <w:r w:rsidRPr="00B8215E">
              <w:rPr>
                <w:bCs/>
              </w:rPr>
              <w:t>Prefers not to answer</w:t>
            </w:r>
          </w:p>
        </w:tc>
        <w:tc>
          <w:tcPr>
            <w:tcW w:w="2156" w:type="dxa"/>
            <w:gridSpan w:val="3"/>
          </w:tcPr>
          <w:p w14:paraId="69C369CF" w14:textId="302F9533" w:rsidR="00335720" w:rsidRPr="00B8215E" w:rsidRDefault="00335720" w:rsidP="00A97B9C">
            <w:pPr>
              <w:pStyle w:val="TableColumnHeadingLeft"/>
              <w:rPr>
                <w:bCs/>
                <w:i/>
                <w:iCs/>
              </w:rPr>
            </w:pPr>
            <w:r w:rsidRPr="00B8215E">
              <w:rPr>
                <w:bCs/>
              </w:rPr>
              <w:t>Uses a different term</w:t>
            </w:r>
          </w:p>
        </w:tc>
        <w:tc>
          <w:tcPr>
            <w:tcW w:w="766" w:type="dxa"/>
          </w:tcPr>
          <w:p w14:paraId="08BF1C05" w14:textId="14E5F041" w:rsidR="00335720" w:rsidRPr="00B8215E" w:rsidRDefault="00335720" w:rsidP="00A97B9C">
            <w:pPr>
              <w:pStyle w:val="TableColumnHeadingLeft"/>
            </w:pPr>
            <w:r w:rsidRPr="00B8215E">
              <w:t>Total</w:t>
            </w:r>
          </w:p>
        </w:tc>
      </w:tr>
      <w:tr w:rsidR="007A0DA6" w:rsidRPr="003B174A" w14:paraId="0B9B2691" w14:textId="77777777" w:rsidTr="001F10B3">
        <w:trPr>
          <w:trHeight w:val="300"/>
        </w:trPr>
        <w:tc>
          <w:tcPr>
            <w:tcW w:w="709" w:type="dxa"/>
            <w:tcMar>
              <w:top w:w="57" w:type="dxa"/>
              <w:bottom w:w="57" w:type="dxa"/>
            </w:tcMar>
          </w:tcPr>
          <w:p w14:paraId="251858DB" w14:textId="22CAB8A1" w:rsidR="00EC40F5" w:rsidRPr="00DF31C0" w:rsidRDefault="00EC40F5" w:rsidP="00625DAB">
            <w:pPr>
              <w:pStyle w:val="TableTextLeft"/>
            </w:pPr>
          </w:p>
        </w:tc>
        <w:tc>
          <w:tcPr>
            <w:tcW w:w="744" w:type="dxa"/>
            <w:tcMar>
              <w:top w:w="57" w:type="dxa"/>
              <w:bottom w:w="57" w:type="dxa"/>
            </w:tcMar>
          </w:tcPr>
          <w:p w14:paraId="3800C78D" w14:textId="01E67552" w:rsidR="00EC40F5" w:rsidRPr="00A97B9C" w:rsidRDefault="00EC40F5" w:rsidP="00A97B9C">
            <w:pPr>
              <w:pStyle w:val="TableTextRight"/>
              <w:rPr>
                <w:b/>
                <w:bCs/>
              </w:rPr>
            </w:pPr>
            <w:r w:rsidRPr="00A97B9C">
              <w:rPr>
                <w:b/>
                <w:bCs/>
              </w:rPr>
              <w:t>Full time</w:t>
            </w:r>
          </w:p>
        </w:tc>
        <w:tc>
          <w:tcPr>
            <w:tcW w:w="672" w:type="dxa"/>
            <w:tcMar>
              <w:top w:w="57" w:type="dxa"/>
              <w:bottom w:w="57" w:type="dxa"/>
            </w:tcMar>
          </w:tcPr>
          <w:p w14:paraId="2C9CAB61" w14:textId="4F7C9D66" w:rsidR="00EC40F5" w:rsidRPr="00A97B9C" w:rsidRDefault="00EC40F5" w:rsidP="00A97B9C">
            <w:pPr>
              <w:pStyle w:val="TableTextRight"/>
              <w:rPr>
                <w:b/>
                <w:bCs/>
              </w:rPr>
            </w:pPr>
            <w:r w:rsidRPr="00A97B9C">
              <w:rPr>
                <w:b/>
                <w:bCs/>
              </w:rPr>
              <w:t>Part time</w:t>
            </w:r>
          </w:p>
        </w:tc>
        <w:tc>
          <w:tcPr>
            <w:tcW w:w="669" w:type="dxa"/>
            <w:tcMar>
              <w:top w:w="57" w:type="dxa"/>
              <w:bottom w:w="57" w:type="dxa"/>
            </w:tcMar>
          </w:tcPr>
          <w:p w14:paraId="5337BCE7" w14:textId="1C979F20" w:rsidR="00EC40F5" w:rsidRPr="00A97B9C" w:rsidRDefault="00EC40F5" w:rsidP="00A97B9C">
            <w:pPr>
              <w:pStyle w:val="TableTextRight"/>
              <w:rPr>
                <w:b/>
                <w:bCs/>
              </w:rPr>
            </w:pPr>
            <w:r w:rsidRPr="00A97B9C">
              <w:rPr>
                <w:b/>
                <w:bCs/>
              </w:rPr>
              <w:t xml:space="preserve">Total </w:t>
            </w:r>
          </w:p>
        </w:tc>
        <w:tc>
          <w:tcPr>
            <w:tcW w:w="667" w:type="dxa"/>
            <w:tcMar>
              <w:top w:w="57" w:type="dxa"/>
              <w:bottom w:w="57" w:type="dxa"/>
            </w:tcMar>
          </w:tcPr>
          <w:p w14:paraId="636980F9" w14:textId="6579E521" w:rsidR="00EC40F5" w:rsidRPr="00A97B9C" w:rsidRDefault="00EC40F5" w:rsidP="00A97B9C">
            <w:pPr>
              <w:pStyle w:val="TableTextRight"/>
              <w:rPr>
                <w:b/>
                <w:bCs/>
              </w:rPr>
            </w:pPr>
            <w:r w:rsidRPr="00A97B9C">
              <w:rPr>
                <w:b/>
                <w:bCs/>
              </w:rPr>
              <w:t>Full time</w:t>
            </w:r>
          </w:p>
        </w:tc>
        <w:tc>
          <w:tcPr>
            <w:tcW w:w="669" w:type="dxa"/>
            <w:tcMar>
              <w:top w:w="57" w:type="dxa"/>
              <w:bottom w:w="57" w:type="dxa"/>
            </w:tcMar>
          </w:tcPr>
          <w:p w14:paraId="2407C5AB" w14:textId="21C4047D" w:rsidR="00EC40F5" w:rsidRPr="00A97B9C" w:rsidRDefault="00EC40F5" w:rsidP="00A97B9C">
            <w:pPr>
              <w:pStyle w:val="TableTextRight"/>
              <w:rPr>
                <w:b/>
                <w:bCs/>
              </w:rPr>
            </w:pPr>
            <w:r w:rsidRPr="00A97B9C">
              <w:rPr>
                <w:b/>
                <w:bCs/>
              </w:rPr>
              <w:t>Part time</w:t>
            </w:r>
          </w:p>
        </w:tc>
        <w:tc>
          <w:tcPr>
            <w:tcW w:w="668" w:type="dxa"/>
            <w:tcMar>
              <w:top w:w="57" w:type="dxa"/>
              <w:bottom w:w="57" w:type="dxa"/>
            </w:tcMar>
          </w:tcPr>
          <w:p w14:paraId="75CC0C16" w14:textId="49AA7652" w:rsidR="00EC40F5" w:rsidRPr="00A97B9C" w:rsidRDefault="00EC40F5" w:rsidP="00A97B9C">
            <w:pPr>
              <w:pStyle w:val="TableTextRight"/>
              <w:rPr>
                <w:b/>
                <w:bCs/>
              </w:rPr>
            </w:pPr>
            <w:r w:rsidRPr="00A97B9C">
              <w:rPr>
                <w:b/>
                <w:bCs/>
              </w:rPr>
              <w:t xml:space="preserve">Total </w:t>
            </w:r>
          </w:p>
        </w:tc>
        <w:tc>
          <w:tcPr>
            <w:tcW w:w="584" w:type="dxa"/>
            <w:tcMar>
              <w:top w:w="57" w:type="dxa"/>
              <w:bottom w:w="57" w:type="dxa"/>
            </w:tcMar>
          </w:tcPr>
          <w:p w14:paraId="1763C0AD" w14:textId="4FE2F726" w:rsidR="00EC40F5" w:rsidRPr="00A97B9C" w:rsidRDefault="00EC40F5" w:rsidP="00A97B9C">
            <w:pPr>
              <w:pStyle w:val="TableTextRight"/>
              <w:rPr>
                <w:b/>
                <w:bCs/>
              </w:rPr>
            </w:pPr>
            <w:r w:rsidRPr="00A97B9C">
              <w:rPr>
                <w:b/>
                <w:bCs/>
              </w:rPr>
              <w:t>Full time</w:t>
            </w:r>
          </w:p>
        </w:tc>
        <w:tc>
          <w:tcPr>
            <w:tcW w:w="584" w:type="dxa"/>
            <w:tcMar>
              <w:top w:w="57" w:type="dxa"/>
              <w:bottom w:w="57" w:type="dxa"/>
            </w:tcMar>
          </w:tcPr>
          <w:p w14:paraId="073D4A73" w14:textId="23C1F221" w:rsidR="00EC40F5" w:rsidRPr="00A97B9C" w:rsidRDefault="00EC40F5" w:rsidP="00A97B9C">
            <w:pPr>
              <w:pStyle w:val="TableTextRight"/>
              <w:rPr>
                <w:b/>
                <w:bCs/>
              </w:rPr>
            </w:pPr>
            <w:r w:rsidRPr="00A97B9C">
              <w:rPr>
                <w:b/>
                <w:bCs/>
              </w:rPr>
              <w:t>Part time</w:t>
            </w:r>
          </w:p>
        </w:tc>
        <w:tc>
          <w:tcPr>
            <w:tcW w:w="704" w:type="dxa"/>
            <w:tcMar>
              <w:top w:w="57" w:type="dxa"/>
              <w:bottom w:w="57" w:type="dxa"/>
            </w:tcMar>
          </w:tcPr>
          <w:p w14:paraId="2B4C8B0D" w14:textId="0B835F7B" w:rsidR="00EC40F5" w:rsidRPr="00A97B9C" w:rsidRDefault="00EC40F5" w:rsidP="00A97B9C">
            <w:pPr>
              <w:pStyle w:val="TableTextRight"/>
              <w:rPr>
                <w:b/>
                <w:bCs/>
              </w:rPr>
            </w:pPr>
            <w:r w:rsidRPr="00A97B9C">
              <w:rPr>
                <w:b/>
                <w:bCs/>
              </w:rPr>
              <w:t xml:space="preserve">Total </w:t>
            </w:r>
          </w:p>
        </w:tc>
        <w:tc>
          <w:tcPr>
            <w:tcW w:w="584" w:type="dxa"/>
            <w:tcMar>
              <w:top w:w="57" w:type="dxa"/>
              <w:bottom w:w="57" w:type="dxa"/>
            </w:tcMar>
          </w:tcPr>
          <w:p w14:paraId="05E86C30" w14:textId="01C3958A" w:rsidR="00EC40F5" w:rsidRPr="00A97B9C" w:rsidRDefault="00EC40F5" w:rsidP="00A97B9C">
            <w:pPr>
              <w:pStyle w:val="TableTextRight"/>
              <w:rPr>
                <w:b/>
                <w:bCs/>
              </w:rPr>
            </w:pPr>
            <w:r w:rsidRPr="00A97B9C">
              <w:rPr>
                <w:b/>
                <w:bCs/>
              </w:rPr>
              <w:t>Full time</w:t>
            </w:r>
          </w:p>
        </w:tc>
        <w:tc>
          <w:tcPr>
            <w:tcW w:w="612" w:type="dxa"/>
            <w:tcMar>
              <w:top w:w="57" w:type="dxa"/>
              <w:bottom w:w="57" w:type="dxa"/>
            </w:tcMar>
          </w:tcPr>
          <w:p w14:paraId="1EC15196" w14:textId="07B0A3ED" w:rsidR="00EC40F5" w:rsidRPr="00A97B9C" w:rsidRDefault="00EC40F5" w:rsidP="00A97B9C">
            <w:pPr>
              <w:pStyle w:val="TableTextRight"/>
              <w:rPr>
                <w:b/>
                <w:bCs/>
              </w:rPr>
            </w:pPr>
            <w:r w:rsidRPr="00A97B9C">
              <w:rPr>
                <w:b/>
                <w:bCs/>
              </w:rPr>
              <w:t>Part time</w:t>
            </w:r>
          </w:p>
        </w:tc>
        <w:tc>
          <w:tcPr>
            <w:tcW w:w="751" w:type="dxa"/>
            <w:tcMar>
              <w:top w:w="57" w:type="dxa"/>
              <w:bottom w:w="57" w:type="dxa"/>
            </w:tcMar>
          </w:tcPr>
          <w:p w14:paraId="4DAF12B3" w14:textId="4851BB72" w:rsidR="00EC40F5" w:rsidRPr="00A97B9C" w:rsidRDefault="00EC40F5" w:rsidP="00A97B9C">
            <w:pPr>
              <w:pStyle w:val="TableTextRight"/>
              <w:rPr>
                <w:b/>
                <w:bCs/>
              </w:rPr>
            </w:pPr>
            <w:r w:rsidRPr="00A97B9C">
              <w:rPr>
                <w:b/>
                <w:bCs/>
              </w:rPr>
              <w:t xml:space="preserve">Total </w:t>
            </w:r>
          </w:p>
        </w:tc>
        <w:tc>
          <w:tcPr>
            <w:tcW w:w="710" w:type="dxa"/>
            <w:tcMar>
              <w:top w:w="57" w:type="dxa"/>
              <w:bottom w:w="57" w:type="dxa"/>
            </w:tcMar>
          </w:tcPr>
          <w:p w14:paraId="7FD33311" w14:textId="4FEE94BD" w:rsidR="00EC40F5" w:rsidRPr="00A97B9C" w:rsidRDefault="00EC40F5" w:rsidP="00A97B9C">
            <w:pPr>
              <w:pStyle w:val="TableTextRight"/>
              <w:rPr>
                <w:b/>
                <w:bCs/>
              </w:rPr>
            </w:pPr>
            <w:r w:rsidRPr="00A97B9C">
              <w:rPr>
                <w:b/>
                <w:bCs/>
              </w:rPr>
              <w:t>Full time</w:t>
            </w:r>
          </w:p>
        </w:tc>
        <w:tc>
          <w:tcPr>
            <w:tcW w:w="796" w:type="dxa"/>
            <w:tcMar>
              <w:top w:w="57" w:type="dxa"/>
              <w:bottom w:w="57" w:type="dxa"/>
            </w:tcMar>
          </w:tcPr>
          <w:p w14:paraId="14529BDC" w14:textId="33AC5194" w:rsidR="00EC40F5" w:rsidRPr="00A97B9C" w:rsidRDefault="00EC40F5" w:rsidP="00A97B9C">
            <w:pPr>
              <w:pStyle w:val="TableTextRight"/>
              <w:rPr>
                <w:b/>
                <w:bCs/>
              </w:rPr>
            </w:pPr>
            <w:r w:rsidRPr="00A97B9C">
              <w:rPr>
                <w:b/>
                <w:bCs/>
              </w:rPr>
              <w:t>Part time</w:t>
            </w:r>
          </w:p>
        </w:tc>
        <w:tc>
          <w:tcPr>
            <w:tcW w:w="650" w:type="dxa"/>
            <w:tcMar>
              <w:top w:w="57" w:type="dxa"/>
              <w:bottom w:w="57" w:type="dxa"/>
            </w:tcMar>
          </w:tcPr>
          <w:p w14:paraId="7A4081BD" w14:textId="2554254F" w:rsidR="00EC40F5" w:rsidRPr="00A97B9C" w:rsidRDefault="00EC40F5" w:rsidP="00A97B9C">
            <w:pPr>
              <w:pStyle w:val="TableTextRight"/>
              <w:rPr>
                <w:b/>
                <w:bCs/>
              </w:rPr>
            </w:pPr>
            <w:r w:rsidRPr="00A97B9C">
              <w:rPr>
                <w:b/>
                <w:bCs/>
              </w:rPr>
              <w:t xml:space="preserve">Total </w:t>
            </w:r>
          </w:p>
        </w:tc>
        <w:tc>
          <w:tcPr>
            <w:tcW w:w="766" w:type="dxa"/>
            <w:tcMar>
              <w:top w:w="57" w:type="dxa"/>
              <w:bottom w:w="57" w:type="dxa"/>
            </w:tcMar>
          </w:tcPr>
          <w:p w14:paraId="7D4D39BD" w14:textId="7DB77C4E" w:rsidR="00EC40F5" w:rsidRPr="00A97B9C" w:rsidRDefault="00EC40F5" w:rsidP="00A97B9C">
            <w:pPr>
              <w:pStyle w:val="TableTextRight"/>
            </w:pPr>
          </w:p>
        </w:tc>
      </w:tr>
      <w:tr w:rsidR="001F10B3" w:rsidRPr="005A1334" w14:paraId="186EAD03" w14:textId="77777777" w:rsidTr="001F10B3">
        <w:trPr>
          <w:cnfStyle w:val="000000010000" w:firstRow="0" w:lastRow="0" w:firstColumn="0" w:lastColumn="0" w:oddVBand="0" w:evenVBand="0" w:oddHBand="0" w:evenHBand="1" w:firstRowFirstColumn="0" w:firstRowLastColumn="0" w:lastRowFirstColumn="0" w:lastRowLastColumn="0"/>
          <w:trHeight w:val="208"/>
        </w:trPr>
        <w:tc>
          <w:tcPr>
            <w:tcW w:w="709" w:type="dxa"/>
            <w:tcMar>
              <w:top w:w="57" w:type="dxa"/>
              <w:bottom w:w="57" w:type="dxa"/>
            </w:tcMar>
          </w:tcPr>
          <w:p w14:paraId="40602238" w14:textId="6DD88196" w:rsidR="00A76143" w:rsidRPr="00A97B9C" w:rsidRDefault="00A76143" w:rsidP="00625DAB">
            <w:pPr>
              <w:pStyle w:val="TableTextLeft"/>
            </w:pPr>
            <w:r w:rsidRPr="00A97B9C">
              <w:t>SES 3 </w:t>
            </w:r>
          </w:p>
        </w:tc>
        <w:tc>
          <w:tcPr>
            <w:tcW w:w="744" w:type="dxa"/>
            <w:tcMar>
              <w:top w:w="57" w:type="dxa"/>
              <w:bottom w:w="57" w:type="dxa"/>
            </w:tcMar>
          </w:tcPr>
          <w:p w14:paraId="7E07047D" w14:textId="441F1B1D" w:rsidR="00A76143" w:rsidRPr="00A97B9C" w:rsidRDefault="00A76143" w:rsidP="00A97B9C">
            <w:pPr>
              <w:pStyle w:val="TableTextRight"/>
            </w:pPr>
            <w:r w:rsidRPr="00A97B9C">
              <w:t>–</w:t>
            </w:r>
          </w:p>
        </w:tc>
        <w:tc>
          <w:tcPr>
            <w:tcW w:w="672" w:type="dxa"/>
            <w:tcMar>
              <w:top w:w="57" w:type="dxa"/>
              <w:bottom w:w="57" w:type="dxa"/>
            </w:tcMar>
          </w:tcPr>
          <w:p w14:paraId="0079FDBB" w14:textId="78600305" w:rsidR="00A76143" w:rsidRPr="00A97B9C" w:rsidRDefault="00A76143" w:rsidP="00A97B9C">
            <w:pPr>
              <w:pStyle w:val="TableTextRight"/>
            </w:pPr>
            <w:r w:rsidRPr="00A97B9C">
              <w:t>–</w:t>
            </w:r>
          </w:p>
        </w:tc>
        <w:tc>
          <w:tcPr>
            <w:tcW w:w="669" w:type="dxa"/>
            <w:tcMar>
              <w:top w:w="57" w:type="dxa"/>
              <w:bottom w:w="57" w:type="dxa"/>
            </w:tcMar>
          </w:tcPr>
          <w:p w14:paraId="79217F3E" w14:textId="1660CEB4" w:rsidR="00A76143" w:rsidRPr="00A97B9C" w:rsidRDefault="00A76143" w:rsidP="00A97B9C">
            <w:pPr>
              <w:pStyle w:val="TableTextRight"/>
            </w:pPr>
            <w:r w:rsidRPr="00A97B9C">
              <w:t>–</w:t>
            </w:r>
          </w:p>
        </w:tc>
        <w:tc>
          <w:tcPr>
            <w:tcW w:w="667" w:type="dxa"/>
            <w:tcMar>
              <w:top w:w="57" w:type="dxa"/>
              <w:bottom w:w="57" w:type="dxa"/>
            </w:tcMar>
          </w:tcPr>
          <w:p w14:paraId="7E38D690" w14:textId="1AE69AD9" w:rsidR="00A76143" w:rsidRPr="00A97B9C" w:rsidRDefault="00A76143" w:rsidP="00A97B9C">
            <w:pPr>
              <w:pStyle w:val="TableTextRight"/>
            </w:pPr>
            <w:r w:rsidRPr="00A97B9C">
              <w:t>–</w:t>
            </w:r>
          </w:p>
        </w:tc>
        <w:tc>
          <w:tcPr>
            <w:tcW w:w="669" w:type="dxa"/>
            <w:tcMar>
              <w:top w:w="57" w:type="dxa"/>
              <w:bottom w:w="57" w:type="dxa"/>
            </w:tcMar>
          </w:tcPr>
          <w:p w14:paraId="09DDB129" w14:textId="1BCF26F0" w:rsidR="00A76143" w:rsidRPr="00A97B9C" w:rsidRDefault="00A76143" w:rsidP="00A97B9C">
            <w:pPr>
              <w:pStyle w:val="TableTextRight"/>
            </w:pPr>
            <w:r w:rsidRPr="00A97B9C">
              <w:t>–</w:t>
            </w:r>
          </w:p>
        </w:tc>
        <w:tc>
          <w:tcPr>
            <w:tcW w:w="668" w:type="dxa"/>
            <w:tcMar>
              <w:top w:w="57" w:type="dxa"/>
              <w:bottom w:w="57" w:type="dxa"/>
            </w:tcMar>
          </w:tcPr>
          <w:p w14:paraId="30228C6B" w14:textId="75159030" w:rsidR="00A76143" w:rsidRPr="00A97B9C" w:rsidRDefault="00A76143" w:rsidP="00A97B9C">
            <w:pPr>
              <w:pStyle w:val="TableTextRight"/>
            </w:pPr>
            <w:r w:rsidRPr="00A97B9C">
              <w:t>–</w:t>
            </w:r>
          </w:p>
        </w:tc>
        <w:tc>
          <w:tcPr>
            <w:tcW w:w="584" w:type="dxa"/>
            <w:tcMar>
              <w:top w:w="57" w:type="dxa"/>
              <w:bottom w:w="57" w:type="dxa"/>
            </w:tcMar>
          </w:tcPr>
          <w:p w14:paraId="1C5ED23D" w14:textId="57497AD2" w:rsidR="00A76143" w:rsidRPr="00A97B9C" w:rsidRDefault="00A76143" w:rsidP="00A97B9C">
            <w:pPr>
              <w:pStyle w:val="TableTextRight"/>
            </w:pPr>
            <w:r w:rsidRPr="00A97B9C">
              <w:t>–</w:t>
            </w:r>
          </w:p>
        </w:tc>
        <w:tc>
          <w:tcPr>
            <w:tcW w:w="584" w:type="dxa"/>
            <w:tcMar>
              <w:top w:w="57" w:type="dxa"/>
              <w:bottom w:w="57" w:type="dxa"/>
            </w:tcMar>
          </w:tcPr>
          <w:p w14:paraId="6D3DBA81" w14:textId="38F9AE05" w:rsidR="00A76143" w:rsidRPr="00A97B9C" w:rsidRDefault="00A76143" w:rsidP="00A97B9C">
            <w:pPr>
              <w:pStyle w:val="TableTextRight"/>
            </w:pPr>
            <w:r w:rsidRPr="00A97B9C">
              <w:t>–</w:t>
            </w:r>
          </w:p>
        </w:tc>
        <w:tc>
          <w:tcPr>
            <w:tcW w:w="704" w:type="dxa"/>
            <w:tcMar>
              <w:top w:w="57" w:type="dxa"/>
              <w:bottom w:w="57" w:type="dxa"/>
            </w:tcMar>
          </w:tcPr>
          <w:p w14:paraId="579DBCE9" w14:textId="5D95C696" w:rsidR="00A76143" w:rsidRPr="00A97B9C" w:rsidRDefault="00A76143" w:rsidP="00A97B9C">
            <w:pPr>
              <w:pStyle w:val="TableTextRight"/>
            </w:pPr>
            <w:r w:rsidRPr="00A97B9C">
              <w:t>–</w:t>
            </w:r>
          </w:p>
        </w:tc>
        <w:tc>
          <w:tcPr>
            <w:tcW w:w="584" w:type="dxa"/>
            <w:tcMar>
              <w:top w:w="57" w:type="dxa"/>
              <w:bottom w:w="57" w:type="dxa"/>
            </w:tcMar>
          </w:tcPr>
          <w:p w14:paraId="17A54566" w14:textId="55F0615A" w:rsidR="00A76143" w:rsidRPr="00A97B9C" w:rsidRDefault="00A76143" w:rsidP="00A97B9C">
            <w:pPr>
              <w:pStyle w:val="TableTextRight"/>
            </w:pPr>
            <w:r w:rsidRPr="00A97B9C">
              <w:t>–</w:t>
            </w:r>
          </w:p>
        </w:tc>
        <w:tc>
          <w:tcPr>
            <w:tcW w:w="612" w:type="dxa"/>
            <w:tcMar>
              <w:top w:w="57" w:type="dxa"/>
              <w:bottom w:w="57" w:type="dxa"/>
            </w:tcMar>
          </w:tcPr>
          <w:p w14:paraId="476D59BC" w14:textId="01D39304" w:rsidR="00A76143" w:rsidRPr="00A97B9C" w:rsidRDefault="00A76143" w:rsidP="00A97B9C">
            <w:pPr>
              <w:pStyle w:val="TableTextRight"/>
            </w:pPr>
            <w:r w:rsidRPr="00A97B9C">
              <w:t>–</w:t>
            </w:r>
          </w:p>
        </w:tc>
        <w:tc>
          <w:tcPr>
            <w:tcW w:w="751" w:type="dxa"/>
            <w:tcMar>
              <w:top w:w="57" w:type="dxa"/>
              <w:bottom w:w="57" w:type="dxa"/>
            </w:tcMar>
          </w:tcPr>
          <w:p w14:paraId="7CE0C767" w14:textId="2CBBA159" w:rsidR="00A76143" w:rsidRPr="00A97B9C" w:rsidRDefault="00A76143" w:rsidP="00A97B9C">
            <w:pPr>
              <w:pStyle w:val="TableTextRight"/>
            </w:pPr>
            <w:r w:rsidRPr="00A97B9C">
              <w:t>–</w:t>
            </w:r>
          </w:p>
        </w:tc>
        <w:tc>
          <w:tcPr>
            <w:tcW w:w="710" w:type="dxa"/>
            <w:tcMar>
              <w:top w:w="57" w:type="dxa"/>
              <w:bottom w:w="57" w:type="dxa"/>
            </w:tcMar>
          </w:tcPr>
          <w:p w14:paraId="7E954658" w14:textId="3529A335" w:rsidR="00A76143" w:rsidRPr="00A97B9C" w:rsidRDefault="00A76143" w:rsidP="00A97B9C">
            <w:pPr>
              <w:pStyle w:val="TableTextRight"/>
            </w:pPr>
            <w:r w:rsidRPr="00A97B9C">
              <w:t>–</w:t>
            </w:r>
          </w:p>
        </w:tc>
        <w:tc>
          <w:tcPr>
            <w:tcW w:w="796" w:type="dxa"/>
            <w:tcMar>
              <w:top w:w="57" w:type="dxa"/>
              <w:bottom w:w="57" w:type="dxa"/>
            </w:tcMar>
          </w:tcPr>
          <w:p w14:paraId="45E9D67C" w14:textId="19670ADD" w:rsidR="00A76143" w:rsidRPr="00A97B9C" w:rsidRDefault="00A76143" w:rsidP="00A97B9C">
            <w:pPr>
              <w:pStyle w:val="TableTextRight"/>
            </w:pPr>
            <w:r w:rsidRPr="00A97B9C">
              <w:t>–</w:t>
            </w:r>
          </w:p>
        </w:tc>
        <w:tc>
          <w:tcPr>
            <w:tcW w:w="650" w:type="dxa"/>
            <w:tcMar>
              <w:top w:w="57" w:type="dxa"/>
              <w:bottom w:w="57" w:type="dxa"/>
            </w:tcMar>
          </w:tcPr>
          <w:p w14:paraId="37448DC2" w14:textId="21187543" w:rsidR="00A76143" w:rsidRPr="00A97B9C" w:rsidRDefault="00A76143" w:rsidP="00A97B9C">
            <w:pPr>
              <w:pStyle w:val="TableTextRight"/>
            </w:pPr>
            <w:r w:rsidRPr="00A97B9C">
              <w:t>–</w:t>
            </w:r>
          </w:p>
        </w:tc>
        <w:tc>
          <w:tcPr>
            <w:tcW w:w="766" w:type="dxa"/>
            <w:tcMar>
              <w:top w:w="57" w:type="dxa"/>
              <w:bottom w:w="57" w:type="dxa"/>
            </w:tcMar>
          </w:tcPr>
          <w:p w14:paraId="0918DF67" w14:textId="42574EED" w:rsidR="00A76143" w:rsidRPr="00A97B9C" w:rsidRDefault="00A76143" w:rsidP="00A97B9C">
            <w:pPr>
              <w:pStyle w:val="TableTextRight"/>
            </w:pPr>
            <w:r w:rsidRPr="00A97B9C">
              <w:t>–</w:t>
            </w:r>
          </w:p>
        </w:tc>
      </w:tr>
      <w:tr w:rsidR="007A0DA6" w:rsidRPr="003B174A" w14:paraId="10E4BF07" w14:textId="77777777" w:rsidTr="001F10B3">
        <w:trPr>
          <w:trHeight w:val="215"/>
        </w:trPr>
        <w:tc>
          <w:tcPr>
            <w:tcW w:w="709" w:type="dxa"/>
            <w:tcMar>
              <w:top w:w="57" w:type="dxa"/>
              <w:bottom w:w="57" w:type="dxa"/>
            </w:tcMar>
          </w:tcPr>
          <w:p w14:paraId="37144B34" w14:textId="4B5B2806" w:rsidR="00A76143" w:rsidRPr="00A97B9C" w:rsidRDefault="00A76143" w:rsidP="00625DAB">
            <w:pPr>
              <w:pStyle w:val="TableTextLeft"/>
            </w:pPr>
            <w:r w:rsidRPr="00A97B9C">
              <w:t>SES 2 </w:t>
            </w:r>
          </w:p>
        </w:tc>
        <w:tc>
          <w:tcPr>
            <w:tcW w:w="744" w:type="dxa"/>
            <w:tcMar>
              <w:top w:w="57" w:type="dxa"/>
              <w:bottom w:w="57" w:type="dxa"/>
            </w:tcMar>
          </w:tcPr>
          <w:p w14:paraId="287D3BB7" w14:textId="2A7BADCB" w:rsidR="00A76143" w:rsidRPr="00A97B9C" w:rsidRDefault="00A76143" w:rsidP="00A97B9C">
            <w:pPr>
              <w:pStyle w:val="TableTextRight"/>
            </w:pPr>
            <w:r w:rsidRPr="00A97B9C">
              <w:t>–</w:t>
            </w:r>
          </w:p>
        </w:tc>
        <w:tc>
          <w:tcPr>
            <w:tcW w:w="672" w:type="dxa"/>
            <w:tcMar>
              <w:top w:w="57" w:type="dxa"/>
              <w:bottom w:w="57" w:type="dxa"/>
            </w:tcMar>
          </w:tcPr>
          <w:p w14:paraId="5620AA28" w14:textId="65C71A76" w:rsidR="00A76143" w:rsidRPr="00A97B9C" w:rsidRDefault="00A76143" w:rsidP="00A97B9C">
            <w:pPr>
              <w:pStyle w:val="TableTextRight"/>
            </w:pPr>
            <w:r w:rsidRPr="00A97B9C">
              <w:t>–</w:t>
            </w:r>
          </w:p>
        </w:tc>
        <w:tc>
          <w:tcPr>
            <w:tcW w:w="669" w:type="dxa"/>
            <w:tcMar>
              <w:top w:w="57" w:type="dxa"/>
              <w:bottom w:w="57" w:type="dxa"/>
            </w:tcMar>
          </w:tcPr>
          <w:p w14:paraId="21033905" w14:textId="224F1947" w:rsidR="00A76143" w:rsidRPr="00A97B9C" w:rsidRDefault="00A76143" w:rsidP="00A97B9C">
            <w:pPr>
              <w:pStyle w:val="TableTextRight"/>
            </w:pPr>
            <w:r w:rsidRPr="00A97B9C">
              <w:t>–</w:t>
            </w:r>
          </w:p>
        </w:tc>
        <w:tc>
          <w:tcPr>
            <w:tcW w:w="667" w:type="dxa"/>
            <w:tcMar>
              <w:top w:w="57" w:type="dxa"/>
              <w:bottom w:w="57" w:type="dxa"/>
            </w:tcMar>
          </w:tcPr>
          <w:p w14:paraId="295F452F" w14:textId="4F898EA9" w:rsidR="00A76143" w:rsidRPr="00A97B9C" w:rsidRDefault="00A76143" w:rsidP="00A97B9C">
            <w:pPr>
              <w:pStyle w:val="TableTextRight"/>
            </w:pPr>
            <w:r w:rsidRPr="00A97B9C">
              <w:t>–</w:t>
            </w:r>
          </w:p>
        </w:tc>
        <w:tc>
          <w:tcPr>
            <w:tcW w:w="669" w:type="dxa"/>
            <w:tcMar>
              <w:top w:w="57" w:type="dxa"/>
              <w:bottom w:w="57" w:type="dxa"/>
            </w:tcMar>
          </w:tcPr>
          <w:p w14:paraId="377AC8FD" w14:textId="6B32C960" w:rsidR="00A76143" w:rsidRPr="00A97B9C" w:rsidRDefault="00A76143" w:rsidP="00A97B9C">
            <w:pPr>
              <w:pStyle w:val="TableTextRight"/>
            </w:pPr>
            <w:r w:rsidRPr="00A97B9C">
              <w:t>–</w:t>
            </w:r>
          </w:p>
        </w:tc>
        <w:tc>
          <w:tcPr>
            <w:tcW w:w="668" w:type="dxa"/>
            <w:tcMar>
              <w:top w:w="57" w:type="dxa"/>
              <w:bottom w:w="57" w:type="dxa"/>
            </w:tcMar>
          </w:tcPr>
          <w:p w14:paraId="12BB432F" w14:textId="16645BDE" w:rsidR="00A76143" w:rsidRPr="00A97B9C" w:rsidRDefault="00A76143" w:rsidP="00A97B9C">
            <w:pPr>
              <w:pStyle w:val="TableTextRight"/>
            </w:pPr>
            <w:r w:rsidRPr="00A97B9C">
              <w:t>–</w:t>
            </w:r>
          </w:p>
        </w:tc>
        <w:tc>
          <w:tcPr>
            <w:tcW w:w="584" w:type="dxa"/>
            <w:tcMar>
              <w:top w:w="57" w:type="dxa"/>
              <w:bottom w:w="57" w:type="dxa"/>
            </w:tcMar>
          </w:tcPr>
          <w:p w14:paraId="22FE4BAA" w14:textId="23250E05" w:rsidR="00A76143" w:rsidRPr="00A97B9C" w:rsidRDefault="00A76143" w:rsidP="00A97B9C">
            <w:pPr>
              <w:pStyle w:val="TableTextRight"/>
            </w:pPr>
            <w:r w:rsidRPr="00A97B9C">
              <w:t>–</w:t>
            </w:r>
          </w:p>
        </w:tc>
        <w:tc>
          <w:tcPr>
            <w:tcW w:w="584" w:type="dxa"/>
            <w:tcMar>
              <w:top w:w="57" w:type="dxa"/>
              <w:bottom w:w="57" w:type="dxa"/>
            </w:tcMar>
          </w:tcPr>
          <w:p w14:paraId="4051B2CC" w14:textId="5F979C66" w:rsidR="00A76143" w:rsidRPr="00A97B9C" w:rsidRDefault="00A76143" w:rsidP="00A97B9C">
            <w:pPr>
              <w:pStyle w:val="TableTextRight"/>
            </w:pPr>
            <w:r w:rsidRPr="00A97B9C">
              <w:t>–</w:t>
            </w:r>
          </w:p>
        </w:tc>
        <w:tc>
          <w:tcPr>
            <w:tcW w:w="704" w:type="dxa"/>
            <w:tcMar>
              <w:top w:w="57" w:type="dxa"/>
              <w:bottom w:w="57" w:type="dxa"/>
            </w:tcMar>
          </w:tcPr>
          <w:p w14:paraId="42631AAA" w14:textId="5657D2F0" w:rsidR="00A76143" w:rsidRPr="00A97B9C" w:rsidRDefault="00A76143" w:rsidP="00A97B9C">
            <w:pPr>
              <w:pStyle w:val="TableTextRight"/>
            </w:pPr>
            <w:r w:rsidRPr="00A97B9C">
              <w:t>–</w:t>
            </w:r>
          </w:p>
        </w:tc>
        <w:tc>
          <w:tcPr>
            <w:tcW w:w="584" w:type="dxa"/>
            <w:tcMar>
              <w:top w:w="57" w:type="dxa"/>
              <w:bottom w:w="57" w:type="dxa"/>
            </w:tcMar>
          </w:tcPr>
          <w:p w14:paraId="41EB834B" w14:textId="024431E2" w:rsidR="00A76143" w:rsidRPr="00A97B9C" w:rsidRDefault="00A76143" w:rsidP="00A97B9C">
            <w:pPr>
              <w:pStyle w:val="TableTextRight"/>
            </w:pPr>
            <w:r w:rsidRPr="00A97B9C">
              <w:t>–</w:t>
            </w:r>
          </w:p>
        </w:tc>
        <w:tc>
          <w:tcPr>
            <w:tcW w:w="612" w:type="dxa"/>
            <w:tcMar>
              <w:top w:w="57" w:type="dxa"/>
              <w:bottom w:w="57" w:type="dxa"/>
            </w:tcMar>
          </w:tcPr>
          <w:p w14:paraId="3228F82A" w14:textId="0D3A65C6" w:rsidR="00A76143" w:rsidRPr="00A97B9C" w:rsidRDefault="00A76143" w:rsidP="00A97B9C">
            <w:pPr>
              <w:pStyle w:val="TableTextRight"/>
            </w:pPr>
            <w:r w:rsidRPr="00A97B9C">
              <w:t>–</w:t>
            </w:r>
          </w:p>
        </w:tc>
        <w:tc>
          <w:tcPr>
            <w:tcW w:w="751" w:type="dxa"/>
            <w:tcMar>
              <w:top w:w="57" w:type="dxa"/>
              <w:bottom w:w="57" w:type="dxa"/>
            </w:tcMar>
          </w:tcPr>
          <w:p w14:paraId="70F6DDFA" w14:textId="145F1907" w:rsidR="00A76143" w:rsidRPr="00A97B9C" w:rsidRDefault="00A76143" w:rsidP="00A97B9C">
            <w:pPr>
              <w:pStyle w:val="TableTextRight"/>
            </w:pPr>
            <w:r w:rsidRPr="00A97B9C">
              <w:t>–</w:t>
            </w:r>
          </w:p>
        </w:tc>
        <w:tc>
          <w:tcPr>
            <w:tcW w:w="710" w:type="dxa"/>
            <w:tcMar>
              <w:top w:w="57" w:type="dxa"/>
              <w:bottom w:w="57" w:type="dxa"/>
            </w:tcMar>
          </w:tcPr>
          <w:p w14:paraId="2C490B27" w14:textId="1F4FDF94" w:rsidR="00A76143" w:rsidRPr="00A97B9C" w:rsidRDefault="00A76143" w:rsidP="00A97B9C">
            <w:pPr>
              <w:pStyle w:val="TableTextRight"/>
            </w:pPr>
            <w:r w:rsidRPr="00A97B9C">
              <w:t>–</w:t>
            </w:r>
          </w:p>
        </w:tc>
        <w:tc>
          <w:tcPr>
            <w:tcW w:w="796" w:type="dxa"/>
            <w:tcMar>
              <w:top w:w="57" w:type="dxa"/>
              <w:bottom w:w="57" w:type="dxa"/>
            </w:tcMar>
          </w:tcPr>
          <w:p w14:paraId="6DB614E7" w14:textId="5640E447" w:rsidR="00A76143" w:rsidRPr="00A97B9C" w:rsidRDefault="00A76143" w:rsidP="00A97B9C">
            <w:pPr>
              <w:pStyle w:val="TableTextRight"/>
            </w:pPr>
            <w:r w:rsidRPr="00A97B9C">
              <w:t>–</w:t>
            </w:r>
          </w:p>
        </w:tc>
        <w:tc>
          <w:tcPr>
            <w:tcW w:w="650" w:type="dxa"/>
            <w:tcMar>
              <w:top w:w="57" w:type="dxa"/>
              <w:bottom w:w="57" w:type="dxa"/>
            </w:tcMar>
          </w:tcPr>
          <w:p w14:paraId="25363272" w14:textId="12826022" w:rsidR="00A76143" w:rsidRPr="00A97B9C" w:rsidRDefault="00A76143" w:rsidP="00A97B9C">
            <w:pPr>
              <w:pStyle w:val="TableTextRight"/>
            </w:pPr>
            <w:r w:rsidRPr="00A97B9C">
              <w:t>–</w:t>
            </w:r>
          </w:p>
        </w:tc>
        <w:tc>
          <w:tcPr>
            <w:tcW w:w="766" w:type="dxa"/>
            <w:tcMar>
              <w:top w:w="57" w:type="dxa"/>
              <w:bottom w:w="57" w:type="dxa"/>
            </w:tcMar>
          </w:tcPr>
          <w:p w14:paraId="66827495" w14:textId="2EAEBC8A" w:rsidR="00A76143" w:rsidRPr="00A97B9C" w:rsidRDefault="00A76143" w:rsidP="00A97B9C">
            <w:pPr>
              <w:pStyle w:val="TableTextRight"/>
            </w:pPr>
            <w:r w:rsidRPr="00A97B9C">
              <w:t>–</w:t>
            </w:r>
          </w:p>
        </w:tc>
      </w:tr>
      <w:tr w:rsidR="001F10B3" w:rsidRPr="005A1334" w14:paraId="7A8996E4" w14:textId="77777777" w:rsidTr="001F10B3">
        <w:trPr>
          <w:cnfStyle w:val="000000010000" w:firstRow="0" w:lastRow="0" w:firstColumn="0" w:lastColumn="0" w:oddVBand="0" w:evenVBand="0" w:oddHBand="0" w:evenHBand="1" w:firstRowFirstColumn="0" w:firstRowLastColumn="0" w:lastRowFirstColumn="0" w:lastRowLastColumn="0"/>
          <w:trHeight w:val="78"/>
        </w:trPr>
        <w:tc>
          <w:tcPr>
            <w:tcW w:w="709" w:type="dxa"/>
            <w:tcMar>
              <w:top w:w="57" w:type="dxa"/>
              <w:bottom w:w="57" w:type="dxa"/>
            </w:tcMar>
          </w:tcPr>
          <w:p w14:paraId="2725A21C" w14:textId="44172299" w:rsidR="00A76143" w:rsidRPr="00A97B9C" w:rsidRDefault="00A76143" w:rsidP="00625DAB">
            <w:pPr>
              <w:pStyle w:val="TableTextLeft"/>
            </w:pPr>
            <w:r w:rsidRPr="00A97B9C">
              <w:t>SES 1</w:t>
            </w:r>
          </w:p>
        </w:tc>
        <w:tc>
          <w:tcPr>
            <w:tcW w:w="744" w:type="dxa"/>
            <w:tcMar>
              <w:top w:w="57" w:type="dxa"/>
              <w:bottom w:w="57" w:type="dxa"/>
            </w:tcMar>
          </w:tcPr>
          <w:p w14:paraId="710954DB" w14:textId="0083B8DA" w:rsidR="00A76143" w:rsidRPr="00A97B9C" w:rsidRDefault="00A76143" w:rsidP="00A97B9C">
            <w:pPr>
              <w:pStyle w:val="TableTextRight"/>
            </w:pPr>
            <w:r w:rsidRPr="00A97B9C">
              <w:t>–</w:t>
            </w:r>
          </w:p>
        </w:tc>
        <w:tc>
          <w:tcPr>
            <w:tcW w:w="672" w:type="dxa"/>
            <w:tcMar>
              <w:top w:w="57" w:type="dxa"/>
              <w:bottom w:w="57" w:type="dxa"/>
            </w:tcMar>
          </w:tcPr>
          <w:p w14:paraId="3936BC98" w14:textId="585737F2" w:rsidR="00A76143" w:rsidRPr="00A97B9C" w:rsidRDefault="00A76143" w:rsidP="00A97B9C">
            <w:pPr>
              <w:pStyle w:val="TableTextRight"/>
            </w:pPr>
            <w:r w:rsidRPr="00A97B9C">
              <w:t>–</w:t>
            </w:r>
          </w:p>
        </w:tc>
        <w:tc>
          <w:tcPr>
            <w:tcW w:w="669" w:type="dxa"/>
            <w:tcMar>
              <w:top w:w="57" w:type="dxa"/>
              <w:bottom w:w="57" w:type="dxa"/>
            </w:tcMar>
          </w:tcPr>
          <w:p w14:paraId="578816A8" w14:textId="250A13F6" w:rsidR="00A76143" w:rsidRPr="00A97B9C" w:rsidRDefault="00A76143" w:rsidP="00A97B9C">
            <w:pPr>
              <w:pStyle w:val="TableTextRight"/>
            </w:pPr>
            <w:r w:rsidRPr="00A97B9C">
              <w:t>–</w:t>
            </w:r>
          </w:p>
        </w:tc>
        <w:tc>
          <w:tcPr>
            <w:tcW w:w="667" w:type="dxa"/>
            <w:tcMar>
              <w:top w:w="57" w:type="dxa"/>
              <w:bottom w:w="57" w:type="dxa"/>
            </w:tcMar>
          </w:tcPr>
          <w:p w14:paraId="2B0748C7" w14:textId="0EAC8988" w:rsidR="00A76143" w:rsidRPr="00A97B9C" w:rsidRDefault="00A76143" w:rsidP="00A97B9C">
            <w:pPr>
              <w:pStyle w:val="TableTextRight"/>
            </w:pPr>
            <w:r w:rsidRPr="00A97B9C">
              <w:t>–</w:t>
            </w:r>
          </w:p>
        </w:tc>
        <w:tc>
          <w:tcPr>
            <w:tcW w:w="669" w:type="dxa"/>
            <w:tcMar>
              <w:top w:w="57" w:type="dxa"/>
              <w:bottom w:w="57" w:type="dxa"/>
            </w:tcMar>
          </w:tcPr>
          <w:p w14:paraId="6A58A6F6" w14:textId="0C24CCA0" w:rsidR="00A76143" w:rsidRPr="00A97B9C" w:rsidRDefault="00A76143" w:rsidP="00A97B9C">
            <w:pPr>
              <w:pStyle w:val="TableTextRight"/>
            </w:pPr>
            <w:r w:rsidRPr="00A97B9C">
              <w:t>–</w:t>
            </w:r>
          </w:p>
        </w:tc>
        <w:tc>
          <w:tcPr>
            <w:tcW w:w="668" w:type="dxa"/>
            <w:tcMar>
              <w:top w:w="57" w:type="dxa"/>
              <w:bottom w:w="57" w:type="dxa"/>
            </w:tcMar>
          </w:tcPr>
          <w:p w14:paraId="004350FF" w14:textId="7ACABBA9" w:rsidR="00A76143" w:rsidRPr="00A97B9C" w:rsidRDefault="00A76143" w:rsidP="00A97B9C">
            <w:pPr>
              <w:pStyle w:val="TableTextRight"/>
            </w:pPr>
            <w:r w:rsidRPr="00A97B9C">
              <w:t>–</w:t>
            </w:r>
          </w:p>
        </w:tc>
        <w:tc>
          <w:tcPr>
            <w:tcW w:w="584" w:type="dxa"/>
            <w:tcMar>
              <w:top w:w="57" w:type="dxa"/>
              <w:bottom w:w="57" w:type="dxa"/>
            </w:tcMar>
          </w:tcPr>
          <w:p w14:paraId="417163DF" w14:textId="4E8E42AC" w:rsidR="00A76143" w:rsidRPr="00A97B9C" w:rsidRDefault="00A76143" w:rsidP="00A97B9C">
            <w:pPr>
              <w:pStyle w:val="TableTextRight"/>
            </w:pPr>
            <w:r w:rsidRPr="00A97B9C">
              <w:t>–</w:t>
            </w:r>
          </w:p>
        </w:tc>
        <w:tc>
          <w:tcPr>
            <w:tcW w:w="584" w:type="dxa"/>
            <w:tcMar>
              <w:top w:w="57" w:type="dxa"/>
              <w:bottom w:w="57" w:type="dxa"/>
            </w:tcMar>
          </w:tcPr>
          <w:p w14:paraId="58057963" w14:textId="42A09920" w:rsidR="00A76143" w:rsidRPr="00A97B9C" w:rsidRDefault="00A76143" w:rsidP="00A97B9C">
            <w:pPr>
              <w:pStyle w:val="TableTextRight"/>
            </w:pPr>
            <w:r w:rsidRPr="00A97B9C">
              <w:t>–</w:t>
            </w:r>
          </w:p>
        </w:tc>
        <w:tc>
          <w:tcPr>
            <w:tcW w:w="704" w:type="dxa"/>
            <w:tcMar>
              <w:top w:w="57" w:type="dxa"/>
              <w:bottom w:w="57" w:type="dxa"/>
            </w:tcMar>
          </w:tcPr>
          <w:p w14:paraId="701F3D5B" w14:textId="261F35E5" w:rsidR="00A76143" w:rsidRPr="00A97B9C" w:rsidRDefault="00A76143" w:rsidP="00A97B9C">
            <w:pPr>
              <w:pStyle w:val="TableTextRight"/>
            </w:pPr>
            <w:r w:rsidRPr="00A97B9C">
              <w:t>–</w:t>
            </w:r>
          </w:p>
        </w:tc>
        <w:tc>
          <w:tcPr>
            <w:tcW w:w="584" w:type="dxa"/>
            <w:tcMar>
              <w:top w:w="57" w:type="dxa"/>
              <w:bottom w:w="57" w:type="dxa"/>
            </w:tcMar>
          </w:tcPr>
          <w:p w14:paraId="1A6C619F" w14:textId="166360CB" w:rsidR="00A76143" w:rsidRPr="00A97B9C" w:rsidRDefault="00A76143" w:rsidP="00A97B9C">
            <w:pPr>
              <w:pStyle w:val="TableTextRight"/>
            </w:pPr>
            <w:r w:rsidRPr="00A97B9C">
              <w:t>–</w:t>
            </w:r>
          </w:p>
        </w:tc>
        <w:tc>
          <w:tcPr>
            <w:tcW w:w="612" w:type="dxa"/>
            <w:tcMar>
              <w:top w:w="57" w:type="dxa"/>
              <w:bottom w:w="57" w:type="dxa"/>
            </w:tcMar>
          </w:tcPr>
          <w:p w14:paraId="6B1979A4" w14:textId="7D8513F9" w:rsidR="00A76143" w:rsidRPr="00A97B9C" w:rsidRDefault="00A76143" w:rsidP="00A97B9C">
            <w:pPr>
              <w:pStyle w:val="TableTextRight"/>
            </w:pPr>
            <w:r w:rsidRPr="00A97B9C">
              <w:t>–</w:t>
            </w:r>
          </w:p>
        </w:tc>
        <w:tc>
          <w:tcPr>
            <w:tcW w:w="751" w:type="dxa"/>
            <w:tcMar>
              <w:top w:w="57" w:type="dxa"/>
              <w:bottom w:w="57" w:type="dxa"/>
            </w:tcMar>
          </w:tcPr>
          <w:p w14:paraId="6B07A1EF" w14:textId="755C3B8D" w:rsidR="00A76143" w:rsidRPr="00A97B9C" w:rsidRDefault="00A76143" w:rsidP="00A97B9C">
            <w:pPr>
              <w:pStyle w:val="TableTextRight"/>
            </w:pPr>
            <w:r w:rsidRPr="00A97B9C">
              <w:t>–</w:t>
            </w:r>
          </w:p>
        </w:tc>
        <w:tc>
          <w:tcPr>
            <w:tcW w:w="710" w:type="dxa"/>
            <w:tcMar>
              <w:top w:w="57" w:type="dxa"/>
              <w:bottom w:w="57" w:type="dxa"/>
            </w:tcMar>
          </w:tcPr>
          <w:p w14:paraId="48F55984" w14:textId="6E65996A" w:rsidR="00A76143" w:rsidRPr="00A97B9C" w:rsidRDefault="00A76143" w:rsidP="00A97B9C">
            <w:pPr>
              <w:pStyle w:val="TableTextRight"/>
            </w:pPr>
            <w:r w:rsidRPr="00A97B9C">
              <w:t>–</w:t>
            </w:r>
          </w:p>
        </w:tc>
        <w:tc>
          <w:tcPr>
            <w:tcW w:w="796" w:type="dxa"/>
            <w:tcMar>
              <w:top w:w="57" w:type="dxa"/>
              <w:bottom w:w="57" w:type="dxa"/>
            </w:tcMar>
          </w:tcPr>
          <w:p w14:paraId="25FAF85C" w14:textId="4ABB67D3" w:rsidR="00A76143" w:rsidRPr="00A97B9C" w:rsidRDefault="00A76143" w:rsidP="00A97B9C">
            <w:pPr>
              <w:pStyle w:val="TableTextRight"/>
            </w:pPr>
            <w:r w:rsidRPr="00A97B9C">
              <w:t>–</w:t>
            </w:r>
          </w:p>
        </w:tc>
        <w:tc>
          <w:tcPr>
            <w:tcW w:w="650" w:type="dxa"/>
            <w:tcMar>
              <w:top w:w="57" w:type="dxa"/>
              <w:bottom w:w="57" w:type="dxa"/>
            </w:tcMar>
          </w:tcPr>
          <w:p w14:paraId="035AA370" w14:textId="128AEE49" w:rsidR="00A76143" w:rsidRPr="00A97B9C" w:rsidRDefault="00A76143" w:rsidP="00A97B9C">
            <w:pPr>
              <w:pStyle w:val="TableTextRight"/>
            </w:pPr>
            <w:r w:rsidRPr="00A97B9C">
              <w:t>–</w:t>
            </w:r>
          </w:p>
        </w:tc>
        <w:tc>
          <w:tcPr>
            <w:tcW w:w="766" w:type="dxa"/>
            <w:tcMar>
              <w:top w:w="57" w:type="dxa"/>
              <w:bottom w:w="57" w:type="dxa"/>
            </w:tcMar>
          </w:tcPr>
          <w:p w14:paraId="1407E827" w14:textId="76E417D2" w:rsidR="00A76143" w:rsidRPr="00A97B9C" w:rsidRDefault="00A76143" w:rsidP="00A97B9C">
            <w:pPr>
              <w:pStyle w:val="TableTextRight"/>
            </w:pPr>
            <w:r w:rsidRPr="00A97B9C">
              <w:t>–</w:t>
            </w:r>
          </w:p>
        </w:tc>
      </w:tr>
      <w:tr w:rsidR="007A0DA6" w:rsidRPr="003B174A" w14:paraId="44AAE15E" w14:textId="77777777" w:rsidTr="001F10B3">
        <w:trPr>
          <w:trHeight w:val="25"/>
        </w:trPr>
        <w:tc>
          <w:tcPr>
            <w:tcW w:w="709" w:type="dxa"/>
            <w:tcMar>
              <w:top w:w="57" w:type="dxa"/>
              <w:bottom w:w="57" w:type="dxa"/>
            </w:tcMar>
          </w:tcPr>
          <w:p w14:paraId="5A81FE7F" w14:textId="43370BE6" w:rsidR="00A76143" w:rsidRPr="00A97B9C" w:rsidRDefault="00A76143" w:rsidP="00625DAB">
            <w:pPr>
              <w:pStyle w:val="TableTextLeft"/>
            </w:pPr>
            <w:r w:rsidRPr="00A97B9C">
              <w:t>EL 2</w:t>
            </w:r>
          </w:p>
        </w:tc>
        <w:tc>
          <w:tcPr>
            <w:tcW w:w="744" w:type="dxa"/>
            <w:tcMar>
              <w:top w:w="57" w:type="dxa"/>
              <w:bottom w:w="57" w:type="dxa"/>
            </w:tcMar>
          </w:tcPr>
          <w:p w14:paraId="71BA6909" w14:textId="2772C110" w:rsidR="00A76143" w:rsidRPr="00A97B9C" w:rsidRDefault="00A76143" w:rsidP="00A97B9C">
            <w:pPr>
              <w:pStyle w:val="TableTextRight"/>
            </w:pPr>
            <w:r w:rsidRPr="00A97B9C">
              <w:t>–</w:t>
            </w:r>
          </w:p>
        </w:tc>
        <w:tc>
          <w:tcPr>
            <w:tcW w:w="672" w:type="dxa"/>
            <w:tcMar>
              <w:top w:w="57" w:type="dxa"/>
              <w:bottom w:w="57" w:type="dxa"/>
            </w:tcMar>
          </w:tcPr>
          <w:p w14:paraId="43110272" w14:textId="78653A55" w:rsidR="00A76143" w:rsidRPr="00A97B9C" w:rsidRDefault="00A76143" w:rsidP="00A97B9C">
            <w:pPr>
              <w:pStyle w:val="TableTextRight"/>
            </w:pPr>
            <w:r w:rsidRPr="00A97B9C">
              <w:t>–</w:t>
            </w:r>
          </w:p>
        </w:tc>
        <w:tc>
          <w:tcPr>
            <w:tcW w:w="669" w:type="dxa"/>
            <w:tcMar>
              <w:top w:w="57" w:type="dxa"/>
              <w:bottom w:w="57" w:type="dxa"/>
            </w:tcMar>
          </w:tcPr>
          <w:p w14:paraId="2A5FA219" w14:textId="5E7BBF92" w:rsidR="00A76143" w:rsidRPr="00A97B9C" w:rsidRDefault="00A76143" w:rsidP="00A97B9C">
            <w:pPr>
              <w:pStyle w:val="TableTextRight"/>
            </w:pPr>
            <w:r w:rsidRPr="00A97B9C">
              <w:t>–</w:t>
            </w:r>
          </w:p>
        </w:tc>
        <w:tc>
          <w:tcPr>
            <w:tcW w:w="667" w:type="dxa"/>
            <w:tcMar>
              <w:top w:w="57" w:type="dxa"/>
              <w:bottom w:w="57" w:type="dxa"/>
            </w:tcMar>
          </w:tcPr>
          <w:p w14:paraId="33A3902E" w14:textId="4C712512" w:rsidR="00A76143" w:rsidRPr="00A97B9C" w:rsidRDefault="00A76143" w:rsidP="00A97B9C">
            <w:pPr>
              <w:pStyle w:val="TableTextRight"/>
            </w:pPr>
            <w:r w:rsidRPr="00A97B9C">
              <w:t>–</w:t>
            </w:r>
          </w:p>
        </w:tc>
        <w:tc>
          <w:tcPr>
            <w:tcW w:w="669" w:type="dxa"/>
            <w:tcMar>
              <w:top w:w="57" w:type="dxa"/>
              <w:bottom w:w="57" w:type="dxa"/>
            </w:tcMar>
          </w:tcPr>
          <w:p w14:paraId="62C2F106" w14:textId="2BA805FF" w:rsidR="00A76143" w:rsidRPr="00A97B9C" w:rsidRDefault="00A76143" w:rsidP="00A97B9C">
            <w:pPr>
              <w:pStyle w:val="TableTextRight"/>
            </w:pPr>
            <w:r w:rsidRPr="00A97B9C">
              <w:t>–</w:t>
            </w:r>
          </w:p>
        </w:tc>
        <w:tc>
          <w:tcPr>
            <w:tcW w:w="668" w:type="dxa"/>
            <w:tcMar>
              <w:top w:w="57" w:type="dxa"/>
              <w:bottom w:w="57" w:type="dxa"/>
            </w:tcMar>
          </w:tcPr>
          <w:p w14:paraId="40EDAE04" w14:textId="67FAD509" w:rsidR="00A76143" w:rsidRPr="00A97B9C" w:rsidRDefault="00A76143" w:rsidP="00A97B9C">
            <w:pPr>
              <w:pStyle w:val="TableTextRight"/>
            </w:pPr>
            <w:r w:rsidRPr="00A97B9C">
              <w:t>–</w:t>
            </w:r>
          </w:p>
        </w:tc>
        <w:tc>
          <w:tcPr>
            <w:tcW w:w="584" w:type="dxa"/>
            <w:tcMar>
              <w:top w:w="57" w:type="dxa"/>
              <w:bottom w:w="57" w:type="dxa"/>
            </w:tcMar>
          </w:tcPr>
          <w:p w14:paraId="39819C23" w14:textId="1CCBAC76" w:rsidR="00A76143" w:rsidRPr="00A97B9C" w:rsidRDefault="00A76143" w:rsidP="00A97B9C">
            <w:pPr>
              <w:pStyle w:val="TableTextRight"/>
            </w:pPr>
            <w:r w:rsidRPr="00A97B9C">
              <w:t>–</w:t>
            </w:r>
          </w:p>
        </w:tc>
        <w:tc>
          <w:tcPr>
            <w:tcW w:w="584" w:type="dxa"/>
            <w:tcMar>
              <w:top w:w="57" w:type="dxa"/>
              <w:bottom w:w="57" w:type="dxa"/>
            </w:tcMar>
          </w:tcPr>
          <w:p w14:paraId="4EE7F308" w14:textId="4CA3FDD0" w:rsidR="00A76143" w:rsidRPr="00A97B9C" w:rsidRDefault="00A76143" w:rsidP="00A97B9C">
            <w:pPr>
              <w:pStyle w:val="TableTextRight"/>
            </w:pPr>
            <w:r w:rsidRPr="00A97B9C">
              <w:t>–</w:t>
            </w:r>
          </w:p>
        </w:tc>
        <w:tc>
          <w:tcPr>
            <w:tcW w:w="704" w:type="dxa"/>
            <w:tcMar>
              <w:top w:w="57" w:type="dxa"/>
              <w:bottom w:w="57" w:type="dxa"/>
            </w:tcMar>
          </w:tcPr>
          <w:p w14:paraId="66E61C1A" w14:textId="4A4CF153" w:rsidR="00A76143" w:rsidRPr="00A97B9C" w:rsidRDefault="00A76143" w:rsidP="00A97B9C">
            <w:pPr>
              <w:pStyle w:val="TableTextRight"/>
            </w:pPr>
            <w:r w:rsidRPr="00A97B9C">
              <w:t>–</w:t>
            </w:r>
          </w:p>
        </w:tc>
        <w:tc>
          <w:tcPr>
            <w:tcW w:w="584" w:type="dxa"/>
            <w:tcMar>
              <w:top w:w="57" w:type="dxa"/>
              <w:bottom w:w="57" w:type="dxa"/>
            </w:tcMar>
          </w:tcPr>
          <w:p w14:paraId="1DFAF4B3" w14:textId="04D2D20D" w:rsidR="00A76143" w:rsidRPr="00A97B9C" w:rsidRDefault="00A76143" w:rsidP="00A97B9C">
            <w:pPr>
              <w:pStyle w:val="TableTextRight"/>
            </w:pPr>
            <w:r w:rsidRPr="00A97B9C">
              <w:t>–</w:t>
            </w:r>
          </w:p>
        </w:tc>
        <w:tc>
          <w:tcPr>
            <w:tcW w:w="612" w:type="dxa"/>
            <w:tcMar>
              <w:top w:w="57" w:type="dxa"/>
              <w:bottom w:w="57" w:type="dxa"/>
            </w:tcMar>
          </w:tcPr>
          <w:p w14:paraId="42F304EC" w14:textId="26D0E87C" w:rsidR="00A76143" w:rsidRPr="00A97B9C" w:rsidRDefault="00A76143" w:rsidP="00A97B9C">
            <w:pPr>
              <w:pStyle w:val="TableTextRight"/>
            </w:pPr>
            <w:r w:rsidRPr="00A97B9C">
              <w:t>–</w:t>
            </w:r>
          </w:p>
        </w:tc>
        <w:tc>
          <w:tcPr>
            <w:tcW w:w="751" w:type="dxa"/>
            <w:tcMar>
              <w:top w:w="57" w:type="dxa"/>
              <w:bottom w:w="57" w:type="dxa"/>
            </w:tcMar>
          </w:tcPr>
          <w:p w14:paraId="0AD5F970" w14:textId="37739385" w:rsidR="00A76143" w:rsidRPr="00A97B9C" w:rsidRDefault="00A76143" w:rsidP="00A97B9C">
            <w:pPr>
              <w:pStyle w:val="TableTextRight"/>
            </w:pPr>
            <w:r w:rsidRPr="00A97B9C">
              <w:t>–</w:t>
            </w:r>
          </w:p>
        </w:tc>
        <w:tc>
          <w:tcPr>
            <w:tcW w:w="710" w:type="dxa"/>
            <w:tcMar>
              <w:top w:w="57" w:type="dxa"/>
              <w:bottom w:w="57" w:type="dxa"/>
            </w:tcMar>
          </w:tcPr>
          <w:p w14:paraId="2C957ACD" w14:textId="67EF312D" w:rsidR="00A76143" w:rsidRPr="00A97B9C" w:rsidRDefault="00A76143" w:rsidP="00A97B9C">
            <w:pPr>
              <w:pStyle w:val="TableTextRight"/>
            </w:pPr>
            <w:r w:rsidRPr="00A97B9C">
              <w:t>–</w:t>
            </w:r>
          </w:p>
        </w:tc>
        <w:tc>
          <w:tcPr>
            <w:tcW w:w="796" w:type="dxa"/>
            <w:tcMar>
              <w:top w:w="57" w:type="dxa"/>
              <w:bottom w:w="57" w:type="dxa"/>
            </w:tcMar>
          </w:tcPr>
          <w:p w14:paraId="648C9A7C" w14:textId="5E3E7FB6" w:rsidR="00A76143" w:rsidRPr="00A97B9C" w:rsidRDefault="00A76143" w:rsidP="00A97B9C">
            <w:pPr>
              <w:pStyle w:val="TableTextRight"/>
            </w:pPr>
            <w:r w:rsidRPr="00A97B9C">
              <w:t>–</w:t>
            </w:r>
          </w:p>
        </w:tc>
        <w:tc>
          <w:tcPr>
            <w:tcW w:w="650" w:type="dxa"/>
            <w:tcMar>
              <w:top w:w="57" w:type="dxa"/>
              <w:bottom w:w="57" w:type="dxa"/>
            </w:tcMar>
          </w:tcPr>
          <w:p w14:paraId="40465DD0" w14:textId="1EB64655" w:rsidR="00A76143" w:rsidRPr="00A97B9C" w:rsidRDefault="00A76143" w:rsidP="00A97B9C">
            <w:pPr>
              <w:pStyle w:val="TableTextRight"/>
            </w:pPr>
            <w:r w:rsidRPr="00A97B9C">
              <w:t>–</w:t>
            </w:r>
          </w:p>
        </w:tc>
        <w:tc>
          <w:tcPr>
            <w:tcW w:w="766" w:type="dxa"/>
            <w:tcMar>
              <w:top w:w="57" w:type="dxa"/>
              <w:bottom w:w="57" w:type="dxa"/>
            </w:tcMar>
          </w:tcPr>
          <w:p w14:paraId="15171E96" w14:textId="51B4DCDB" w:rsidR="00A76143" w:rsidRPr="00A97B9C" w:rsidRDefault="00A76143" w:rsidP="00A97B9C">
            <w:pPr>
              <w:pStyle w:val="TableTextRight"/>
            </w:pPr>
            <w:r w:rsidRPr="00A97B9C">
              <w:t>–</w:t>
            </w:r>
          </w:p>
        </w:tc>
      </w:tr>
      <w:tr w:rsidR="001F10B3" w:rsidRPr="005A1334" w14:paraId="4EAEE7E1" w14:textId="77777777" w:rsidTr="001F10B3">
        <w:trPr>
          <w:cnfStyle w:val="000000010000" w:firstRow="0" w:lastRow="0" w:firstColumn="0" w:lastColumn="0" w:oddVBand="0" w:evenVBand="0" w:oddHBand="0" w:evenHBand="1" w:firstRowFirstColumn="0" w:firstRowLastColumn="0" w:lastRowFirstColumn="0" w:lastRowLastColumn="0"/>
          <w:trHeight w:val="25"/>
        </w:trPr>
        <w:tc>
          <w:tcPr>
            <w:tcW w:w="709" w:type="dxa"/>
            <w:tcMar>
              <w:top w:w="57" w:type="dxa"/>
              <w:bottom w:w="57" w:type="dxa"/>
            </w:tcMar>
          </w:tcPr>
          <w:p w14:paraId="7EF2EB8A" w14:textId="18BAA0C7" w:rsidR="00A76143" w:rsidRPr="00A97B9C" w:rsidRDefault="00A76143" w:rsidP="00625DAB">
            <w:pPr>
              <w:pStyle w:val="TableTextLeft"/>
            </w:pPr>
            <w:r w:rsidRPr="00A97B9C">
              <w:t>EL 1</w:t>
            </w:r>
          </w:p>
        </w:tc>
        <w:tc>
          <w:tcPr>
            <w:tcW w:w="744" w:type="dxa"/>
            <w:tcMar>
              <w:top w:w="57" w:type="dxa"/>
              <w:bottom w:w="57" w:type="dxa"/>
            </w:tcMar>
          </w:tcPr>
          <w:p w14:paraId="42FE359C" w14:textId="22899D52" w:rsidR="00A76143" w:rsidRPr="00A97B9C" w:rsidRDefault="00A76143" w:rsidP="00A97B9C">
            <w:pPr>
              <w:pStyle w:val="TableTextRight"/>
            </w:pPr>
            <w:r w:rsidRPr="00A97B9C">
              <w:t>–</w:t>
            </w:r>
          </w:p>
        </w:tc>
        <w:tc>
          <w:tcPr>
            <w:tcW w:w="672" w:type="dxa"/>
            <w:tcMar>
              <w:top w:w="57" w:type="dxa"/>
              <w:bottom w:w="57" w:type="dxa"/>
            </w:tcMar>
          </w:tcPr>
          <w:p w14:paraId="73E24574" w14:textId="14650B83" w:rsidR="00A76143" w:rsidRPr="00A97B9C" w:rsidRDefault="00A76143" w:rsidP="00A97B9C">
            <w:pPr>
              <w:pStyle w:val="TableTextRight"/>
            </w:pPr>
            <w:r w:rsidRPr="00A97B9C">
              <w:t>–</w:t>
            </w:r>
          </w:p>
        </w:tc>
        <w:tc>
          <w:tcPr>
            <w:tcW w:w="669" w:type="dxa"/>
            <w:tcMar>
              <w:top w:w="57" w:type="dxa"/>
              <w:bottom w:w="57" w:type="dxa"/>
            </w:tcMar>
          </w:tcPr>
          <w:p w14:paraId="7F5CE930" w14:textId="03776754" w:rsidR="00A76143" w:rsidRPr="00A97B9C" w:rsidRDefault="00A76143" w:rsidP="00A97B9C">
            <w:pPr>
              <w:pStyle w:val="TableTextRight"/>
            </w:pPr>
            <w:r w:rsidRPr="00A97B9C">
              <w:t>–</w:t>
            </w:r>
          </w:p>
        </w:tc>
        <w:tc>
          <w:tcPr>
            <w:tcW w:w="667" w:type="dxa"/>
            <w:tcMar>
              <w:top w:w="57" w:type="dxa"/>
              <w:bottom w:w="57" w:type="dxa"/>
            </w:tcMar>
          </w:tcPr>
          <w:p w14:paraId="72C83225" w14:textId="1ADF2CAC" w:rsidR="00A76143" w:rsidRPr="00A97B9C" w:rsidRDefault="00A76143" w:rsidP="00A97B9C">
            <w:pPr>
              <w:pStyle w:val="TableTextRight"/>
            </w:pPr>
            <w:r w:rsidRPr="00A97B9C">
              <w:t> 2</w:t>
            </w:r>
          </w:p>
        </w:tc>
        <w:tc>
          <w:tcPr>
            <w:tcW w:w="669" w:type="dxa"/>
            <w:tcMar>
              <w:top w:w="57" w:type="dxa"/>
              <w:bottom w:w="57" w:type="dxa"/>
            </w:tcMar>
          </w:tcPr>
          <w:p w14:paraId="3B7FC00F" w14:textId="16C3A09D" w:rsidR="00A76143" w:rsidRPr="00A97B9C" w:rsidRDefault="00A76143" w:rsidP="00A97B9C">
            <w:pPr>
              <w:pStyle w:val="TableTextRight"/>
            </w:pPr>
            <w:r w:rsidRPr="00A97B9C">
              <w:t>–</w:t>
            </w:r>
          </w:p>
        </w:tc>
        <w:tc>
          <w:tcPr>
            <w:tcW w:w="668" w:type="dxa"/>
            <w:tcMar>
              <w:top w:w="57" w:type="dxa"/>
              <w:bottom w:w="57" w:type="dxa"/>
            </w:tcMar>
          </w:tcPr>
          <w:p w14:paraId="7E054E49" w14:textId="1C0B2B7F" w:rsidR="00A76143" w:rsidRPr="00A97B9C" w:rsidRDefault="00A76143" w:rsidP="00A97B9C">
            <w:pPr>
              <w:pStyle w:val="TableTextRight"/>
            </w:pPr>
            <w:r w:rsidRPr="00A97B9C">
              <w:t> 2</w:t>
            </w:r>
          </w:p>
        </w:tc>
        <w:tc>
          <w:tcPr>
            <w:tcW w:w="584" w:type="dxa"/>
            <w:tcMar>
              <w:top w:w="57" w:type="dxa"/>
              <w:bottom w:w="57" w:type="dxa"/>
            </w:tcMar>
          </w:tcPr>
          <w:p w14:paraId="24049E06" w14:textId="69F5691F" w:rsidR="00A76143" w:rsidRPr="00A97B9C" w:rsidRDefault="00A76143" w:rsidP="00A97B9C">
            <w:pPr>
              <w:pStyle w:val="TableTextRight"/>
            </w:pPr>
            <w:r w:rsidRPr="00A97B9C">
              <w:t>–</w:t>
            </w:r>
          </w:p>
        </w:tc>
        <w:tc>
          <w:tcPr>
            <w:tcW w:w="584" w:type="dxa"/>
            <w:tcMar>
              <w:top w:w="57" w:type="dxa"/>
              <w:bottom w:w="57" w:type="dxa"/>
            </w:tcMar>
          </w:tcPr>
          <w:p w14:paraId="6B5D3EB2" w14:textId="06CEAC0C" w:rsidR="00A76143" w:rsidRPr="00A97B9C" w:rsidRDefault="00A76143" w:rsidP="00A97B9C">
            <w:pPr>
              <w:pStyle w:val="TableTextRight"/>
            </w:pPr>
            <w:r w:rsidRPr="00A97B9C">
              <w:t>–</w:t>
            </w:r>
          </w:p>
        </w:tc>
        <w:tc>
          <w:tcPr>
            <w:tcW w:w="704" w:type="dxa"/>
            <w:tcMar>
              <w:top w:w="57" w:type="dxa"/>
              <w:bottom w:w="57" w:type="dxa"/>
            </w:tcMar>
          </w:tcPr>
          <w:p w14:paraId="18E82822" w14:textId="41AAFD69" w:rsidR="00A76143" w:rsidRPr="00A97B9C" w:rsidRDefault="00A76143" w:rsidP="00A97B9C">
            <w:pPr>
              <w:pStyle w:val="TableTextRight"/>
            </w:pPr>
            <w:r w:rsidRPr="00A97B9C">
              <w:t>–</w:t>
            </w:r>
          </w:p>
        </w:tc>
        <w:tc>
          <w:tcPr>
            <w:tcW w:w="584" w:type="dxa"/>
            <w:tcMar>
              <w:top w:w="57" w:type="dxa"/>
              <w:bottom w:w="57" w:type="dxa"/>
            </w:tcMar>
          </w:tcPr>
          <w:p w14:paraId="35ED4146" w14:textId="57C86FB2" w:rsidR="00A76143" w:rsidRPr="00A97B9C" w:rsidRDefault="00A76143" w:rsidP="00A97B9C">
            <w:pPr>
              <w:pStyle w:val="TableTextRight"/>
            </w:pPr>
            <w:r w:rsidRPr="00A97B9C">
              <w:t>–</w:t>
            </w:r>
          </w:p>
        </w:tc>
        <w:tc>
          <w:tcPr>
            <w:tcW w:w="612" w:type="dxa"/>
            <w:tcMar>
              <w:top w:w="57" w:type="dxa"/>
              <w:bottom w:w="57" w:type="dxa"/>
            </w:tcMar>
          </w:tcPr>
          <w:p w14:paraId="7FF49C8F" w14:textId="3F71F59A" w:rsidR="00A76143" w:rsidRPr="00A97B9C" w:rsidRDefault="00A76143" w:rsidP="00A97B9C">
            <w:pPr>
              <w:pStyle w:val="TableTextRight"/>
            </w:pPr>
            <w:r w:rsidRPr="00A97B9C">
              <w:t>–</w:t>
            </w:r>
          </w:p>
        </w:tc>
        <w:tc>
          <w:tcPr>
            <w:tcW w:w="751" w:type="dxa"/>
            <w:tcMar>
              <w:top w:w="57" w:type="dxa"/>
              <w:bottom w:w="57" w:type="dxa"/>
            </w:tcMar>
          </w:tcPr>
          <w:p w14:paraId="151C3341" w14:textId="11E7EB0B" w:rsidR="00A76143" w:rsidRPr="00A97B9C" w:rsidRDefault="00A76143" w:rsidP="00A97B9C">
            <w:pPr>
              <w:pStyle w:val="TableTextRight"/>
            </w:pPr>
            <w:r w:rsidRPr="00A97B9C">
              <w:t>–</w:t>
            </w:r>
          </w:p>
        </w:tc>
        <w:tc>
          <w:tcPr>
            <w:tcW w:w="710" w:type="dxa"/>
            <w:tcMar>
              <w:top w:w="57" w:type="dxa"/>
              <w:bottom w:w="57" w:type="dxa"/>
            </w:tcMar>
          </w:tcPr>
          <w:p w14:paraId="52C8B09C" w14:textId="0930AD29" w:rsidR="00A76143" w:rsidRPr="00A97B9C" w:rsidRDefault="00A76143" w:rsidP="00A97B9C">
            <w:pPr>
              <w:pStyle w:val="TableTextRight"/>
            </w:pPr>
            <w:r w:rsidRPr="00A97B9C">
              <w:t>–</w:t>
            </w:r>
          </w:p>
        </w:tc>
        <w:tc>
          <w:tcPr>
            <w:tcW w:w="796" w:type="dxa"/>
            <w:tcMar>
              <w:top w:w="57" w:type="dxa"/>
              <w:bottom w:w="57" w:type="dxa"/>
            </w:tcMar>
          </w:tcPr>
          <w:p w14:paraId="63833DAF" w14:textId="2B6FBF29" w:rsidR="00A76143" w:rsidRPr="00A97B9C" w:rsidRDefault="00A76143" w:rsidP="00A97B9C">
            <w:pPr>
              <w:pStyle w:val="TableTextRight"/>
            </w:pPr>
            <w:r w:rsidRPr="00A97B9C">
              <w:t>–</w:t>
            </w:r>
          </w:p>
        </w:tc>
        <w:tc>
          <w:tcPr>
            <w:tcW w:w="650" w:type="dxa"/>
            <w:tcMar>
              <w:top w:w="57" w:type="dxa"/>
              <w:bottom w:w="57" w:type="dxa"/>
            </w:tcMar>
          </w:tcPr>
          <w:p w14:paraId="54B5A06C" w14:textId="79054362" w:rsidR="00A76143" w:rsidRPr="00A97B9C" w:rsidRDefault="00A76143" w:rsidP="00A97B9C">
            <w:pPr>
              <w:pStyle w:val="TableTextRight"/>
            </w:pPr>
            <w:r w:rsidRPr="00A97B9C">
              <w:t>–</w:t>
            </w:r>
          </w:p>
        </w:tc>
        <w:tc>
          <w:tcPr>
            <w:tcW w:w="766" w:type="dxa"/>
            <w:tcMar>
              <w:top w:w="57" w:type="dxa"/>
              <w:bottom w:w="57" w:type="dxa"/>
            </w:tcMar>
          </w:tcPr>
          <w:p w14:paraId="7CEA1545" w14:textId="4C3F332F" w:rsidR="00A76143" w:rsidRPr="00A97B9C" w:rsidRDefault="00A76143" w:rsidP="00A97B9C">
            <w:pPr>
              <w:pStyle w:val="TableTextRight"/>
            </w:pPr>
            <w:r w:rsidRPr="00A97B9C">
              <w:t> 2</w:t>
            </w:r>
          </w:p>
        </w:tc>
      </w:tr>
      <w:tr w:rsidR="007A0DA6" w:rsidRPr="003B174A" w14:paraId="197FC0ED" w14:textId="77777777" w:rsidTr="001F10B3">
        <w:trPr>
          <w:trHeight w:val="25"/>
        </w:trPr>
        <w:tc>
          <w:tcPr>
            <w:tcW w:w="709" w:type="dxa"/>
            <w:tcMar>
              <w:top w:w="57" w:type="dxa"/>
              <w:bottom w:w="57" w:type="dxa"/>
            </w:tcMar>
          </w:tcPr>
          <w:p w14:paraId="755ADE13" w14:textId="7338DED0" w:rsidR="00A76143" w:rsidRPr="00A97B9C" w:rsidRDefault="00A76143" w:rsidP="00625DAB">
            <w:pPr>
              <w:pStyle w:val="TableTextLeft"/>
            </w:pPr>
            <w:r w:rsidRPr="00A97B9C">
              <w:t>APS 6</w:t>
            </w:r>
          </w:p>
        </w:tc>
        <w:tc>
          <w:tcPr>
            <w:tcW w:w="744" w:type="dxa"/>
            <w:tcMar>
              <w:top w:w="57" w:type="dxa"/>
              <w:bottom w:w="57" w:type="dxa"/>
            </w:tcMar>
          </w:tcPr>
          <w:p w14:paraId="0FAFE7FF" w14:textId="59F70F58" w:rsidR="00A76143" w:rsidRPr="00A97B9C" w:rsidRDefault="00A76143" w:rsidP="00A97B9C">
            <w:pPr>
              <w:pStyle w:val="TableTextRight"/>
            </w:pPr>
            <w:r w:rsidRPr="00A97B9C">
              <w:t>–</w:t>
            </w:r>
          </w:p>
        </w:tc>
        <w:tc>
          <w:tcPr>
            <w:tcW w:w="672" w:type="dxa"/>
            <w:tcMar>
              <w:top w:w="57" w:type="dxa"/>
              <w:bottom w:w="57" w:type="dxa"/>
            </w:tcMar>
          </w:tcPr>
          <w:p w14:paraId="532B1692" w14:textId="76148FD6" w:rsidR="00A76143" w:rsidRPr="00A97B9C" w:rsidRDefault="00A76143" w:rsidP="00A97B9C">
            <w:pPr>
              <w:pStyle w:val="TableTextRight"/>
            </w:pPr>
            <w:r w:rsidRPr="00A97B9C">
              <w:t>–</w:t>
            </w:r>
          </w:p>
        </w:tc>
        <w:tc>
          <w:tcPr>
            <w:tcW w:w="669" w:type="dxa"/>
            <w:tcMar>
              <w:top w:w="57" w:type="dxa"/>
              <w:bottom w:w="57" w:type="dxa"/>
            </w:tcMar>
          </w:tcPr>
          <w:p w14:paraId="0FA566BC" w14:textId="0DDF0207" w:rsidR="00A76143" w:rsidRPr="00A97B9C" w:rsidRDefault="00A76143" w:rsidP="00A97B9C">
            <w:pPr>
              <w:pStyle w:val="TableTextRight"/>
            </w:pPr>
            <w:r w:rsidRPr="00A97B9C">
              <w:t>–</w:t>
            </w:r>
          </w:p>
        </w:tc>
        <w:tc>
          <w:tcPr>
            <w:tcW w:w="667" w:type="dxa"/>
            <w:tcMar>
              <w:top w:w="57" w:type="dxa"/>
              <w:bottom w:w="57" w:type="dxa"/>
            </w:tcMar>
          </w:tcPr>
          <w:p w14:paraId="036D8466" w14:textId="3F5D6EA1" w:rsidR="00A76143" w:rsidRPr="00A97B9C" w:rsidRDefault="00A76143" w:rsidP="00A97B9C">
            <w:pPr>
              <w:pStyle w:val="TableTextRight"/>
            </w:pPr>
            <w:r w:rsidRPr="00A97B9C">
              <w:t> –</w:t>
            </w:r>
          </w:p>
        </w:tc>
        <w:tc>
          <w:tcPr>
            <w:tcW w:w="669" w:type="dxa"/>
            <w:tcMar>
              <w:top w:w="57" w:type="dxa"/>
              <w:bottom w:w="57" w:type="dxa"/>
            </w:tcMar>
          </w:tcPr>
          <w:p w14:paraId="16533FE0" w14:textId="7E69F724" w:rsidR="00A76143" w:rsidRPr="00A97B9C" w:rsidRDefault="00A76143" w:rsidP="00A97B9C">
            <w:pPr>
              <w:pStyle w:val="TableTextRight"/>
            </w:pPr>
            <w:r w:rsidRPr="00A97B9C">
              <w:t>–</w:t>
            </w:r>
          </w:p>
        </w:tc>
        <w:tc>
          <w:tcPr>
            <w:tcW w:w="668" w:type="dxa"/>
            <w:tcMar>
              <w:top w:w="57" w:type="dxa"/>
              <w:bottom w:w="57" w:type="dxa"/>
            </w:tcMar>
          </w:tcPr>
          <w:p w14:paraId="723EBA69" w14:textId="423B2C6B" w:rsidR="00A76143" w:rsidRPr="00A97B9C" w:rsidRDefault="00A76143" w:rsidP="00A97B9C">
            <w:pPr>
              <w:pStyle w:val="TableTextRight"/>
            </w:pPr>
            <w:r w:rsidRPr="00A97B9C">
              <w:t>–</w:t>
            </w:r>
          </w:p>
        </w:tc>
        <w:tc>
          <w:tcPr>
            <w:tcW w:w="584" w:type="dxa"/>
            <w:tcMar>
              <w:top w:w="57" w:type="dxa"/>
              <w:bottom w:w="57" w:type="dxa"/>
            </w:tcMar>
          </w:tcPr>
          <w:p w14:paraId="74F254CB" w14:textId="7323E6F3" w:rsidR="00A76143" w:rsidRPr="00A97B9C" w:rsidRDefault="00A76143" w:rsidP="00A97B9C">
            <w:pPr>
              <w:pStyle w:val="TableTextRight"/>
            </w:pPr>
            <w:r w:rsidRPr="00A97B9C">
              <w:t>–</w:t>
            </w:r>
          </w:p>
        </w:tc>
        <w:tc>
          <w:tcPr>
            <w:tcW w:w="584" w:type="dxa"/>
            <w:tcMar>
              <w:top w:w="57" w:type="dxa"/>
              <w:bottom w:w="57" w:type="dxa"/>
            </w:tcMar>
          </w:tcPr>
          <w:p w14:paraId="72141030" w14:textId="435FEF90" w:rsidR="00A76143" w:rsidRPr="00A97B9C" w:rsidRDefault="00A76143" w:rsidP="00A97B9C">
            <w:pPr>
              <w:pStyle w:val="TableTextRight"/>
            </w:pPr>
            <w:r w:rsidRPr="00A97B9C">
              <w:t>–</w:t>
            </w:r>
          </w:p>
        </w:tc>
        <w:tc>
          <w:tcPr>
            <w:tcW w:w="704" w:type="dxa"/>
            <w:tcMar>
              <w:top w:w="57" w:type="dxa"/>
              <w:bottom w:w="57" w:type="dxa"/>
            </w:tcMar>
          </w:tcPr>
          <w:p w14:paraId="2CDB3863" w14:textId="527647BF" w:rsidR="00A76143" w:rsidRPr="00A97B9C" w:rsidRDefault="00A76143" w:rsidP="00A97B9C">
            <w:pPr>
              <w:pStyle w:val="TableTextRight"/>
            </w:pPr>
            <w:r w:rsidRPr="00A97B9C">
              <w:t>–</w:t>
            </w:r>
          </w:p>
        </w:tc>
        <w:tc>
          <w:tcPr>
            <w:tcW w:w="584" w:type="dxa"/>
            <w:tcMar>
              <w:top w:w="57" w:type="dxa"/>
              <w:bottom w:w="57" w:type="dxa"/>
            </w:tcMar>
          </w:tcPr>
          <w:p w14:paraId="1EC690C5" w14:textId="1EAB3B76" w:rsidR="00A76143" w:rsidRPr="00A97B9C" w:rsidRDefault="00A76143" w:rsidP="00A97B9C">
            <w:pPr>
              <w:pStyle w:val="TableTextRight"/>
            </w:pPr>
            <w:r w:rsidRPr="00A97B9C">
              <w:t>–</w:t>
            </w:r>
          </w:p>
        </w:tc>
        <w:tc>
          <w:tcPr>
            <w:tcW w:w="612" w:type="dxa"/>
            <w:tcMar>
              <w:top w:w="57" w:type="dxa"/>
              <w:bottom w:w="57" w:type="dxa"/>
            </w:tcMar>
          </w:tcPr>
          <w:p w14:paraId="20A63BBF" w14:textId="2A14E5E0" w:rsidR="00A76143" w:rsidRPr="00A97B9C" w:rsidRDefault="00A76143" w:rsidP="00A97B9C">
            <w:pPr>
              <w:pStyle w:val="TableTextRight"/>
            </w:pPr>
            <w:r w:rsidRPr="00A97B9C">
              <w:t>–</w:t>
            </w:r>
          </w:p>
        </w:tc>
        <w:tc>
          <w:tcPr>
            <w:tcW w:w="751" w:type="dxa"/>
            <w:tcMar>
              <w:top w:w="57" w:type="dxa"/>
              <w:bottom w:w="57" w:type="dxa"/>
            </w:tcMar>
          </w:tcPr>
          <w:p w14:paraId="24CEB1E8" w14:textId="7EC38B34" w:rsidR="00A76143" w:rsidRPr="00A97B9C" w:rsidRDefault="00A76143" w:rsidP="00A97B9C">
            <w:pPr>
              <w:pStyle w:val="TableTextRight"/>
            </w:pPr>
            <w:r w:rsidRPr="00A97B9C">
              <w:t>–</w:t>
            </w:r>
          </w:p>
        </w:tc>
        <w:tc>
          <w:tcPr>
            <w:tcW w:w="710" w:type="dxa"/>
            <w:tcMar>
              <w:top w:w="57" w:type="dxa"/>
              <w:bottom w:w="57" w:type="dxa"/>
            </w:tcMar>
          </w:tcPr>
          <w:p w14:paraId="36914973" w14:textId="2EC03903" w:rsidR="00A76143" w:rsidRPr="00A97B9C" w:rsidRDefault="00A76143" w:rsidP="00A97B9C">
            <w:pPr>
              <w:pStyle w:val="TableTextRight"/>
            </w:pPr>
            <w:r w:rsidRPr="00A97B9C">
              <w:t>–</w:t>
            </w:r>
          </w:p>
        </w:tc>
        <w:tc>
          <w:tcPr>
            <w:tcW w:w="796" w:type="dxa"/>
            <w:tcMar>
              <w:top w:w="57" w:type="dxa"/>
              <w:bottom w:w="57" w:type="dxa"/>
            </w:tcMar>
          </w:tcPr>
          <w:p w14:paraId="1BF30E84" w14:textId="1F57E9F4" w:rsidR="00A76143" w:rsidRPr="00A97B9C" w:rsidRDefault="00A76143" w:rsidP="00A97B9C">
            <w:pPr>
              <w:pStyle w:val="TableTextRight"/>
            </w:pPr>
            <w:r w:rsidRPr="00A97B9C">
              <w:t>–</w:t>
            </w:r>
          </w:p>
        </w:tc>
        <w:tc>
          <w:tcPr>
            <w:tcW w:w="650" w:type="dxa"/>
            <w:tcMar>
              <w:top w:w="57" w:type="dxa"/>
              <w:bottom w:w="57" w:type="dxa"/>
            </w:tcMar>
          </w:tcPr>
          <w:p w14:paraId="1EF356D7" w14:textId="0AB70285" w:rsidR="00A76143" w:rsidRPr="00A97B9C" w:rsidRDefault="00A76143" w:rsidP="00A97B9C">
            <w:pPr>
              <w:pStyle w:val="TableTextRight"/>
            </w:pPr>
            <w:r w:rsidRPr="00A97B9C">
              <w:t>–</w:t>
            </w:r>
          </w:p>
        </w:tc>
        <w:tc>
          <w:tcPr>
            <w:tcW w:w="766" w:type="dxa"/>
            <w:tcMar>
              <w:top w:w="57" w:type="dxa"/>
              <w:bottom w:w="57" w:type="dxa"/>
            </w:tcMar>
          </w:tcPr>
          <w:p w14:paraId="5B1D534A" w14:textId="29E869BB" w:rsidR="00A76143" w:rsidRPr="00A97B9C" w:rsidRDefault="00A76143" w:rsidP="00A97B9C">
            <w:pPr>
              <w:pStyle w:val="TableTextRight"/>
            </w:pPr>
            <w:r w:rsidRPr="00A97B9C">
              <w:t>–</w:t>
            </w:r>
          </w:p>
        </w:tc>
      </w:tr>
      <w:tr w:rsidR="001F10B3" w:rsidRPr="005A1334" w14:paraId="11EF21B6" w14:textId="77777777" w:rsidTr="001F10B3">
        <w:trPr>
          <w:cnfStyle w:val="000000010000" w:firstRow="0" w:lastRow="0" w:firstColumn="0" w:lastColumn="0" w:oddVBand="0" w:evenVBand="0" w:oddHBand="0" w:evenHBand="1" w:firstRowFirstColumn="0" w:firstRowLastColumn="0" w:lastRowFirstColumn="0" w:lastRowLastColumn="0"/>
          <w:trHeight w:val="25"/>
        </w:trPr>
        <w:tc>
          <w:tcPr>
            <w:tcW w:w="709" w:type="dxa"/>
            <w:tcMar>
              <w:top w:w="57" w:type="dxa"/>
              <w:bottom w:w="57" w:type="dxa"/>
            </w:tcMar>
          </w:tcPr>
          <w:p w14:paraId="392076C1" w14:textId="34E74F89" w:rsidR="00A76143" w:rsidRPr="00A97B9C" w:rsidRDefault="00A76143" w:rsidP="00625DAB">
            <w:pPr>
              <w:pStyle w:val="TableTextLeft"/>
            </w:pPr>
            <w:r w:rsidRPr="00A97B9C">
              <w:t>APS 5</w:t>
            </w:r>
          </w:p>
        </w:tc>
        <w:tc>
          <w:tcPr>
            <w:tcW w:w="744" w:type="dxa"/>
            <w:tcMar>
              <w:top w:w="57" w:type="dxa"/>
              <w:bottom w:w="57" w:type="dxa"/>
            </w:tcMar>
          </w:tcPr>
          <w:p w14:paraId="7633AA17" w14:textId="542CF45D" w:rsidR="00A76143" w:rsidRPr="00A97B9C" w:rsidRDefault="00A76143" w:rsidP="00A97B9C">
            <w:pPr>
              <w:pStyle w:val="TableTextRight"/>
            </w:pPr>
            <w:r w:rsidRPr="00A97B9C">
              <w:t>–</w:t>
            </w:r>
          </w:p>
        </w:tc>
        <w:tc>
          <w:tcPr>
            <w:tcW w:w="672" w:type="dxa"/>
            <w:tcMar>
              <w:top w:w="57" w:type="dxa"/>
              <w:bottom w:w="57" w:type="dxa"/>
            </w:tcMar>
          </w:tcPr>
          <w:p w14:paraId="62B70280" w14:textId="5BA76DEC" w:rsidR="00A76143" w:rsidRPr="00A97B9C" w:rsidRDefault="00A76143" w:rsidP="00A97B9C">
            <w:pPr>
              <w:pStyle w:val="TableTextRight"/>
            </w:pPr>
            <w:r w:rsidRPr="00A97B9C">
              <w:t>–</w:t>
            </w:r>
          </w:p>
        </w:tc>
        <w:tc>
          <w:tcPr>
            <w:tcW w:w="669" w:type="dxa"/>
            <w:tcMar>
              <w:top w:w="57" w:type="dxa"/>
              <w:bottom w:w="57" w:type="dxa"/>
            </w:tcMar>
          </w:tcPr>
          <w:p w14:paraId="2E8D57E8" w14:textId="4130E448" w:rsidR="00A76143" w:rsidRPr="00A97B9C" w:rsidRDefault="00A76143" w:rsidP="00A97B9C">
            <w:pPr>
              <w:pStyle w:val="TableTextRight"/>
            </w:pPr>
            <w:r w:rsidRPr="00A97B9C">
              <w:t>–</w:t>
            </w:r>
          </w:p>
        </w:tc>
        <w:tc>
          <w:tcPr>
            <w:tcW w:w="667" w:type="dxa"/>
            <w:tcMar>
              <w:top w:w="57" w:type="dxa"/>
              <w:bottom w:w="57" w:type="dxa"/>
            </w:tcMar>
          </w:tcPr>
          <w:p w14:paraId="1ACC6EFA" w14:textId="1DBCD924" w:rsidR="00A76143" w:rsidRPr="00A97B9C" w:rsidRDefault="00A76143" w:rsidP="00A97B9C">
            <w:pPr>
              <w:pStyle w:val="TableTextRight"/>
            </w:pPr>
            <w:r w:rsidRPr="00A97B9C">
              <w:t> 2</w:t>
            </w:r>
          </w:p>
        </w:tc>
        <w:tc>
          <w:tcPr>
            <w:tcW w:w="669" w:type="dxa"/>
            <w:tcMar>
              <w:top w:w="57" w:type="dxa"/>
              <w:bottom w:w="57" w:type="dxa"/>
            </w:tcMar>
          </w:tcPr>
          <w:p w14:paraId="2CA0F573" w14:textId="0BB26711" w:rsidR="00A76143" w:rsidRPr="00A97B9C" w:rsidRDefault="00A76143" w:rsidP="00A97B9C">
            <w:pPr>
              <w:pStyle w:val="TableTextRight"/>
            </w:pPr>
            <w:r w:rsidRPr="00A97B9C">
              <w:t>–</w:t>
            </w:r>
          </w:p>
        </w:tc>
        <w:tc>
          <w:tcPr>
            <w:tcW w:w="668" w:type="dxa"/>
            <w:tcMar>
              <w:top w:w="57" w:type="dxa"/>
              <w:bottom w:w="57" w:type="dxa"/>
            </w:tcMar>
          </w:tcPr>
          <w:p w14:paraId="2080DD4E" w14:textId="59D9467F" w:rsidR="00A76143" w:rsidRPr="00A97B9C" w:rsidRDefault="00A76143" w:rsidP="00A97B9C">
            <w:pPr>
              <w:pStyle w:val="TableTextRight"/>
            </w:pPr>
            <w:r w:rsidRPr="00A97B9C">
              <w:t> 2</w:t>
            </w:r>
          </w:p>
        </w:tc>
        <w:tc>
          <w:tcPr>
            <w:tcW w:w="584" w:type="dxa"/>
            <w:tcMar>
              <w:top w:w="57" w:type="dxa"/>
              <w:bottom w:w="57" w:type="dxa"/>
            </w:tcMar>
          </w:tcPr>
          <w:p w14:paraId="6C1A9A2A" w14:textId="5628A089" w:rsidR="00A76143" w:rsidRPr="00A97B9C" w:rsidRDefault="00A76143" w:rsidP="00A97B9C">
            <w:pPr>
              <w:pStyle w:val="TableTextRight"/>
            </w:pPr>
            <w:r w:rsidRPr="00A97B9C">
              <w:t>–</w:t>
            </w:r>
          </w:p>
        </w:tc>
        <w:tc>
          <w:tcPr>
            <w:tcW w:w="584" w:type="dxa"/>
            <w:tcMar>
              <w:top w:w="57" w:type="dxa"/>
              <w:bottom w:w="57" w:type="dxa"/>
            </w:tcMar>
          </w:tcPr>
          <w:p w14:paraId="0790F06D" w14:textId="6FA38BCC" w:rsidR="00A76143" w:rsidRPr="00A97B9C" w:rsidRDefault="00A76143" w:rsidP="00A97B9C">
            <w:pPr>
              <w:pStyle w:val="TableTextRight"/>
            </w:pPr>
            <w:r w:rsidRPr="00A97B9C">
              <w:t>–</w:t>
            </w:r>
          </w:p>
        </w:tc>
        <w:tc>
          <w:tcPr>
            <w:tcW w:w="704" w:type="dxa"/>
            <w:tcMar>
              <w:top w:w="57" w:type="dxa"/>
              <w:bottom w:w="57" w:type="dxa"/>
            </w:tcMar>
          </w:tcPr>
          <w:p w14:paraId="0358B873" w14:textId="7036FDC1" w:rsidR="00A76143" w:rsidRPr="00A97B9C" w:rsidRDefault="00A76143" w:rsidP="00A97B9C">
            <w:pPr>
              <w:pStyle w:val="TableTextRight"/>
            </w:pPr>
            <w:r w:rsidRPr="00A97B9C">
              <w:t>–</w:t>
            </w:r>
          </w:p>
        </w:tc>
        <w:tc>
          <w:tcPr>
            <w:tcW w:w="584" w:type="dxa"/>
            <w:tcMar>
              <w:top w:w="57" w:type="dxa"/>
              <w:bottom w:w="57" w:type="dxa"/>
            </w:tcMar>
          </w:tcPr>
          <w:p w14:paraId="61ABE0B3" w14:textId="08B1BDA4" w:rsidR="00A76143" w:rsidRPr="00A97B9C" w:rsidRDefault="00A76143" w:rsidP="00A97B9C">
            <w:pPr>
              <w:pStyle w:val="TableTextRight"/>
            </w:pPr>
            <w:r w:rsidRPr="00A97B9C">
              <w:t>–</w:t>
            </w:r>
          </w:p>
        </w:tc>
        <w:tc>
          <w:tcPr>
            <w:tcW w:w="612" w:type="dxa"/>
            <w:tcMar>
              <w:top w:w="57" w:type="dxa"/>
              <w:bottom w:w="57" w:type="dxa"/>
            </w:tcMar>
          </w:tcPr>
          <w:p w14:paraId="21D46989" w14:textId="25C4FF0B" w:rsidR="00A76143" w:rsidRPr="00A97B9C" w:rsidRDefault="00A76143" w:rsidP="00A97B9C">
            <w:pPr>
              <w:pStyle w:val="TableTextRight"/>
            </w:pPr>
            <w:r w:rsidRPr="00A97B9C">
              <w:t>–</w:t>
            </w:r>
          </w:p>
        </w:tc>
        <w:tc>
          <w:tcPr>
            <w:tcW w:w="751" w:type="dxa"/>
            <w:tcMar>
              <w:top w:w="57" w:type="dxa"/>
              <w:bottom w:w="57" w:type="dxa"/>
            </w:tcMar>
          </w:tcPr>
          <w:p w14:paraId="228735BE" w14:textId="117900E5" w:rsidR="00A76143" w:rsidRPr="00A97B9C" w:rsidRDefault="00A76143" w:rsidP="00A97B9C">
            <w:pPr>
              <w:pStyle w:val="TableTextRight"/>
            </w:pPr>
            <w:r w:rsidRPr="00A97B9C">
              <w:t>–</w:t>
            </w:r>
          </w:p>
        </w:tc>
        <w:tc>
          <w:tcPr>
            <w:tcW w:w="710" w:type="dxa"/>
            <w:tcMar>
              <w:top w:w="57" w:type="dxa"/>
              <w:bottom w:w="57" w:type="dxa"/>
            </w:tcMar>
          </w:tcPr>
          <w:p w14:paraId="0F74A080" w14:textId="6A2417FF" w:rsidR="00A76143" w:rsidRPr="00A97B9C" w:rsidRDefault="00A76143" w:rsidP="00A97B9C">
            <w:pPr>
              <w:pStyle w:val="TableTextRight"/>
            </w:pPr>
            <w:r w:rsidRPr="00A97B9C">
              <w:t>–</w:t>
            </w:r>
          </w:p>
        </w:tc>
        <w:tc>
          <w:tcPr>
            <w:tcW w:w="796" w:type="dxa"/>
            <w:tcMar>
              <w:top w:w="57" w:type="dxa"/>
              <w:bottom w:w="57" w:type="dxa"/>
            </w:tcMar>
          </w:tcPr>
          <w:p w14:paraId="6BADCA63" w14:textId="05B9846E" w:rsidR="00A76143" w:rsidRPr="00A97B9C" w:rsidRDefault="00A76143" w:rsidP="00A97B9C">
            <w:pPr>
              <w:pStyle w:val="TableTextRight"/>
            </w:pPr>
            <w:r w:rsidRPr="00A97B9C">
              <w:t>–</w:t>
            </w:r>
          </w:p>
        </w:tc>
        <w:tc>
          <w:tcPr>
            <w:tcW w:w="650" w:type="dxa"/>
            <w:tcMar>
              <w:top w:w="57" w:type="dxa"/>
              <w:bottom w:w="57" w:type="dxa"/>
            </w:tcMar>
          </w:tcPr>
          <w:p w14:paraId="30EBD9C0" w14:textId="391A2DED" w:rsidR="00A76143" w:rsidRPr="00A97B9C" w:rsidRDefault="00A76143" w:rsidP="00A97B9C">
            <w:pPr>
              <w:pStyle w:val="TableTextRight"/>
            </w:pPr>
            <w:r w:rsidRPr="00A97B9C">
              <w:t>–</w:t>
            </w:r>
          </w:p>
        </w:tc>
        <w:tc>
          <w:tcPr>
            <w:tcW w:w="766" w:type="dxa"/>
            <w:tcMar>
              <w:top w:w="57" w:type="dxa"/>
              <w:bottom w:w="57" w:type="dxa"/>
            </w:tcMar>
          </w:tcPr>
          <w:p w14:paraId="0208D1E3" w14:textId="0CC863A8" w:rsidR="00A76143" w:rsidRPr="00A97B9C" w:rsidRDefault="00A76143" w:rsidP="00A97B9C">
            <w:pPr>
              <w:pStyle w:val="TableTextRight"/>
            </w:pPr>
            <w:r w:rsidRPr="00A97B9C">
              <w:t> 2</w:t>
            </w:r>
          </w:p>
        </w:tc>
      </w:tr>
      <w:tr w:rsidR="007A0DA6" w:rsidRPr="003B174A" w14:paraId="1D6B6A2C" w14:textId="77777777" w:rsidTr="001F10B3">
        <w:trPr>
          <w:trHeight w:val="25"/>
        </w:trPr>
        <w:tc>
          <w:tcPr>
            <w:tcW w:w="709" w:type="dxa"/>
            <w:tcMar>
              <w:top w:w="57" w:type="dxa"/>
              <w:bottom w:w="57" w:type="dxa"/>
            </w:tcMar>
          </w:tcPr>
          <w:p w14:paraId="21258D9D" w14:textId="5F3BBE0B" w:rsidR="00A76143" w:rsidRPr="00A97B9C" w:rsidRDefault="00A76143" w:rsidP="00625DAB">
            <w:pPr>
              <w:pStyle w:val="TableTextLeft"/>
            </w:pPr>
            <w:r w:rsidRPr="00A97B9C">
              <w:t>APS 4</w:t>
            </w:r>
          </w:p>
        </w:tc>
        <w:tc>
          <w:tcPr>
            <w:tcW w:w="744" w:type="dxa"/>
            <w:tcMar>
              <w:top w:w="57" w:type="dxa"/>
              <w:bottom w:w="57" w:type="dxa"/>
            </w:tcMar>
          </w:tcPr>
          <w:p w14:paraId="24E8A2B0" w14:textId="3C60BF41" w:rsidR="00A76143" w:rsidRPr="00A97B9C" w:rsidRDefault="00A76143" w:rsidP="00A97B9C">
            <w:pPr>
              <w:pStyle w:val="TableTextRight"/>
            </w:pPr>
            <w:r w:rsidRPr="00A97B9C">
              <w:t>–</w:t>
            </w:r>
          </w:p>
        </w:tc>
        <w:tc>
          <w:tcPr>
            <w:tcW w:w="672" w:type="dxa"/>
            <w:tcMar>
              <w:top w:w="57" w:type="dxa"/>
              <w:bottom w:w="57" w:type="dxa"/>
            </w:tcMar>
          </w:tcPr>
          <w:p w14:paraId="03CA04F4" w14:textId="6695F881" w:rsidR="00A76143" w:rsidRPr="00A97B9C" w:rsidRDefault="00A76143" w:rsidP="00A97B9C">
            <w:pPr>
              <w:pStyle w:val="TableTextRight"/>
            </w:pPr>
            <w:r w:rsidRPr="00A97B9C">
              <w:t>–</w:t>
            </w:r>
          </w:p>
        </w:tc>
        <w:tc>
          <w:tcPr>
            <w:tcW w:w="669" w:type="dxa"/>
            <w:tcMar>
              <w:top w:w="57" w:type="dxa"/>
              <w:bottom w:w="57" w:type="dxa"/>
            </w:tcMar>
          </w:tcPr>
          <w:p w14:paraId="7B7F5DBF" w14:textId="226B492D" w:rsidR="00A76143" w:rsidRPr="00A97B9C" w:rsidRDefault="00A76143" w:rsidP="00A97B9C">
            <w:pPr>
              <w:pStyle w:val="TableTextRight"/>
            </w:pPr>
            <w:r w:rsidRPr="00A97B9C">
              <w:t>–</w:t>
            </w:r>
          </w:p>
        </w:tc>
        <w:tc>
          <w:tcPr>
            <w:tcW w:w="667" w:type="dxa"/>
            <w:tcMar>
              <w:top w:w="57" w:type="dxa"/>
              <w:bottom w:w="57" w:type="dxa"/>
            </w:tcMar>
          </w:tcPr>
          <w:p w14:paraId="680519EC" w14:textId="08240EC8" w:rsidR="00A76143" w:rsidRPr="00A97B9C" w:rsidRDefault="00A76143" w:rsidP="00A97B9C">
            <w:pPr>
              <w:pStyle w:val="TableTextRight"/>
            </w:pPr>
            <w:r w:rsidRPr="00A97B9C">
              <w:t> 1</w:t>
            </w:r>
          </w:p>
        </w:tc>
        <w:tc>
          <w:tcPr>
            <w:tcW w:w="669" w:type="dxa"/>
            <w:tcMar>
              <w:top w:w="57" w:type="dxa"/>
              <w:bottom w:w="57" w:type="dxa"/>
            </w:tcMar>
          </w:tcPr>
          <w:p w14:paraId="3699AE8D" w14:textId="08E314CC" w:rsidR="00A76143" w:rsidRPr="00A97B9C" w:rsidRDefault="00A76143" w:rsidP="00A97B9C">
            <w:pPr>
              <w:pStyle w:val="TableTextRight"/>
            </w:pPr>
            <w:r w:rsidRPr="00A97B9C">
              <w:t>–</w:t>
            </w:r>
          </w:p>
        </w:tc>
        <w:tc>
          <w:tcPr>
            <w:tcW w:w="668" w:type="dxa"/>
            <w:tcMar>
              <w:top w:w="57" w:type="dxa"/>
              <w:bottom w:w="57" w:type="dxa"/>
            </w:tcMar>
          </w:tcPr>
          <w:p w14:paraId="306621AE" w14:textId="1B1D80AA" w:rsidR="00A76143" w:rsidRPr="00A97B9C" w:rsidRDefault="00A76143" w:rsidP="00A97B9C">
            <w:pPr>
              <w:pStyle w:val="TableTextRight"/>
            </w:pPr>
            <w:r w:rsidRPr="00A97B9C">
              <w:t> 1</w:t>
            </w:r>
          </w:p>
        </w:tc>
        <w:tc>
          <w:tcPr>
            <w:tcW w:w="584" w:type="dxa"/>
            <w:tcMar>
              <w:top w:w="57" w:type="dxa"/>
              <w:bottom w:w="57" w:type="dxa"/>
            </w:tcMar>
          </w:tcPr>
          <w:p w14:paraId="42ACECA0" w14:textId="0AA19A99" w:rsidR="00A76143" w:rsidRPr="00A97B9C" w:rsidRDefault="00A76143" w:rsidP="00A97B9C">
            <w:pPr>
              <w:pStyle w:val="TableTextRight"/>
            </w:pPr>
            <w:r w:rsidRPr="00A97B9C">
              <w:t>–</w:t>
            </w:r>
          </w:p>
        </w:tc>
        <w:tc>
          <w:tcPr>
            <w:tcW w:w="584" w:type="dxa"/>
            <w:tcMar>
              <w:top w:w="57" w:type="dxa"/>
              <w:bottom w:w="57" w:type="dxa"/>
            </w:tcMar>
          </w:tcPr>
          <w:p w14:paraId="35236144" w14:textId="74B493CE" w:rsidR="00A76143" w:rsidRPr="00A97B9C" w:rsidRDefault="00A76143" w:rsidP="00A97B9C">
            <w:pPr>
              <w:pStyle w:val="TableTextRight"/>
            </w:pPr>
            <w:r w:rsidRPr="00A97B9C">
              <w:t>–</w:t>
            </w:r>
          </w:p>
        </w:tc>
        <w:tc>
          <w:tcPr>
            <w:tcW w:w="704" w:type="dxa"/>
            <w:tcMar>
              <w:top w:w="57" w:type="dxa"/>
              <w:bottom w:w="57" w:type="dxa"/>
            </w:tcMar>
          </w:tcPr>
          <w:p w14:paraId="1FC47E37" w14:textId="4E9736D4" w:rsidR="00A76143" w:rsidRPr="00A97B9C" w:rsidRDefault="00A76143" w:rsidP="00A97B9C">
            <w:pPr>
              <w:pStyle w:val="TableTextRight"/>
            </w:pPr>
            <w:r w:rsidRPr="00A97B9C">
              <w:t>–</w:t>
            </w:r>
          </w:p>
        </w:tc>
        <w:tc>
          <w:tcPr>
            <w:tcW w:w="584" w:type="dxa"/>
            <w:tcMar>
              <w:top w:w="57" w:type="dxa"/>
              <w:bottom w:w="57" w:type="dxa"/>
            </w:tcMar>
          </w:tcPr>
          <w:p w14:paraId="4C19F725" w14:textId="1A1F398F" w:rsidR="00A76143" w:rsidRPr="00A97B9C" w:rsidRDefault="00A76143" w:rsidP="00A97B9C">
            <w:pPr>
              <w:pStyle w:val="TableTextRight"/>
            </w:pPr>
            <w:r w:rsidRPr="00A97B9C">
              <w:t>–</w:t>
            </w:r>
          </w:p>
        </w:tc>
        <w:tc>
          <w:tcPr>
            <w:tcW w:w="612" w:type="dxa"/>
            <w:tcMar>
              <w:top w:w="57" w:type="dxa"/>
              <w:bottom w:w="57" w:type="dxa"/>
            </w:tcMar>
          </w:tcPr>
          <w:p w14:paraId="3F84D74A" w14:textId="3AEFF4EC" w:rsidR="00A76143" w:rsidRPr="00A97B9C" w:rsidRDefault="00A76143" w:rsidP="00A97B9C">
            <w:pPr>
              <w:pStyle w:val="TableTextRight"/>
            </w:pPr>
            <w:r w:rsidRPr="00A97B9C">
              <w:t>–</w:t>
            </w:r>
          </w:p>
        </w:tc>
        <w:tc>
          <w:tcPr>
            <w:tcW w:w="751" w:type="dxa"/>
            <w:tcMar>
              <w:top w:w="57" w:type="dxa"/>
              <w:bottom w:w="57" w:type="dxa"/>
            </w:tcMar>
          </w:tcPr>
          <w:p w14:paraId="078872E2" w14:textId="2293D0A3" w:rsidR="00A76143" w:rsidRPr="00A97B9C" w:rsidRDefault="00A76143" w:rsidP="00A97B9C">
            <w:pPr>
              <w:pStyle w:val="TableTextRight"/>
            </w:pPr>
            <w:r w:rsidRPr="00A97B9C">
              <w:t>–</w:t>
            </w:r>
          </w:p>
        </w:tc>
        <w:tc>
          <w:tcPr>
            <w:tcW w:w="710" w:type="dxa"/>
            <w:tcMar>
              <w:top w:w="57" w:type="dxa"/>
              <w:bottom w:w="57" w:type="dxa"/>
            </w:tcMar>
          </w:tcPr>
          <w:p w14:paraId="4D066649" w14:textId="1BB7BAF5" w:rsidR="00A76143" w:rsidRPr="00A97B9C" w:rsidRDefault="00A76143" w:rsidP="00A97B9C">
            <w:pPr>
              <w:pStyle w:val="TableTextRight"/>
            </w:pPr>
            <w:r w:rsidRPr="00A97B9C">
              <w:t>–</w:t>
            </w:r>
          </w:p>
        </w:tc>
        <w:tc>
          <w:tcPr>
            <w:tcW w:w="796" w:type="dxa"/>
            <w:tcMar>
              <w:top w:w="57" w:type="dxa"/>
              <w:bottom w:w="57" w:type="dxa"/>
            </w:tcMar>
          </w:tcPr>
          <w:p w14:paraId="18BDCD00" w14:textId="728C1641" w:rsidR="00A76143" w:rsidRPr="00A97B9C" w:rsidRDefault="00A76143" w:rsidP="00A97B9C">
            <w:pPr>
              <w:pStyle w:val="TableTextRight"/>
            </w:pPr>
            <w:r w:rsidRPr="00A97B9C">
              <w:t>–</w:t>
            </w:r>
          </w:p>
        </w:tc>
        <w:tc>
          <w:tcPr>
            <w:tcW w:w="650" w:type="dxa"/>
            <w:tcMar>
              <w:top w:w="57" w:type="dxa"/>
              <w:bottom w:w="57" w:type="dxa"/>
            </w:tcMar>
          </w:tcPr>
          <w:p w14:paraId="2455A131" w14:textId="033E9FDF" w:rsidR="00A76143" w:rsidRPr="00A97B9C" w:rsidRDefault="00A76143" w:rsidP="00A97B9C">
            <w:pPr>
              <w:pStyle w:val="TableTextRight"/>
            </w:pPr>
            <w:r w:rsidRPr="00A97B9C">
              <w:t>–</w:t>
            </w:r>
          </w:p>
        </w:tc>
        <w:tc>
          <w:tcPr>
            <w:tcW w:w="766" w:type="dxa"/>
            <w:tcMar>
              <w:top w:w="57" w:type="dxa"/>
              <w:bottom w:w="57" w:type="dxa"/>
            </w:tcMar>
          </w:tcPr>
          <w:p w14:paraId="7986A149" w14:textId="42650C8D" w:rsidR="00A76143" w:rsidRPr="00A97B9C" w:rsidRDefault="00A76143" w:rsidP="00A97B9C">
            <w:pPr>
              <w:pStyle w:val="TableTextRight"/>
            </w:pPr>
            <w:r w:rsidRPr="00A97B9C">
              <w:t> 1</w:t>
            </w:r>
          </w:p>
        </w:tc>
      </w:tr>
      <w:tr w:rsidR="001F10B3" w:rsidRPr="005A1334" w14:paraId="330BDD7F" w14:textId="77777777" w:rsidTr="001F10B3">
        <w:trPr>
          <w:cnfStyle w:val="000000010000" w:firstRow="0" w:lastRow="0" w:firstColumn="0" w:lastColumn="0" w:oddVBand="0" w:evenVBand="0" w:oddHBand="0" w:evenHBand="1" w:firstRowFirstColumn="0" w:firstRowLastColumn="0" w:lastRowFirstColumn="0" w:lastRowLastColumn="0"/>
          <w:trHeight w:val="25"/>
        </w:trPr>
        <w:tc>
          <w:tcPr>
            <w:tcW w:w="709" w:type="dxa"/>
            <w:tcMar>
              <w:top w:w="57" w:type="dxa"/>
              <w:bottom w:w="57" w:type="dxa"/>
            </w:tcMar>
          </w:tcPr>
          <w:p w14:paraId="66CF52A4" w14:textId="27203E20" w:rsidR="00A76143" w:rsidRPr="00A97B9C" w:rsidRDefault="00A76143" w:rsidP="00625DAB">
            <w:pPr>
              <w:pStyle w:val="TableTextLeft"/>
            </w:pPr>
            <w:r w:rsidRPr="00A97B9C">
              <w:t>APS 3</w:t>
            </w:r>
          </w:p>
        </w:tc>
        <w:tc>
          <w:tcPr>
            <w:tcW w:w="744" w:type="dxa"/>
            <w:tcMar>
              <w:top w:w="57" w:type="dxa"/>
              <w:bottom w:w="57" w:type="dxa"/>
            </w:tcMar>
          </w:tcPr>
          <w:p w14:paraId="229BDF1A" w14:textId="1487E2FD" w:rsidR="00A76143" w:rsidRPr="00A97B9C" w:rsidRDefault="00A76143" w:rsidP="00A97B9C">
            <w:pPr>
              <w:pStyle w:val="TableTextRight"/>
            </w:pPr>
            <w:r w:rsidRPr="00A97B9C">
              <w:t>–</w:t>
            </w:r>
          </w:p>
        </w:tc>
        <w:tc>
          <w:tcPr>
            <w:tcW w:w="672" w:type="dxa"/>
            <w:tcMar>
              <w:top w:w="57" w:type="dxa"/>
              <w:bottom w:w="57" w:type="dxa"/>
            </w:tcMar>
          </w:tcPr>
          <w:p w14:paraId="62FC03B9" w14:textId="3C1BC780" w:rsidR="00A76143" w:rsidRPr="00A97B9C" w:rsidRDefault="00A76143" w:rsidP="00A97B9C">
            <w:pPr>
              <w:pStyle w:val="TableTextRight"/>
            </w:pPr>
            <w:r w:rsidRPr="00A97B9C">
              <w:t>–</w:t>
            </w:r>
          </w:p>
        </w:tc>
        <w:tc>
          <w:tcPr>
            <w:tcW w:w="669" w:type="dxa"/>
            <w:tcMar>
              <w:top w:w="57" w:type="dxa"/>
              <w:bottom w:w="57" w:type="dxa"/>
            </w:tcMar>
          </w:tcPr>
          <w:p w14:paraId="560AED5B" w14:textId="10C13DD6" w:rsidR="00A76143" w:rsidRPr="00A97B9C" w:rsidRDefault="00A76143" w:rsidP="00A97B9C">
            <w:pPr>
              <w:pStyle w:val="TableTextRight"/>
            </w:pPr>
            <w:r w:rsidRPr="00A97B9C">
              <w:t>–</w:t>
            </w:r>
          </w:p>
        </w:tc>
        <w:tc>
          <w:tcPr>
            <w:tcW w:w="667" w:type="dxa"/>
            <w:tcMar>
              <w:top w:w="57" w:type="dxa"/>
              <w:bottom w:w="57" w:type="dxa"/>
            </w:tcMar>
          </w:tcPr>
          <w:p w14:paraId="7D9A087C" w14:textId="606E0764" w:rsidR="00A76143" w:rsidRPr="00A97B9C" w:rsidRDefault="00A76143" w:rsidP="00A97B9C">
            <w:pPr>
              <w:pStyle w:val="TableTextRight"/>
            </w:pPr>
            <w:r w:rsidRPr="00A97B9C">
              <w:t>–</w:t>
            </w:r>
          </w:p>
        </w:tc>
        <w:tc>
          <w:tcPr>
            <w:tcW w:w="669" w:type="dxa"/>
            <w:tcMar>
              <w:top w:w="57" w:type="dxa"/>
              <w:bottom w:w="57" w:type="dxa"/>
            </w:tcMar>
          </w:tcPr>
          <w:p w14:paraId="1EE20B29" w14:textId="781E808F" w:rsidR="00A76143" w:rsidRPr="00A97B9C" w:rsidRDefault="00A76143" w:rsidP="00A97B9C">
            <w:pPr>
              <w:pStyle w:val="TableTextRight"/>
            </w:pPr>
            <w:r w:rsidRPr="00A97B9C">
              <w:t>–</w:t>
            </w:r>
          </w:p>
        </w:tc>
        <w:tc>
          <w:tcPr>
            <w:tcW w:w="668" w:type="dxa"/>
            <w:tcMar>
              <w:top w:w="57" w:type="dxa"/>
              <w:bottom w:w="57" w:type="dxa"/>
            </w:tcMar>
          </w:tcPr>
          <w:p w14:paraId="3C3E42F4" w14:textId="4536EA1B" w:rsidR="00A76143" w:rsidRPr="00A97B9C" w:rsidRDefault="00A76143" w:rsidP="00A97B9C">
            <w:pPr>
              <w:pStyle w:val="TableTextRight"/>
            </w:pPr>
            <w:r w:rsidRPr="00A97B9C">
              <w:t>–</w:t>
            </w:r>
          </w:p>
        </w:tc>
        <w:tc>
          <w:tcPr>
            <w:tcW w:w="584" w:type="dxa"/>
            <w:tcMar>
              <w:top w:w="57" w:type="dxa"/>
              <w:bottom w:w="57" w:type="dxa"/>
            </w:tcMar>
          </w:tcPr>
          <w:p w14:paraId="1459BFF6" w14:textId="66BFE6E5" w:rsidR="00A76143" w:rsidRPr="00A97B9C" w:rsidRDefault="00A76143" w:rsidP="00A97B9C">
            <w:pPr>
              <w:pStyle w:val="TableTextRight"/>
            </w:pPr>
            <w:r w:rsidRPr="00A97B9C">
              <w:t>–</w:t>
            </w:r>
          </w:p>
        </w:tc>
        <w:tc>
          <w:tcPr>
            <w:tcW w:w="584" w:type="dxa"/>
            <w:tcMar>
              <w:top w:w="57" w:type="dxa"/>
              <w:bottom w:w="57" w:type="dxa"/>
            </w:tcMar>
          </w:tcPr>
          <w:p w14:paraId="4D7E2B54" w14:textId="6B09DE44" w:rsidR="00A76143" w:rsidRPr="00A97B9C" w:rsidRDefault="00A76143" w:rsidP="00A97B9C">
            <w:pPr>
              <w:pStyle w:val="TableTextRight"/>
            </w:pPr>
            <w:r w:rsidRPr="00A97B9C">
              <w:t>–</w:t>
            </w:r>
          </w:p>
        </w:tc>
        <w:tc>
          <w:tcPr>
            <w:tcW w:w="704" w:type="dxa"/>
            <w:tcMar>
              <w:top w:w="57" w:type="dxa"/>
              <w:bottom w:w="57" w:type="dxa"/>
            </w:tcMar>
          </w:tcPr>
          <w:p w14:paraId="089242EB" w14:textId="74A0D94D" w:rsidR="00A76143" w:rsidRPr="00A97B9C" w:rsidRDefault="00A76143" w:rsidP="00A97B9C">
            <w:pPr>
              <w:pStyle w:val="TableTextRight"/>
            </w:pPr>
            <w:r w:rsidRPr="00A97B9C">
              <w:t>–</w:t>
            </w:r>
          </w:p>
        </w:tc>
        <w:tc>
          <w:tcPr>
            <w:tcW w:w="584" w:type="dxa"/>
            <w:tcMar>
              <w:top w:w="57" w:type="dxa"/>
              <w:bottom w:w="57" w:type="dxa"/>
            </w:tcMar>
          </w:tcPr>
          <w:p w14:paraId="78BBA209" w14:textId="59BD4FE3" w:rsidR="00A76143" w:rsidRPr="00A97B9C" w:rsidRDefault="00A76143" w:rsidP="00A97B9C">
            <w:pPr>
              <w:pStyle w:val="TableTextRight"/>
            </w:pPr>
            <w:r w:rsidRPr="00A97B9C">
              <w:t>–</w:t>
            </w:r>
          </w:p>
        </w:tc>
        <w:tc>
          <w:tcPr>
            <w:tcW w:w="612" w:type="dxa"/>
            <w:tcMar>
              <w:top w:w="57" w:type="dxa"/>
              <w:bottom w:w="57" w:type="dxa"/>
            </w:tcMar>
          </w:tcPr>
          <w:p w14:paraId="460207B0" w14:textId="4EAEAD7A" w:rsidR="00A76143" w:rsidRPr="00A97B9C" w:rsidRDefault="00A76143" w:rsidP="00A97B9C">
            <w:pPr>
              <w:pStyle w:val="TableTextRight"/>
            </w:pPr>
            <w:r w:rsidRPr="00A97B9C">
              <w:t>–</w:t>
            </w:r>
          </w:p>
        </w:tc>
        <w:tc>
          <w:tcPr>
            <w:tcW w:w="751" w:type="dxa"/>
            <w:tcMar>
              <w:top w:w="57" w:type="dxa"/>
              <w:bottom w:w="57" w:type="dxa"/>
            </w:tcMar>
          </w:tcPr>
          <w:p w14:paraId="70071F6B" w14:textId="1E41FE62" w:rsidR="00A76143" w:rsidRPr="00A97B9C" w:rsidRDefault="00A76143" w:rsidP="00A97B9C">
            <w:pPr>
              <w:pStyle w:val="TableTextRight"/>
            </w:pPr>
            <w:r w:rsidRPr="00A97B9C">
              <w:t>–</w:t>
            </w:r>
          </w:p>
        </w:tc>
        <w:tc>
          <w:tcPr>
            <w:tcW w:w="710" w:type="dxa"/>
            <w:tcMar>
              <w:top w:w="57" w:type="dxa"/>
              <w:bottom w:w="57" w:type="dxa"/>
            </w:tcMar>
          </w:tcPr>
          <w:p w14:paraId="1EC745AD" w14:textId="64C8C001" w:rsidR="00A76143" w:rsidRPr="00A97B9C" w:rsidRDefault="00A76143" w:rsidP="00A97B9C">
            <w:pPr>
              <w:pStyle w:val="TableTextRight"/>
            </w:pPr>
            <w:r w:rsidRPr="00A97B9C">
              <w:t>–</w:t>
            </w:r>
          </w:p>
        </w:tc>
        <w:tc>
          <w:tcPr>
            <w:tcW w:w="796" w:type="dxa"/>
            <w:tcMar>
              <w:top w:w="57" w:type="dxa"/>
              <w:bottom w:w="57" w:type="dxa"/>
            </w:tcMar>
          </w:tcPr>
          <w:p w14:paraId="74C870B4" w14:textId="047ACE5E" w:rsidR="00A76143" w:rsidRPr="00A97B9C" w:rsidRDefault="00A76143" w:rsidP="00A97B9C">
            <w:pPr>
              <w:pStyle w:val="TableTextRight"/>
            </w:pPr>
            <w:r w:rsidRPr="00A97B9C">
              <w:t>–</w:t>
            </w:r>
          </w:p>
        </w:tc>
        <w:tc>
          <w:tcPr>
            <w:tcW w:w="650" w:type="dxa"/>
            <w:tcMar>
              <w:top w:w="57" w:type="dxa"/>
              <w:bottom w:w="57" w:type="dxa"/>
            </w:tcMar>
          </w:tcPr>
          <w:p w14:paraId="02793065" w14:textId="764BA41E" w:rsidR="00A76143" w:rsidRPr="00A97B9C" w:rsidRDefault="00A76143" w:rsidP="00A97B9C">
            <w:pPr>
              <w:pStyle w:val="TableTextRight"/>
            </w:pPr>
            <w:r w:rsidRPr="00A97B9C">
              <w:t>–</w:t>
            </w:r>
          </w:p>
        </w:tc>
        <w:tc>
          <w:tcPr>
            <w:tcW w:w="766" w:type="dxa"/>
            <w:tcMar>
              <w:top w:w="57" w:type="dxa"/>
              <w:bottom w:w="57" w:type="dxa"/>
            </w:tcMar>
          </w:tcPr>
          <w:p w14:paraId="40D47BDA" w14:textId="4EE40709" w:rsidR="00A76143" w:rsidRPr="00A97B9C" w:rsidRDefault="00A76143" w:rsidP="00A97B9C">
            <w:pPr>
              <w:pStyle w:val="TableTextRight"/>
            </w:pPr>
            <w:r w:rsidRPr="00A97B9C">
              <w:t>–</w:t>
            </w:r>
          </w:p>
        </w:tc>
      </w:tr>
      <w:tr w:rsidR="007A0DA6" w:rsidRPr="003B174A" w14:paraId="0F829E44" w14:textId="77777777" w:rsidTr="001F10B3">
        <w:trPr>
          <w:trHeight w:val="25"/>
        </w:trPr>
        <w:tc>
          <w:tcPr>
            <w:tcW w:w="709" w:type="dxa"/>
            <w:tcMar>
              <w:top w:w="57" w:type="dxa"/>
              <w:bottom w:w="57" w:type="dxa"/>
            </w:tcMar>
          </w:tcPr>
          <w:p w14:paraId="70D38C6D" w14:textId="1049F34B" w:rsidR="00A76143" w:rsidRPr="00A97B9C" w:rsidRDefault="00A76143" w:rsidP="00625DAB">
            <w:pPr>
              <w:pStyle w:val="TableTextLeft"/>
            </w:pPr>
            <w:r w:rsidRPr="00A97B9C">
              <w:t>APS 2</w:t>
            </w:r>
          </w:p>
        </w:tc>
        <w:tc>
          <w:tcPr>
            <w:tcW w:w="744" w:type="dxa"/>
            <w:tcMar>
              <w:top w:w="57" w:type="dxa"/>
              <w:bottom w:w="57" w:type="dxa"/>
            </w:tcMar>
          </w:tcPr>
          <w:p w14:paraId="782D9C6D" w14:textId="1CEED317" w:rsidR="00A76143" w:rsidRPr="00A97B9C" w:rsidRDefault="00A76143" w:rsidP="00A97B9C">
            <w:pPr>
              <w:pStyle w:val="TableTextRight"/>
            </w:pPr>
            <w:r w:rsidRPr="00A97B9C">
              <w:t>–</w:t>
            </w:r>
          </w:p>
        </w:tc>
        <w:tc>
          <w:tcPr>
            <w:tcW w:w="672" w:type="dxa"/>
            <w:tcMar>
              <w:top w:w="57" w:type="dxa"/>
              <w:bottom w:w="57" w:type="dxa"/>
            </w:tcMar>
          </w:tcPr>
          <w:p w14:paraId="2B5DC874" w14:textId="1124E5A3" w:rsidR="00A76143" w:rsidRPr="00A97B9C" w:rsidRDefault="00A76143" w:rsidP="00A97B9C">
            <w:pPr>
              <w:pStyle w:val="TableTextRight"/>
            </w:pPr>
            <w:r w:rsidRPr="00A97B9C">
              <w:t>–</w:t>
            </w:r>
          </w:p>
        </w:tc>
        <w:tc>
          <w:tcPr>
            <w:tcW w:w="669" w:type="dxa"/>
            <w:tcMar>
              <w:top w:w="57" w:type="dxa"/>
              <w:bottom w:w="57" w:type="dxa"/>
            </w:tcMar>
          </w:tcPr>
          <w:p w14:paraId="78A25340" w14:textId="4F8A4E3E" w:rsidR="00A76143" w:rsidRPr="00A97B9C" w:rsidRDefault="00A76143" w:rsidP="00A97B9C">
            <w:pPr>
              <w:pStyle w:val="TableTextRight"/>
            </w:pPr>
            <w:r w:rsidRPr="00A97B9C">
              <w:t>–</w:t>
            </w:r>
          </w:p>
        </w:tc>
        <w:tc>
          <w:tcPr>
            <w:tcW w:w="667" w:type="dxa"/>
            <w:tcMar>
              <w:top w:w="57" w:type="dxa"/>
              <w:bottom w:w="57" w:type="dxa"/>
            </w:tcMar>
          </w:tcPr>
          <w:p w14:paraId="2FBBA6CD" w14:textId="07E88AED" w:rsidR="00A76143" w:rsidRPr="00A97B9C" w:rsidRDefault="00A76143" w:rsidP="00A97B9C">
            <w:pPr>
              <w:pStyle w:val="TableTextRight"/>
            </w:pPr>
            <w:r w:rsidRPr="00A97B9C">
              <w:t>–</w:t>
            </w:r>
          </w:p>
        </w:tc>
        <w:tc>
          <w:tcPr>
            <w:tcW w:w="669" w:type="dxa"/>
            <w:tcMar>
              <w:top w:w="57" w:type="dxa"/>
              <w:bottom w:w="57" w:type="dxa"/>
            </w:tcMar>
          </w:tcPr>
          <w:p w14:paraId="23456657" w14:textId="7F2656DF" w:rsidR="00A76143" w:rsidRPr="00A97B9C" w:rsidRDefault="00A76143" w:rsidP="00A97B9C">
            <w:pPr>
              <w:pStyle w:val="TableTextRight"/>
            </w:pPr>
            <w:r w:rsidRPr="00A97B9C">
              <w:t>–</w:t>
            </w:r>
          </w:p>
        </w:tc>
        <w:tc>
          <w:tcPr>
            <w:tcW w:w="668" w:type="dxa"/>
            <w:tcMar>
              <w:top w:w="57" w:type="dxa"/>
              <w:bottom w:w="57" w:type="dxa"/>
            </w:tcMar>
          </w:tcPr>
          <w:p w14:paraId="2C61DBA5" w14:textId="7CDFB2BA" w:rsidR="00A76143" w:rsidRPr="00A97B9C" w:rsidRDefault="00A76143" w:rsidP="00A97B9C">
            <w:pPr>
              <w:pStyle w:val="TableTextRight"/>
            </w:pPr>
            <w:r w:rsidRPr="00A97B9C">
              <w:t>–</w:t>
            </w:r>
          </w:p>
        </w:tc>
        <w:tc>
          <w:tcPr>
            <w:tcW w:w="584" w:type="dxa"/>
            <w:tcMar>
              <w:top w:w="57" w:type="dxa"/>
              <w:bottom w:w="57" w:type="dxa"/>
            </w:tcMar>
          </w:tcPr>
          <w:p w14:paraId="3E35BCB9" w14:textId="2CD88461" w:rsidR="00A76143" w:rsidRPr="00A97B9C" w:rsidRDefault="00A76143" w:rsidP="00A97B9C">
            <w:pPr>
              <w:pStyle w:val="TableTextRight"/>
            </w:pPr>
            <w:r w:rsidRPr="00A97B9C">
              <w:t>–</w:t>
            </w:r>
          </w:p>
        </w:tc>
        <w:tc>
          <w:tcPr>
            <w:tcW w:w="584" w:type="dxa"/>
            <w:tcMar>
              <w:top w:w="57" w:type="dxa"/>
              <w:bottom w:w="57" w:type="dxa"/>
            </w:tcMar>
          </w:tcPr>
          <w:p w14:paraId="2F4071E8" w14:textId="095B4BFE" w:rsidR="00A76143" w:rsidRPr="00A97B9C" w:rsidRDefault="00A76143" w:rsidP="00A97B9C">
            <w:pPr>
              <w:pStyle w:val="TableTextRight"/>
            </w:pPr>
            <w:r w:rsidRPr="00A97B9C">
              <w:t>–</w:t>
            </w:r>
          </w:p>
        </w:tc>
        <w:tc>
          <w:tcPr>
            <w:tcW w:w="704" w:type="dxa"/>
            <w:tcMar>
              <w:top w:w="57" w:type="dxa"/>
              <w:bottom w:w="57" w:type="dxa"/>
            </w:tcMar>
          </w:tcPr>
          <w:p w14:paraId="67850C9F" w14:textId="0E7EFF15" w:rsidR="00A76143" w:rsidRPr="00A97B9C" w:rsidRDefault="00A76143" w:rsidP="00A97B9C">
            <w:pPr>
              <w:pStyle w:val="TableTextRight"/>
            </w:pPr>
            <w:r w:rsidRPr="00A97B9C">
              <w:t>–</w:t>
            </w:r>
          </w:p>
        </w:tc>
        <w:tc>
          <w:tcPr>
            <w:tcW w:w="584" w:type="dxa"/>
            <w:tcMar>
              <w:top w:w="57" w:type="dxa"/>
              <w:bottom w:w="57" w:type="dxa"/>
            </w:tcMar>
          </w:tcPr>
          <w:p w14:paraId="5C3E1D19" w14:textId="390C77C2" w:rsidR="00A76143" w:rsidRPr="00A97B9C" w:rsidRDefault="00A76143" w:rsidP="00A97B9C">
            <w:pPr>
              <w:pStyle w:val="TableTextRight"/>
            </w:pPr>
            <w:r w:rsidRPr="00A97B9C">
              <w:t>–</w:t>
            </w:r>
          </w:p>
        </w:tc>
        <w:tc>
          <w:tcPr>
            <w:tcW w:w="612" w:type="dxa"/>
            <w:tcMar>
              <w:top w:w="57" w:type="dxa"/>
              <w:bottom w:w="57" w:type="dxa"/>
            </w:tcMar>
          </w:tcPr>
          <w:p w14:paraId="14F1F739" w14:textId="2E5B30FC" w:rsidR="00A76143" w:rsidRPr="00A97B9C" w:rsidRDefault="00A76143" w:rsidP="00A97B9C">
            <w:pPr>
              <w:pStyle w:val="TableTextRight"/>
            </w:pPr>
            <w:r w:rsidRPr="00A97B9C">
              <w:t>–</w:t>
            </w:r>
          </w:p>
        </w:tc>
        <w:tc>
          <w:tcPr>
            <w:tcW w:w="751" w:type="dxa"/>
            <w:tcMar>
              <w:top w:w="57" w:type="dxa"/>
              <w:bottom w:w="57" w:type="dxa"/>
            </w:tcMar>
          </w:tcPr>
          <w:p w14:paraId="6E567174" w14:textId="7B72EF69" w:rsidR="00A76143" w:rsidRPr="00A97B9C" w:rsidRDefault="00A76143" w:rsidP="00A97B9C">
            <w:pPr>
              <w:pStyle w:val="TableTextRight"/>
            </w:pPr>
            <w:r w:rsidRPr="00A97B9C">
              <w:t>–</w:t>
            </w:r>
          </w:p>
        </w:tc>
        <w:tc>
          <w:tcPr>
            <w:tcW w:w="710" w:type="dxa"/>
            <w:tcMar>
              <w:top w:w="57" w:type="dxa"/>
              <w:bottom w:w="57" w:type="dxa"/>
            </w:tcMar>
          </w:tcPr>
          <w:p w14:paraId="7BFE0B2C" w14:textId="0357945F" w:rsidR="00A76143" w:rsidRPr="00A97B9C" w:rsidRDefault="00A76143" w:rsidP="00A97B9C">
            <w:pPr>
              <w:pStyle w:val="TableTextRight"/>
            </w:pPr>
            <w:r w:rsidRPr="00A97B9C">
              <w:t>–</w:t>
            </w:r>
          </w:p>
        </w:tc>
        <w:tc>
          <w:tcPr>
            <w:tcW w:w="796" w:type="dxa"/>
            <w:tcMar>
              <w:top w:w="57" w:type="dxa"/>
              <w:bottom w:w="57" w:type="dxa"/>
            </w:tcMar>
          </w:tcPr>
          <w:p w14:paraId="334C9DAC" w14:textId="51E3B27D" w:rsidR="00A76143" w:rsidRPr="00A97B9C" w:rsidRDefault="00A76143" w:rsidP="00A97B9C">
            <w:pPr>
              <w:pStyle w:val="TableTextRight"/>
            </w:pPr>
            <w:r w:rsidRPr="00A97B9C">
              <w:t>–</w:t>
            </w:r>
          </w:p>
        </w:tc>
        <w:tc>
          <w:tcPr>
            <w:tcW w:w="650" w:type="dxa"/>
            <w:tcMar>
              <w:top w:w="57" w:type="dxa"/>
              <w:bottom w:w="57" w:type="dxa"/>
            </w:tcMar>
          </w:tcPr>
          <w:p w14:paraId="1E6E7920" w14:textId="2743452C" w:rsidR="00A76143" w:rsidRPr="00A97B9C" w:rsidRDefault="00A76143" w:rsidP="00A97B9C">
            <w:pPr>
              <w:pStyle w:val="TableTextRight"/>
            </w:pPr>
            <w:r w:rsidRPr="00A97B9C">
              <w:t>–</w:t>
            </w:r>
          </w:p>
        </w:tc>
        <w:tc>
          <w:tcPr>
            <w:tcW w:w="766" w:type="dxa"/>
            <w:tcMar>
              <w:top w:w="57" w:type="dxa"/>
              <w:bottom w:w="57" w:type="dxa"/>
            </w:tcMar>
          </w:tcPr>
          <w:p w14:paraId="1BD46D10" w14:textId="5AC161B4" w:rsidR="00A76143" w:rsidRPr="00A97B9C" w:rsidRDefault="00A76143" w:rsidP="00A97B9C">
            <w:pPr>
              <w:pStyle w:val="TableTextRight"/>
            </w:pPr>
            <w:r w:rsidRPr="00A97B9C">
              <w:t>–</w:t>
            </w:r>
          </w:p>
        </w:tc>
      </w:tr>
      <w:tr w:rsidR="001F10B3" w:rsidRPr="005A1334" w14:paraId="501D1ED9" w14:textId="77777777" w:rsidTr="001F10B3">
        <w:trPr>
          <w:cnfStyle w:val="000000010000" w:firstRow="0" w:lastRow="0" w:firstColumn="0" w:lastColumn="0" w:oddVBand="0" w:evenVBand="0" w:oddHBand="0" w:evenHBand="1" w:firstRowFirstColumn="0" w:firstRowLastColumn="0" w:lastRowFirstColumn="0" w:lastRowLastColumn="0"/>
          <w:trHeight w:val="25"/>
        </w:trPr>
        <w:tc>
          <w:tcPr>
            <w:tcW w:w="709" w:type="dxa"/>
            <w:tcMar>
              <w:top w:w="57" w:type="dxa"/>
              <w:bottom w:w="57" w:type="dxa"/>
            </w:tcMar>
          </w:tcPr>
          <w:p w14:paraId="6FF8FA33" w14:textId="607642F8" w:rsidR="00A76143" w:rsidRPr="00A97B9C" w:rsidRDefault="00A76143" w:rsidP="00625DAB">
            <w:pPr>
              <w:pStyle w:val="TableTextLeft"/>
            </w:pPr>
            <w:r w:rsidRPr="00A97B9C">
              <w:t>APS 1</w:t>
            </w:r>
          </w:p>
        </w:tc>
        <w:tc>
          <w:tcPr>
            <w:tcW w:w="744" w:type="dxa"/>
            <w:tcMar>
              <w:top w:w="57" w:type="dxa"/>
              <w:bottom w:w="57" w:type="dxa"/>
            </w:tcMar>
          </w:tcPr>
          <w:p w14:paraId="4EB28D2B" w14:textId="47CE237C" w:rsidR="00A76143" w:rsidRPr="00A97B9C" w:rsidRDefault="00A76143" w:rsidP="00A97B9C">
            <w:pPr>
              <w:pStyle w:val="TableTextRight"/>
            </w:pPr>
            <w:r w:rsidRPr="00A97B9C">
              <w:t>–</w:t>
            </w:r>
          </w:p>
        </w:tc>
        <w:tc>
          <w:tcPr>
            <w:tcW w:w="672" w:type="dxa"/>
            <w:tcMar>
              <w:top w:w="57" w:type="dxa"/>
              <w:bottom w:w="57" w:type="dxa"/>
            </w:tcMar>
          </w:tcPr>
          <w:p w14:paraId="792D319A" w14:textId="4A3437DE" w:rsidR="00A76143" w:rsidRPr="00A97B9C" w:rsidRDefault="00A76143" w:rsidP="00A97B9C">
            <w:pPr>
              <w:pStyle w:val="TableTextRight"/>
            </w:pPr>
            <w:r w:rsidRPr="00A97B9C">
              <w:t>–</w:t>
            </w:r>
          </w:p>
        </w:tc>
        <w:tc>
          <w:tcPr>
            <w:tcW w:w="669" w:type="dxa"/>
            <w:tcMar>
              <w:top w:w="57" w:type="dxa"/>
              <w:bottom w:w="57" w:type="dxa"/>
            </w:tcMar>
          </w:tcPr>
          <w:p w14:paraId="3E54B2D2" w14:textId="50502819" w:rsidR="00A76143" w:rsidRPr="00A97B9C" w:rsidRDefault="00A76143" w:rsidP="00A97B9C">
            <w:pPr>
              <w:pStyle w:val="TableTextRight"/>
            </w:pPr>
            <w:r w:rsidRPr="00A97B9C">
              <w:t>–</w:t>
            </w:r>
          </w:p>
        </w:tc>
        <w:tc>
          <w:tcPr>
            <w:tcW w:w="667" w:type="dxa"/>
            <w:tcMar>
              <w:top w:w="57" w:type="dxa"/>
              <w:bottom w:w="57" w:type="dxa"/>
            </w:tcMar>
          </w:tcPr>
          <w:p w14:paraId="58163390" w14:textId="2E1F28DD" w:rsidR="00A76143" w:rsidRPr="00A97B9C" w:rsidRDefault="00A76143" w:rsidP="00A97B9C">
            <w:pPr>
              <w:pStyle w:val="TableTextRight"/>
            </w:pPr>
            <w:r w:rsidRPr="00A97B9C">
              <w:t>–</w:t>
            </w:r>
          </w:p>
        </w:tc>
        <w:tc>
          <w:tcPr>
            <w:tcW w:w="669" w:type="dxa"/>
            <w:tcMar>
              <w:top w:w="57" w:type="dxa"/>
              <w:bottom w:w="57" w:type="dxa"/>
            </w:tcMar>
          </w:tcPr>
          <w:p w14:paraId="75434E6E" w14:textId="7C6F81B2" w:rsidR="00A76143" w:rsidRPr="00A97B9C" w:rsidRDefault="00A76143" w:rsidP="00A97B9C">
            <w:pPr>
              <w:pStyle w:val="TableTextRight"/>
            </w:pPr>
            <w:r w:rsidRPr="00A97B9C">
              <w:t>–</w:t>
            </w:r>
          </w:p>
        </w:tc>
        <w:tc>
          <w:tcPr>
            <w:tcW w:w="668" w:type="dxa"/>
            <w:tcMar>
              <w:top w:w="57" w:type="dxa"/>
              <w:bottom w:w="57" w:type="dxa"/>
            </w:tcMar>
          </w:tcPr>
          <w:p w14:paraId="68696C3F" w14:textId="5CCF7A94" w:rsidR="00A76143" w:rsidRPr="00A97B9C" w:rsidRDefault="00A76143" w:rsidP="00A97B9C">
            <w:pPr>
              <w:pStyle w:val="TableTextRight"/>
            </w:pPr>
            <w:r w:rsidRPr="00A97B9C">
              <w:t>–</w:t>
            </w:r>
          </w:p>
        </w:tc>
        <w:tc>
          <w:tcPr>
            <w:tcW w:w="584" w:type="dxa"/>
            <w:tcMar>
              <w:top w:w="57" w:type="dxa"/>
              <w:bottom w:w="57" w:type="dxa"/>
            </w:tcMar>
          </w:tcPr>
          <w:p w14:paraId="1EF4A3D4" w14:textId="1E9E75C8" w:rsidR="00A76143" w:rsidRPr="00A97B9C" w:rsidRDefault="00A76143" w:rsidP="00A97B9C">
            <w:pPr>
              <w:pStyle w:val="TableTextRight"/>
            </w:pPr>
            <w:r w:rsidRPr="00A97B9C">
              <w:t>–</w:t>
            </w:r>
          </w:p>
        </w:tc>
        <w:tc>
          <w:tcPr>
            <w:tcW w:w="584" w:type="dxa"/>
            <w:tcMar>
              <w:top w:w="57" w:type="dxa"/>
              <w:bottom w:w="57" w:type="dxa"/>
            </w:tcMar>
          </w:tcPr>
          <w:p w14:paraId="79AD948C" w14:textId="4019305B" w:rsidR="00A76143" w:rsidRPr="00A97B9C" w:rsidRDefault="00A76143" w:rsidP="00A97B9C">
            <w:pPr>
              <w:pStyle w:val="TableTextRight"/>
            </w:pPr>
            <w:r w:rsidRPr="00A97B9C">
              <w:t>–</w:t>
            </w:r>
          </w:p>
        </w:tc>
        <w:tc>
          <w:tcPr>
            <w:tcW w:w="704" w:type="dxa"/>
            <w:tcMar>
              <w:top w:w="57" w:type="dxa"/>
              <w:bottom w:w="57" w:type="dxa"/>
            </w:tcMar>
          </w:tcPr>
          <w:p w14:paraId="6BB5CCB7" w14:textId="2160DD77" w:rsidR="00A76143" w:rsidRPr="00A97B9C" w:rsidRDefault="00A76143" w:rsidP="00A97B9C">
            <w:pPr>
              <w:pStyle w:val="TableTextRight"/>
            </w:pPr>
            <w:r w:rsidRPr="00A97B9C">
              <w:t>–</w:t>
            </w:r>
          </w:p>
        </w:tc>
        <w:tc>
          <w:tcPr>
            <w:tcW w:w="584" w:type="dxa"/>
            <w:tcMar>
              <w:top w:w="57" w:type="dxa"/>
              <w:bottom w:w="57" w:type="dxa"/>
            </w:tcMar>
          </w:tcPr>
          <w:p w14:paraId="007DD249" w14:textId="1C1CDFDF" w:rsidR="00A76143" w:rsidRPr="00A97B9C" w:rsidRDefault="00A76143" w:rsidP="00A97B9C">
            <w:pPr>
              <w:pStyle w:val="TableTextRight"/>
            </w:pPr>
            <w:r w:rsidRPr="00A97B9C">
              <w:t>–</w:t>
            </w:r>
          </w:p>
        </w:tc>
        <w:tc>
          <w:tcPr>
            <w:tcW w:w="612" w:type="dxa"/>
            <w:tcMar>
              <w:top w:w="57" w:type="dxa"/>
              <w:bottom w:w="57" w:type="dxa"/>
            </w:tcMar>
          </w:tcPr>
          <w:p w14:paraId="71D7C6AB" w14:textId="1AC525FC" w:rsidR="00A76143" w:rsidRPr="00A97B9C" w:rsidRDefault="00A76143" w:rsidP="00A97B9C">
            <w:pPr>
              <w:pStyle w:val="TableTextRight"/>
            </w:pPr>
            <w:r w:rsidRPr="00A97B9C">
              <w:t>–</w:t>
            </w:r>
          </w:p>
        </w:tc>
        <w:tc>
          <w:tcPr>
            <w:tcW w:w="751" w:type="dxa"/>
            <w:tcMar>
              <w:top w:w="57" w:type="dxa"/>
              <w:bottom w:w="57" w:type="dxa"/>
            </w:tcMar>
          </w:tcPr>
          <w:p w14:paraId="734FD5E4" w14:textId="184F0253" w:rsidR="00A76143" w:rsidRPr="00A97B9C" w:rsidRDefault="00A76143" w:rsidP="00A97B9C">
            <w:pPr>
              <w:pStyle w:val="TableTextRight"/>
            </w:pPr>
            <w:r w:rsidRPr="00A97B9C">
              <w:t>–</w:t>
            </w:r>
          </w:p>
        </w:tc>
        <w:tc>
          <w:tcPr>
            <w:tcW w:w="710" w:type="dxa"/>
            <w:tcMar>
              <w:top w:w="57" w:type="dxa"/>
              <w:bottom w:w="57" w:type="dxa"/>
            </w:tcMar>
          </w:tcPr>
          <w:p w14:paraId="0D70DCF1" w14:textId="2A18F276" w:rsidR="00A76143" w:rsidRPr="00A97B9C" w:rsidRDefault="00A76143" w:rsidP="00A97B9C">
            <w:pPr>
              <w:pStyle w:val="TableTextRight"/>
            </w:pPr>
            <w:r w:rsidRPr="00A97B9C">
              <w:t>–</w:t>
            </w:r>
          </w:p>
        </w:tc>
        <w:tc>
          <w:tcPr>
            <w:tcW w:w="796" w:type="dxa"/>
            <w:tcMar>
              <w:top w:w="57" w:type="dxa"/>
              <w:bottom w:w="57" w:type="dxa"/>
            </w:tcMar>
          </w:tcPr>
          <w:p w14:paraId="33EC18F2" w14:textId="1A1A5736" w:rsidR="00A76143" w:rsidRPr="00A97B9C" w:rsidRDefault="00A76143" w:rsidP="00A97B9C">
            <w:pPr>
              <w:pStyle w:val="TableTextRight"/>
            </w:pPr>
            <w:r w:rsidRPr="00A97B9C">
              <w:t>–</w:t>
            </w:r>
          </w:p>
        </w:tc>
        <w:tc>
          <w:tcPr>
            <w:tcW w:w="650" w:type="dxa"/>
            <w:tcMar>
              <w:top w:w="57" w:type="dxa"/>
              <w:bottom w:w="57" w:type="dxa"/>
            </w:tcMar>
          </w:tcPr>
          <w:p w14:paraId="57FBD99F" w14:textId="7F906AE3" w:rsidR="00A76143" w:rsidRPr="00A97B9C" w:rsidRDefault="00A76143" w:rsidP="00A97B9C">
            <w:pPr>
              <w:pStyle w:val="TableTextRight"/>
            </w:pPr>
            <w:r w:rsidRPr="00A97B9C">
              <w:t>–</w:t>
            </w:r>
          </w:p>
        </w:tc>
        <w:tc>
          <w:tcPr>
            <w:tcW w:w="766" w:type="dxa"/>
            <w:tcMar>
              <w:top w:w="57" w:type="dxa"/>
              <w:bottom w:w="57" w:type="dxa"/>
            </w:tcMar>
          </w:tcPr>
          <w:p w14:paraId="68885BDE" w14:textId="6261701D" w:rsidR="00A76143" w:rsidRPr="00A97B9C" w:rsidRDefault="00A76143" w:rsidP="00A97B9C">
            <w:pPr>
              <w:pStyle w:val="TableTextRight"/>
            </w:pPr>
            <w:r w:rsidRPr="00A97B9C">
              <w:t>–</w:t>
            </w:r>
          </w:p>
        </w:tc>
      </w:tr>
      <w:tr w:rsidR="007A0DA6" w:rsidRPr="003B174A" w14:paraId="7191015C" w14:textId="77777777" w:rsidTr="001F10B3">
        <w:trPr>
          <w:trHeight w:val="25"/>
        </w:trPr>
        <w:tc>
          <w:tcPr>
            <w:tcW w:w="709" w:type="dxa"/>
            <w:tcMar>
              <w:top w:w="57" w:type="dxa"/>
              <w:bottom w:w="57" w:type="dxa"/>
            </w:tcMar>
          </w:tcPr>
          <w:p w14:paraId="4D116798" w14:textId="3F60193B" w:rsidR="00A76143" w:rsidRPr="00A97B9C" w:rsidRDefault="00A76143" w:rsidP="00625DAB">
            <w:pPr>
              <w:pStyle w:val="TableTextLeft"/>
            </w:pPr>
            <w:r w:rsidRPr="00A97B9C">
              <w:t xml:space="preserve">Other </w:t>
            </w:r>
          </w:p>
        </w:tc>
        <w:tc>
          <w:tcPr>
            <w:tcW w:w="744" w:type="dxa"/>
            <w:tcMar>
              <w:top w:w="57" w:type="dxa"/>
              <w:bottom w:w="57" w:type="dxa"/>
            </w:tcMar>
          </w:tcPr>
          <w:p w14:paraId="29F65C8E" w14:textId="4F16E6DF" w:rsidR="00A76143" w:rsidRPr="00A97B9C" w:rsidRDefault="00A76143" w:rsidP="00A97B9C">
            <w:pPr>
              <w:pStyle w:val="TableTextRight"/>
            </w:pPr>
            <w:r w:rsidRPr="00A97B9C">
              <w:t>–</w:t>
            </w:r>
          </w:p>
        </w:tc>
        <w:tc>
          <w:tcPr>
            <w:tcW w:w="672" w:type="dxa"/>
            <w:tcMar>
              <w:top w:w="57" w:type="dxa"/>
              <w:bottom w:w="57" w:type="dxa"/>
            </w:tcMar>
          </w:tcPr>
          <w:p w14:paraId="2A5CDC89" w14:textId="3CA3C6CA" w:rsidR="00A76143" w:rsidRPr="00A97B9C" w:rsidRDefault="00A76143" w:rsidP="00A97B9C">
            <w:pPr>
              <w:pStyle w:val="TableTextRight"/>
            </w:pPr>
            <w:r w:rsidRPr="00A97B9C">
              <w:t>–</w:t>
            </w:r>
          </w:p>
        </w:tc>
        <w:tc>
          <w:tcPr>
            <w:tcW w:w="669" w:type="dxa"/>
            <w:tcMar>
              <w:top w:w="57" w:type="dxa"/>
              <w:bottom w:w="57" w:type="dxa"/>
            </w:tcMar>
          </w:tcPr>
          <w:p w14:paraId="2F576A01" w14:textId="720DFBB0" w:rsidR="00A76143" w:rsidRPr="00A97B9C" w:rsidRDefault="00A76143" w:rsidP="00A97B9C">
            <w:pPr>
              <w:pStyle w:val="TableTextRight"/>
            </w:pPr>
            <w:r w:rsidRPr="00A97B9C">
              <w:t>–</w:t>
            </w:r>
          </w:p>
        </w:tc>
        <w:tc>
          <w:tcPr>
            <w:tcW w:w="667" w:type="dxa"/>
            <w:tcMar>
              <w:top w:w="57" w:type="dxa"/>
              <w:bottom w:w="57" w:type="dxa"/>
            </w:tcMar>
          </w:tcPr>
          <w:p w14:paraId="645BA165" w14:textId="1D7D73A5" w:rsidR="00A76143" w:rsidRPr="00A97B9C" w:rsidRDefault="00A76143" w:rsidP="00A97B9C">
            <w:pPr>
              <w:pStyle w:val="TableTextRight"/>
            </w:pPr>
            <w:r w:rsidRPr="00A97B9C">
              <w:t>–</w:t>
            </w:r>
          </w:p>
        </w:tc>
        <w:tc>
          <w:tcPr>
            <w:tcW w:w="669" w:type="dxa"/>
            <w:tcMar>
              <w:top w:w="57" w:type="dxa"/>
              <w:bottom w:w="57" w:type="dxa"/>
            </w:tcMar>
          </w:tcPr>
          <w:p w14:paraId="5FDA50E7" w14:textId="70CA3936" w:rsidR="00A76143" w:rsidRPr="00A97B9C" w:rsidRDefault="00A76143" w:rsidP="00A97B9C">
            <w:pPr>
              <w:pStyle w:val="TableTextRight"/>
            </w:pPr>
            <w:r w:rsidRPr="00A97B9C">
              <w:t>–</w:t>
            </w:r>
          </w:p>
        </w:tc>
        <w:tc>
          <w:tcPr>
            <w:tcW w:w="668" w:type="dxa"/>
            <w:tcMar>
              <w:top w:w="57" w:type="dxa"/>
              <w:bottom w:w="57" w:type="dxa"/>
            </w:tcMar>
          </w:tcPr>
          <w:p w14:paraId="3E0D21A7" w14:textId="1901B645" w:rsidR="00A76143" w:rsidRPr="00A97B9C" w:rsidRDefault="00A76143" w:rsidP="00A97B9C">
            <w:pPr>
              <w:pStyle w:val="TableTextRight"/>
            </w:pPr>
            <w:r w:rsidRPr="00A97B9C">
              <w:t>–</w:t>
            </w:r>
          </w:p>
        </w:tc>
        <w:tc>
          <w:tcPr>
            <w:tcW w:w="584" w:type="dxa"/>
            <w:tcMar>
              <w:top w:w="57" w:type="dxa"/>
              <w:bottom w:w="57" w:type="dxa"/>
            </w:tcMar>
          </w:tcPr>
          <w:p w14:paraId="11040D97" w14:textId="71BA2D09" w:rsidR="00A76143" w:rsidRPr="00A97B9C" w:rsidRDefault="00A76143" w:rsidP="00A97B9C">
            <w:pPr>
              <w:pStyle w:val="TableTextRight"/>
            </w:pPr>
            <w:r w:rsidRPr="00A97B9C">
              <w:t>–</w:t>
            </w:r>
          </w:p>
        </w:tc>
        <w:tc>
          <w:tcPr>
            <w:tcW w:w="584" w:type="dxa"/>
            <w:tcMar>
              <w:top w:w="57" w:type="dxa"/>
              <w:bottom w:w="57" w:type="dxa"/>
            </w:tcMar>
          </w:tcPr>
          <w:p w14:paraId="0BD26A9D" w14:textId="0E5EA669" w:rsidR="00A76143" w:rsidRPr="00A97B9C" w:rsidRDefault="00A76143" w:rsidP="00A97B9C">
            <w:pPr>
              <w:pStyle w:val="TableTextRight"/>
            </w:pPr>
            <w:r w:rsidRPr="00A97B9C">
              <w:t>–</w:t>
            </w:r>
          </w:p>
        </w:tc>
        <w:tc>
          <w:tcPr>
            <w:tcW w:w="704" w:type="dxa"/>
            <w:tcMar>
              <w:top w:w="57" w:type="dxa"/>
              <w:bottom w:w="57" w:type="dxa"/>
            </w:tcMar>
          </w:tcPr>
          <w:p w14:paraId="5818EF36" w14:textId="6022D299" w:rsidR="00A76143" w:rsidRPr="00A97B9C" w:rsidRDefault="00A76143" w:rsidP="00A97B9C">
            <w:pPr>
              <w:pStyle w:val="TableTextRight"/>
            </w:pPr>
            <w:r w:rsidRPr="00A97B9C">
              <w:t>–</w:t>
            </w:r>
          </w:p>
        </w:tc>
        <w:tc>
          <w:tcPr>
            <w:tcW w:w="584" w:type="dxa"/>
            <w:tcMar>
              <w:top w:w="57" w:type="dxa"/>
              <w:bottom w:w="57" w:type="dxa"/>
            </w:tcMar>
          </w:tcPr>
          <w:p w14:paraId="54C9B24D" w14:textId="32F62A39" w:rsidR="00A76143" w:rsidRPr="00A97B9C" w:rsidRDefault="00A76143" w:rsidP="00A97B9C">
            <w:pPr>
              <w:pStyle w:val="TableTextRight"/>
            </w:pPr>
            <w:r w:rsidRPr="00A97B9C">
              <w:t>–</w:t>
            </w:r>
          </w:p>
        </w:tc>
        <w:tc>
          <w:tcPr>
            <w:tcW w:w="612" w:type="dxa"/>
            <w:tcMar>
              <w:top w:w="57" w:type="dxa"/>
              <w:bottom w:w="57" w:type="dxa"/>
            </w:tcMar>
          </w:tcPr>
          <w:p w14:paraId="665443A7" w14:textId="28BEA31A" w:rsidR="00A76143" w:rsidRPr="00A97B9C" w:rsidRDefault="00A76143" w:rsidP="00A97B9C">
            <w:pPr>
              <w:pStyle w:val="TableTextRight"/>
            </w:pPr>
            <w:r w:rsidRPr="00A97B9C">
              <w:t>–</w:t>
            </w:r>
          </w:p>
        </w:tc>
        <w:tc>
          <w:tcPr>
            <w:tcW w:w="751" w:type="dxa"/>
            <w:tcMar>
              <w:top w:w="57" w:type="dxa"/>
              <w:bottom w:w="57" w:type="dxa"/>
            </w:tcMar>
          </w:tcPr>
          <w:p w14:paraId="1D14249F" w14:textId="3483E07B" w:rsidR="00A76143" w:rsidRPr="00A97B9C" w:rsidRDefault="00A76143" w:rsidP="00A97B9C">
            <w:pPr>
              <w:pStyle w:val="TableTextRight"/>
            </w:pPr>
            <w:r w:rsidRPr="00A97B9C">
              <w:t>–</w:t>
            </w:r>
          </w:p>
        </w:tc>
        <w:tc>
          <w:tcPr>
            <w:tcW w:w="710" w:type="dxa"/>
            <w:tcMar>
              <w:top w:w="57" w:type="dxa"/>
              <w:bottom w:w="57" w:type="dxa"/>
            </w:tcMar>
          </w:tcPr>
          <w:p w14:paraId="69A4F344" w14:textId="4247A5D3" w:rsidR="00A76143" w:rsidRPr="00A97B9C" w:rsidRDefault="00A76143" w:rsidP="00A97B9C">
            <w:pPr>
              <w:pStyle w:val="TableTextRight"/>
            </w:pPr>
            <w:r w:rsidRPr="00A97B9C">
              <w:t>–</w:t>
            </w:r>
          </w:p>
        </w:tc>
        <w:tc>
          <w:tcPr>
            <w:tcW w:w="796" w:type="dxa"/>
            <w:tcMar>
              <w:top w:w="57" w:type="dxa"/>
              <w:bottom w:w="57" w:type="dxa"/>
            </w:tcMar>
          </w:tcPr>
          <w:p w14:paraId="01583786" w14:textId="51B17302" w:rsidR="00A76143" w:rsidRPr="00A97B9C" w:rsidRDefault="00A76143" w:rsidP="00A97B9C">
            <w:pPr>
              <w:pStyle w:val="TableTextRight"/>
            </w:pPr>
            <w:r w:rsidRPr="00A97B9C">
              <w:t>–</w:t>
            </w:r>
          </w:p>
        </w:tc>
        <w:tc>
          <w:tcPr>
            <w:tcW w:w="650" w:type="dxa"/>
            <w:tcMar>
              <w:top w:w="57" w:type="dxa"/>
              <w:bottom w:w="57" w:type="dxa"/>
            </w:tcMar>
          </w:tcPr>
          <w:p w14:paraId="22B2449A" w14:textId="1F95E806" w:rsidR="00A76143" w:rsidRPr="00A97B9C" w:rsidRDefault="00A76143" w:rsidP="00A97B9C">
            <w:pPr>
              <w:pStyle w:val="TableTextRight"/>
            </w:pPr>
            <w:r w:rsidRPr="00A97B9C">
              <w:t>–</w:t>
            </w:r>
          </w:p>
        </w:tc>
        <w:tc>
          <w:tcPr>
            <w:tcW w:w="766" w:type="dxa"/>
            <w:tcMar>
              <w:top w:w="57" w:type="dxa"/>
              <w:bottom w:w="57" w:type="dxa"/>
            </w:tcMar>
          </w:tcPr>
          <w:p w14:paraId="76B82613" w14:textId="54F2EEEB" w:rsidR="00A76143" w:rsidRPr="00A97B9C" w:rsidRDefault="00A76143" w:rsidP="00A97B9C">
            <w:pPr>
              <w:pStyle w:val="TableTextRight"/>
            </w:pPr>
            <w:r w:rsidRPr="00A97B9C">
              <w:t>–</w:t>
            </w:r>
          </w:p>
        </w:tc>
      </w:tr>
      <w:tr w:rsidR="001F10B3" w:rsidRPr="005A1334" w14:paraId="2EEE151F" w14:textId="77777777" w:rsidTr="001F10B3">
        <w:trPr>
          <w:cnfStyle w:val="000000010000" w:firstRow="0" w:lastRow="0" w:firstColumn="0" w:lastColumn="0" w:oddVBand="0" w:evenVBand="0" w:oddHBand="0" w:evenHBand="1" w:firstRowFirstColumn="0" w:firstRowLastColumn="0" w:lastRowFirstColumn="0" w:lastRowLastColumn="0"/>
          <w:trHeight w:val="25"/>
        </w:trPr>
        <w:tc>
          <w:tcPr>
            <w:tcW w:w="709" w:type="dxa"/>
            <w:tcMar>
              <w:top w:w="57" w:type="dxa"/>
              <w:bottom w:w="57" w:type="dxa"/>
            </w:tcMar>
          </w:tcPr>
          <w:p w14:paraId="50477520" w14:textId="131DC96E" w:rsidR="00A76143" w:rsidRPr="00697C8F" w:rsidRDefault="00A76143" w:rsidP="00625DAB">
            <w:pPr>
              <w:pStyle w:val="TableTextLeft"/>
              <w:rPr>
                <w:b/>
                <w:bCs/>
              </w:rPr>
            </w:pPr>
            <w:r w:rsidRPr="00697C8F">
              <w:rPr>
                <w:b/>
                <w:bCs/>
              </w:rPr>
              <w:t>Total</w:t>
            </w:r>
          </w:p>
        </w:tc>
        <w:tc>
          <w:tcPr>
            <w:tcW w:w="744" w:type="dxa"/>
            <w:tcMar>
              <w:top w:w="57" w:type="dxa"/>
              <w:bottom w:w="57" w:type="dxa"/>
            </w:tcMar>
          </w:tcPr>
          <w:p w14:paraId="53BFDFC2" w14:textId="06C484D1" w:rsidR="00A76143" w:rsidRPr="00A97B9C" w:rsidRDefault="00A76143" w:rsidP="00A97B9C">
            <w:pPr>
              <w:pStyle w:val="TableTextRight"/>
              <w:rPr>
                <w:b/>
                <w:bCs/>
              </w:rPr>
            </w:pPr>
            <w:r w:rsidRPr="00A97B9C">
              <w:rPr>
                <w:b/>
                <w:bCs/>
              </w:rPr>
              <w:t>–</w:t>
            </w:r>
          </w:p>
        </w:tc>
        <w:tc>
          <w:tcPr>
            <w:tcW w:w="672" w:type="dxa"/>
            <w:tcMar>
              <w:top w:w="57" w:type="dxa"/>
              <w:bottom w:w="57" w:type="dxa"/>
            </w:tcMar>
          </w:tcPr>
          <w:p w14:paraId="4A4021D1" w14:textId="3C27F86E" w:rsidR="00A76143" w:rsidRPr="00A97B9C" w:rsidRDefault="00A76143" w:rsidP="00A97B9C">
            <w:pPr>
              <w:pStyle w:val="TableTextRight"/>
              <w:rPr>
                <w:b/>
                <w:bCs/>
              </w:rPr>
            </w:pPr>
            <w:r w:rsidRPr="00A97B9C">
              <w:rPr>
                <w:b/>
                <w:bCs/>
              </w:rPr>
              <w:t>–</w:t>
            </w:r>
          </w:p>
        </w:tc>
        <w:tc>
          <w:tcPr>
            <w:tcW w:w="669" w:type="dxa"/>
            <w:tcMar>
              <w:top w:w="57" w:type="dxa"/>
              <w:bottom w:w="57" w:type="dxa"/>
            </w:tcMar>
          </w:tcPr>
          <w:p w14:paraId="36E416F2" w14:textId="647257C5" w:rsidR="00A76143" w:rsidRPr="00A97B9C" w:rsidRDefault="00A76143" w:rsidP="00A97B9C">
            <w:pPr>
              <w:pStyle w:val="TableTextRight"/>
              <w:rPr>
                <w:b/>
                <w:bCs/>
              </w:rPr>
            </w:pPr>
            <w:r w:rsidRPr="00A97B9C">
              <w:rPr>
                <w:b/>
                <w:bCs/>
              </w:rPr>
              <w:t>–</w:t>
            </w:r>
          </w:p>
        </w:tc>
        <w:tc>
          <w:tcPr>
            <w:tcW w:w="667" w:type="dxa"/>
            <w:tcMar>
              <w:top w:w="57" w:type="dxa"/>
              <w:bottom w:w="57" w:type="dxa"/>
            </w:tcMar>
          </w:tcPr>
          <w:p w14:paraId="409D621C" w14:textId="74E9B73D" w:rsidR="00A76143" w:rsidRPr="00A97B9C" w:rsidRDefault="00A76143" w:rsidP="00A97B9C">
            <w:pPr>
              <w:pStyle w:val="TableTextRight"/>
              <w:rPr>
                <w:b/>
                <w:bCs/>
              </w:rPr>
            </w:pPr>
            <w:r w:rsidRPr="00A97B9C">
              <w:rPr>
                <w:b/>
                <w:bCs/>
              </w:rPr>
              <w:t>5</w:t>
            </w:r>
          </w:p>
        </w:tc>
        <w:tc>
          <w:tcPr>
            <w:tcW w:w="669" w:type="dxa"/>
            <w:tcMar>
              <w:top w:w="57" w:type="dxa"/>
              <w:bottom w:w="57" w:type="dxa"/>
            </w:tcMar>
          </w:tcPr>
          <w:p w14:paraId="46ADFE88" w14:textId="119E092B" w:rsidR="00A76143" w:rsidRPr="00A97B9C" w:rsidRDefault="00A76143" w:rsidP="00A97B9C">
            <w:pPr>
              <w:pStyle w:val="TableTextRight"/>
              <w:rPr>
                <w:b/>
                <w:bCs/>
              </w:rPr>
            </w:pPr>
            <w:r w:rsidRPr="00A97B9C">
              <w:rPr>
                <w:b/>
                <w:bCs/>
              </w:rPr>
              <w:t>–</w:t>
            </w:r>
          </w:p>
        </w:tc>
        <w:tc>
          <w:tcPr>
            <w:tcW w:w="668" w:type="dxa"/>
            <w:tcMar>
              <w:top w:w="57" w:type="dxa"/>
              <w:bottom w:w="57" w:type="dxa"/>
            </w:tcMar>
          </w:tcPr>
          <w:p w14:paraId="628C3BA3" w14:textId="47855707" w:rsidR="00A76143" w:rsidRPr="00A97B9C" w:rsidRDefault="00A76143" w:rsidP="00A97B9C">
            <w:pPr>
              <w:pStyle w:val="TableTextRight"/>
              <w:rPr>
                <w:b/>
                <w:bCs/>
              </w:rPr>
            </w:pPr>
            <w:r w:rsidRPr="00A97B9C">
              <w:rPr>
                <w:b/>
                <w:bCs/>
              </w:rPr>
              <w:t>5</w:t>
            </w:r>
          </w:p>
        </w:tc>
        <w:tc>
          <w:tcPr>
            <w:tcW w:w="584" w:type="dxa"/>
            <w:tcMar>
              <w:top w:w="57" w:type="dxa"/>
              <w:bottom w:w="57" w:type="dxa"/>
            </w:tcMar>
          </w:tcPr>
          <w:p w14:paraId="22C37874" w14:textId="76D27FF9" w:rsidR="00A76143" w:rsidRPr="00A97B9C" w:rsidRDefault="00A76143" w:rsidP="00A97B9C">
            <w:pPr>
              <w:pStyle w:val="TableTextRight"/>
              <w:rPr>
                <w:b/>
                <w:bCs/>
              </w:rPr>
            </w:pPr>
            <w:r w:rsidRPr="00A97B9C">
              <w:rPr>
                <w:b/>
                <w:bCs/>
              </w:rPr>
              <w:t>–</w:t>
            </w:r>
          </w:p>
        </w:tc>
        <w:tc>
          <w:tcPr>
            <w:tcW w:w="584" w:type="dxa"/>
            <w:tcMar>
              <w:top w:w="57" w:type="dxa"/>
              <w:bottom w:w="57" w:type="dxa"/>
            </w:tcMar>
          </w:tcPr>
          <w:p w14:paraId="4D63FB31" w14:textId="04846CFF" w:rsidR="00A76143" w:rsidRPr="00A97B9C" w:rsidRDefault="00A76143" w:rsidP="00A97B9C">
            <w:pPr>
              <w:pStyle w:val="TableTextRight"/>
              <w:rPr>
                <w:b/>
                <w:bCs/>
              </w:rPr>
            </w:pPr>
            <w:r w:rsidRPr="00A97B9C">
              <w:rPr>
                <w:b/>
                <w:bCs/>
              </w:rPr>
              <w:t>–</w:t>
            </w:r>
          </w:p>
        </w:tc>
        <w:tc>
          <w:tcPr>
            <w:tcW w:w="704" w:type="dxa"/>
            <w:tcMar>
              <w:top w:w="57" w:type="dxa"/>
              <w:bottom w:w="57" w:type="dxa"/>
            </w:tcMar>
          </w:tcPr>
          <w:p w14:paraId="3D027CBB" w14:textId="675617B9" w:rsidR="00A76143" w:rsidRPr="00A97B9C" w:rsidRDefault="00A76143" w:rsidP="00A97B9C">
            <w:pPr>
              <w:pStyle w:val="TableTextRight"/>
              <w:rPr>
                <w:b/>
                <w:bCs/>
              </w:rPr>
            </w:pPr>
            <w:r w:rsidRPr="00A97B9C">
              <w:rPr>
                <w:b/>
                <w:bCs/>
              </w:rPr>
              <w:t>–</w:t>
            </w:r>
          </w:p>
        </w:tc>
        <w:tc>
          <w:tcPr>
            <w:tcW w:w="584" w:type="dxa"/>
            <w:tcMar>
              <w:top w:w="57" w:type="dxa"/>
              <w:bottom w:w="57" w:type="dxa"/>
            </w:tcMar>
          </w:tcPr>
          <w:p w14:paraId="378CC70F" w14:textId="6CD91109" w:rsidR="00A76143" w:rsidRPr="00A97B9C" w:rsidRDefault="00A76143" w:rsidP="00A97B9C">
            <w:pPr>
              <w:pStyle w:val="TableTextRight"/>
              <w:rPr>
                <w:b/>
                <w:bCs/>
              </w:rPr>
            </w:pPr>
            <w:r w:rsidRPr="00A97B9C">
              <w:rPr>
                <w:b/>
                <w:bCs/>
              </w:rPr>
              <w:t>–</w:t>
            </w:r>
          </w:p>
        </w:tc>
        <w:tc>
          <w:tcPr>
            <w:tcW w:w="612" w:type="dxa"/>
            <w:tcMar>
              <w:top w:w="57" w:type="dxa"/>
              <w:bottom w:w="57" w:type="dxa"/>
            </w:tcMar>
          </w:tcPr>
          <w:p w14:paraId="53355AE7" w14:textId="5E6F77A2" w:rsidR="00A76143" w:rsidRPr="00A97B9C" w:rsidRDefault="00A76143" w:rsidP="00A97B9C">
            <w:pPr>
              <w:pStyle w:val="TableTextRight"/>
              <w:rPr>
                <w:b/>
                <w:bCs/>
              </w:rPr>
            </w:pPr>
            <w:r w:rsidRPr="00A97B9C">
              <w:rPr>
                <w:b/>
                <w:bCs/>
              </w:rPr>
              <w:t>–</w:t>
            </w:r>
          </w:p>
        </w:tc>
        <w:tc>
          <w:tcPr>
            <w:tcW w:w="751" w:type="dxa"/>
            <w:tcMar>
              <w:top w:w="57" w:type="dxa"/>
              <w:bottom w:w="57" w:type="dxa"/>
            </w:tcMar>
          </w:tcPr>
          <w:p w14:paraId="6DA64477" w14:textId="754D7B4F" w:rsidR="00A76143" w:rsidRPr="00A97B9C" w:rsidRDefault="00A76143" w:rsidP="00A97B9C">
            <w:pPr>
              <w:pStyle w:val="TableTextRight"/>
              <w:rPr>
                <w:b/>
                <w:bCs/>
              </w:rPr>
            </w:pPr>
            <w:r w:rsidRPr="00A97B9C">
              <w:rPr>
                <w:b/>
                <w:bCs/>
              </w:rPr>
              <w:t>–</w:t>
            </w:r>
          </w:p>
        </w:tc>
        <w:tc>
          <w:tcPr>
            <w:tcW w:w="710" w:type="dxa"/>
            <w:tcMar>
              <w:top w:w="57" w:type="dxa"/>
              <w:bottom w:w="57" w:type="dxa"/>
            </w:tcMar>
          </w:tcPr>
          <w:p w14:paraId="37A2B925" w14:textId="38807066" w:rsidR="00A76143" w:rsidRPr="00A97B9C" w:rsidRDefault="00A76143" w:rsidP="00A97B9C">
            <w:pPr>
              <w:pStyle w:val="TableTextRight"/>
              <w:rPr>
                <w:b/>
                <w:bCs/>
              </w:rPr>
            </w:pPr>
            <w:r w:rsidRPr="00A97B9C">
              <w:rPr>
                <w:b/>
                <w:bCs/>
              </w:rPr>
              <w:t>–</w:t>
            </w:r>
          </w:p>
        </w:tc>
        <w:tc>
          <w:tcPr>
            <w:tcW w:w="796" w:type="dxa"/>
            <w:tcMar>
              <w:top w:w="57" w:type="dxa"/>
              <w:bottom w:w="57" w:type="dxa"/>
            </w:tcMar>
          </w:tcPr>
          <w:p w14:paraId="4DB5AB97" w14:textId="3264C5B5" w:rsidR="00A76143" w:rsidRPr="00A97B9C" w:rsidRDefault="00A76143" w:rsidP="00A97B9C">
            <w:pPr>
              <w:pStyle w:val="TableTextRight"/>
              <w:rPr>
                <w:b/>
                <w:bCs/>
              </w:rPr>
            </w:pPr>
            <w:r w:rsidRPr="00A97B9C">
              <w:rPr>
                <w:b/>
                <w:bCs/>
              </w:rPr>
              <w:t>–</w:t>
            </w:r>
          </w:p>
        </w:tc>
        <w:tc>
          <w:tcPr>
            <w:tcW w:w="650" w:type="dxa"/>
            <w:tcMar>
              <w:top w:w="57" w:type="dxa"/>
              <w:bottom w:w="57" w:type="dxa"/>
            </w:tcMar>
          </w:tcPr>
          <w:p w14:paraId="0A2DD65F" w14:textId="5F01839F" w:rsidR="00A76143" w:rsidRPr="00A97B9C" w:rsidRDefault="00A76143" w:rsidP="00A97B9C">
            <w:pPr>
              <w:pStyle w:val="TableTextRight"/>
              <w:rPr>
                <w:b/>
                <w:bCs/>
              </w:rPr>
            </w:pPr>
            <w:r w:rsidRPr="00A97B9C">
              <w:rPr>
                <w:b/>
                <w:bCs/>
              </w:rPr>
              <w:t>–</w:t>
            </w:r>
          </w:p>
        </w:tc>
        <w:tc>
          <w:tcPr>
            <w:tcW w:w="766" w:type="dxa"/>
            <w:tcMar>
              <w:top w:w="57" w:type="dxa"/>
              <w:bottom w:w="57" w:type="dxa"/>
            </w:tcMar>
          </w:tcPr>
          <w:p w14:paraId="33202281" w14:textId="3D81DC17" w:rsidR="00A76143" w:rsidRPr="00A97B9C" w:rsidRDefault="00A76143" w:rsidP="00A97B9C">
            <w:pPr>
              <w:pStyle w:val="TableTextRight"/>
              <w:rPr>
                <w:b/>
                <w:bCs/>
              </w:rPr>
            </w:pPr>
            <w:r w:rsidRPr="00A97B9C">
              <w:rPr>
                <w:b/>
                <w:bCs/>
              </w:rPr>
              <w:t>5</w:t>
            </w:r>
          </w:p>
        </w:tc>
      </w:tr>
    </w:tbl>
    <w:p w14:paraId="32E1BB61" w14:textId="77777777" w:rsidR="00A720B6" w:rsidRDefault="00A720B6" w:rsidP="44E84EAD">
      <w:pPr>
        <w:rPr>
          <w:rFonts w:ascii="Aptos" w:eastAsia="Aptos" w:hAnsi="Aptos" w:cs="Aptos"/>
          <w:sz w:val="22"/>
          <w:szCs w:val="22"/>
        </w:rPr>
        <w:sectPr w:rsidR="00A720B6" w:rsidSect="004B423B">
          <w:headerReference w:type="even" r:id="rId107"/>
          <w:footerReference w:type="even" r:id="rId108"/>
          <w:pgSz w:w="16840" w:h="11907" w:orient="landscape" w:code="9"/>
          <w:pgMar w:top="2098" w:right="2835" w:bottom="2098" w:left="2466" w:header="1531" w:footer="1531" w:gutter="0"/>
          <w:cols w:space="708"/>
          <w:docGrid w:linePitch="360"/>
        </w:sectPr>
      </w:pPr>
    </w:p>
    <w:p w14:paraId="188DE88F" w14:textId="5F32CE1D" w:rsidR="2C30AC8A" w:rsidRDefault="2C30AC8A" w:rsidP="00284B62">
      <w:pPr>
        <w:pStyle w:val="TableMainHeading"/>
      </w:pPr>
      <w:r w:rsidRPr="0080159B">
        <w:lastRenderedPageBreak/>
        <w:t xml:space="preserve">Table </w:t>
      </w:r>
      <w:r w:rsidR="00EC79C0">
        <w:t>20</w:t>
      </w:r>
      <w:r w:rsidRPr="3A549BB0">
        <w:t>: APS ongoing and non</w:t>
      </w:r>
      <w:r w:rsidR="00B84FF2">
        <w:noBreakHyphen/>
      </w:r>
      <w:r w:rsidRPr="3A549BB0">
        <w:t>ongoing employees by full</w:t>
      </w:r>
      <w:r w:rsidR="00B84FF2">
        <w:noBreakHyphen/>
      </w:r>
      <w:r w:rsidRPr="3A549BB0">
        <w:t xml:space="preserve"> and part</w:t>
      </w:r>
      <w:r w:rsidR="00B84FF2">
        <w:noBreakHyphen/>
      </w:r>
      <w:r w:rsidRPr="3A549BB0">
        <w:t>time status (headcount) 2024</w:t>
      </w:r>
      <w:r w:rsidR="00A76143">
        <w:t>–</w:t>
      </w:r>
      <w:r w:rsidRPr="3A549BB0">
        <w:t>25</w:t>
      </w:r>
    </w:p>
    <w:tbl>
      <w:tblPr>
        <w:tblStyle w:val="AOFMTablemain"/>
        <w:tblW w:w="0" w:type="auto"/>
        <w:tblLook w:val="04A0" w:firstRow="1" w:lastRow="0" w:firstColumn="1" w:lastColumn="0" w:noHBand="0" w:noVBand="1"/>
      </w:tblPr>
      <w:tblGrid>
        <w:gridCol w:w="829"/>
        <w:gridCol w:w="950"/>
        <w:gridCol w:w="982"/>
        <w:gridCol w:w="970"/>
        <w:gridCol w:w="917"/>
        <w:gridCol w:w="917"/>
        <w:gridCol w:w="1229"/>
        <w:gridCol w:w="917"/>
      </w:tblGrid>
      <w:tr w:rsidR="00E15250" w14:paraId="02060CE0" w14:textId="77777777" w:rsidTr="00532A9F">
        <w:trPr>
          <w:cnfStyle w:val="100000000000" w:firstRow="1" w:lastRow="0" w:firstColumn="0" w:lastColumn="0" w:oddVBand="0" w:evenVBand="0" w:oddHBand="0" w:evenHBand="0" w:firstRowFirstColumn="0" w:firstRowLastColumn="0" w:lastRowFirstColumn="0" w:lastRowLastColumn="0"/>
        </w:trPr>
        <w:tc>
          <w:tcPr>
            <w:tcW w:w="851" w:type="dxa"/>
          </w:tcPr>
          <w:p w14:paraId="284456B5" w14:textId="77777777" w:rsidR="00532A9F" w:rsidRDefault="00532A9F" w:rsidP="00532A9F">
            <w:pPr>
              <w:pStyle w:val="TableColumnHeadingLeft"/>
            </w:pPr>
          </w:p>
        </w:tc>
        <w:tc>
          <w:tcPr>
            <w:tcW w:w="3000" w:type="dxa"/>
            <w:gridSpan w:val="3"/>
          </w:tcPr>
          <w:p w14:paraId="511544DA" w14:textId="6ADE85D6" w:rsidR="00532A9F" w:rsidRDefault="00532A9F" w:rsidP="00532A9F">
            <w:pPr>
              <w:pStyle w:val="TableColumnHeadingLeft"/>
            </w:pPr>
            <w:r>
              <w:t>Ong</w:t>
            </w:r>
            <w:r w:rsidR="00ED4FA6">
              <w:t>o</w:t>
            </w:r>
            <w:r>
              <w:t>ing</w:t>
            </w:r>
          </w:p>
        </w:tc>
        <w:tc>
          <w:tcPr>
            <w:tcW w:w="3139" w:type="dxa"/>
            <w:gridSpan w:val="3"/>
          </w:tcPr>
          <w:p w14:paraId="4B66AD1A" w14:textId="5F445550" w:rsidR="00532A9F" w:rsidRDefault="00532A9F" w:rsidP="00532A9F">
            <w:pPr>
              <w:pStyle w:val="TableColumnHeadingLeft"/>
            </w:pPr>
            <w:r>
              <w:t>Non-Ongoing</w:t>
            </w:r>
          </w:p>
        </w:tc>
        <w:tc>
          <w:tcPr>
            <w:tcW w:w="946" w:type="dxa"/>
          </w:tcPr>
          <w:p w14:paraId="3D0BA001" w14:textId="67EE318D" w:rsidR="00532A9F" w:rsidRDefault="00532A9F" w:rsidP="00532A9F">
            <w:pPr>
              <w:pStyle w:val="TableColumnHeadingLeft"/>
            </w:pPr>
            <w:r>
              <w:t>Total</w:t>
            </w:r>
          </w:p>
        </w:tc>
      </w:tr>
      <w:tr w:rsidR="00532A9F" w14:paraId="61D82AB3" w14:textId="77777777" w:rsidTr="002B4A8D">
        <w:tc>
          <w:tcPr>
            <w:tcW w:w="851" w:type="dxa"/>
          </w:tcPr>
          <w:p w14:paraId="3D289DEE" w14:textId="77777777" w:rsidR="00532A9F" w:rsidRDefault="00532A9F" w:rsidP="00625DAB">
            <w:pPr>
              <w:pStyle w:val="TableTextLeft"/>
            </w:pPr>
          </w:p>
        </w:tc>
        <w:tc>
          <w:tcPr>
            <w:tcW w:w="992" w:type="dxa"/>
            <w:vAlign w:val="bottom"/>
          </w:tcPr>
          <w:p w14:paraId="5A3F81E9" w14:textId="1BA34680" w:rsidR="00532A9F" w:rsidRPr="002B4A8D" w:rsidRDefault="00532A9F" w:rsidP="002B4A8D">
            <w:pPr>
              <w:pStyle w:val="TableTextRight"/>
              <w:jc w:val="left"/>
              <w:rPr>
                <w:b/>
                <w:bCs/>
              </w:rPr>
            </w:pPr>
            <w:r w:rsidRPr="002B4A8D">
              <w:rPr>
                <w:b/>
                <w:bCs/>
              </w:rPr>
              <w:t>Full time</w:t>
            </w:r>
          </w:p>
        </w:tc>
        <w:tc>
          <w:tcPr>
            <w:tcW w:w="1027" w:type="dxa"/>
            <w:vAlign w:val="bottom"/>
          </w:tcPr>
          <w:p w14:paraId="5167BF4E" w14:textId="61D46421" w:rsidR="00532A9F" w:rsidRPr="002B4A8D" w:rsidRDefault="00532A9F" w:rsidP="002B4A8D">
            <w:pPr>
              <w:pStyle w:val="TableTextRight"/>
              <w:jc w:val="left"/>
              <w:rPr>
                <w:b/>
                <w:bCs/>
              </w:rPr>
            </w:pPr>
            <w:r w:rsidRPr="002B4A8D">
              <w:rPr>
                <w:b/>
                <w:bCs/>
              </w:rPr>
              <w:t>Part time</w:t>
            </w:r>
          </w:p>
        </w:tc>
        <w:tc>
          <w:tcPr>
            <w:tcW w:w="981" w:type="dxa"/>
            <w:vAlign w:val="bottom"/>
          </w:tcPr>
          <w:p w14:paraId="1422F040" w14:textId="2C1238B4" w:rsidR="00532A9F" w:rsidRPr="002B4A8D" w:rsidRDefault="00532A9F" w:rsidP="002B4A8D">
            <w:pPr>
              <w:pStyle w:val="TableTextRight"/>
              <w:jc w:val="left"/>
              <w:rPr>
                <w:b/>
                <w:bCs/>
              </w:rPr>
            </w:pPr>
            <w:r w:rsidRPr="002B4A8D">
              <w:rPr>
                <w:b/>
                <w:bCs/>
              </w:rPr>
              <w:t>Total Ongoing</w:t>
            </w:r>
          </w:p>
        </w:tc>
        <w:tc>
          <w:tcPr>
            <w:tcW w:w="955" w:type="dxa"/>
            <w:vAlign w:val="bottom"/>
          </w:tcPr>
          <w:p w14:paraId="1B6783B8" w14:textId="52162EC0" w:rsidR="00532A9F" w:rsidRPr="002B4A8D" w:rsidRDefault="00532A9F" w:rsidP="002B4A8D">
            <w:pPr>
              <w:pStyle w:val="TableTextRight"/>
              <w:jc w:val="left"/>
              <w:rPr>
                <w:b/>
                <w:bCs/>
              </w:rPr>
            </w:pPr>
            <w:r w:rsidRPr="002B4A8D">
              <w:rPr>
                <w:b/>
                <w:bCs/>
              </w:rPr>
              <w:t>Full time</w:t>
            </w:r>
          </w:p>
        </w:tc>
        <w:tc>
          <w:tcPr>
            <w:tcW w:w="955" w:type="dxa"/>
            <w:vAlign w:val="bottom"/>
          </w:tcPr>
          <w:p w14:paraId="6D34F3B8" w14:textId="380C6207" w:rsidR="00532A9F" w:rsidRPr="002B4A8D" w:rsidRDefault="00532A9F" w:rsidP="002B4A8D">
            <w:pPr>
              <w:pStyle w:val="TableTextRight"/>
              <w:jc w:val="left"/>
              <w:rPr>
                <w:b/>
                <w:bCs/>
              </w:rPr>
            </w:pPr>
            <w:r w:rsidRPr="002B4A8D">
              <w:rPr>
                <w:b/>
                <w:bCs/>
              </w:rPr>
              <w:t>Part time</w:t>
            </w:r>
          </w:p>
        </w:tc>
        <w:tc>
          <w:tcPr>
            <w:tcW w:w="1229" w:type="dxa"/>
            <w:vAlign w:val="bottom"/>
          </w:tcPr>
          <w:p w14:paraId="2376DDCB" w14:textId="4E197E0F" w:rsidR="00532A9F" w:rsidRPr="002B4A8D" w:rsidRDefault="00532A9F" w:rsidP="002B4A8D">
            <w:pPr>
              <w:pStyle w:val="TableTextRight"/>
              <w:jc w:val="left"/>
              <w:rPr>
                <w:b/>
                <w:bCs/>
              </w:rPr>
            </w:pPr>
            <w:r w:rsidRPr="002B4A8D">
              <w:rPr>
                <w:b/>
                <w:bCs/>
              </w:rPr>
              <w:t>Total Non</w:t>
            </w:r>
            <w:r w:rsidRPr="002B4A8D">
              <w:rPr>
                <w:b/>
                <w:bCs/>
              </w:rPr>
              <w:noBreakHyphen/>
              <w:t>Ongoing</w:t>
            </w:r>
          </w:p>
        </w:tc>
        <w:tc>
          <w:tcPr>
            <w:tcW w:w="946" w:type="dxa"/>
            <w:vAlign w:val="bottom"/>
          </w:tcPr>
          <w:p w14:paraId="222789A4" w14:textId="77777777" w:rsidR="00532A9F" w:rsidRPr="002B4A8D" w:rsidRDefault="00532A9F" w:rsidP="002B4A8D">
            <w:pPr>
              <w:pStyle w:val="TableTextRight"/>
              <w:jc w:val="left"/>
              <w:rPr>
                <w:b/>
                <w:bCs/>
              </w:rPr>
            </w:pPr>
          </w:p>
        </w:tc>
      </w:tr>
      <w:tr w:rsidR="0048600D" w14:paraId="330835F5"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3CEAF1DD" w14:textId="4305E548" w:rsidR="00532A9F" w:rsidRDefault="00532A9F" w:rsidP="00625DAB">
            <w:pPr>
              <w:pStyle w:val="TableTextLeft"/>
            </w:pPr>
            <w:r w:rsidRPr="00F50999">
              <w:t>SES 3 </w:t>
            </w:r>
          </w:p>
        </w:tc>
        <w:tc>
          <w:tcPr>
            <w:tcW w:w="992" w:type="dxa"/>
          </w:tcPr>
          <w:p w14:paraId="1C4D8726" w14:textId="5439E135" w:rsidR="00532A9F" w:rsidRDefault="00532A9F" w:rsidP="00424534">
            <w:pPr>
              <w:pStyle w:val="TableTextRight"/>
            </w:pPr>
            <w:r w:rsidRPr="00532A9F">
              <w:t>1</w:t>
            </w:r>
          </w:p>
        </w:tc>
        <w:tc>
          <w:tcPr>
            <w:tcW w:w="1027" w:type="dxa"/>
          </w:tcPr>
          <w:p w14:paraId="65468ACE" w14:textId="4B81973A" w:rsidR="00532A9F" w:rsidRDefault="00532A9F" w:rsidP="00424534">
            <w:pPr>
              <w:pStyle w:val="TableTextRight"/>
            </w:pPr>
            <w:r w:rsidRPr="00532A9F">
              <w:t>–</w:t>
            </w:r>
          </w:p>
        </w:tc>
        <w:tc>
          <w:tcPr>
            <w:tcW w:w="981" w:type="dxa"/>
          </w:tcPr>
          <w:p w14:paraId="5E47DE0C" w14:textId="45937844" w:rsidR="00532A9F" w:rsidRDefault="00532A9F" w:rsidP="00424534">
            <w:pPr>
              <w:pStyle w:val="TableTextRight"/>
            </w:pPr>
            <w:r w:rsidRPr="00532A9F">
              <w:t>1</w:t>
            </w:r>
          </w:p>
        </w:tc>
        <w:tc>
          <w:tcPr>
            <w:tcW w:w="955" w:type="dxa"/>
          </w:tcPr>
          <w:p w14:paraId="061E4AB4" w14:textId="4579ADA2" w:rsidR="00532A9F" w:rsidRDefault="00532A9F" w:rsidP="00424534">
            <w:pPr>
              <w:pStyle w:val="TableTextRight"/>
            </w:pPr>
            <w:r w:rsidRPr="00532A9F">
              <w:t>–</w:t>
            </w:r>
          </w:p>
        </w:tc>
        <w:tc>
          <w:tcPr>
            <w:tcW w:w="955" w:type="dxa"/>
          </w:tcPr>
          <w:p w14:paraId="532494C9" w14:textId="6806ED07" w:rsidR="00532A9F" w:rsidRDefault="00532A9F" w:rsidP="00424534">
            <w:pPr>
              <w:pStyle w:val="TableTextRight"/>
            </w:pPr>
            <w:r w:rsidRPr="00532A9F">
              <w:t>–</w:t>
            </w:r>
          </w:p>
        </w:tc>
        <w:tc>
          <w:tcPr>
            <w:tcW w:w="1229" w:type="dxa"/>
          </w:tcPr>
          <w:p w14:paraId="3D6CC21B" w14:textId="6CC002D4" w:rsidR="00532A9F" w:rsidRDefault="00532A9F" w:rsidP="00424534">
            <w:pPr>
              <w:pStyle w:val="TableTextRight"/>
            </w:pPr>
            <w:r w:rsidRPr="00532A9F">
              <w:t>–</w:t>
            </w:r>
          </w:p>
        </w:tc>
        <w:tc>
          <w:tcPr>
            <w:tcW w:w="946" w:type="dxa"/>
          </w:tcPr>
          <w:p w14:paraId="105F4C8B" w14:textId="1D395E54" w:rsidR="00532A9F" w:rsidRPr="00424534" w:rsidRDefault="00532A9F" w:rsidP="00424534">
            <w:pPr>
              <w:pStyle w:val="TableTextRight"/>
              <w:rPr>
                <w:b/>
                <w:bCs/>
              </w:rPr>
            </w:pPr>
            <w:r w:rsidRPr="00424534">
              <w:rPr>
                <w:b/>
                <w:bCs/>
              </w:rPr>
              <w:t>1</w:t>
            </w:r>
          </w:p>
        </w:tc>
      </w:tr>
      <w:tr w:rsidR="00532A9F" w14:paraId="03F66F5C" w14:textId="77777777" w:rsidTr="00424534">
        <w:tc>
          <w:tcPr>
            <w:tcW w:w="851" w:type="dxa"/>
          </w:tcPr>
          <w:p w14:paraId="5D0ABA17" w14:textId="3CE471CA" w:rsidR="00532A9F" w:rsidRDefault="00532A9F" w:rsidP="00625DAB">
            <w:pPr>
              <w:pStyle w:val="TableTextLeft"/>
            </w:pPr>
            <w:r w:rsidRPr="00F50999">
              <w:t>SES 2 </w:t>
            </w:r>
          </w:p>
        </w:tc>
        <w:tc>
          <w:tcPr>
            <w:tcW w:w="992" w:type="dxa"/>
          </w:tcPr>
          <w:p w14:paraId="7F91E622" w14:textId="22EE31D8" w:rsidR="00532A9F" w:rsidRDefault="00532A9F" w:rsidP="00424534">
            <w:pPr>
              <w:pStyle w:val="TableTextRight"/>
            </w:pPr>
            <w:r w:rsidRPr="00532A9F">
              <w:t>–</w:t>
            </w:r>
          </w:p>
        </w:tc>
        <w:tc>
          <w:tcPr>
            <w:tcW w:w="1027" w:type="dxa"/>
          </w:tcPr>
          <w:p w14:paraId="1B36A821" w14:textId="26FAEEAE" w:rsidR="00532A9F" w:rsidRDefault="00532A9F" w:rsidP="00424534">
            <w:pPr>
              <w:pStyle w:val="TableTextRight"/>
            </w:pPr>
            <w:r w:rsidRPr="00532A9F">
              <w:t>–</w:t>
            </w:r>
          </w:p>
        </w:tc>
        <w:tc>
          <w:tcPr>
            <w:tcW w:w="981" w:type="dxa"/>
          </w:tcPr>
          <w:p w14:paraId="1ADCC48B" w14:textId="03A3606E" w:rsidR="00532A9F" w:rsidRDefault="00532A9F" w:rsidP="00424534">
            <w:pPr>
              <w:pStyle w:val="TableTextRight"/>
            </w:pPr>
            <w:r w:rsidRPr="00532A9F">
              <w:t>–</w:t>
            </w:r>
          </w:p>
        </w:tc>
        <w:tc>
          <w:tcPr>
            <w:tcW w:w="955" w:type="dxa"/>
          </w:tcPr>
          <w:p w14:paraId="226CD812" w14:textId="2DB71FEC" w:rsidR="00532A9F" w:rsidRDefault="00532A9F" w:rsidP="00424534">
            <w:pPr>
              <w:pStyle w:val="TableTextRight"/>
            </w:pPr>
            <w:r w:rsidRPr="00532A9F">
              <w:t>–</w:t>
            </w:r>
          </w:p>
        </w:tc>
        <w:tc>
          <w:tcPr>
            <w:tcW w:w="955" w:type="dxa"/>
          </w:tcPr>
          <w:p w14:paraId="44AA00A2" w14:textId="655070E8" w:rsidR="00532A9F" w:rsidRDefault="00532A9F" w:rsidP="00424534">
            <w:pPr>
              <w:pStyle w:val="TableTextRight"/>
            </w:pPr>
            <w:r w:rsidRPr="00532A9F">
              <w:t>–</w:t>
            </w:r>
          </w:p>
        </w:tc>
        <w:tc>
          <w:tcPr>
            <w:tcW w:w="1229" w:type="dxa"/>
          </w:tcPr>
          <w:p w14:paraId="48E71560" w14:textId="5A085BC2" w:rsidR="00532A9F" w:rsidRDefault="00532A9F" w:rsidP="00424534">
            <w:pPr>
              <w:pStyle w:val="TableTextRight"/>
            </w:pPr>
            <w:r w:rsidRPr="00532A9F">
              <w:t>–</w:t>
            </w:r>
          </w:p>
        </w:tc>
        <w:tc>
          <w:tcPr>
            <w:tcW w:w="946" w:type="dxa"/>
          </w:tcPr>
          <w:p w14:paraId="642BEB80" w14:textId="0DB4F566" w:rsidR="00532A9F" w:rsidRPr="00424534" w:rsidRDefault="00532A9F" w:rsidP="00424534">
            <w:pPr>
              <w:pStyle w:val="TableTextRight"/>
              <w:rPr>
                <w:b/>
                <w:bCs/>
              </w:rPr>
            </w:pPr>
            <w:r w:rsidRPr="00424534">
              <w:rPr>
                <w:b/>
                <w:bCs/>
              </w:rPr>
              <w:t>–</w:t>
            </w:r>
          </w:p>
        </w:tc>
      </w:tr>
      <w:tr w:rsidR="0048600D" w14:paraId="38A5E907"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201AD871" w14:textId="72370E50" w:rsidR="00532A9F" w:rsidRDefault="00532A9F" w:rsidP="00625DAB">
            <w:pPr>
              <w:pStyle w:val="TableTextLeft"/>
            </w:pPr>
            <w:r w:rsidRPr="00F50999">
              <w:t>SES 1</w:t>
            </w:r>
          </w:p>
        </w:tc>
        <w:tc>
          <w:tcPr>
            <w:tcW w:w="992" w:type="dxa"/>
          </w:tcPr>
          <w:p w14:paraId="40EE2D7C" w14:textId="452CFF1C" w:rsidR="00532A9F" w:rsidRDefault="00532A9F" w:rsidP="00424534">
            <w:pPr>
              <w:pStyle w:val="TableTextRight"/>
            </w:pPr>
            <w:r w:rsidRPr="00532A9F">
              <w:t> 2</w:t>
            </w:r>
          </w:p>
        </w:tc>
        <w:tc>
          <w:tcPr>
            <w:tcW w:w="1027" w:type="dxa"/>
          </w:tcPr>
          <w:p w14:paraId="0C53BE00" w14:textId="6A43AC50" w:rsidR="00532A9F" w:rsidRDefault="00532A9F" w:rsidP="00424534">
            <w:pPr>
              <w:pStyle w:val="TableTextRight"/>
            </w:pPr>
            <w:r w:rsidRPr="00532A9F">
              <w:t> –</w:t>
            </w:r>
          </w:p>
        </w:tc>
        <w:tc>
          <w:tcPr>
            <w:tcW w:w="981" w:type="dxa"/>
          </w:tcPr>
          <w:p w14:paraId="03ACB236" w14:textId="41365C6B" w:rsidR="00532A9F" w:rsidRDefault="00532A9F" w:rsidP="00424534">
            <w:pPr>
              <w:pStyle w:val="TableTextRight"/>
            </w:pPr>
            <w:r w:rsidRPr="00532A9F">
              <w:t> 2</w:t>
            </w:r>
          </w:p>
        </w:tc>
        <w:tc>
          <w:tcPr>
            <w:tcW w:w="955" w:type="dxa"/>
          </w:tcPr>
          <w:p w14:paraId="133D7B8A" w14:textId="5D84492A" w:rsidR="00532A9F" w:rsidRDefault="00532A9F" w:rsidP="00424534">
            <w:pPr>
              <w:pStyle w:val="TableTextRight"/>
            </w:pPr>
            <w:r w:rsidRPr="00532A9F">
              <w:t>–</w:t>
            </w:r>
          </w:p>
        </w:tc>
        <w:tc>
          <w:tcPr>
            <w:tcW w:w="955" w:type="dxa"/>
          </w:tcPr>
          <w:p w14:paraId="38B92045" w14:textId="36F7B75C" w:rsidR="00532A9F" w:rsidRDefault="00532A9F" w:rsidP="00424534">
            <w:pPr>
              <w:pStyle w:val="TableTextRight"/>
            </w:pPr>
            <w:r w:rsidRPr="00532A9F">
              <w:t>–</w:t>
            </w:r>
          </w:p>
        </w:tc>
        <w:tc>
          <w:tcPr>
            <w:tcW w:w="1229" w:type="dxa"/>
          </w:tcPr>
          <w:p w14:paraId="3117C751" w14:textId="58421BDD" w:rsidR="00532A9F" w:rsidRDefault="00532A9F" w:rsidP="00424534">
            <w:pPr>
              <w:pStyle w:val="TableTextRight"/>
            </w:pPr>
            <w:r w:rsidRPr="00532A9F">
              <w:t>–</w:t>
            </w:r>
          </w:p>
        </w:tc>
        <w:tc>
          <w:tcPr>
            <w:tcW w:w="946" w:type="dxa"/>
          </w:tcPr>
          <w:p w14:paraId="78463681" w14:textId="7B33C626" w:rsidR="00532A9F" w:rsidRPr="00424534" w:rsidRDefault="00532A9F" w:rsidP="00424534">
            <w:pPr>
              <w:pStyle w:val="TableTextRight"/>
              <w:rPr>
                <w:b/>
                <w:bCs/>
              </w:rPr>
            </w:pPr>
            <w:r w:rsidRPr="00424534">
              <w:rPr>
                <w:b/>
                <w:bCs/>
              </w:rPr>
              <w:t>2</w:t>
            </w:r>
          </w:p>
        </w:tc>
      </w:tr>
      <w:tr w:rsidR="00532A9F" w14:paraId="4784A8CF" w14:textId="77777777" w:rsidTr="00424534">
        <w:tc>
          <w:tcPr>
            <w:tcW w:w="851" w:type="dxa"/>
          </w:tcPr>
          <w:p w14:paraId="4FE97640" w14:textId="0C4589FB" w:rsidR="00532A9F" w:rsidRDefault="00532A9F" w:rsidP="00625DAB">
            <w:pPr>
              <w:pStyle w:val="TableTextLeft"/>
            </w:pPr>
            <w:r w:rsidRPr="00F50999">
              <w:t>EL 2</w:t>
            </w:r>
          </w:p>
        </w:tc>
        <w:tc>
          <w:tcPr>
            <w:tcW w:w="992" w:type="dxa"/>
          </w:tcPr>
          <w:p w14:paraId="4A6A64BE" w14:textId="62CB247E" w:rsidR="00532A9F" w:rsidRDefault="00532A9F" w:rsidP="00424534">
            <w:pPr>
              <w:pStyle w:val="TableTextRight"/>
            </w:pPr>
            <w:r w:rsidRPr="00532A9F">
              <w:t> 8</w:t>
            </w:r>
          </w:p>
        </w:tc>
        <w:tc>
          <w:tcPr>
            <w:tcW w:w="1027" w:type="dxa"/>
          </w:tcPr>
          <w:p w14:paraId="6EA7B1A6" w14:textId="2643EC76" w:rsidR="00532A9F" w:rsidRDefault="00532A9F" w:rsidP="00424534">
            <w:pPr>
              <w:pStyle w:val="TableTextRight"/>
            </w:pPr>
            <w:r w:rsidRPr="00532A9F">
              <w:t>–</w:t>
            </w:r>
          </w:p>
        </w:tc>
        <w:tc>
          <w:tcPr>
            <w:tcW w:w="981" w:type="dxa"/>
          </w:tcPr>
          <w:p w14:paraId="32572B56" w14:textId="16D339EB" w:rsidR="00532A9F" w:rsidRDefault="00532A9F" w:rsidP="00424534">
            <w:pPr>
              <w:pStyle w:val="TableTextRight"/>
            </w:pPr>
            <w:r w:rsidRPr="00532A9F">
              <w:t> 8</w:t>
            </w:r>
          </w:p>
        </w:tc>
        <w:tc>
          <w:tcPr>
            <w:tcW w:w="955" w:type="dxa"/>
          </w:tcPr>
          <w:p w14:paraId="552649CC" w14:textId="4061B80D" w:rsidR="00532A9F" w:rsidRDefault="00532A9F" w:rsidP="00424534">
            <w:pPr>
              <w:pStyle w:val="TableTextRight"/>
            </w:pPr>
            <w:r w:rsidRPr="00532A9F">
              <w:t>–</w:t>
            </w:r>
          </w:p>
        </w:tc>
        <w:tc>
          <w:tcPr>
            <w:tcW w:w="955" w:type="dxa"/>
          </w:tcPr>
          <w:p w14:paraId="38EA02DB" w14:textId="7FDE8FBA" w:rsidR="00532A9F" w:rsidRDefault="00532A9F" w:rsidP="00424534">
            <w:pPr>
              <w:pStyle w:val="TableTextRight"/>
            </w:pPr>
            <w:r w:rsidRPr="00532A9F">
              <w:t>–</w:t>
            </w:r>
          </w:p>
        </w:tc>
        <w:tc>
          <w:tcPr>
            <w:tcW w:w="1229" w:type="dxa"/>
          </w:tcPr>
          <w:p w14:paraId="047C6D0B" w14:textId="183CDDF1" w:rsidR="00532A9F" w:rsidRDefault="00532A9F" w:rsidP="00424534">
            <w:pPr>
              <w:pStyle w:val="TableTextRight"/>
            </w:pPr>
            <w:r w:rsidRPr="00532A9F">
              <w:t>–</w:t>
            </w:r>
          </w:p>
        </w:tc>
        <w:tc>
          <w:tcPr>
            <w:tcW w:w="946" w:type="dxa"/>
          </w:tcPr>
          <w:p w14:paraId="346FFE89" w14:textId="721B1454" w:rsidR="00532A9F" w:rsidRPr="00424534" w:rsidRDefault="00532A9F" w:rsidP="00424534">
            <w:pPr>
              <w:pStyle w:val="TableTextRight"/>
              <w:rPr>
                <w:b/>
                <w:bCs/>
              </w:rPr>
            </w:pPr>
            <w:r w:rsidRPr="00424534">
              <w:rPr>
                <w:b/>
                <w:bCs/>
              </w:rPr>
              <w:t> 8</w:t>
            </w:r>
          </w:p>
        </w:tc>
      </w:tr>
      <w:tr w:rsidR="0048600D" w14:paraId="3FD99374"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474CDB46" w14:textId="13E7DA0C" w:rsidR="00532A9F" w:rsidRDefault="00532A9F" w:rsidP="00625DAB">
            <w:pPr>
              <w:pStyle w:val="TableTextLeft"/>
            </w:pPr>
            <w:r w:rsidRPr="00F50999">
              <w:t>EL 1</w:t>
            </w:r>
          </w:p>
        </w:tc>
        <w:tc>
          <w:tcPr>
            <w:tcW w:w="992" w:type="dxa"/>
          </w:tcPr>
          <w:p w14:paraId="6A84F09B" w14:textId="40A4B7D4" w:rsidR="00532A9F" w:rsidRDefault="00532A9F" w:rsidP="00424534">
            <w:pPr>
              <w:pStyle w:val="TableTextRight"/>
            </w:pPr>
            <w:r w:rsidRPr="00532A9F">
              <w:t> 14</w:t>
            </w:r>
          </w:p>
        </w:tc>
        <w:tc>
          <w:tcPr>
            <w:tcW w:w="1027" w:type="dxa"/>
          </w:tcPr>
          <w:p w14:paraId="090F64E5" w14:textId="0A2D2612" w:rsidR="00532A9F" w:rsidRDefault="00532A9F" w:rsidP="00424534">
            <w:pPr>
              <w:pStyle w:val="TableTextRight"/>
            </w:pPr>
            <w:r w:rsidRPr="00532A9F">
              <w:t> 2</w:t>
            </w:r>
          </w:p>
        </w:tc>
        <w:tc>
          <w:tcPr>
            <w:tcW w:w="981" w:type="dxa"/>
          </w:tcPr>
          <w:p w14:paraId="2E9E5EF6" w14:textId="011A4328" w:rsidR="00532A9F" w:rsidRDefault="00532A9F" w:rsidP="00424534">
            <w:pPr>
              <w:pStyle w:val="TableTextRight"/>
            </w:pPr>
            <w:r w:rsidRPr="00532A9F">
              <w:t> 16</w:t>
            </w:r>
          </w:p>
        </w:tc>
        <w:tc>
          <w:tcPr>
            <w:tcW w:w="955" w:type="dxa"/>
          </w:tcPr>
          <w:p w14:paraId="0CADDEEF" w14:textId="678EF500" w:rsidR="00532A9F" w:rsidRDefault="00532A9F" w:rsidP="00424534">
            <w:pPr>
              <w:pStyle w:val="TableTextRight"/>
            </w:pPr>
            <w:r w:rsidRPr="00532A9F">
              <w:t> 2</w:t>
            </w:r>
          </w:p>
        </w:tc>
        <w:tc>
          <w:tcPr>
            <w:tcW w:w="955" w:type="dxa"/>
          </w:tcPr>
          <w:p w14:paraId="054E28F5" w14:textId="7259E5ED" w:rsidR="00532A9F" w:rsidRDefault="00532A9F" w:rsidP="00424534">
            <w:pPr>
              <w:pStyle w:val="TableTextRight"/>
            </w:pPr>
            <w:r w:rsidRPr="00532A9F">
              <w:t>–</w:t>
            </w:r>
          </w:p>
        </w:tc>
        <w:tc>
          <w:tcPr>
            <w:tcW w:w="1229" w:type="dxa"/>
          </w:tcPr>
          <w:p w14:paraId="2285DFF9" w14:textId="7DD6B419" w:rsidR="00532A9F" w:rsidRDefault="00532A9F" w:rsidP="00424534">
            <w:pPr>
              <w:pStyle w:val="TableTextRight"/>
            </w:pPr>
            <w:r w:rsidRPr="00532A9F">
              <w:t> 2</w:t>
            </w:r>
          </w:p>
        </w:tc>
        <w:tc>
          <w:tcPr>
            <w:tcW w:w="946" w:type="dxa"/>
          </w:tcPr>
          <w:p w14:paraId="04EE2A4E" w14:textId="30C81ECA" w:rsidR="00532A9F" w:rsidRPr="00424534" w:rsidRDefault="00532A9F" w:rsidP="00424534">
            <w:pPr>
              <w:pStyle w:val="TableTextRight"/>
              <w:rPr>
                <w:b/>
                <w:bCs/>
              </w:rPr>
            </w:pPr>
            <w:r w:rsidRPr="00424534">
              <w:rPr>
                <w:b/>
                <w:bCs/>
              </w:rPr>
              <w:t> 18</w:t>
            </w:r>
          </w:p>
        </w:tc>
      </w:tr>
      <w:tr w:rsidR="00532A9F" w14:paraId="106D1AC4" w14:textId="77777777" w:rsidTr="00424534">
        <w:tc>
          <w:tcPr>
            <w:tcW w:w="851" w:type="dxa"/>
          </w:tcPr>
          <w:p w14:paraId="18FAADEC" w14:textId="08520108" w:rsidR="00532A9F" w:rsidRDefault="00532A9F" w:rsidP="00625DAB">
            <w:pPr>
              <w:pStyle w:val="TableTextLeft"/>
            </w:pPr>
            <w:r w:rsidRPr="00F50999">
              <w:t>APS 6</w:t>
            </w:r>
          </w:p>
        </w:tc>
        <w:tc>
          <w:tcPr>
            <w:tcW w:w="992" w:type="dxa"/>
          </w:tcPr>
          <w:p w14:paraId="63EEF5F9" w14:textId="4CFE349F" w:rsidR="00532A9F" w:rsidRDefault="00532A9F" w:rsidP="00424534">
            <w:pPr>
              <w:pStyle w:val="TableTextRight"/>
            </w:pPr>
            <w:r w:rsidRPr="00532A9F">
              <w:t> 12</w:t>
            </w:r>
          </w:p>
        </w:tc>
        <w:tc>
          <w:tcPr>
            <w:tcW w:w="1027" w:type="dxa"/>
          </w:tcPr>
          <w:p w14:paraId="615F36FC" w14:textId="4F3591C0" w:rsidR="00532A9F" w:rsidRDefault="00532A9F" w:rsidP="00424534">
            <w:pPr>
              <w:pStyle w:val="TableTextRight"/>
            </w:pPr>
            <w:r w:rsidRPr="00532A9F">
              <w:t> –</w:t>
            </w:r>
          </w:p>
        </w:tc>
        <w:tc>
          <w:tcPr>
            <w:tcW w:w="981" w:type="dxa"/>
          </w:tcPr>
          <w:p w14:paraId="1CCD401C" w14:textId="5525525C" w:rsidR="00532A9F" w:rsidRDefault="00532A9F" w:rsidP="00424534">
            <w:pPr>
              <w:pStyle w:val="TableTextRight"/>
            </w:pPr>
            <w:r w:rsidRPr="00532A9F">
              <w:t> 12</w:t>
            </w:r>
          </w:p>
        </w:tc>
        <w:tc>
          <w:tcPr>
            <w:tcW w:w="955" w:type="dxa"/>
          </w:tcPr>
          <w:p w14:paraId="09212E7E" w14:textId="13D56492" w:rsidR="00532A9F" w:rsidRDefault="00532A9F" w:rsidP="00424534">
            <w:pPr>
              <w:pStyle w:val="TableTextRight"/>
            </w:pPr>
            <w:r w:rsidRPr="00532A9F">
              <w:t> –</w:t>
            </w:r>
          </w:p>
        </w:tc>
        <w:tc>
          <w:tcPr>
            <w:tcW w:w="955" w:type="dxa"/>
          </w:tcPr>
          <w:p w14:paraId="590153B7" w14:textId="7C800403" w:rsidR="00532A9F" w:rsidRDefault="00532A9F" w:rsidP="00424534">
            <w:pPr>
              <w:pStyle w:val="TableTextRight"/>
            </w:pPr>
            <w:r w:rsidRPr="00532A9F">
              <w:t>–</w:t>
            </w:r>
          </w:p>
        </w:tc>
        <w:tc>
          <w:tcPr>
            <w:tcW w:w="1229" w:type="dxa"/>
          </w:tcPr>
          <w:p w14:paraId="22F5794F" w14:textId="5626D229" w:rsidR="00532A9F" w:rsidRDefault="00532A9F" w:rsidP="00424534">
            <w:pPr>
              <w:pStyle w:val="TableTextRight"/>
            </w:pPr>
            <w:r w:rsidRPr="00532A9F">
              <w:t> –</w:t>
            </w:r>
          </w:p>
        </w:tc>
        <w:tc>
          <w:tcPr>
            <w:tcW w:w="946" w:type="dxa"/>
          </w:tcPr>
          <w:p w14:paraId="3E3B9FC5" w14:textId="2A595E77" w:rsidR="00532A9F" w:rsidRPr="00424534" w:rsidRDefault="00532A9F" w:rsidP="00424534">
            <w:pPr>
              <w:pStyle w:val="TableTextRight"/>
              <w:rPr>
                <w:b/>
                <w:bCs/>
              </w:rPr>
            </w:pPr>
            <w:r w:rsidRPr="00424534">
              <w:rPr>
                <w:b/>
                <w:bCs/>
              </w:rPr>
              <w:t> 12</w:t>
            </w:r>
          </w:p>
        </w:tc>
      </w:tr>
      <w:tr w:rsidR="0048600D" w14:paraId="26BA68F8"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44A88EA5" w14:textId="4189C077" w:rsidR="00532A9F" w:rsidRDefault="00532A9F" w:rsidP="00625DAB">
            <w:pPr>
              <w:pStyle w:val="TableTextLeft"/>
            </w:pPr>
            <w:r w:rsidRPr="00F50999">
              <w:t>APS 5</w:t>
            </w:r>
          </w:p>
        </w:tc>
        <w:tc>
          <w:tcPr>
            <w:tcW w:w="992" w:type="dxa"/>
          </w:tcPr>
          <w:p w14:paraId="117527B0" w14:textId="5CA968C6" w:rsidR="00532A9F" w:rsidRDefault="00532A9F" w:rsidP="00424534">
            <w:pPr>
              <w:pStyle w:val="TableTextRight"/>
            </w:pPr>
            <w:r w:rsidRPr="00532A9F">
              <w:t> 6</w:t>
            </w:r>
          </w:p>
        </w:tc>
        <w:tc>
          <w:tcPr>
            <w:tcW w:w="1027" w:type="dxa"/>
          </w:tcPr>
          <w:p w14:paraId="568032F3" w14:textId="6A256212" w:rsidR="00532A9F" w:rsidRDefault="00532A9F" w:rsidP="00424534">
            <w:pPr>
              <w:pStyle w:val="TableTextRight"/>
            </w:pPr>
            <w:r w:rsidRPr="00532A9F">
              <w:t> 2</w:t>
            </w:r>
          </w:p>
        </w:tc>
        <w:tc>
          <w:tcPr>
            <w:tcW w:w="981" w:type="dxa"/>
          </w:tcPr>
          <w:p w14:paraId="0F2F6DF8" w14:textId="37304D31" w:rsidR="00532A9F" w:rsidRDefault="00532A9F" w:rsidP="00424534">
            <w:pPr>
              <w:pStyle w:val="TableTextRight"/>
            </w:pPr>
            <w:r w:rsidRPr="00532A9F">
              <w:t> 8</w:t>
            </w:r>
          </w:p>
        </w:tc>
        <w:tc>
          <w:tcPr>
            <w:tcW w:w="955" w:type="dxa"/>
          </w:tcPr>
          <w:p w14:paraId="299A86D5" w14:textId="530E25EB" w:rsidR="00532A9F" w:rsidRDefault="00532A9F" w:rsidP="00424534">
            <w:pPr>
              <w:pStyle w:val="TableTextRight"/>
            </w:pPr>
            <w:r w:rsidRPr="00532A9F">
              <w:t> 2</w:t>
            </w:r>
          </w:p>
        </w:tc>
        <w:tc>
          <w:tcPr>
            <w:tcW w:w="955" w:type="dxa"/>
          </w:tcPr>
          <w:p w14:paraId="283354A6" w14:textId="60D18F65" w:rsidR="00532A9F" w:rsidRDefault="00532A9F" w:rsidP="00424534">
            <w:pPr>
              <w:pStyle w:val="TableTextRight"/>
            </w:pPr>
            <w:r w:rsidRPr="00532A9F">
              <w:t>–</w:t>
            </w:r>
          </w:p>
        </w:tc>
        <w:tc>
          <w:tcPr>
            <w:tcW w:w="1229" w:type="dxa"/>
          </w:tcPr>
          <w:p w14:paraId="544331C8" w14:textId="62770C87" w:rsidR="00532A9F" w:rsidRDefault="00532A9F" w:rsidP="00424534">
            <w:pPr>
              <w:pStyle w:val="TableTextRight"/>
            </w:pPr>
            <w:r w:rsidRPr="00532A9F">
              <w:t> 2</w:t>
            </w:r>
          </w:p>
        </w:tc>
        <w:tc>
          <w:tcPr>
            <w:tcW w:w="946" w:type="dxa"/>
          </w:tcPr>
          <w:p w14:paraId="30D99874" w14:textId="0C287408" w:rsidR="00532A9F" w:rsidRPr="00424534" w:rsidRDefault="00532A9F" w:rsidP="00424534">
            <w:pPr>
              <w:pStyle w:val="TableTextRight"/>
              <w:rPr>
                <w:b/>
                <w:bCs/>
              </w:rPr>
            </w:pPr>
            <w:r w:rsidRPr="00424534">
              <w:rPr>
                <w:b/>
                <w:bCs/>
              </w:rPr>
              <w:t> 10</w:t>
            </w:r>
          </w:p>
        </w:tc>
      </w:tr>
      <w:tr w:rsidR="00532A9F" w14:paraId="09537B0A" w14:textId="77777777" w:rsidTr="00424534">
        <w:tc>
          <w:tcPr>
            <w:tcW w:w="851" w:type="dxa"/>
          </w:tcPr>
          <w:p w14:paraId="5859A8DD" w14:textId="06F81A58" w:rsidR="00532A9F" w:rsidRDefault="00532A9F" w:rsidP="00625DAB">
            <w:pPr>
              <w:pStyle w:val="TableTextLeft"/>
            </w:pPr>
            <w:r w:rsidRPr="00F50999">
              <w:t>APS 4</w:t>
            </w:r>
          </w:p>
        </w:tc>
        <w:tc>
          <w:tcPr>
            <w:tcW w:w="992" w:type="dxa"/>
          </w:tcPr>
          <w:p w14:paraId="02B01E06" w14:textId="771767B9" w:rsidR="00532A9F" w:rsidRDefault="00532A9F" w:rsidP="00424534">
            <w:pPr>
              <w:pStyle w:val="TableTextRight"/>
            </w:pPr>
            <w:r w:rsidRPr="00532A9F">
              <w:t>–</w:t>
            </w:r>
          </w:p>
        </w:tc>
        <w:tc>
          <w:tcPr>
            <w:tcW w:w="1027" w:type="dxa"/>
          </w:tcPr>
          <w:p w14:paraId="397C89B2" w14:textId="57F32887" w:rsidR="00532A9F" w:rsidRDefault="00532A9F" w:rsidP="00424534">
            <w:pPr>
              <w:pStyle w:val="TableTextRight"/>
            </w:pPr>
            <w:r w:rsidRPr="00532A9F">
              <w:t> 1</w:t>
            </w:r>
          </w:p>
        </w:tc>
        <w:tc>
          <w:tcPr>
            <w:tcW w:w="981" w:type="dxa"/>
          </w:tcPr>
          <w:p w14:paraId="79BB505F" w14:textId="2666BADB" w:rsidR="00532A9F" w:rsidRDefault="00532A9F" w:rsidP="00424534">
            <w:pPr>
              <w:pStyle w:val="TableTextRight"/>
            </w:pPr>
            <w:r w:rsidRPr="00532A9F">
              <w:t> 1</w:t>
            </w:r>
          </w:p>
        </w:tc>
        <w:tc>
          <w:tcPr>
            <w:tcW w:w="955" w:type="dxa"/>
          </w:tcPr>
          <w:p w14:paraId="22075422" w14:textId="4E1B280B" w:rsidR="00532A9F" w:rsidRDefault="00532A9F" w:rsidP="00424534">
            <w:pPr>
              <w:pStyle w:val="TableTextRight"/>
            </w:pPr>
            <w:r w:rsidRPr="00532A9F">
              <w:t> 1</w:t>
            </w:r>
          </w:p>
        </w:tc>
        <w:tc>
          <w:tcPr>
            <w:tcW w:w="955" w:type="dxa"/>
          </w:tcPr>
          <w:p w14:paraId="0E336D81" w14:textId="02DC0897" w:rsidR="00532A9F" w:rsidRDefault="00532A9F" w:rsidP="00424534">
            <w:pPr>
              <w:pStyle w:val="TableTextRight"/>
            </w:pPr>
            <w:r w:rsidRPr="00532A9F">
              <w:t>–</w:t>
            </w:r>
          </w:p>
        </w:tc>
        <w:tc>
          <w:tcPr>
            <w:tcW w:w="1229" w:type="dxa"/>
          </w:tcPr>
          <w:p w14:paraId="65FC9679" w14:textId="4E422D1F" w:rsidR="00532A9F" w:rsidRDefault="00532A9F" w:rsidP="00424534">
            <w:pPr>
              <w:pStyle w:val="TableTextRight"/>
            </w:pPr>
            <w:r w:rsidRPr="00532A9F">
              <w:t> 1</w:t>
            </w:r>
          </w:p>
        </w:tc>
        <w:tc>
          <w:tcPr>
            <w:tcW w:w="946" w:type="dxa"/>
          </w:tcPr>
          <w:p w14:paraId="26258B08" w14:textId="5BC9D4CE" w:rsidR="00532A9F" w:rsidRPr="00424534" w:rsidRDefault="00532A9F" w:rsidP="00424534">
            <w:pPr>
              <w:pStyle w:val="TableTextRight"/>
              <w:rPr>
                <w:b/>
                <w:bCs/>
              </w:rPr>
            </w:pPr>
            <w:r w:rsidRPr="00424534">
              <w:rPr>
                <w:b/>
                <w:bCs/>
              </w:rPr>
              <w:t> 2</w:t>
            </w:r>
          </w:p>
        </w:tc>
      </w:tr>
      <w:tr w:rsidR="0048600D" w14:paraId="71E0DAEB"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62A3ECE5" w14:textId="68F5CBCF" w:rsidR="00532A9F" w:rsidRDefault="00532A9F" w:rsidP="00625DAB">
            <w:pPr>
              <w:pStyle w:val="TableTextLeft"/>
            </w:pPr>
            <w:r w:rsidRPr="00F50999">
              <w:t>APS 3</w:t>
            </w:r>
          </w:p>
        </w:tc>
        <w:tc>
          <w:tcPr>
            <w:tcW w:w="992" w:type="dxa"/>
          </w:tcPr>
          <w:p w14:paraId="45C40B39" w14:textId="3898B065" w:rsidR="00532A9F" w:rsidRDefault="00532A9F" w:rsidP="00424534">
            <w:pPr>
              <w:pStyle w:val="TableTextRight"/>
            </w:pPr>
            <w:r w:rsidRPr="00532A9F">
              <w:t>–</w:t>
            </w:r>
          </w:p>
        </w:tc>
        <w:tc>
          <w:tcPr>
            <w:tcW w:w="1027" w:type="dxa"/>
          </w:tcPr>
          <w:p w14:paraId="0CEF511E" w14:textId="54B3F79E" w:rsidR="00532A9F" w:rsidRDefault="00532A9F" w:rsidP="00424534">
            <w:pPr>
              <w:pStyle w:val="TableTextRight"/>
            </w:pPr>
            <w:r w:rsidRPr="00532A9F">
              <w:t>–</w:t>
            </w:r>
          </w:p>
        </w:tc>
        <w:tc>
          <w:tcPr>
            <w:tcW w:w="981" w:type="dxa"/>
          </w:tcPr>
          <w:p w14:paraId="5407A358" w14:textId="172F5BF1" w:rsidR="00532A9F" w:rsidRDefault="00532A9F" w:rsidP="00424534">
            <w:pPr>
              <w:pStyle w:val="TableTextRight"/>
            </w:pPr>
            <w:r w:rsidRPr="00532A9F">
              <w:t>–</w:t>
            </w:r>
          </w:p>
        </w:tc>
        <w:tc>
          <w:tcPr>
            <w:tcW w:w="955" w:type="dxa"/>
          </w:tcPr>
          <w:p w14:paraId="441250B1" w14:textId="0EE6E37A" w:rsidR="00532A9F" w:rsidRDefault="00532A9F" w:rsidP="00424534">
            <w:pPr>
              <w:pStyle w:val="TableTextRight"/>
            </w:pPr>
            <w:r w:rsidRPr="00532A9F">
              <w:t>–</w:t>
            </w:r>
          </w:p>
        </w:tc>
        <w:tc>
          <w:tcPr>
            <w:tcW w:w="955" w:type="dxa"/>
          </w:tcPr>
          <w:p w14:paraId="0DAE7B75" w14:textId="4AB17844" w:rsidR="00532A9F" w:rsidRDefault="00532A9F" w:rsidP="00424534">
            <w:pPr>
              <w:pStyle w:val="TableTextRight"/>
            </w:pPr>
            <w:r w:rsidRPr="00532A9F">
              <w:t>–</w:t>
            </w:r>
          </w:p>
        </w:tc>
        <w:tc>
          <w:tcPr>
            <w:tcW w:w="1229" w:type="dxa"/>
          </w:tcPr>
          <w:p w14:paraId="79C2F338" w14:textId="155FA458" w:rsidR="00532A9F" w:rsidRDefault="00532A9F" w:rsidP="00424534">
            <w:pPr>
              <w:pStyle w:val="TableTextRight"/>
            </w:pPr>
            <w:r w:rsidRPr="00532A9F">
              <w:t>–</w:t>
            </w:r>
          </w:p>
        </w:tc>
        <w:tc>
          <w:tcPr>
            <w:tcW w:w="946" w:type="dxa"/>
          </w:tcPr>
          <w:p w14:paraId="46F9A2A1" w14:textId="11307D11" w:rsidR="00532A9F" w:rsidRPr="00424534" w:rsidRDefault="00532A9F" w:rsidP="00424534">
            <w:pPr>
              <w:pStyle w:val="TableTextRight"/>
              <w:rPr>
                <w:b/>
                <w:bCs/>
              </w:rPr>
            </w:pPr>
            <w:r w:rsidRPr="00424534">
              <w:rPr>
                <w:b/>
                <w:bCs/>
              </w:rPr>
              <w:t>–</w:t>
            </w:r>
          </w:p>
        </w:tc>
      </w:tr>
      <w:tr w:rsidR="00532A9F" w14:paraId="3187EF44" w14:textId="77777777" w:rsidTr="00424534">
        <w:tc>
          <w:tcPr>
            <w:tcW w:w="851" w:type="dxa"/>
          </w:tcPr>
          <w:p w14:paraId="5A3B60CE" w14:textId="0C3AB864" w:rsidR="00532A9F" w:rsidRDefault="00532A9F" w:rsidP="00625DAB">
            <w:pPr>
              <w:pStyle w:val="TableTextLeft"/>
            </w:pPr>
            <w:r w:rsidRPr="00F50999">
              <w:t>APS 2</w:t>
            </w:r>
          </w:p>
        </w:tc>
        <w:tc>
          <w:tcPr>
            <w:tcW w:w="992" w:type="dxa"/>
          </w:tcPr>
          <w:p w14:paraId="32FDAD5B" w14:textId="43C0852E" w:rsidR="00532A9F" w:rsidRDefault="00532A9F" w:rsidP="00424534">
            <w:pPr>
              <w:pStyle w:val="TableTextRight"/>
            </w:pPr>
            <w:r w:rsidRPr="00532A9F">
              <w:t>–</w:t>
            </w:r>
          </w:p>
        </w:tc>
        <w:tc>
          <w:tcPr>
            <w:tcW w:w="1027" w:type="dxa"/>
          </w:tcPr>
          <w:p w14:paraId="48F052D3" w14:textId="4BC22009" w:rsidR="00532A9F" w:rsidRDefault="00532A9F" w:rsidP="00424534">
            <w:pPr>
              <w:pStyle w:val="TableTextRight"/>
            </w:pPr>
            <w:r w:rsidRPr="00532A9F">
              <w:t>–</w:t>
            </w:r>
          </w:p>
        </w:tc>
        <w:tc>
          <w:tcPr>
            <w:tcW w:w="981" w:type="dxa"/>
          </w:tcPr>
          <w:p w14:paraId="46A64F87" w14:textId="7153C971" w:rsidR="00532A9F" w:rsidRDefault="00532A9F" w:rsidP="00424534">
            <w:pPr>
              <w:pStyle w:val="TableTextRight"/>
            </w:pPr>
            <w:r w:rsidRPr="00532A9F">
              <w:t>–</w:t>
            </w:r>
          </w:p>
        </w:tc>
        <w:tc>
          <w:tcPr>
            <w:tcW w:w="955" w:type="dxa"/>
          </w:tcPr>
          <w:p w14:paraId="7545D6F1" w14:textId="3663DB87" w:rsidR="00532A9F" w:rsidRDefault="00532A9F" w:rsidP="00424534">
            <w:pPr>
              <w:pStyle w:val="TableTextRight"/>
            </w:pPr>
            <w:r w:rsidRPr="00532A9F">
              <w:t>–</w:t>
            </w:r>
          </w:p>
        </w:tc>
        <w:tc>
          <w:tcPr>
            <w:tcW w:w="955" w:type="dxa"/>
          </w:tcPr>
          <w:p w14:paraId="1353C0C8" w14:textId="2FE99E0A" w:rsidR="00532A9F" w:rsidRDefault="00532A9F" w:rsidP="00424534">
            <w:pPr>
              <w:pStyle w:val="TableTextRight"/>
            </w:pPr>
            <w:r w:rsidRPr="00532A9F">
              <w:t>–</w:t>
            </w:r>
          </w:p>
        </w:tc>
        <w:tc>
          <w:tcPr>
            <w:tcW w:w="1229" w:type="dxa"/>
          </w:tcPr>
          <w:p w14:paraId="0F177B6C" w14:textId="3060B0DD" w:rsidR="00532A9F" w:rsidRDefault="00532A9F" w:rsidP="00424534">
            <w:pPr>
              <w:pStyle w:val="TableTextRight"/>
            </w:pPr>
            <w:r w:rsidRPr="00532A9F">
              <w:t>–</w:t>
            </w:r>
          </w:p>
        </w:tc>
        <w:tc>
          <w:tcPr>
            <w:tcW w:w="946" w:type="dxa"/>
          </w:tcPr>
          <w:p w14:paraId="12E68BA5" w14:textId="086DCFDA" w:rsidR="00532A9F" w:rsidRPr="00424534" w:rsidRDefault="00532A9F" w:rsidP="00424534">
            <w:pPr>
              <w:pStyle w:val="TableTextRight"/>
              <w:rPr>
                <w:b/>
                <w:bCs/>
              </w:rPr>
            </w:pPr>
            <w:r w:rsidRPr="00424534">
              <w:rPr>
                <w:b/>
                <w:bCs/>
              </w:rPr>
              <w:t>–</w:t>
            </w:r>
          </w:p>
        </w:tc>
      </w:tr>
      <w:tr w:rsidR="0048600D" w14:paraId="41222CCD"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46F2D1A1" w14:textId="77CB8F32" w:rsidR="00532A9F" w:rsidRDefault="00532A9F" w:rsidP="00625DAB">
            <w:pPr>
              <w:pStyle w:val="TableTextLeft"/>
            </w:pPr>
            <w:r w:rsidRPr="00F50999">
              <w:t>APS 1</w:t>
            </w:r>
          </w:p>
        </w:tc>
        <w:tc>
          <w:tcPr>
            <w:tcW w:w="992" w:type="dxa"/>
          </w:tcPr>
          <w:p w14:paraId="6C60E3BA" w14:textId="5741696C" w:rsidR="00532A9F" w:rsidRDefault="00532A9F" w:rsidP="00424534">
            <w:pPr>
              <w:pStyle w:val="TableTextRight"/>
            </w:pPr>
            <w:r w:rsidRPr="00532A9F">
              <w:t>–</w:t>
            </w:r>
          </w:p>
        </w:tc>
        <w:tc>
          <w:tcPr>
            <w:tcW w:w="1027" w:type="dxa"/>
          </w:tcPr>
          <w:p w14:paraId="5C0D5965" w14:textId="0376429C" w:rsidR="00532A9F" w:rsidRDefault="00532A9F" w:rsidP="00424534">
            <w:pPr>
              <w:pStyle w:val="TableTextRight"/>
            </w:pPr>
            <w:r w:rsidRPr="00532A9F">
              <w:t>–</w:t>
            </w:r>
          </w:p>
        </w:tc>
        <w:tc>
          <w:tcPr>
            <w:tcW w:w="981" w:type="dxa"/>
          </w:tcPr>
          <w:p w14:paraId="072B573B" w14:textId="6AE5FD23" w:rsidR="00532A9F" w:rsidRDefault="00532A9F" w:rsidP="00424534">
            <w:pPr>
              <w:pStyle w:val="TableTextRight"/>
            </w:pPr>
            <w:r w:rsidRPr="00532A9F">
              <w:t>–</w:t>
            </w:r>
          </w:p>
        </w:tc>
        <w:tc>
          <w:tcPr>
            <w:tcW w:w="955" w:type="dxa"/>
          </w:tcPr>
          <w:p w14:paraId="24BE1640" w14:textId="142D16D6" w:rsidR="00532A9F" w:rsidRDefault="00532A9F" w:rsidP="00424534">
            <w:pPr>
              <w:pStyle w:val="TableTextRight"/>
            </w:pPr>
            <w:r w:rsidRPr="00532A9F">
              <w:t>–</w:t>
            </w:r>
          </w:p>
        </w:tc>
        <w:tc>
          <w:tcPr>
            <w:tcW w:w="955" w:type="dxa"/>
          </w:tcPr>
          <w:p w14:paraId="2B686859" w14:textId="20D1D19B" w:rsidR="00532A9F" w:rsidRDefault="00532A9F" w:rsidP="00424534">
            <w:pPr>
              <w:pStyle w:val="TableTextRight"/>
            </w:pPr>
            <w:r w:rsidRPr="00532A9F">
              <w:t>–</w:t>
            </w:r>
          </w:p>
        </w:tc>
        <w:tc>
          <w:tcPr>
            <w:tcW w:w="1229" w:type="dxa"/>
          </w:tcPr>
          <w:p w14:paraId="5F77E2AA" w14:textId="2C62F430" w:rsidR="00532A9F" w:rsidRDefault="00532A9F" w:rsidP="00424534">
            <w:pPr>
              <w:pStyle w:val="TableTextRight"/>
            </w:pPr>
            <w:r w:rsidRPr="00532A9F">
              <w:t>–</w:t>
            </w:r>
          </w:p>
        </w:tc>
        <w:tc>
          <w:tcPr>
            <w:tcW w:w="946" w:type="dxa"/>
          </w:tcPr>
          <w:p w14:paraId="153F86C7" w14:textId="6B3E96D9" w:rsidR="00532A9F" w:rsidRPr="00424534" w:rsidRDefault="00532A9F" w:rsidP="00424534">
            <w:pPr>
              <w:pStyle w:val="TableTextRight"/>
              <w:rPr>
                <w:b/>
                <w:bCs/>
              </w:rPr>
            </w:pPr>
            <w:r w:rsidRPr="00424534">
              <w:rPr>
                <w:b/>
                <w:bCs/>
              </w:rPr>
              <w:t>–</w:t>
            </w:r>
          </w:p>
        </w:tc>
      </w:tr>
      <w:tr w:rsidR="00532A9F" w14:paraId="31389BDC" w14:textId="77777777" w:rsidTr="00424534">
        <w:tc>
          <w:tcPr>
            <w:tcW w:w="851" w:type="dxa"/>
          </w:tcPr>
          <w:p w14:paraId="571D8A44" w14:textId="5B2DF2A0" w:rsidR="00532A9F" w:rsidRDefault="00532A9F" w:rsidP="00625DAB">
            <w:pPr>
              <w:pStyle w:val="TableTextLeft"/>
            </w:pPr>
            <w:r w:rsidRPr="00F50999">
              <w:t xml:space="preserve">Other </w:t>
            </w:r>
          </w:p>
        </w:tc>
        <w:tc>
          <w:tcPr>
            <w:tcW w:w="992" w:type="dxa"/>
          </w:tcPr>
          <w:p w14:paraId="234E2BB8" w14:textId="0CC1BE44" w:rsidR="00532A9F" w:rsidRDefault="00532A9F" w:rsidP="00424534">
            <w:pPr>
              <w:pStyle w:val="TableTextRight"/>
            </w:pPr>
            <w:r w:rsidRPr="00532A9F">
              <w:t>–</w:t>
            </w:r>
          </w:p>
        </w:tc>
        <w:tc>
          <w:tcPr>
            <w:tcW w:w="1027" w:type="dxa"/>
          </w:tcPr>
          <w:p w14:paraId="08F00398" w14:textId="7FACFDE2" w:rsidR="00532A9F" w:rsidRDefault="00532A9F" w:rsidP="00424534">
            <w:pPr>
              <w:pStyle w:val="TableTextRight"/>
            </w:pPr>
            <w:r w:rsidRPr="00532A9F">
              <w:t>–</w:t>
            </w:r>
          </w:p>
        </w:tc>
        <w:tc>
          <w:tcPr>
            <w:tcW w:w="981" w:type="dxa"/>
          </w:tcPr>
          <w:p w14:paraId="7AC69836" w14:textId="2A94B65F" w:rsidR="00532A9F" w:rsidRDefault="00532A9F" w:rsidP="00424534">
            <w:pPr>
              <w:pStyle w:val="TableTextRight"/>
            </w:pPr>
            <w:r w:rsidRPr="00532A9F">
              <w:t>–</w:t>
            </w:r>
          </w:p>
        </w:tc>
        <w:tc>
          <w:tcPr>
            <w:tcW w:w="955" w:type="dxa"/>
          </w:tcPr>
          <w:p w14:paraId="2FCA4016" w14:textId="26252A50" w:rsidR="00532A9F" w:rsidRDefault="00532A9F" w:rsidP="00424534">
            <w:pPr>
              <w:pStyle w:val="TableTextRight"/>
            </w:pPr>
            <w:r w:rsidRPr="00532A9F">
              <w:t>–</w:t>
            </w:r>
          </w:p>
        </w:tc>
        <w:tc>
          <w:tcPr>
            <w:tcW w:w="955" w:type="dxa"/>
          </w:tcPr>
          <w:p w14:paraId="7D095831" w14:textId="7AD503B2" w:rsidR="00532A9F" w:rsidRDefault="00532A9F" w:rsidP="00424534">
            <w:pPr>
              <w:pStyle w:val="TableTextRight"/>
            </w:pPr>
            <w:r w:rsidRPr="00532A9F">
              <w:t>–</w:t>
            </w:r>
          </w:p>
        </w:tc>
        <w:tc>
          <w:tcPr>
            <w:tcW w:w="1229" w:type="dxa"/>
          </w:tcPr>
          <w:p w14:paraId="6A894596" w14:textId="58FBAC30" w:rsidR="00532A9F" w:rsidRDefault="00532A9F" w:rsidP="00424534">
            <w:pPr>
              <w:pStyle w:val="TableTextRight"/>
            </w:pPr>
            <w:r w:rsidRPr="00532A9F">
              <w:t>–</w:t>
            </w:r>
          </w:p>
        </w:tc>
        <w:tc>
          <w:tcPr>
            <w:tcW w:w="946" w:type="dxa"/>
          </w:tcPr>
          <w:p w14:paraId="2F3F7A03" w14:textId="4A099643" w:rsidR="00532A9F" w:rsidRPr="00424534" w:rsidRDefault="00532A9F" w:rsidP="00424534">
            <w:pPr>
              <w:pStyle w:val="TableTextRight"/>
              <w:rPr>
                <w:b/>
                <w:bCs/>
              </w:rPr>
            </w:pPr>
            <w:r w:rsidRPr="00424534">
              <w:rPr>
                <w:b/>
                <w:bCs/>
              </w:rPr>
              <w:t>–</w:t>
            </w:r>
          </w:p>
        </w:tc>
      </w:tr>
      <w:tr w:rsidR="0048600D" w14:paraId="1BAA5F58" w14:textId="77777777" w:rsidTr="00424534">
        <w:trPr>
          <w:cnfStyle w:val="000000010000" w:firstRow="0" w:lastRow="0" w:firstColumn="0" w:lastColumn="0" w:oddVBand="0" w:evenVBand="0" w:oddHBand="0" w:evenHBand="1" w:firstRowFirstColumn="0" w:firstRowLastColumn="0" w:lastRowFirstColumn="0" w:lastRowLastColumn="0"/>
        </w:trPr>
        <w:tc>
          <w:tcPr>
            <w:tcW w:w="851" w:type="dxa"/>
          </w:tcPr>
          <w:p w14:paraId="63C0076F" w14:textId="6CD66699" w:rsidR="00532A9F" w:rsidRPr="00697C8F" w:rsidRDefault="00532A9F" w:rsidP="00625DAB">
            <w:pPr>
              <w:pStyle w:val="TableTextLeft"/>
              <w:rPr>
                <w:b/>
                <w:bCs/>
              </w:rPr>
            </w:pPr>
            <w:r w:rsidRPr="00697C8F">
              <w:rPr>
                <w:b/>
                <w:bCs/>
              </w:rPr>
              <w:t>Total</w:t>
            </w:r>
          </w:p>
        </w:tc>
        <w:tc>
          <w:tcPr>
            <w:tcW w:w="992" w:type="dxa"/>
          </w:tcPr>
          <w:p w14:paraId="58EA1639" w14:textId="782AE8C0" w:rsidR="00532A9F" w:rsidRPr="00424534" w:rsidRDefault="00532A9F" w:rsidP="00424534">
            <w:pPr>
              <w:pStyle w:val="TableTextRight"/>
              <w:rPr>
                <w:b/>
                <w:bCs/>
              </w:rPr>
            </w:pPr>
            <w:r w:rsidRPr="00424534">
              <w:rPr>
                <w:b/>
                <w:bCs/>
              </w:rPr>
              <w:t>43</w:t>
            </w:r>
          </w:p>
        </w:tc>
        <w:tc>
          <w:tcPr>
            <w:tcW w:w="1027" w:type="dxa"/>
          </w:tcPr>
          <w:p w14:paraId="27636DF0" w14:textId="2130009E" w:rsidR="00532A9F" w:rsidRPr="00424534" w:rsidRDefault="00532A9F" w:rsidP="00424534">
            <w:pPr>
              <w:pStyle w:val="TableTextRight"/>
              <w:rPr>
                <w:b/>
                <w:bCs/>
              </w:rPr>
            </w:pPr>
            <w:r w:rsidRPr="00424534">
              <w:rPr>
                <w:b/>
                <w:bCs/>
              </w:rPr>
              <w:t>5</w:t>
            </w:r>
          </w:p>
        </w:tc>
        <w:tc>
          <w:tcPr>
            <w:tcW w:w="981" w:type="dxa"/>
          </w:tcPr>
          <w:p w14:paraId="2C7D52E0" w14:textId="49947268" w:rsidR="00532A9F" w:rsidRPr="00424534" w:rsidRDefault="00532A9F" w:rsidP="00424534">
            <w:pPr>
              <w:pStyle w:val="TableTextRight"/>
              <w:rPr>
                <w:b/>
                <w:bCs/>
              </w:rPr>
            </w:pPr>
            <w:r w:rsidRPr="00424534">
              <w:rPr>
                <w:b/>
                <w:bCs/>
              </w:rPr>
              <w:t>48</w:t>
            </w:r>
          </w:p>
        </w:tc>
        <w:tc>
          <w:tcPr>
            <w:tcW w:w="955" w:type="dxa"/>
          </w:tcPr>
          <w:p w14:paraId="5EE1282D" w14:textId="5EF5E4C8" w:rsidR="00532A9F" w:rsidRPr="00424534" w:rsidRDefault="00532A9F" w:rsidP="00424534">
            <w:pPr>
              <w:pStyle w:val="TableTextRight"/>
              <w:rPr>
                <w:b/>
                <w:bCs/>
              </w:rPr>
            </w:pPr>
            <w:r w:rsidRPr="00424534">
              <w:rPr>
                <w:b/>
                <w:bCs/>
              </w:rPr>
              <w:t>5</w:t>
            </w:r>
          </w:p>
        </w:tc>
        <w:tc>
          <w:tcPr>
            <w:tcW w:w="955" w:type="dxa"/>
          </w:tcPr>
          <w:p w14:paraId="7ECF2727" w14:textId="1A56C72B" w:rsidR="00532A9F" w:rsidRPr="00424534" w:rsidRDefault="00532A9F" w:rsidP="00424534">
            <w:pPr>
              <w:pStyle w:val="TableTextRight"/>
              <w:rPr>
                <w:b/>
                <w:bCs/>
              </w:rPr>
            </w:pPr>
            <w:r w:rsidRPr="00424534">
              <w:rPr>
                <w:b/>
                <w:bCs/>
              </w:rPr>
              <w:t>–</w:t>
            </w:r>
          </w:p>
        </w:tc>
        <w:tc>
          <w:tcPr>
            <w:tcW w:w="1229" w:type="dxa"/>
          </w:tcPr>
          <w:p w14:paraId="6C1DF714" w14:textId="0E236F6D" w:rsidR="00532A9F" w:rsidRPr="00424534" w:rsidRDefault="00532A9F" w:rsidP="00424534">
            <w:pPr>
              <w:pStyle w:val="TableTextRight"/>
              <w:rPr>
                <w:b/>
                <w:bCs/>
              </w:rPr>
            </w:pPr>
            <w:r w:rsidRPr="00424534">
              <w:rPr>
                <w:b/>
                <w:bCs/>
              </w:rPr>
              <w:t>5</w:t>
            </w:r>
          </w:p>
        </w:tc>
        <w:tc>
          <w:tcPr>
            <w:tcW w:w="946" w:type="dxa"/>
          </w:tcPr>
          <w:p w14:paraId="549CBA78" w14:textId="007661EC" w:rsidR="00532A9F" w:rsidRPr="00424534" w:rsidRDefault="00532A9F" w:rsidP="00424534">
            <w:pPr>
              <w:pStyle w:val="TableTextRight"/>
              <w:rPr>
                <w:b/>
                <w:bCs/>
              </w:rPr>
            </w:pPr>
            <w:r w:rsidRPr="00424534">
              <w:rPr>
                <w:b/>
                <w:bCs/>
              </w:rPr>
              <w:t>53</w:t>
            </w:r>
          </w:p>
        </w:tc>
      </w:tr>
    </w:tbl>
    <w:p w14:paraId="67FDAF03" w14:textId="77777777" w:rsidR="00424534" w:rsidRDefault="00424534" w:rsidP="00284B62">
      <w:pPr>
        <w:pStyle w:val="TableMainHeading"/>
        <w:rPr>
          <w:rFonts w:ascii="Aptos" w:eastAsia="Aptos" w:hAnsi="Aptos" w:cs="Aptos"/>
          <w:bCs/>
          <w:sz w:val="22"/>
          <w:szCs w:val="22"/>
          <w:lang w:eastAsia="en-US"/>
        </w:rPr>
      </w:pPr>
    </w:p>
    <w:p w14:paraId="6CF5D95E" w14:textId="77777777" w:rsidR="00424534" w:rsidRDefault="00424534">
      <w:pPr>
        <w:spacing w:after="0" w:line="240" w:lineRule="auto"/>
        <w:rPr>
          <w:rFonts w:ascii="Aptos" w:eastAsia="Aptos" w:hAnsi="Aptos" w:cs="Aptos"/>
          <w:b/>
          <w:bCs/>
          <w:sz w:val="22"/>
          <w:szCs w:val="22"/>
        </w:rPr>
      </w:pPr>
      <w:r>
        <w:rPr>
          <w:rFonts w:ascii="Aptos" w:eastAsia="Aptos" w:hAnsi="Aptos" w:cs="Aptos"/>
          <w:bCs/>
          <w:sz w:val="22"/>
          <w:szCs w:val="22"/>
        </w:rPr>
        <w:br w:type="page"/>
      </w:r>
    </w:p>
    <w:p w14:paraId="2E847817" w14:textId="7AB861BE" w:rsidR="3A549BB0" w:rsidRDefault="1E9B2D6B" w:rsidP="00284B62">
      <w:pPr>
        <w:pStyle w:val="TableMainHeading"/>
      </w:pPr>
      <w:r w:rsidRPr="00886AD4">
        <w:lastRenderedPageBreak/>
        <w:t xml:space="preserve">Table </w:t>
      </w:r>
      <w:r w:rsidR="007F6B6F" w:rsidRPr="00886AD4">
        <w:t>2</w:t>
      </w:r>
      <w:r w:rsidR="00282994">
        <w:t>1</w:t>
      </w:r>
      <w:r w:rsidRPr="00886AD4">
        <w:t>:</w:t>
      </w:r>
      <w:r w:rsidRPr="4C10256B">
        <w:t xml:space="preserve"> APS ongoing and non</w:t>
      </w:r>
      <w:r w:rsidR="00B84FF2">
        <w:noBreakHyphen/>
      </w:r>
      <w:r w:rsidRPr="4C10256B">
        <w:t>ongoing employees by location (headcount)</w:t>
      </w:r>
      <w:r w:rsidR="002B4A8D">
        <w:t xml:space="preserve"> </w:t>
      </w:r>
      <w:r w:rsidRPr="4C10256B">
        <w:t>2024</w:t>
      </w:r>
      <w:r w:rsidR="000F29EF" w:rsidRPr="000F29EF">
        <w:t>–</w:t>
      </w:r>
      <w:r w:rsidR="000F29EF">
        <w:rPr>
          <w:rFonts w:ascii="Arial" w:hAnsi="Arial" w:cs="Arial"/>
        </w:rPr>
        <w:t>‍</w:t>
      </w:r>
      <w:r w:rsidRPr="4C10256B">
        <w:t>25</w:t>
      </w:r>
    </w:p>
    <w:tbl>
      <w:tblPr>
        <w:tblStyle w:val="AOFMTablemain"/>
        <w:tblW w:w="5000" w:type="pct"/>
        <w:tblLook w:val="04A0" w:firstRow="1" w:lastRow="0" w:firstColumn="1" w:lastColumn="0" w:noHBand="0" w:noVBand="1"/>
      </w:tblPr>
      <w:tblGrid>
        <w:gridCol w:w="1925"/>
        <w:gridCol w:w="1926"/>
        <w:gridCol w:w="1949"/>
        <w:gridCol w:w="1911"/>
      </w:tblGrid>
      <w:tr w:rsidR="0086383C" w:rsidRPr="00054C28" w14:paraId="0BDB55BF" w14:textId="77777777" w:rsidTr="00DF31C0">
        <w:trPr>
          <w:cnfStyle w:val="100000000000" w:firstRow="1" w:lastRow="0" w:firstColumn="0" w:lastColumn="0" w:oddVBand="0" w:evenVBand="0" w:oddHBand="0" w:evenHBand="0" w:firstRowFirstColumn="0" w:firstRowLastColumn="0" w:lastRowFirstColumn="0" w:lastRowLastColumn="0"/>
        </w:trPr>
        <w:tc>
          <w:tcPr>
            <w:tcW w:w="1981" w:type="dxa"/>
          </w:tcPr>
          <w:p w14:paraId="63A30839" w14:textId="1903A18F" w:rsidR="00054C28" w:rsidRPr="00B8215E" w:rsidRDefault="00054C28" w:rsidP="00424534">
            <w:pPr>
              <w:pStyle w:val="TableColumnHeadingLeft"/>
            </w:pPr>
            <w:r w:rsidRPr="00B8215E">
              <w:t>Location</w:t>
            </w:r>
          </w:p>
        </w:tc>
        <w:tc>
          <w:tcPr>
            <w:tcW w:w="1981" w:type="dxa"/>
          </w:tcPr>
          <w:p w14:paraId="007F6FFE" w14:textId="3B599DFA" w:rsidR="00054C28" w:rsidRPr="00B8215E" w:rsidRDefault="00054C28" w:rsidP="00424534">
            <w:pPr>
              <w:pStyle w:val="TableColumnHeadingLeft"/>
            </w:pPr>
            <w:r w:rsidRPr="00B8215E">
              <w:t>Ongoing</w:t>
            </w:r>
          </w:p>
        </w:tc>
        <w:tc>
          <w:tcPr>
            <w:tcW w:w="1982" w:type="dxa"/>
          </w:tcPr>
          <w:p w14:paraId="33F80B5C" w14:textId="2FF1DF22" w:rsidR="00054C28" w:rsidRPr="00B8215E" w:rsidRDefault="00054C28" w:rsidP="00424534">
            <w:pPr>
              <w:pStyle w:val="TableColumnHeadingLeft"/>
            </w:pPr>
            <w:r w:rsidRPr="00B8215E">
              <w:t>Non</w:t>
            </w:r>
            <w:r w:rsidR="00B84FF2">
              <w:noBreakHyphen/>
            </w:r>
            <w:r w:rsidRPr="00B8215E">
              <w:t>Ongoing</w:t>
            </w:r>
          </w:p>
        </w:tc>
        <w:tc>
          <w:tcPr>
            <w:tcW w:w="1982" w:type="dxa"/>
          </w:tcPr>
          <w:p w14:paraId="4DD8A914" w14:textId="57D4EE1C" w:rsidR="00054C28" w:rsidRPr="00B8215E" w:rsidRDefault="00054C28" w:rsidP="00424534">
            <w:pPr>
              <w:pStyle w:val="TableColumnHeadingLeft"/>
            </w:pPr>
            <w:r w:rsidRPr="00B8215E">
              <w:t>Total</w:t>
            </w:r>
          </w:p>
        </w:tc>
      </w:tr>
      <w:tr w:rsidR="00054C28" w:rsidRPr="00054C28" w14:paraId="15E89290" w14:textId="77777777" w:rsidTr="00DF31C0">
        <w:tc>
          <w:tcPr>
            <w:tcW w:w="1981" w:type="dxa"/>
          </w:tcPr>
          <w:p w14:paraId="78754AB6" w14:textId="2C4A85E8" w:rsidR="00054C28" w:rsidRPr="00424534" w:rsidRDefault="00054C28" w:rsidP="00625DAB">
            <w:pPr>
              <w:pStyle w:val="TableTextLeft"/>
            </w:pPr>
            <w:r w:rsidRPr="00424534">
              <w:t>NSW</w:t>
            </w:r>
          </w:p>
        </w:tc>
        <w:tc>
          <w:tcPr>
            <w:tcW w:w="1981" w:type="dxa"/>
          </w:tcPr>
          <w:p w14:paraId="46C02F83" w14:textId="55E75063" w:rsidR="00054C28" w:rsidRPr="00424534" w:rsidRDefault="00054C28" w:rsidP="00424534">
            <w:pPr>
              <w:pStyle w:val="TableTextRight"/>
            </w:pPr>
            <w:r w:rsidRPr="00424534">
              <w:t>4</w:t>
            </w:r>
          </w:p>
        </w:tc>
        <w:tc>
          <w:tcPr>
            <w:tcW w:w="1982" w:type="dxa"/>
          </w:tcPr>
          <w:p w14:paraId="55EB971F" w14:textId="348A4E38" w:rsidR="00054C28" w:rsidRPr="00424534" w:rsidRDefault="003152C2" w:rsidP="00424534">
            <w:pPr>
              <w:pStyle w:val="TableTextRight"/>
            </w:pPr>
            <w:r w:rsidRPr="00424534">
              <w:t>0</w:t>
            </w:r>
          </w:p>
        </w:tc>
        <w:tc>
          <w:tcPr>
            <w:tcW w:w="1982" w:type="dxa"/>
          </w:tcPr>
          <w:p w14:paraId="4A1154A1" w14:textId="069C13B9" w:rsidR="00054C28" w:rsidRPr="00424534" w:rsidRDefault="005A07D6" w:rsidP="00424534">
            <w:pPr>
              <w:pStyle w:val="TableTextRight"/>
              <w:rPr>
                <w:b/>
                <w:bCs/>
              </w:rPr>
            </w:pPr>
            <w:r w:rsidRPr="00424534">
              <w:rPr>
                <w:b/>
                <w:bCs/>
              </w:rPr>
              <w:t>4</w:t>
            </w:r>
          </w:p>
        </w:tc>
      </w:tr>
      <w:tr w:rsidR="0086383C" w:rsidRPr="00054C28" w14:paraId="6F512995" w14:textId="77777777" w:rsidTr="00DF31C0">
        <w:trPr>
          <w:cnfStyle w:val="000000010000" w:firstRow="0" w:lastRow="0" w:firstColumn="0" w:lastColumn="0" w:oddVBand="0" w:evenVBand="0" w:oddHBand="0" w:evenHBand="1" w:firstRowFirstColumn="0" w:firstRowLastColumn="0" w:lastRowFirstColumn="0" w:lastRowLastColumn="0"/>
        </w:trPr>
        <w:tc>
          <w:tcPr>
            <w:tcW w:w="1981" w:type="dxa"/>
          </w:tcPr>
          <w:p w14:paraId="164B4B46" w14:textId="44ED47B2" w:rsidR="00054C28" w:rsidRPr="00424534" w:rsidRDefault="00054C28" w:rsidP="00625DAB">
            <w:pPr>
              <w:pStyle w:val="TableTextLeft"/>
            </w:pPr>
            <w:r w:rsidRPr="00424534">
              <w:t>Q</w:t>
            </w:r>
            <w:r w:rsidR="00424534">
              <w:t>LD</w:t>
            </w:r>
          </w:p>
        </w:tc>
        <w:tc>
          <w:tcPr>
            <w:tcW w:w="1981" w:type="dxa"/>
          </w:tcPr>
          <w:p w14:paraId="61936F4E" w14:textId="38E783C6" w:rsidR="00054C28" w:rsidRPr="00424534" w:rsidRDefault="003152C2" w:rsidP="00424534">
            <w:pPr>
              <w:pStyle w:val="TableTextRight"/>
            </w:pPr>
            <w:r w:rsidRPr="00424534">
              <w:t>0</w:t>
            </w:r>
          </w:p>
        </w:tc>
        <w:tc>
          <w:tcPr>
            <w:tcW w:w="1982" w:type="dxa"/>
          </w:tcPr>
          <w:p w14:paraId="7021E9FC" w14:textId="2F54B70C" w:rsidR="00054C28" w:rsidRPr="00424534" w:rsidRDefault="003152C2" w:rsidP="00424534">
            <w:pPr>
              <w:pStyle w:val="TableTextRight"/>
            </w:pPr>
            <w:r w:rsidRPr="00424534">
              <w:t>0</w:t>
            </w:r>
          </w:p>
        </w:tc>
        <w:tc>
          <w:tcPr>
            <w:tcW w:w="1982" w:type="dxa"/>
          </w:tcPr>
          <w:p w14:paraId="601A62E7" w14:textId="26A6AA0D" w:rsidR="00054C28" w:rsidRPr="00424534" w:rsidRDefault="003152C2" w:rsidP="00424534">
            <w:pPr>
              <w:pStyle w:val="TableTextRight"/>
              <w:rPr>
                <w:b/>
                <w:bCs/>
              </w:rPr>
            </w:pPr>
            <w:r w:rsidRPr="00424534">
              <w:rPr>
                <w:b/>
                <w:bCs/>
              </w:rPr>
              <w:t>0</w:t>
            </w:r>
          </w:p>
        </w:tc>
      </w:tr>
      <w:tr w:rsidR="00054C28" w:rsidRPr="00054C28" w14:paraId="3756F9DB" w14:textId="77777777" w:rsidTr="00DF31C0">
        <w:tc>
          <w:tcPr>
            <w:tcW w:w="1981" w:type="dxa"/>
          </w:tcPr>
          <w:p w14:paraId="17B52807" w14:textId="120C8F5E" w:rsidR="00054C28" w:rsidRPr="00424534" w:rsidRDefault="00054C28" w:rsidP="00625DAB">
            <w:pPr>
              <w:pStyle w:val="TableTextLeft"/>
            </w:pPr>
            <w:r w:rsidRPr="00424534">
              <w:t>SA</w:t>
            </w:r>
          </w:p>
        </w:tc>
        <w:tc>
          <w:tcPr>
            <w:tcW w:w="1981" w:type="dxa"/>
          </w:tcPr>
          <w:p w14:paraId="1BCD416D" w14:textId="5E19C075" w:rsidR="00054C28" w:rsidRPr="00424534" w:rsidRDefault="003152C2" w:rsidP="00424534">
            <w:pPr>
              <w:pStyle w:val="TableTextRight"/>
            </w:pPr>
            <w:r w:rsidRPr="00424534">
              <w:t>0</w:t>
            </w:r>
          </w:p>
        </w:tc>
        <w:tc>
          <w:tcPr>
            <w:tcW w:w="1982" w:type="dxa"/>
          </w:tcPr>
          <w:p w14:paraId="2C53C4DF" w14:textId="65958ABE" w:rsidR="00054C28" w:rsidRPr="00424534" w:rsidRDefault="003152C2" w:rsidP="00424534">
            <w:pPr>
              <w:pStyle w:val="TableTextRight"/>
            </w:pPr>
            <w:r w:rsidRPr="00424534">
              <w:t>0</w:t>
            </w:r>
          </w:p>
        </w:tc>
        <w:tc>
          <w:tcPr>
            <w:tcW w:w="1982" w:type="dxa"/>
          </w:tcPr>
          <w:p w14:paraId="24B4636C" w14:textId="0AA66286" w:rsidR="00054C28" w:rsidRPr="00424534" w:rsidRDefault="003152C2" w:rsidP="00424534">
            <w:pPr>
              <w:pStyle w:val="TableTextRight"/>
              <w:rPr>
                <w:b/>
                <w:bCs/>
              </w:rPr>
            </w:pPr>
            <w:r w:rsidRPr="00424534">
              <w:rPr>
                <w:b/>
                <w:bCs/>
              </w:rPr>
              <w:t>0</w:t>
            </w:r>
          </w:p>
        </w:tc>
      </w:tr>
      <w:tr w:rsidR="0086383C" w:rsidRPr="00054C28" w14:paraId="63B7495C" w14:textId="77777777" w:rsidTr="00DF31C0">
        <w:trPr>
          <w:cnfStyle w:val="000000010000" w:firstRow="0" w:lastRow="0" w:firstColumn="0" w:lastColumn="0" w:oddVBand="0" w:evenVBand="0" w:oddHBand="0" w:evenHBand="1" w:firstRowFirstColumn="0" w:firstRowLastColumn="0" w:lastRowFirstColumn="0" w:lastRowLastColumn="0"/>
        </w:trPr>
        <w:tc>
          <w:tcPr>
            <w:tcW w:w="1981" w:type="dxa"/>
          </w:tcPr>
          <w:p w14:paraId="1EBC1550" w14:textId="2AB5401D" w:rsidR="00054C28" w:rsidRPr="00424534" w:rsidRDefault="00054C28" w:rsidP="00625DAB">
            <w:pPr>
              <w:pStyle w:val="TableTextLeft"/>
            </w:pPr>
            <w:r w:rsidRPr="00424534">
              <w:t>T</w:t>
            </w:r>
            <w:r w:rsidR="00424534">
              <w:t>AS</w:t>
            </w:r>
          </w:p>
        </w:tc>
        <w:tc>
          <w:tcPr>
            <w:tcW w:w="1981" w:type="dxa"/>
          </w:tcPr>
          <w:p w14:paraId="308A4DDE" w14:textId="50631999" w:rsidR="00054C28" w:rsidRPr="00424534" w:rsidRDefault="003152C2" w:rsidP="00424534">
            <w:pPr>
              <w:pStyle w:val="TableTextRight"/>
            </w:pPr>
            <w:r w:rsidRPr="00424534">
              <w:t>0</w:t>
            </w:r>
          </w:p>
        </w:tc>
        <w:tc>
          <w:tcPr>
            <w:tcW w:w="1982" w:type="dxa"/>
          </w:tcPr>
          <w:p w14:paraId="44DA1324" w14:textId="3B9F0D2E" w:rsidR="00054C28" w:rsidRPr="00424534" w:rsidRDefault="003152C2" w:rsidP="00424534">
            <w:pPr>
              <w:pStyle w:val="TableTextRight"/>
            </w:pPr>
            <w:r w:rsidRPr="00424534">
              <w:t>0</w:t>
            </w:r>
          </w:p>
        </w:tc>
        <w:tc>
          <w:tcPr>
            <w:tcW w:w="1982" w:type="dxa"/>
          </w:tcPr>
          <w:p w14:paraId="7D1D2F94" w14:textId="6B6A3CD3" w:rsidR="00054C28" w:rsidRPr="00424534" w:rsidRDefault="003152C2" w:rsidP="00424534">
            <w:pPr>
              <w:pStyle w:val="TableTextRight"/>
              <w:rPr>
                <w:b/>
                <w:bCs/>
              </w:rPr>
            </w:pPr>
            <w:r w:rsidRPr="00424534">
              <w:rPr>
                <w:b/>
                <w:bCs/>
              </w:rPr>
              <w:t>0</w:t>
            </w:r>
          </w:p>
        </w:tc>
      </w:tr>
      <w:tr w:rsidR="00054C28" w:rsidRPr="00054C28" w14:paraId="15AA3770" w14:textId="77777777" w:rsidTr="00DF31C0">
        <w:tc>
          <w:tcPr>
            <w:tcW w:w="1981" w:type="dxa"/>
          </w:tcPr>
          <w:p w14:paraId="09862D5C" w14:textId="540D4B1E" w:rsidR="00054C28" w:rsidRPr="00424534" w:rsidRDefault="00054C28" w:rsidP="00625DAB">
            <w:pPr>
              <w:pStyle w:val="TableTextLeft"/>
            </w:pPr>
            <w:r w:rsidRPr="00424534">
              <w:t>V</w:t>
            </w:r>
            <w:r w:rsidR="00424534">
              <w:t>IC</w:t>
            </w:r>
          </w:p>
        </w:tc>
        <w:tc>
          <w:tcPr>
            <w:tcW w:w="1981" w:type="dxa"/>
          </w:tcPr>
          <w:p w14:paraId="7B86DB37" w14:textId="27B8384B" w:rsidR="00054C28" w:rsidRPr="00424534" w:rsidRDefault="003152C2" w:rsidP="00424534">
            <w:pPr>
              <w:pStyle w:val="TableTextRight"/>
            </w:pPr>
            <w:r w:rsidRPr="00424534">
              <w:t>0</w:t>
            </w:r>
          </w:p>
        </w:tc>
        <w:tc>
          <w:tcPr>
            <w:tcW w:w="1982" w:type="dxa"/>
          </w:tcPr>
          <w:p w14:paraId="7F94C10A" w14:textId="484FFEA7" w:rsidR="00054C28" w:rsidRPr="00424534" w:rsidRDefault="005A07D6" w:rsidP="00424534">
            <w:pPr>
              <w:pStyle w:val="TableTextRight"/>
            </w:pPr>
            <w:r w:rsidRPr="00424534">
              <w:t>1</w:t>
            </w:r>
          </w:p>
        </w:tc>
        <w:tc>
          <w:tcPr>
            <w:tcW w:w="1982" w:type="dxa"/>
          </w:tcPr>
          <w:p w14:paraId="08BEAAC7" w14:textId="116D0C6B" w:rsidR="00054C28" w:rsidRPr="00424534" w:rsidRDefault="005A07D6" w:rsidP="00424534">
            <w:pPr>
              <w:pStyle w:val="TableTextRight"/>
              <w:rPr>
                <w:b/>
                <w:bCs/>
              </w:rPr>
            </w:pPr>
            <w:r w:rsidRPr="00424534">
              <w:rPr>
                <w:b/>
                <w:bCs/>
              </w:rPr>
              <w:t>1</w:t>
            </w:r>
          </w:p>
        </w:tc>
      </w:tr>
      <w:tr w:rsidR="0086383C" w:rsidRPr="00054C28" w14:paraId="1E8618C8" w14:textId="77777777" w:rsidTr="00DF31C0">
        <w:trPr>
          <w:cnfStyle w:val="000000010000" w:firstRow="0" w:lastRow="0" w:firstColumn="0" w:lastColumn="0" w:oddVBand="0" w:evenVBand="0" w:oddHBand="0" w:evenHBand="1" w:firstRowFirstColumn="0" w:firstRowLastColumn="0" w:lastRowFirstColumn="0" w:lastRowLastColumn="0"/>
        </w:trPr>
        <w:tc>
          <w:tcPr>
            <w:tcW w:w="1981" w:type="dxa"/>
          </w:tcPr>
          <w:p w14:paraId="3E1D7E6F" w14:textId="4078AA82" w:rsidR="00054C28" w:rsidRPr="00424534" w:rsidRDefault="00054C28" w:rsidP="00625DAB">
            <w:pPr>
              <w:pStyle w:val="TableTextLeft"/>
            </w:pPr>
            <w:r w:rsidRPr="00424534">
              <w:t>WA</w:t>
            </w:r>
          </w:p>
        </w:tc>
        <w:tc>
          <w:tcPr>
            <w:tcW w:w="1981" w:type="dxa"/>
          </w:tcPr>
          <w:p w14:paraId="0C882B63" w14:textId="10FFAF78" w:rsidR="00054C28" w:rsidRPr="00424534" w:rsidRDefault="003152C2" w:rsidP="00424534">
            <w:pPr>
              <w:pStyle w:val="TableTextRight"/>
            </w:pPr>
            <w:r w:rsidRPr="00424534">
              <w:t>0</w:t>
            </w:r>
          </w:p>
        </w:tc>
        <w:tc>
          <w:tcPr>
            <w:tcW w:w="1982" w:type="dxa"/>
          </w:tcPr>
          <w:p w14:paraId="5EF53E3E" w14:textId="3EC0C0EA" w:rsidR="00054C28" w:rsidRPr="00424534" w:rsidRDefault="003152C2" w:rsidP="00424534">
            <w:pPr>
              <w:pStyle w:val="TableTextRight"/>
            </w:pPr>
            <w:r w:rsidRPr="00424534">
              <w:t>0</w:t>
            </w:r>
          </w:p>
        </w:tc>
        <w:tc>
          <w:tcPr>
            <w:tcW w:w="1982" w:type="dxa"/>
          </w:tcPr>
          <w:p w14:paraId="0161C318" w14:textId="1746FF09" w:rsidR="00054C28" w:rsidRPr="00424534" w:rsidRDefault="003152C2" w:rsidP="00424534">
            <w:pPr>
              <w:pStyle w:val="TableTextRight"/>
              <w:rPr>
                <w:b/>
                <w:bCs/>
              </w:rPr>
            </w:pPr>
            <w:r w:rsidRPr="00424534">
              <w:rPr>
                <w:b/>
                <w:bCs/>
              </w:rPr>
              <w:t>0</w:t>
            </w:r>
          </w:p>
        </w:tc>
      </w:tr>
      <w:tr w:rsidR="00054C28" w:rsidRPr="00054C28" w14:paraId="2A1B0563" w14:textId="77777777" w:rsidTr="00DF31C0">
        <w:tc>
          <w:tcPr>
            <w:tcW w:w="1981" w:type="dxa"/>
          </w:tcPr>
          <w:p w14:paraId="197178D1" w14:textId="70321EA1" w:rsidR="00054C28" w:rsidRPr="00424534" w:rsidRDefault="00054C28" w:rsidP="00625DAB">
            <w:pPr>
              <w:pStyle w:val="TableTextLeft"/>
            </w:pPr>
            <w:r w:rsidRPr="00424534">
              <w:t>ACT</w:t>
            </w:r>
          </w:p>
        </w:tc>
        <w:tc>
          <w:tcPr>
            <w:tcW w:w="1981" w:type="dxa"/>
          </w:tcPr>
          <w:p w14:paraId="3134A5D5" w14:textId="33717716" w:rsidR="00054C28" w:rsidRPr="00424534" w:rsidRDefault="005A07D6" w:rsidP="00424534">
            <w:pPr>
              <w:pStyle w:val="TableTextRight"/>
            </w:pPr>
            <w:r w:rsidRPr="00424534">
              <w:t>4</w:t>
            </w:r>
            <w:r w:rsidR="00054C28" w:rsidRPr="00424534">
              <w:t>4</w:t>
            </w:r>
          </w:p>
        </w:tc>
        <w:tc>
          <w:tcPr>
            <w:tcW w:w="1982" w:type="dxa"/>
          </w:tcPr>
          <w:p w14:paraId="4BCAAB8A" w14:textId="3ED04C8B" w:rsidR="00054C28" w:rsidRPr="00424534" w:rsidRDefault="005A07D6" w:rsidP="00424534">
            <w:pPr>
              <w:pStyle w:val="TableTextRight"/>
            </w:pPr>
            <w:r w:rsidRPr="00424534">
              <w:t>4</w:t>
            </w:r>
          </w:p>
        </w:tc>
        <w:tc>
          <w:tcPr>
            <w:tcW w:w="1982" w:type="dxa"/>
          </w:tcPr>
          <w:p w14:paraId="3923B672" w14:textId="1C03C667" w:rsidR="00054C28" w:rsidRPr="00424534" w:rsidRDefault="005A07D6" w:rsidP="00424534">
            <w:pPr>
              <w:pStyle w:val="TableTextRight"/>
              <w:rPr>
                <w:b/>
                <w:bCs/>
              </w:rPr>
            </w:pPr>
            <w:r w:rsidRPr="00424534">
              <w:rPr>
                <w:b/>
                <w:bCs/>
              </w:rPr>
              <w:t>4</w:t>
            </w:r>
            <w:r w:rsidR="00890EE1" w:rsidRPr="00424534">
              <w:rPr>
                <w:b/>
                <w:bCs/>
              </w:rPr>
              <w:t>8</w:t>
            </w:r>
          </w:p>
        </w:tc>
      </w:tr>
      <w:tr w:rsidR="0086383C" w:rsidRPr="00054C28" w14:paraId="4E518293" w14:textId="77777777" w:rsidTr="00DF31C0">
        <w:trPr>
          <w:cnfStyle w:val="000000010000" w:firstRow="0" w:lastRow="0" w:firstColumn="0" w:lastColumn="0" w:oddVBand="0" w:evenVBand="0" w:oddHBand="0" w:evenHBand="1" w:firstRowFirstColumn="0" w:firstRowLastColumn="0" w:lastRowFirstColumn="0" w:lastRowLastColumn="0"/>
        </w:trPr>
        <w:tc>
          <w:tcPr>
            <w:tcW w:w="1981" w:type="dxa"/>
          </w:tcPr>
          <w:p w14:paraId="5B4A3E5E" w14:textId="40FB8EA0" w:rsidR="00054C28" w:rsidRPr="00424534" w:rsidRDefault="00054C28" w:rsidP="00625DAB">
            <w:pPr>
              <w:pStyle w:val="TableTextLeft"/>
            </w:pPr>
            <w:r w:rsidRPr="00424534">
              <w:t>NT</w:t>
            </w:r>
          </w:p>
        </w:tc>
        <w:tc>
          <w:tcPr>
            <w:tcW w:w="1981" w:type="dxa"/>
          </w:tcPr>
          <w:p w14:paraId="4A477C48" w14:textId="2E234CF0" w:rsidR="00054C28" w:rsidRPr="00424534" w:rsidRDefault="003152C2" w:rsidP="00424534">
            <w:pPr>
              <w:pStyle w:val="TableTextRight"/>
            </w:pPr>
            <w:r w:rsidRPr="00424534">
              <w:t>0</w:t>
            </w:r>
          </w:p>
        </w:tc>
        <w:tc>
          <w:tcPr>
            <w:tcW w:w="1982" w:type="dxa"/>
          </w:tcPr>
          <w:p w14:paraId="3377B1B8" w14:textId="03B2BCEF" w:rsidR="00054C28" w:rsidRPr="00424534" w:rsidRDefault="003152C2" w:rsidP="00424534">
            <w:pPr>
              <w:pStyle w:val="TableTextRight"/>
            </w:pPr>
            <w:r w:rsidRPr="00424534">
              <w:t>0</w:t>
            </w:r>
          </w:p>
        </w:tc>
        <w:tc>
          <w:tcPr>
            <w:tcW w:w="1982" w:type="dxa"/>
          </w:tcPr>
          <w:p w14:paraId="11E9B856" w14:textId="7B06D577" w:rsidR="00054C28" w:rsidRPr="00424534" w:rsidRDefault="003152C2" w:rsidP="00424534">
            <w:pPr>
              <w:pStyle w:val="TableTextRight"/>
              <w:rPr>
                <w:b/>
                <w:bCs/>
              </w:rPr>
            </w:pPr>
            <w:r w:rsidRPr="00424534">
              <w:rPr>
                <w:b/>
                <w:bCs/>
              </w:rPr>
              <w:t>0</w:t>
            </w:r>
          </w:p>
        </w:tc>
      </w:tr>
      <w:tr w:rsidR="00054C28" w:rsidRPr="00054C28" w14:paraId="3086063E" w14:textId="77777777" w:rsidTr="00DF31C0">
        <w:tc>
          <w:tcPr>
            <w:tcW w:w="1981" w:type="dxa"/>
          </w:tcPr>
          <w:p w14:paraId="7742D829" w14:textId="75708D91" w:rsidR="00054C28" w:rsidRPr="00424534" w:rsidRDefault="00054C28" w:rsidP="00625DAB">
            <w:pPr>
              <w:pStyle w:val="TableTextLeft"/>
            </w:pPr>
            <w:r w:rsidRPr="00424534">
              <w:t>External Territories</w:t>
            </w:r>
          </w:p>
        </w:tc>
        <w:tc>
          <w:tcPr>
            <w:tcW w:w="1981" w:type="dxa"/>
          </w:tcPr>
          <w:p w14:paraId="5A6B93F4" w14:textId="41573B49" w:rsidR="00054C28" w:rsidRPr="00424534" w:rsidRDefault="003152C2" w:rsidP="00424534">
            <w:pPr>
              <w:pStyle w:val="TableTextRight"/>
            </w:pPr>
            <w:r w:rsidRPr="00424534">
              <w:t>0</w:t>
            </w:r>
          </w:p>
        </w:tc>
        <w:tc>
          <w:tcPr>
            <w:tcW w:w="1982" w:type="dxa"/>
          </w:tcPr>
          <w:p w14:paraId="6C17E99B" w14:textId="49A90FDD" w:rsidR="00054C28" w:rsidRPr="00424534" w:rsidRDefault="003152C2" w:rsidP="00424534">
            <w:pPr>
              <w:pStyle w:val="TableTextRight"/>
            </w:pPr>
            <w:r w:rsidRPr="00424534">
              <w:t>0</w:t>
            </w:r>
          </w:p>
        </w:tc>
        <w:tc>
          <w:tcPr>
            <w:tcW w:w="1982" w:type="dxa"/>
          </w:tcPr>
          <w:p w14:paraId="6C69C3B6" w14:textId="127A366F" w:rsidR="00054C28" w:rsidRPr="00424534" w:rsidRDefault="003152C2" w:rsidP="00424534">
            <w:pPr>
              <w:pStyle w:val="TableTextRight"/>
              <w:rPr>
                <w:b/>
                <w:bCs/>
              </w:rPr>
            </w:pPr>
            <w:r w:rsidRPr="00424534">
              <w:rPr>
                <w:b/>
                <w:bCs/>
              </w:rPr>
              <w:t>0</w:t>
            </w:r>
          </w:p>
        </w:tc>
      </w:tr>
      <w:tr w:rsidR="0086383C" w:rsidRPr="00054C28" w14:paraId="2AF4FFC6" w14:textId="77777777" w:rsidTr="00DF31C0">
        <w:trPr>
          <w:cnfStyle w:val="000000010000" w:firstRow="0" w:lastRow="0" w:firstColumn="0" w:lastColumn="0" w:oddVBand="0" w:evenVBand="0" w:oddHBand="0" w:evenHBand="1" w:firstRowFirstColumn="0" w:firstRowLastColumn="0" w:lastRowFirstColumn="0" w:lastRowLastColumn="0"/>
        </w:trPr>
        <w:tc>
          <w:tcPr>
            <w:tcW w:w="1981" w:type="dxa"/>
          </w:tcPr>
          <w:p w14:paraId="1F0CE882" w14:textId="1BB077C3" w:rsidR="00054C28" w:rsidRPr="00424534" w:rsidRDefault="00054C28" w:rsidP="00625DAB">
            <w:pPr>
              <w:pStyle w:val="TableTextLeft"/>
            </w:pPr>
            <w:r w:rsidRPr="00424534">
              <w:t>Overseas</w:t>
            </w:r>
          </w:p>
        </w:tc>
        <w:tc>
          <w:tcPr>
            <w:tcW w:w="1981" w:type="dxa"/>
          </w:tcPr>
          <w:p w14:paraId="4D407D98" w14:textId="5E0F8A93" w:rsidR="00054C28" w:rsidRPr="00424534" w:rsidRDefault="003152C2" w:rsidP="00424534">
            <w:pPr>
              <w:pStyle w:val="TableTextRight"/>
            </w:pPr>
            <w:r w:rsidRPr="00424534">
              <w:t>0</w:t>
            </w:r>
          </w:p>
        </w:tc>
        <w:tc>
          <w:tcPr>
            <w:tcW w:w="1982" w:type="dxa"/>
          </w:tcPr>
          <w:p w14:paraId="3E1F1D2A" w14:textId="1634E6BA" w:rsidR="00054C28" w:rsidRPr="00424534" w:rsidRDefault="003152C2" w:rsidP="00424534">
            <w:pPr>
              <w:pStyle w:val="TableTextRight"/>
            </w:pPr>
            <w:r w:rsidRPr="00424534">
              <w:t>0</w:t>
            </w:r>
          </w:p>
        </w:tc>
        <w:tc>
          <w:tcPr>
            <w:tcW w:w="1982" w:type="dxa"/>
          </w:tcPr>
          <w:p w14:paraId="4AAEB225" w14:textId="06842B8A" w:rsidR="00054C28" w:rsidRPr="00424534" w:rsidRDefault="003152C2" w:rsidP="00424534">
            <w:pPr>
              <w:pStyle w:val="TableTextRight"/>
              <w:rPr>
                <w:b/>
                <w:bCs/>
              </w:rPr>
            </w:pPr>
            <w:r w:rsidRPr="00424534">
              <w:rPr>
                <w:b/>
                <w:bCs/>
              </w:rPr>
              <w:t>0</w:t>
            </w:r>
          </w:p>
        </w:tc>
      </w:tr>
      <w:tr w:rsidR="00054C28" w:rsidRPr="00054C28" w14:paraId="0A6366FE" w14:textId="77777777" w:rsidTr="00DF31C0">
        <w:tc>
          <w:tcPr>
            <w:tcW w:w="1981" w:type="dxa"/>
          </w:tcPr>
          <w:p w14:paraId="2DEFFDBF" w14:textId="5BEF35A0" w:rsidR="00054C28" w:rsidRPr="002B4A8D" w:rsidRDefault="00054C28" w:rsidP="00625DAB">
            <w:pPr>
              <w:pStyle w:val="TableTextLeft"/>
              <w:rPr>
                <w:b/>
                <w:bCs/>
              </w:rPr>
            </w:pPr>
            <w:r w:rsidRPr="002B4A8D">
              <w:rPr>
                <w:b/>
                <w:bCs/>
              </w:rPr>
              <w:t xml:space="preserve">Total </w:t>
            </w:r>
          </w:p>
        </w:tc>
        <w:tc>
          <w:tcPr>
            <w:tcW w:w="1981" w:type="dxa"/>
          </w:tcPr>
          <w:p w14:paraId="6AE644DA" w14:textId="348C6240" w:rsidR="00054C28" w:rsidRPr="00424534" w:rsidRDefault="00890EE1" w:rsidP="00424534">
            <w:pPr>
              <w:pStyle w:val="TableTextRight"/>
              <w:rPr>
                <w:b/>
                <w:bCs/>
              </w:rPr>
            </w:pPr>
            <w:r w:rsidRPr="00424534">
              <w:rPr>
                <w:b/>
                <w:bCs/>
              </w:rPr>
              <w:t>48</w:t>
            </w:r>
          </w:p>
        </w:tc>
        <w:tc>
          <w:tcPr>
            <w:tcW w:w="1982" w:type="dxa"/>
          </w:tcPr>
          <w:p w14:paraId="1EEC4F71" w14:textId="34305811" w:rsidR="00054C28" w:rsidRPr="00424534" w:rsidRDefault="00890EE1" w:rsidP="00424534">
            <w:pPr>
              <w:pStyle w:val="TableTextRight"/>
              <w:rPr>
                <w:b/>
                <w:bCs/>
              </w:rPr>
            </w:pPr>
            <w:r w:rsidRPr="00424534">
              <w:rPr>
                <w:b/>
                <w:bCs/>
              </w:rPr>
              <w:t>5</w:t>
            </w:r>
          </w:p>
        </w:tc>
        <w:tc>
          <w:tcPr>
            <w:tcW w:w="1982" w:type="dxa"/>
          </w:tcPr>
          <w:p w14:paraId="6AB0596C" w14:textId="0257005D" w:rsidR="00054C28" w:rsidRPr="00424534" w:rsidRDefault="00890EE1" w:rsidP="00424534">
            <w:pPr>
              <w:pStyle w:val="TableTextRight"/>
              <w:rPr>
                <w:b/>
                <w:bCs/>
              </w:rPr>
            </w:pPr>
            <w:r w:rsidRPr="00424534">
              <w:rPr>
                <w:b/>
                <w:bCs/>
              </w:rPr>
              <w:t>53</w:t>
            </w:r>
          </w:p>
        </w:tc>
      </w:tr>
    </w:tbl>
    <w:p w14:paraId="70020BB4" w14:textId="77777777" w:rsidR="00DC2D38" w:rsidRDefault="00DC2D38" w:rsidP="007F6B6F"/>
    <w:p w14:paraId="618BC120" w14:textId="6AB9ABD5" w:rsidR="6DB10CBB" w:rsidRDefault="412CEEB0" w:rsidP="007F6B6F">
      <w:r w:rsidRPr="52D69542">
        <w:t xml:space="preserve">As a small workforce, the AOFM does not collect information about gender </w:t>
      </w:r>
      <w:r w:rsidR="000E71C9">
        <w:t xml:space="preserve">or level </w:t>
      </w:r>
      <w:r w:rsidRPr="52D69542">
        <w:t xml:space="preserve">by state, as individuals may be readily identified. </w:t>
      </w:r>
    </w:p>
    <w:p w14:paraId="3A5FB6DE" w14:textId="1ED0D179" w:rsidR="006436D5" w:rsidRDefault="00EA6B30" w:rsidP="00713231">
      <w:pPr>
        <w:pStyle w:val="Heading3"/>
      </w:pPr>
      <w:bookmarkStart w:id="1172" w:name="_Toc173408200"/>
      <w:bookmarkStart w:id="1173" w:name="_Toc173411522"/>
      <w:bookmarkStart w:id="1174" w:name="_Toc173479201"/>
      <w:bookmarkStart w:id="1175" w:name="_Toc207796095"/>
      <w:r>
        <w:t>S</w:t>
      </w:r>
      <w:r w:rsidR="006436D5" w:rsidRPr="588EDDA8">
        <w:t>taffing changes</w:t>
      </w:r>
      <w:bookmarkEnd w:id="1172"/>
      <w:bookmarkEnd w:id="1173"/>
      <w:bookmarkEnd w:id="1174"/>
      <w:bookmarkEnd w:id="1175"/>
      <w:r w:rsidR="006436D5" w:rsidRPr="588EDDA8">
        <w:t xml:space="preserve"> </w:t>
      </w:r>
    </w:p>
    <w:p w14:paraId="0B2E094E" w14:textId="2E197820" w:rsidR="63044E1F" w:rsidRDefault="63044E1F" w:rsidP="007F6B6F">
      <w:r w:rsidRPr="71869697">
        <w:t>While 15 ongoing employees separated during 2024</w:t>
      </w:r>
      <w:r w:rsidR="007859B6">
        <w:t>–</w:t>
      </w:r>
      <w:r w:rsidRPr="71869697">
        <w:t>25, reflecting an annualised turnover rate of 20</w:t>
      </w:r>
      <w:r w:rsidR="007859B6">
        <w:t xml:space="preserve"> per cent</w:t>
      </w:r>
      <w:r w:rsidR="007859B6" w:rsidRPr="71869697">
        <w:t xml:space="preserve">, </w:t>
      </w:r>
      <w:r w:rsidR="007859B6">
        <w:t>we</w:t>
      </w:r>
      <w:r w:rsidR="007859B6" w:rsidRPr="71869697">
        <w:t xml:space="preserve"> </w:t>
      </w:r>
      <w:r w:rsidRPr="71869697">
        <w:t>r</w:t>
      </w:r>
      <w:r w:rsidR="007859B6">
        <w:t>etained</w:t>
      </w:r>
      <w:r w:rsidRPr="71869697">
        <w:t xml:space="preserve"> 80</w:t>
      </w:r>
      <w:r w:rsidR="007859B6">
        <w:t xml:space="preserve"> per cent</w:t>
      </w:r>
      <w:r w:rsidR="007859B6" w:rsidRPr="71869697">
        <w:t xml:space="preserve"> </w:t>
      </w:r>
      <w:r w:rsidRPr="71869697">
        <w:t>of employees, including key staff</w:t>
      </w:r>
      <w:r w:rsidR="006B4CA8">
        <w:t>.</w:t>
      </w:r>
      <w:r w:rsidR="007859B6">
        <w:t xml:space="preserve"> </w:t>
      </w:r>
      <w:r w:rsidR="006B4CA8">
        <w:t>A</w:t>
      </w:r>
      <w:r w:rsidRPr="71869697">
        <w:t>n additional 14 ongoing employees and 4 non</w:t>
      </w:r>
      <w:r w:rsidR="00B84FF2">
        <w:noBreakHyphen/>
      </w:r>
      <w:r w:rsidRPr="71869697">
        <w:t>ongoing employees commenced</w:t>
      </w:r>
      <w:r w:rsidR="007859B6">
        <w:t xml:space="preserve"> during the year</w:t>
      </w:r>
      <w:r w:rsidRPr="71869697">
        <w:t>. Each of these employees brought with them supplementary skills and experience that ensured the AOFM could continue to deliver on its key objectives.</w:t>
      </w:r>
    </w:p>
    <w:p w14:paraId="2C5505D1" w14:textId="05BC8B1D" w:rsidR="6AD2F174" w:rsidRDefault="6AD2F174" w:rsidP="007F6B6F">
      <w:r w:rsidRPr="7385E7E5">
        <w:t xml:space="preserve">The AOFM did not employ any First Nations </w:t>
      </w:r>
      <w:r w:rsidR="007859B6">
        <w:t>people</w:t>
      </w:r>
      <w:r w:rsidR="007859B6" w:rsidRPr="7385E7E5">
        <w:t xml:space="preserve"> </w:t>
      </w:r>
      <w:r w:rsidRPr="7385E7E5">
        <w:t>in 2024</w:t>
      </w:r>
      <w:r w:rsidR="007859B6">
        <w:t>–</w:t>
      </w:r>
      <w:r w:rsidRPr="7385E7E5">
        <w:t>25</w:t>
      </w:r>
      <w:r w:rsidR="00B84FF2">
        <w:t xml:space="preserve">. </w:t>
      </w:r>
    </w:p>
    <w:p w14:paraId="55E049E2" w14:textId="77777777" w:rsidR="000040A6" w:rsidRPr="005A26A8" w:rsidRDefault="000040A6" w:rsidP="000040A6">
      <w:pPr>
        <w:pStyle w:val="Heading3"/>
      </w:pPr>
      <w:bookmarkStart w:id="1176" w:name="_Toc173408197"/>
      <w:bookmarkStart w:id="1177" w:name="_Toc173411519"/>
      <w:bookmarkStart w:id="1178" w:name="_Toc173479198"/>
      <w:bookmarkStart w:id="1179" w:name="_Toc207796096"/>
      <w:r w:rsidRPr="005A26A8">
        <w:t>Disability reporting mechanism</w:t>
      </w:r>
      <w:bookmarkEnd w:id="1176"/>
      <w:bookmarkEnd w:id="1177"/>
      <w:bookmarkEnd w:id="1178"/>
      <w:bookmarkEnd w:id="1179"/>
      <w:r w:rsidRPr="005A26A8">
        <w:t> </w:t>
      </w:r>
    </w:p>
    <w:p w14:paraId="187F4A48" w14:textId="14F515C4" w:rsidR="000040A6" w:rsidRPr="00284B62" w:rsidRDefault="000040A6" w:rsidP="000040A6">
      <w:r w:rsidRPr="00284B62">
        <w:t>Australia</w:t>
      </w:r>
      <w:r w:rsidR="00B84FF2">
        <w:t>’</w:t>
      </w:r>
      <w:r w:rsidRPr="00284B62">
        <w:t xml:space="preserve">s Disability Strategy 2021–2031 is the overarching framework for inclusive policies, programs and infrastructure to support people with disability to participate in all areas of Australian life. The strategy sets out where practical changes will be made to </w:t>
      </w:r>
      <w:r w:rsidRPr="009B0C61">
        <w:t xml:space="preserve">improve the lives of people with disability. It </w:t>
      </w:r>
      <w:r w:rsidR="00D36749">
        <w:t>ensures</w:t>
      </w:r>
      <w:r w:rsidRPr="009B0C61">
        <w:t xml:space="preserve"> the principles underpinning the </w:t>
      </w:r>
      <w:r w:rsidRPr="009B0C61">
        <w:lastRenderedPageBreak/>
        <w:t xml:space="preserve">United Nations Convention on the Rights of Persons with Disabilities are incorporated into </w:t>
      </w:r>
      <w:r w:rsidR="00D36749">
        <w:t>the</w:t>
      </w:r>
      <w:r w:rsidR="00D36749" w:rsidRPr="009B0C61">
        <w:t xml:space="preserve"> </w:t>
      </w:r>
      <w:r w:rsidRPr="009B0C61">
        <w:t xml:space="preserve">policies and programs </w:t>
      </w:r>
      <w:r w:rsidR="00D36749">
        <w:t>in Australia that affect</w:t>
      </w:r>
      <w:r w:rsidR="00D36749" w:rsidRPr="009B0C61">
        <w:t xml:space="preserve"> </w:t>
      </w:r>
      <w:r w:rsidRPr="009B0C61">
        <w:t xml:space="preserve">people with disability, their families and </w:t>
      </w:r>
      <w:r w:rsidR="00D36749">
        <w:t xml:space="preserve">their </w:t>
      </w:r>
      <w:proofErr w:type="spellStart"/>
      <w:r w:rsidRPr="009B0C61">
        <w:t>carers</w:t>
      </w:r>
      <w:proofErr w:type="spellEnd"/>
      <w:r w:rsidRPr="009B0C61">
        <w:t xml:space="preserve">. </w:t>
      </w:r>
    </w:p>
    <w:p w14:paraId="66516433" w14:textId="4A265392" w:rsidR="000040A6" w:rsidRPr="00284B62" w:rsidRDefault="000040A6" w:rsidP="000040A6">
      <w:r w:rsidRPr="00284B62">
        <w:t>All levels of government have committed to delivering more comprehensive and visible reporting under the strategy. A range of reports on progress against the strategy</w:t>
      </w:r>
      <w:r w:rsidR="00B84FF2">
        <w:t>’</w:t>
      </w:r>
      <w:r w:rsidRPr="00284B62">
        <w:t xml:space="preserve">s actions and outcome areas will be published and available </w:t>
      </w:r>
      <w:r w:rsidR="00937EFC">
        <w:t xml:space="preserve">on the </w:t>
      </w:r>
      <w:hyperlink r:id="rId109" w:history="1">
        <w:r w:rsidR="00162DBF" w:rsidRPr="00256400">
          <w:rPr>
            <w:rStyle w:val="Hyperlink"/>
          </w:rPr>
          <w:t>Disability Gateway website</w:t>
        </w:r>
      </w:hyperlink>
      <w:r w:rsidR="00162DBF">
        <w:rPr>
          <w:rStyle w:val="FootnoteReference"/>
        </w:rPr>
        <w:footnoteReference w:id="9"/>
      </w:r>
      <w:r w:rsidR="00256400">
        <w:t>.</w:t>
      </w:r>
    </w:p>
    <w:p w14:paraId="5B7DF3A2" w14:textId="0D8A114D" w:rsidR="000040A6" w:rsidRPr="00E64F8C" w:rsidRDefault="000040A6" w:rsidP="000040A6">
      <w:r w:rsidRPr="00E64F8C">
        <w:t xml:space="preserve">Disability reporting is included the Australian Public Service </w:t>
      </w:r>
      <w:r w:rsidRPr="009216A4">
        <w:t>Commission</w:t>
      </w:r>
      <w:r w:rsidR="00573640">
        <w:t xml:space="preserve"> (APSC)</w:t>
      </w:r>
      <w:r w:rsidRPr="00E64F8C">
        <w:t xml:space="preserve"> State of the Service reports and the APS Statistical Bulletin. These reports are available </w:t>
      </w:r>
      <w:r w:rsidR="003B67EF">
        <w:t xml:space="preserve">on the </w:t>
      </w:r>
      <w:hyperlink r:id="rId110" w:history="1">
        <w:r w:rsidR="003B67EF" w:rsidRPr="003B67EF">
          <w:rPr>
            <w:rStyle w:val="Hyperlink"/>
          </w:rPr>
          <w:t>APSC website</w:t>
        </w:r>
      </w:hyperlink>
      <w:r w:rsidR="00DC2D38">
        <w:t>.</w:t>
      </w:r>
      <w:r w:rsidR="003B67EF">
        <w:rPr>
          <w:rStyle w:val="FootnoteReference"/>
        </w:rPr>
        <w:footnoteReference w:id="10"/>
      </w:r>
    </w:p>
    <w:p w14:paraId="3BC6403F" w14:textId="77777777" w:rsidR="007E4651" w:rsidRPr="00D654CE" w:rsidRDefault="007E4651" w:rsidP="00D654CE">
      <w:pPr>
        <w:pStyle w:val="Heading2"/>
      </w:pPr>
      <w:bookmarkStart w:id="1180" w:name="_Toc207792908"/>
      <w:bookmarkStart w:id="1181" w:name="_Toc207793947"/>
      <w:bookmarkStart w:id="1182" w:name="_Toc207796097"/>
      <w:bookmarkStart w:id="1183" w:name="_Toc207796952"/>
      <w:bookmarkStart w:id="1184" w:name="_Toc207800254"/>
      <w:bookmarkStart w:id="1185" w:name="_Toc207810832"/>
      <w:bookmarkStart w:id="1186" w:name="_Toc208914111"/>
      <w:bookmarkStart w:id="1187" w:name="_Toc209424508"/>
      <w:bookmarkStart w:id="1188" w:name="_Toc173327335"/>
      <w:bookmarkStart w:id="1189" w:name="_Toc173327788"/>
      <w:bookmarkStart w:id="1190" w:name="_Toc173395311"/>
      <w:bookmarkStart w:id="1191" w:name="_Toc173395388"/>
      <w:bookmarkStart w:id="1192" w:name="_Toc173395723"/>
      <w:bookmarkStart w:id="1193" w:name="_Toc173396610"/>
      <w:bookmarkStart w:id="1194" w:name="_Toc173397622"/>
      <w:bookmarkStart w:id="1195" w:name="_Toc173408202"/>
      <w:bookmarkStart w:id="1196" w:name="_Toc173411524"/>
      <w:bookmarkStart w:id="1197" w:name="_Toc173479203"/>
      <w:bookmarkStart w:id="1198" w:name="_Toc173743081"/>
      <w:bookmarkStart w:id="1199" w:name="_Toc173743242"/>
      <w:bookmarkStart w:id="1200" w:name="_Toc176160564"/>
      <w:bookmarkStart w:id="1201" w:name="_Toc176163193"/>
      <w:r w:rsidRPr="00D654CE">
        <w:t>Remuneration of employees</w:t>
      </w:r>
      <w:bookmarkEnd w:id="1180"/>
      <w:bookmarkEnd w:id="1181"/>
      <w:bookmarkEnd w:id="1182"/>
      <w:bookmarkEnd w:id="1183"/>
      <w:bookmarkEnd w:id="1184"/>
      <w:bookmarkEnd w:id="1185"/>
      <w:bookmarkEnd w:id="1186"/>
      <w:bookmarkEnd w:id="1187"/>
    </w:p>
    <w:p w14:paraId="3F9B8495" w14:textId="295B8A73" w:rsidR="007E4651" w:rsidRPr="00D654CE" w:rsidRDefault="007E4651" w:rsidP="007E4651">
      <w:r w:rsidRPr="00D654CE">
        <w:t xml:space="preserve">The salary rates for AOFM employees are outlined in Attachment A of the EA and are provided in </w:t>
      </w:r>
      <w:r w:rsidR="00881012" w:rsidRPr="00D654CE">
        <w:t>T</w:t>
      </w:r>
      <w:r w:rsidRPr="00D654CE">
        <w:t xml:space="preserve">able </w:t>
      </w:r>
      <w:r w:rsidR="00573640">
        <w:t>2</w:t>
      </w:r>
      <w:r w:rsidR="0080104F">
        <w:t>2</w:t>
      </w:r>
      <w:r w:rsidRPr="00E64F8C">
        <w:t>.</w:t>
      </w:r>
    </w:p>
    <w:p w14:paraId="4C3A1DD9" w14:textId="161895DB" w:rsidR="007E4651" w:rsidRDefault="007E4651" w:rsidP="007E4651">
      <w:r w:rsidRPr="00D654CE">
        <w:t>Performance</w:t>
      </w:r>
      <w:r w:rsidR="00B84FF2">
        <w:noBreakHyphen/>
      </w:r>
      <w:r w:rsidRPr="00D654CE">
        <w:t>linked bonuses are not available to AOFM employees</w:t>
      </w:r>
      <w:r w:rsidR="00B84FF2">
        <w:t xml:space="preserve">. </w:t>
      </w:r>
    </w:p>
    <w:p w14:paraId="1974909C" w14:textId="0D85BEC3" w:rsidR="007E4651" w:rsidRDefault="007E4651" w:rsidP="00D654CE">
      <w:pPr>
        <w:pStyle w:val="TableMainHeading"/>
      </w:pPr>
      <w:r w:rsidRPr="5A4E28EE">
        <w:t xml:space="preserve">Table </w:t>
      </w:r>
      <w:r w:rsidR="007F6B6F">
        <w:t>2</w:t>
      </w:r>
      <w:r w:rsidR="0080104F">
        <w:t>2</w:t>
      </w:r>
      <w:r w:rsidRPr="5A4E28EE">
        <w:t>: AOFM salary range by classification, 2024</w:t>
      </w:r>
      <w:r w:rsidR="00573640">
        <w:t>–</w:t>
      </w:r>
      <w:r w:rsidRPr="5A4E28EE">
        <w:t xml:space="preserve">25 (as </w:t>
      </w:r>
      <w:proofErr w:type="gramStart"/>
      <w:r w:rsidRPr="5A4E28EE">
        <w:t>at</w:t>
      </w:r>
      <w:proofErr w:type="gramEnd"/>
      <w:r w:rsidRPr="5A4E28EE">
        <w:t xml:space="preserve"> 30 June 2025)</w:t>
      </w:r>
    </w:p>
    <w:tbl>
      <w:tblPr>
        <w:tblStyle w:val="AOFMTablemain"/>
        <w:tblW w:w="5000" w:type="pct"/>
        <w:tblLayout w:type="fixed"/>
        <w:tblLook w:val="04A0" w:firstRow="1" w:lastRow="0" w:firstColumn="1" w:lastColumn="0" w:noHBand="0" w:noVBand="1"/>
      </w:tblPr>
      <w:tblGrid>
        <w:gridCol w:w="2992"/>
        <w:gridCol w:w="2570"/>
        <w:gridCol w:w="2141"/>
        <w:gridCol w:w="8"/>
      </w:tblGrid>
      <w:tr w:rsidR="0048600D" w:rsidRPr="00881012" w14:paraId="34153160" w14:textId="77777777" w:rsidTr="00424534">
        <w:trPr>
          <w:cnfStyle w:val="100000000000" w:firstRow="1" w:lastRow="0" w:firstColumn="0" w:lastColumn="0" w:oddVBand="0" w:evenVBand="0" w:oddHBand="0" w:evenHBand="0" w:firstRowFirstColumn="0" w:firstRowLastColumn="0" w:lastRowFirstColumn="0" w:lastRowLastColumn="0"/>
          <w:trHeight w:val="49"/>
          <w:tblHeader/>
        </w:trPr>
        <w:tc>
          <w:tcPr>
            <w:tcW w:w="2972" w:type="dxa"/>
          </w:tcPr>
          <w:p w14:paraId="27DC6A72" w14:textId="4F57F6B8" w:rsidR="007E4651" w:rsidRPr="001F0B8B" w:rsidRDefault="00CF1D88" w:rsidP="00424534">
            <w:pPr>
              <w:pStyle w:val="TableColumnHeadingLeft"/>
            </w:pPr>
            <w:r w:rsidRPr="001F0B8B">
              <w:t>Classification</w:t>
            </w:r>
          </w:p>
        </w:tc>
        <w:tc>
          <w:tcPr>
            <w:tcW w:w="2552" w:type="dxa"/>
          </w:tcPr>
          <w:p w14:paraId="4DEC4C9D" w14:textId="1EED2473" w:rsidR="007E4651" w:rsidRPr="001F0B8B" w:rsidRDefault="007E4651" w:rsidP="00424534">
            <w:pPr>
              <w:pStyle w:val="TableColumnHeadingRight"/>
            </w:pPr>
            <w:r w:rsidRPr="00EC6B25">
              <w:t xml:space="preserve">Minimum </w:t>
            </w:r>
            <w:r w:rsidR="00573640" w:rsidRPr="00EC6B25">
              <w:t>s</w:t>
            </w:r>
            <w:r w:rsidRPr="00EC6B25">
              <w:t>alary</w:t>
            </w:r>
          </w:p>
        </w:tc>
        <w:tc>
          <w:tcPr>
            <w:tcW w:w="2134" w:type="dxa"/>
            <w:gridSpan w:val="2"/>
          </w:tcPr>
          <w:p w14:paraId="7D43FB86" w14:textId="0A9C1C49" w:rsidR="007E4651" w:rsidRPr="001F0B8B" w:rsidRDefault="007E4651" w:rsidP="00424534">
            <w:pPr>
              <w:pStyle w:val="TableColumnHeadingRight"/>
            </w:pPr>
            <w:r w:rsidRPr="00EC6B25">
              <w:t xml:space="preserve">Maximum </w:t>
            </w:r>
            <w:r w:rsidR="00573640" w:rsidRPr="00EC6B25">
              <w:t>s</w:t>
            </w:r>
            <w:r w:rsidRPr="00EC6B25">
              <w:t>alary</w:t>
            </w:r>
          </w:p>
        </w:tc>
      </w:tr>
      <w:tr w:rsidR="002C4EA9" w:rsidRPr="00424534" w14:paraId="6C10DC10" w14:textId="77777777" w:rsidTr="00D32BAA">
        <w:trPr>
          <w:gridAfter w:val="1"/>
          <w:wAfter w:w="8" w:type="dxa"/>
          <w:trHeight w:val="58"/>
        </w:trPr>
        <w:tc>
          <w:tcPr>
            <w:tcW w:w="2972" w:type="dxa"/>
            <w:tcMar>
              <w:top w:w="57" w:type="dxa"/>
              <w:bottom w:w="57" w:type="dxa"/>
            </w:tcMar>
          </w:tcPr>
          <w:p w14:paraId="2C1406B8" w14:textId="77777777" w:rsidR="007E4651" w:rsidRPr="00424534" w:rsidRDefault="007E4651" w:rsidP="00625DAB">
            <w:pPr>
              <w:pStyle w:val="TableTextLeft"/>
            </w:pPr>
            <w:r w:rsidRPr="00424534">
              <w:t>SES 3 </w:t>
            </w:r>
          </w:p>
        </w:tc>
        <w:tc>
          <w:tcPr>
            <w:tcW w:w="2552" w:type="dxa"/>
            <w:tcMar>
              <w:top w:w="57" w:type="dxa"/>
              <w:bottom w:w="57" w:type="dxa"/>
            </w:tcMar>
          </w:tcPr>
          <w:p w14:paraId="17528854" w14:textId="77777777" w:rsidR="007E4651" w:rsidRPr="00424534" w:rsidRDefault="007E4651" w:rsidP="00424534">
            <w:pPr>
              <w:pStyle w:val="TableTextRight"/>
            </w:pPr>
            <w:r w:rsidRPr="00424534">
              <w:t>$376,314</w:t>
            </w:r>
          </w:p>
        </w:tc>
        <w:tc>
          <w:tcPr>
            <w:tcW w:w="2126" w:type="dxa"/>
            <w:tcMar>
              <w:top w:w="57" w:type="dxa"/>
              <w:bottom w:w="57" w:type="dxa"/>
            </w:tcMar>
          </w:tcPr>
          <w:p w14:paraId="5444BCEE" w14:textId="77777777" w:rsidR="007E4651" w:rsidRPr="00424534" w:rsidRDefault="007E4651" w:rsidP="00424534">
            <w:pPr>
              <w:pStyle w:val="TableTextRight"/>
            </w:pPr>
            <w:r w:rsidRPr="00424534">
              <w:t>$440,723</w:t>
            </w:r>
          </w:p>
        </w:tc>
      </w:tr>
      <w:tr w:rsidR="002C4EA9" w:rsidRPr="00881012" w14:paraId="04E7D763" w14:textId="77777777" w:rsidTr="00D32BAA">
        <w:trPr>
          <w:cnfStyle w:val="000000010000" w:firstRow="0" w:lastRow="0" w:firstColumn="0" w:lastColumn="0" w:oddVBand="0" w:evenVBand="0" w:oddHBand="0" w:evenHBand="1" w:firstRowFirstColumn="0" w:firstRowLastColumn="0" w:lastRowFirstColumn="0" w:lastRowLastColumn="0"/>
          <w:trHeight w:val="25"/>
        </w:trPr>
        <w:tc>
          <w:tcPr>
            <w:tcW w:w="2972" w:type="dxa"/>
            <w:tcMar>
              <w:top w:w="57" w:type="dxa"/>
              <w:bottom w:w="57" w:type="dxa"/>
            </w:tcMar>
          </w:tcPr>
          <w:p w14:paraId="5DD73757" w14:textId="77777777" w:rsidR="007E4651" w:rsidRPr="00424534" w:rsidRDefault="007E4651" w:rsidP="00625DAB">
            <w:pPr>
              <w:pStyle w:val="TableTextLeft"/>
            </w:pPr>
            <w:r w:rsidRPr="00424534">
              <w:t>SES 1</w:t>
            </w:r>
          </w:p>
        </w:tc>
        <w:tc>
          <w:tcPr>
            <w:tcW w:w="2552" w:type="dxa"/>
            <w:tcMar>
              <w:top w:w="57" w:type="dxa"/>
              <w:bottom w:w="57" w:type="dxa"/>
            </w:tcMar>
          </w:tcPr>
          <w:p w14:paraId="2472E33E" w14:textId="77777777" w:rsidR="007E4651" w:rsidRPr="00424534" w:rsidRDefault="007E4651" w:rsidP="00424534">
            <w:pPr>
              <w:pStyle w:val="TableTextRight"/>
            </w:pPr>
            <w:r w:rsidRPr="00424534">
              <w:t>$279,751</w:t>
            </w:r>
          </w:p>
        </w:tc>
        <w:tc>
          <w:tcPr>
            <w:tcW w:w="0" w:type="dxa"/>
            <w:gridSpan w:val="2"/>
            <w:tcMar>
              <w:top w:w="57" w:type="dxa"/>
              <w:bottom w:w="57" w:type="dxa"/>
            </w:tcMar>
          </w:tcPr>
          <w:p w14:paraId="668484CF" w14:textId="77777777" w:rsidR="007E4651" w:rsidRPr="00424534" w:rsidRDefault="007E4651" w:rsidP="00424534">
            <w:pPr>
              <w:pStyle w:val="TableTextRight"/>
            </w:pPr>
            <w:r w:rsidRPr="00424534">
              <w:t>$327,434</w:t>
            </w:r>
          </w:p>
        </w:tc>
      </w:tr>
      <w:tr w:rsidR="002C4EA9" w:rsidRPr="00881012" w14:paraId="3E316B6A" w14:textId="77777777" w:rsidTr="00D32BAA">
        <w:trPr>
          <w:trHeight w:val="85"/>
        </w:trPr>
        <w:tc>
          <w:tcPr>
            <w:tcW w:w="2972" w:type="dxa"/>
            <w:tcMar>
              <w:top w:w="57" w:type="dxa"/>
              <w:bottom w:w="57" w:type="dxa"/>
            </w:tcMar>
          </w:tcPr>
          <w:p w14:paraId="4D3EB0CE" w14:textId="77777777" w:rsidR="007E4651" w:rsidRPr="00424534" w:rsidRDefault="007E4651" w:rsidP="00625DAB">
            <w:pPr>
              <w:pStyle w:val="TableTextLeft"/>
            </w:pPr>
            <w:r w:rsidRPr="00424534">
              <w:t>EL 2</w:t>
            </w:r>
          </w:p>
        </w:tc>
        <w:tc>
          <w:tcPr>
            <w:tcW w:w="2552" w:type="dxa"/>
            <w:tcMar>
              <w:top w:w="57" w:type="dxa"/>
              <w:bottom w:w="57" w:type="dxa"/>
            </w:tcMar>
          </w:tcPr>
          <w:p w14:paraId="79119F61" w14:textId="77777777" w:rsidR="007E4651" w:rsidRPr="00424534" w:rsidRDefault="007E4651" w:rsidP="00424534">
            <w:pPr>
              <w:pStyle w:val="TableTextRight"/>
            </w:pPr>
            <w:r w:rsidRPr="00424534">
              <w:t>$218,879</w:t>
            </w:r>
          </w:p>
        </w:tc>
        <w:tc>
          <w:tcPr>
            <w:tcW w:w="2134" w:type="dxa"/>
            <w:gridSpan w:val="2"/>
            <w:tcMar>
              <w:top w:w="57" w:type="dxa"/>
              <w:bottom w:w="57" w:type="dxa"/>
            </w:tcMar>
          </w:tcPr>
          <w:p w14:paraId="341C568F" w14:textId="77777777" w:rsidR="007E4651" w:rsidRPr="00424534" w:rsidRDefault="007E4651" w:rsidP="00424534">
            <w:pPr>
              <w:pStyle w:val="TableTextRight"/>
            </w:pPr>
            <w:r w:rsidRPr="00424534">
              <w:t>$367,979</w:t>
            </w:r>
          </w:p>
        </w:tc>
      </w:tr>
      <w:tr w:rsidR="002C4EA9" w:rsidRPr="00881012" w14:paraId="44AEACBA" w14:textId="77777777" w:rsidTr="00D32BAA">
        <w:trPr>
          <w:cnfStyle w:val="000000010000" w:firstRow="0" w:lastRow="0" w:firstColumn="0" w:lastColumn="0" w:oddVBand="0" w:evenVBand="0" w:oddHBand="0" w:evenHBand="1" w:firstRowFirstColumn="0" w:firstRowLastColumn="0" w:lastRowFirstColumn="0" w:lastRowLastColumn="0"/>
          <w:trHeight w:val="25"/>
        </w:trPr>
        <w:tc>
          <w:tcPr>
            <w:tcW w:w="2972" w:type="dxa"/>
            <w:tcMar>
              <w:top w:w="57" w:type="dxa"/>
              <w:bottom w:w="57" w:type="dxa"/>
            </w:tcMar>
          </w:tcPr>
          <w:p w14:paraId="08F29595" w14:textId="77777777" w:rsidR="007E4651" w:rsidRPr="00424534" w:rsidRDefault="007E4651" w:rsidP="00625DAB">
            <w:pPr>
              <w:pStyle w:val="TableTextLeft"/>
            </w:pPr>
            <w:r w:rsidRPr="00424534">
              <w:t>EL 1</w:t>
            </w:r>
          </w:p>
        </w:tc>
        <w:tc>
          <w:tcPr>
            <w:tcW w:w="2552" w:type="dxa"/>
            <w:tcMar>
              <w:top w:w="57" w:type="dxa"/>
              <w:bottom w:w="57" w:type="dxa"/>
            </w:tcMar>
          </w:tcPr>
          <w:p w14:paraId="5D6120F6" w14:textId="77777777" w:rsidR="007E4651" w:rsidRPr="00424534" w:rsidRDefault="007E4651" w:rsidP="00424534">
            <w:pPr>
              <w:pStyle w:val="TableTextRight"/>
            </w:pPr>
            <w:r w:rsidRPr="00424534">
              <w:t>$150,210</w:t>
            </w:r>
          </w:p>
        </w:tc>
        <w:tc>
          <w:tcPr>
            <w:tcW w:w="0" w:type="dxa"/>
            <w:gridSpan w:val="2"/>
            <w:tcMar>
              <w:top w:w="57" w:type="dxa"/>
              <w:bottom w:w="57" w:type="dxa"/>
            </w:tcMar>
          </w:tcPr>
          <w:p w14:paraId="723A612B" w14:textId="77777777" w:rsidR="007E4651" w:rsidRPr="00424534" w:rsidRDefault="007E4651" w:rsidP="00424534">
            <w:pPr>
              <w:pStyle w:val="TableTextRight"/>
            </w:pPr>
            <w:r w:rsidRPr="00424534">
              <w:t>$187,762</w:t>
            </w:r>
          </w:p>
        </w:tc>
      </w:tr>
      <w:tr w:rsidR="002C4EA9" w:rsidRPr="00881012" w14:paraId="50E26F92" w14:textId="77777777" w:rsidTr="00D32BAA">
        <w:trPr>
          <w:trHeight w:val="25"/>
        </w:trPr>
        <w:tc>
          <w:tcPr>
            <w:tcW w:w="2972" w:type="dxa"/>
            <w:tcMar>
              <w:top w:w="57" w:type="dxa"/>
              <w:bottom w:w="57" w:type="dxa"/>
            </w:tcMar>
          </w:tcPr>
          <w:p w14:paraId="7C252A04" w14:textId="77777777" w:rsidR="007E4651" w:rsidRPr="00424534" w:rsidRDefault="007E4651" w:rsidP="00625DAB">
            <w:pPr>
              <w:pStyle w:val="TableTextLeft"/>
            </w:pPr>
            <w:r w:rsidRPr="00424534">
              <w:t>APS 6</w:t>
            </w:r>
          </w:p>
        </w:tc>
        <w:tc>
          <w:tcPr>
            <w:tcW w:w="2552" w:type="dxa"/>
            <w:tcMar>
              <w:top w:w="57" w:type="dxa"/>
              <w:bottom w:w="57" w:type="dxa"/>
            </w:tcMar>
          </w:tcPr>
          <w:p w14:paraId="38C9E27A" w14:textId="77777777" w:rsidR="007E4651" w:rsidRPr="00424534" w:rsidRDefault="007E4651" w:rsidP="00424534">
            <w:pPr>
              <w:pStyle w:val="TableTextRight"/>
            </w:pPr>
            <w:r w:rsidRPr="00424534">
              <w:t>$112,590</w:t>
            </w:r>
          </w:p>
        </w:tc>
        <w:tc>
          <w:tcPr>
            <w:tcW w:w="2134" w:type="dxa"/>
            <w:gridSpan w:val="2"/>
            <w:tcMar>
              <w:top w:w="57" w:type="dxa"/>
              <w:bottom w:w="57" w:type="dxa"/>
            </w:tcMar>
          </w:tcPr>
          <w:p w14:paraId="34022216" w14:textId="77777777" w:rsidR="007E4651" w:rsidRPr="00424534" w:rsidRDefault="007E4651" w:rsidP="00424534">
            <w:pPr>
              <w:pStyle w:val="TableTextRight"/>
            </w:pPr>
            <w:r w:rsidRPr="00424534">
              <w:t>$140,737</w:t>
            </w:r>
          </w:p>
        </w:tc>
      </w:tr>
      <w:tr w:rsidR="002C4EA9" w:rsidRPr="00881012" w14:paraId="0976CF86" w14:textId="77777777" w:rsidTr="00D32BAA">
        <w:trPr>
          <w:cnfStyle w:val="000000010000" w:firstRow="0" w:lastRow="0" w:firstColumn="0" w:lastColumn="0" w:oddVBand="0" w:evenVBand="0" w:oddHBand="0" w:evenHBand="1" w:firstRowFirstColumn="0" w:firstRowLastColumn="0" w:lastRowFirstColumn="0" w:lastRowLastColumn="0"/>
          <w:trHeight w:val="25"/>
        </w:trPr>
        <w:tc>
          <w:tcPr>
            <w:tcW w:w="2972" w:type="dxa"/>
            <w:tcMar>
              <w:top w:w="57" w:type="dxa"/>
              <w:bottom w:w="57" w:type="dxa"/>
            </w:tcMar>
          </w:tcPr>
          <w:p w14:paraId="19DF1C1E" w14:textId="77777777" w:rsidR="007E4651" w:rsidRPr="00424534" w:rsidRDefault="007E4651" w:rsidP="00625DAB">
            <w:pPr>
              <w:pStyle w:val="TableTextLeft"/>
            </w:pPr>
            <w:r w:rsidRPr="00424534">
              <w:t>APS 5</w:t>
            </w:r>
          </w:p>
        </w:tc>
        <w:tc>
          <w:tcPr>
            <w:tcW w:w="2552" w:type="dxa"/>
            <w:tcMar>
              <w:top w:w="57" w:type="dxa"/>
              <w:bottom w:w="57" w:type="dxa"/>
            </w:tcMar>
          </w:tcPr>
          <w:p w14:paraId="1F4669D7" w14:textId="77777777" w:rsidR="007E4651" w:rsidRPr="00424534" w:rsidRDefault="007E4651" w:rsidP="00424534">
            <w:pPr>
              <w:pStyle w:val="TableTextRight"/>
            </w:pPr>
            <w:r w:rsidRPr="00424534">
              <w:t>$92,118</w:t>
            </w:r>
          </w:p>
        </w:tc>
        <w:tc>
          <w:tcPr>
            <w:tcW w:w="0" w:type="dxa"/>
            <w:gridSpan w:val="2"/>
            <w:tcMar>
              <w:top w:w="57" w:type="dxa"/>
              <w:bottom w:w="57" w:type="dxa"/>
            </w:tcMar>
          </w:tcPr>
          <w:p w14:paraId="6B5726C2" w14:textId="77777777" w:rsidR="007E4651" w:rsidRPr="00424534" w:rsidRDefault="007E4651" w:rsidP="00424534">
            <w:pPr>
              <w:pStyle w:val="TableTextRight"/>
            </w:pPr>
            <w:r w:rsidRPr="00424534">
              <w:t>$115,148</w:t>
            </w:r>
          </w:p>
        </w:tc>
      </w:tr>
      <w:tr w:rsidR="002C4EA9" w:rsidRPr="00881012" w14:paraId="043FB7BD" w14:textId="77777777" w:rsidTr="00D32BAA">
        <w:trPr>
          <w:trHeight w:val="25"/>
        </w:trPr>
        <w:tc>
          <w:tcPr>
            <w:tcW w:w="2972" w:type="dxa"/>
            <w:tcMar>
              <w:top w:w="57" w:type="dxa"/>
              <w:bottom w:w="57" w:type="dxa"/>
            </w:tcMar>
          </w:tcPr>
          <w:p w14:paraId="2E0402A6" w14:textId="77777777" w:rsidR="007E4651" w:rsidRPr="00424534" w:rsidRDefault="007E4651" w:rsidP="00625DAB">
            <w:pPr>
              <w:pStyle w:val="TableTextLeft"/>
            </w:pPr>
            <w:r w:rsidRPr="00424534">
              <w:t>APS 4</w:t>
            </w:r>
          </w:p>
        </w:tc>
        <w:tc>
          <w:tcPr>
            <w:tcW w:w="2552" w:type="dxa"/>
            <w:tcMar>
              <w:top w:w="57" w:type="dxa"/>
              <w:bottom w:w="57" w:type="dxa"/>
            </w:tcMar>
          </w:tcPr>
          <w:p w14:paraId="6AE67245" w14:textId="77777777" w:rsidR="007E4651" w:rsidRPr="00424534" w:rsidRDefault="007E4651" w:rsidP="00424534">
            <w:pPr>
              <w:pStyle w:val="TableTextRight"/>
            </w:pPr>
            <w:r w:rsidRPr="00424534">
              <w:t>$85,189</w:t>
            </w:r>
          </w:p>
        </w:tc>
        <w:tc>
          <w:tcPr>
            <w:tcW w:w="2134" w:type="dxa"/>
            <w:gridSpan w:val="2"/>
            <w:tcMar>
              <w:top w:w="57" w:type="dxa"/>
              <w:bottom w:w="57" w:type="dxa"/>
            </w:tcMar>
          </w:tcPr>
          <w:p w14:paraId="25BAA459" w14:textId="77777777" w:rsidR="007E4651" w:rsidRPr="00424534" w:rsidRDefault="007E4651" w:rsidP="00424534">
            <w:pPr>
              <w:pStyle w:val="TableTextRight"/>
            </w:pPr>
            <w:r w:rsidRPr="00424534">
              <w:t>$94,654</w:t>
            </w:r>
          </w:p>
        </w:tc>
      </w:tr>
      <w:tr w:rsidR="002C4EA9" w:rsidRPr="00881012" w14:paraId="2F858385" w14:textId="77777777" w:rsidTr="00D32BAA">
        <w:trPr>
          <w:cnfStyle w:val="000000010000" w:firstRow="0" w:lastRow="0" w:firstColumn="0" w:lastColumn="0" w:oddVBand="0" w:evenVBand="0" w:oddHBand="0" w:evenHBand="1" w:firstRowFirstColumn="0" w:firstRowLastColumn="0" w:lastRowFirstColumn="0" w:lastRowLastColumn="0"/>
          <w:trHeight w:val="25"/>
        </w:trPr>
        <w:tc>
          <w:tcPr>
            <w:tcW w:w="2972" w:type="dxa"/>
            <w:tcMar>
              <w:top w:w="57" w:type="dxa"/>
              <w:bottom w:w="57" w:type="dxa"/>
            </w:tcMar>
          </w:tcPr>
          <w:p w14:paraId="1B787320" w14:textId="77777777" w:rsidR="007E4651" w:rsidRPr="00424534" w:rsidRDefault="007E4651" w:rsidP="00625DAB">
            <w:pPr>
              <w:pStyle w:val="TableTextLeft"/>
            </w:pPr>
            <w:r w:rsidRPr="00424534">
              <w:t>APS 3</w:t>
            </w:r>
          </w:p>
        </w:tc>
        <w:tc>
          <w:tcPr>
            <w:tcW w:w="2552" w:type="dxa"/>
            <w:tcMar>
              <w:top w:w="57" w:type="dxa"/>
              <w:bottom w:w="57" w:type="dxa"/>
            </w:tcMar>
          </w:tcPr>
          <w:p w14:paraId="76E56591" w14:textId="77777777" w:rsidR="007E4651" w:rsidRPr="00424534" w:rsidRDefault="007E4651" w:rsidP="00424534">
            <w:pPr>
              <w:pStyle w:val="TableTextRight"/>
            </w:pPr>
            <w:r w:rsidRPr="00424534">
              <w:t>$75,723</w:t>
            </w:r>
          </w:p>
        </w:tc>
        <w:tc>
          <w:tcPr>
            <w:tcW w:w="0" w:type="dxa"/>
            <w:gridSpan w:val="2"/>
            <w:tcMar>
              <w:top w:w="57" w:type="dxa"/>
              <w:bottom w:w="57" w:type="dxa"/>
            </w:tcMar>
          </w:tcPr>
          <w:p w14:paraId="59766ECD" w14:textId="77777777" w:rsidR="007E4651" w:rsidRPr="00424534" w:rsidRDefault="007E4651" w:rsidP="00424534">
            <w:pPr>
              <w:pStyle w:val="TableTextRight"/>
            </w:pPr>
            <w:r w:rsidRPr="00424534">
              <w:t>$82,822</w:t>
            </w:r>
          </w:p>
        </w:tc>
      </w:tr>
      <w:tr w:rsidR="002C4EA9" w:rsidRPr="00881012" w14:paraId="2FFAF065" w14:textId="77777777" w:rsidTr="00D32BAA">
        <w:trPr>
          <w:trHeight w:val="25"/>
        </w:trPr>
        <w:tc>
          <w:tcPr>
            <w:tcW w:w="2972" w:type="dxa"/>
            <w:tcMar>
              <w:top w:w="57" w:type="dxa"/>
              <w:bottom w:w="57" w:type="dxa"/>
            </w:tcMar>
          </w:tcPr>
          <w:p w14:paraId="30133F03" w14:textId="77777777" w:rsidR="007E4651" w:rsidRPr="00424534" w:rsidRDefault="007E4651" w:rsidP="00625DAB">
            <w:pPr>
              <w:pStyle w:val="TableTextLeft"/>
            </w:pPr>
            <w:r w:rsidRPr="00424534">
              <w:t>APS 2</w:t>
            </w:r>
          </w:p>
        </w:tc>
        <w:tc>
          <w:tcPr>
            <w:tcW w:w="2552" w:type="dxa"/>
            <w:tcMar>
              <w:top w:w="57" w:type="dxa"/>
              <w:bottom w:w="57" w:type="dxa"/>
            </w:tcMar>
          </w:tcPr>
          <w:p w14:paraId="6D652AAE" w14:textId="77777777" w:rsidR="007E4651" w:rsidRPr="00424534" w:rsidRDefault="007E4651" w:rsidP="00424534">
            <w:pPr>
              <w:pStyle w:val="TableTextRight"/>
            </w:pPr>
            <w:r w:rsidRPr="00424534">
              <w:t>$64,742</w:t>
            </w:r>
          </w:p>
        </w:tc>
        <w:tc>
          <w:tcPr>
            <w:tcW w:w="2134" w:type="dxa"/>
            <w:gridSpan w:val="2"/>
            <w:tcMar>
              <w:top w:w="57" w:type="dxa"/>
              <w:bottom w:w="57" w:type="dxa"/>
            </w:tcMar>
          </w:tcPr>
          <w:p w14:paraId="5D23582F" w14:textId="77777777" w:rsidR="007E4651" w:rsidRPr="00424534" w:rsidRDefault="007E4651" w:rsidP="00424534">
            <w:pPr>
              <w:pStyle w:val="TableTextRight"/>
            </w:pPr>
            <w:r w:rsidRPr="00424534">
              <w:t>$71,935</w:t>
            </w:r>
          </w:p>
        </w:tc>
      </w:tr>
      <w:tr w:rsidR="002C4EA9" w:rsidRPr="00881012" w14:paraId="789F8BAC" w14:textId="77777777" w:rsidTr="00D32BAA">
        <w:trPr>
          <w:cnfStyle w:val="000000010000" w:firstRow="0" w:lastRow="0" w:firstColumn="0" w:lastColumn="0" w:oddVBand="0" w:evenVBand="0" w:oddHBand="0" w:evenHBand="1" w:firstRowFirstColumn="0" w:firstRowLastColumn="0" w:lastRowFirstColumn="0" w:lastRowLastColumn="0"/>
          <w:trHeight w:val="25"/>
        </w:trPr>
        <w:tc>
          <w:tcPr>
            <w:tcW w:w="2972" w:type="dxa"/>
            <w:tcMar>
              <w:top w:w="57" w:type="dxa"/>
              <w:bottom w:w="57" w:type="dxa"/>
            </w:tcMar>
          </w:tcPr>
          <w:p w14:paraId="48E52D0E" w14:textId="77777777" w:rsidR="007E4651" w:rsidRPr="00424534" w:rsidRDefault="007E4651" w:rsidP="00625DAB">
            <w:pPr>
              <w:pStyle w:val="TableTextLeft"/>
            </w:pPr>
            <w:r w:rsidRPr="00424534">
              <w:t>APS 1</w:t>
            </w:r>
          </w:p>
        </w:tc>
        <w:tc>
          <w:tcPr>
            <w:tcW w:w="2552" w:type="dxa"/>
            <w:tcMar>
              <w:top w:w="57" w:type="dxa"/>
              <w:bottom w:w="57" w:type="dxa"/>
            </w:tcMar>
          </w:tcPr>
          <w:p w14:paraId="1AFE4E2D" w14:textId="77777777" w:rsidR="007E4651" w:rsidRPr="00424534" w:rsidRDefault="007E4651" w:rsidP="00424534">
            <w:pPr>
              <w:pStyle w:val="TableTextRight"/>
            </w:pPr>
            <w:r w:rsidRPr="00424534">
              <w:t>$57,548</w:t>
            </w:r>
          </w:p>
        </w:tc>
        <w:tc>
          <w:tcPr>
            <w:tcW w:w="0" w:type="dxa"/>
            <w:gridSpan w:val="2"/>
            <w:tcMar>
              <w:top w:w="57" w:type="dxa"/>
              <w:bottom w:w="57" w:type="dxa"/>
            </w:tcMar>
          </w:tcPr>
          <w:p w14:paraId="2909D0E4" w14:textId="77777777" w:rsidR="007E4651" w:rsidRPr="00424534" w:rsidRDefault="007E4651" w:rsidP="00424534">
            <w:pPr>
              <w:pStyle w:val="TableTextRight"/>
            </w:pPr>
            <w:r w:rsidRPr="00424534">
              <w:t>$62,943</w:t>
            </w:r>
          </w:p>
        </w:tc>
      </w:tr>
      <w:tr w:rsidR="002C4EA9" w:rsidRPr="00881012" w14:paraId="03755AF6" w14:textId="77777777" w:rsidTr="00D32BAA">
        <w:trPr>
          <w:trHeight w:val="33"/>
        </w:trPr>
        <w:tc>
          <w:tcPr>
            <w:tcW w:w="2972" w:type="dxa"/>
            <w:tcMar>
              <w:top w:w="57" w:type="dxa"/>
              <w:bottom w:w="57" w:type="dxa"/>
            </w:tcMar>
          </w:tcPr>
          <w:p w14:paraId="1BBE4551" w14:textId="1357A6FF" w:rsidR="007E4651" w:rsidRPr="00D51AF8" w:rsidRDefault="007E4651" w:rsidP="00625DAB">
            <w:pPr>
              <w:pStyle w:val="TableTextLeft"/>
              <w:rPr>
                <w:i/>
                <w:iCs/>
              </w:rPr>
            </w:pPr>
            <w:r w:rsidRPr="00D51AF8">
              <w:rPr>
                <w:i/>
                <w:iCs/>
              </w:rPr>
              <w:t>Minimum/Maximum range</w:t>
            </w:r>
          </w:p>
        </w:tc>
        <w:tc>
          <w:tcPr>
            <w:tcW w:w="2552" w:type="dxa"/>
            <w:tcMar>
              <w:top w:w="57" w:type="dxa"/>
              <w:bottom w:w="57" w:type="dxa"/>
            </w:tcMar>
          </w:tcPr>
          <w:p w14:paraId="6D75E367" w14:textId="77777777" w:rsidR="007E4651" w:rsidRPr="00424534" w:rsidRDefault="007E4651" w:rsidP="00424534">
            <w:pPr>
              <w:pStyle w:val="TableTextRight"/>
              <w:rPr>
                <w:i/>
                <w:iCs/>
              </w:rPr>
            </w:pPr>
            <w:r w:rsidRPr="00424534">
              <w:rPr>
                <w:i/>
                <w:iCs/>
              </w:rPr>
              <w:t>$57,548</w:t>
            </w:r>
          </w:p>
        </w:tc>
        <w:tc>
          <w:tcPr>
            <w:tcW w:w="2134" w:type="dxa"/>
            <w:gridSpan w:val="2"/>
            <w:tcMar>
              <w:top w:w="57" w:type="dxa"/>
              <w:bottom w:w="57" w:type="dxa"/>
            </w:tcMar>
          </w:tcPr>
          <w:p w14:paraId="5EA1E259" w14:textId="4129AD93" w:rsidR="007E4651" w:rsidRPr="00424534" w:rsidRDefault="007E4651" w:rsidP="00424534">
            <w:pPr>
              <w:pStyle w:val="TableTextRight"/>
              <w:rPr>
                <w:i/>
                <w:iCs/>
              </w:rPr>
            </w:pPr>
            <w:r w:rsidRPr="00424534">
              <w:rPr>
                <w:i/>
                <w:iCs/>
              </w:rPr>
              <w:t>$</w:t>
            </w:r>
            <w:r w:rsidR="00512D76" w:rsidRPr="00424534">
              <w:rPr>
                <w:i/>
                <w:iCs/>
              </w:rPr>
              <w:t>44</w:t>
            </w:r>
            <w:r w:rsidR="00C6708C" w:rsidRPr="00424534">
              <w:rPr>
                <w:i/>
                <w:iCs/>
              </w:rPr>
              <w:t>0,723</w:t>
            </w:r>
          </w:p>
        </w:tc>
      </w:tr>
    </w:tbl>
    <w:p w14:paraId="08286E70" w14:textId="77777777" w:rsidR="00EE2109" w:rsidRDefault="00EE2109" w:rsidP="00EE2109">
      <w:bookmarkStart w:id="1202" w:name="_Toc173408194"/>
      <w:bookmarkStart w:id="1203" w:name="_Toc173411516"/>
      <w:bookmarkStart w:id="1204" w:name="_Toc173479195"/>
    </w:p>
    <w:p w14:paraId="551EECEE" w14:textId="12218280" w:rsidR="007E4651" w:rsidRDefault="007E4651" w:rsidP="007E4651">
      <w:pPr>
        <w:pStyle w:val="Heading3"/>
      </w:pPr>
      <w:bookmarkStart w:id="1205" w:name="_Toc207796098"/>
      <w:r w:rsidRPr="7FC3C1B3">
        <w:lastRenderedPageBreak/>
        <w:t>Non</w:t>
      </w:r>
      <w:r w:rsidR="00B84FF2">
        <w:noBreakHyphen/>
      </w:r>
      <w:r w:rsidRPr="7FC3C1B3">
        <w:t xml:space="preserve">salary </w:t>
      </w:r>
      <w:r>
        <w:t>b</w:t>
      </w:r>
      <w:r w:rsidRPr="7FC3C1B3">
        <w:t>enefits</w:t>
      </w:r>
      <w:bookmarkEnd w:id="1202"/>
      <w:bookmarkEnd w:id="1203"/>
      <w:bookmarkEnd w:id="1204"/>
      <w:bookmarkEnd w:id="1205"/>
    </w:p>
    <w:p w14:paraId="1E743BE2" w14:textId="17B43A7B" w:rsidR="007E4651" w:rsidRDefault="007E4651" w:rsidP="00D66F33">
      <w:r w:rsidRPr="0B5A3921">
        <w:t xml:space="preserve">In addition to remuneration, </w:t>
      </w:r>
      <w:r w:rsidR="00573640">
        <w:t xml:space="preserve">the AOFM provides employees with </w:t>
      </w:r>
      <w:r w:rsidRPr="0B5A3921">
        <w:t>non</w:t>
      </w:r>
      <w:r w:rsidR="00B84FF2">
        <w:noBreakHyphen/>
      </w:r>
      <w:r w:rsidRPr="0B5A3921">
        <w:t xml:space="preserve">salary benefits </w:t>
      </w:r>
      <w:r w:rsidR="00573640">
        <w:t>including</w:t>
      </w:r>
      <w:r w:rsidRPr="0B5A3921">
        <w:t xml:space="preserve"> superannuation</w:t>
      </w:r>
      <w:r w:rsidR="00573640">
        <w:t>;</w:t>
      </w:r>
      <w:r w:rsidRPr="0B5A3921">
        <w:t xml:space="preserve"> support for professional development including professional memberships</w:t>
      </w:r>
      <w:r w:rsidR="00573640">
        <w:t>;</w:t>
      </w:r>
      <w:r w:rsidRPr="0B5A3921">
        <w:t xml:space="preserve"> and wellbeing initiatives such as access to an employee assistance program and annual flu vaccinations. Flexible working arrangements are enabled through the </w:t>
      </w:r>
      <w:r>
        <w:t>EA</w:t>
      </w:r>
      <w:r w:rsidR="00573640">
        <w:t>,</w:t>
      </w:r>
      <w:r>
        <w:t xml:space="preserve"> and </w:t>
      </w:r>
      <w:r w:rsidR="00573640">
        <w:t xml:space="preserve">we </w:t>
      </w:r>
      <w:r>
        <w:t>support</w:t>
      </w:r>
      <w:r w:rsidR="00573640">
        <w:t xml:space="preserve"> this</w:t>
      </w:r>
      <w:r>
        <w:t xml:space="preserve"> </w:t>
      </w:r>
      <w:r w:rsidR="00573640">
        <w:t>by providing</w:t>
      </w:r>
      <w:r w:rsidRPr="0B5A3921">
        <w:t xml:space="preserve"> laptop</w:t>
      </w:r>
      <w:r w:rsidR="00573640">
        <w:t>s</w:t>
      </w:r>
      <w:r w:rsidRPr="0B5A3921">
        <w:t xml:space="preserve"> and other </w:t>
      </w:r>
      <w:r w:rsidR="00573640">
        <w:t>technology</w:t>
      </w:r>
      <w:r w:rsidRPr="0B5A3921">
        <w:t xml:space="preserve"> as required.</w:t>
      </w:r>
    </w:p>
    <w:p w14:paraId="0E56E6F1" w14:textId="5D9B5A49" w:rsidR="00E74B48" w:rsidRPr="00B311D4" w:rsidRDefault="00691145" w:rsidP="007E4651">
      <w:pPr>
        <w:pStyle w:val="Heading3"/>
      </w:pPr>
      <w:bookmarkStart w:id="1206" w:name="_Toc207796099"/>
      <w:r w:rsidRPr="009D46BF">
        <w:t>Remuneration of key management personnel and highly paid staff</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6"/>
    </w:p>
    <w:p w14:paraId="36E65A3B" w14:textId="50B24F8F" w:rsidR="00E74B48" w:rsidRDefault="00E74B48" w:rsidP="00D66F33">
      <w:r w:rsidRPr="00B311D4">
        <w:t>Key management personnel (KMP) are those individuals with authority and responsibility for planning, directing and controlling the activities of the entity,</w:t>
      </w:r>
      <w:r w:rsidR="00573640">
        <w:t xml:space="preserve"> whether</w:t>
      </w:r>
      <w:r w:rsidRPr="00B311D4">
        <w:t xml:space="preserve"> directly or indirectly. The AOFM CEO, the Secretary to the Treasury and the Treasurer have been determined to be </w:t>
      </w:r>
      <w:r w:rsidR="00573640">
        <w:t>KMP</w:t>
      </w:r>
      <w:r w:rsidRPr="00B311D4">
        <w:t xml:space="preserve"> for the AOFM. The AOFM CEO is appointed by the Secretary to the Treasury and is the only KMP remunerated by the AOFM. </w:t>
      </w:r>
    </w:p>
    <w:p w14:paraId="6AE266BF" w14:textId="06147998" w:rsidR="00631534" w:rsidRPr="008A6FE3" w:rsidRDefault="00631534" w:rsidP="00D66F33">
      <w:pPr>
        <w:rPr>
          <w:lang w:eastAsia="en-AU"/>
        </w:rPr>
      </w:pPr>
      <w:r w:rsidRPr="008A6FE3">
        <w:rPr>
          <w:lang w:eastAsia="en-AU"/>
        </w:rPr>
        <w:t>In 2024</w:t>
      </w:r>
      <w:r w:rsidR="00573640">
        <w:rPr>
          <w:lang w:eastAsia="en-AU"/>
        </w:rPr>
        <w:t>–</w:t>
      </w:r>
      <w:r w:rsidRPr="008A6FE3">
        <w:rPr>
          <w:lang w:eastAsia="en-AU"/>
        </w:rPr>
        <w:t>25</w:t>
      </w:r>
      <w:r w:rsidR="00573640">
        <w:rPr>
          <w:lang w:eastAsia="en-AU"/>
        </w:rPr>
        <w:t>, the AOFM created</w:t>
      </w:r>
      <w:r w:rsidRPr="008A6FE3">
        <w:rPr>
          <w:lang w:eastAsia="en-AU"/>
        </w:rPr>
        <w:t xml:space="preserve"> two new SES positions</w:t>
      </w:r>
      <w:r w:rsidR="00573640">
        <w:rPr>
          <w:lang w:eastAsia="en-AU"/>
        </w:rPr>
        <w:t xml:space="preserve"> –</w:t>
      </w:r>
      <w:r w:rsidRPr="008A6FE3">
        <w:rPr>
          <w:lang w:eastAsia="en-AU"/>
        </w:rPr>
        <w:t xml:space="preserve"> Deputy CEO and Chief Operating Officer</w:t>
      </w:r>
      <w:r w:rsidR="00573640">
        <w:rPr>
          <w:lang w:eastAsia="en-AU"/>
        </w:rPr>
        <w:t xml:space="preserve"> – which</w:t>
      </w:r>
      <w:r w:rsidRPr="008A6FE3">
        <w:rPr>
          <w:lang w:eastAsia="en-AU"/>
        </w:rPr>
        <w:t xml:space="preserve"> were filled </w:t>
      </w:r>
      <w:r w:rsidR="00573640">
        <w:rPr>
          <w:lang w:eastAsia="en-AU"/>
        </w:rPr>
        <w:t>in</w:t>
      </w:r>
      <w:r w:rsidR="00573640" w:rsidRPr="008A6FE3">
        <w:rPr>
          <w:lang w:eastAsia="en-AU"/>
        </w:rPr>
        <w:t xml:space="preserve"> </w:t>
      </w:r>
      <w:r w:rsidRPr="008A6FE3">
        <w:rPr>
          <w:lang w:eastAsia="en-AU"/>
        </w:rPr>
        <w:t>June 2025 and May 2025 respectively. Both positions have been determined as KMP</w:t>
      </w:r>
      <w:r w:rsidR="00573640">
        <w:rPr>
          <w:lang w:eastAsia="en-AU"/>
        </w:rPr>
        <w:t>;</w:t>
      </w:r>
      <w:r w:rsidRPr="008A6FE3">
        <w:rPr>
          <w:lang w:eastAsia="en-AU"/>
        </w:rPr>
        <w:t xml:space="preserve"> however</w:t>
      </w:r>
      <w:r w:rsidR="00573640">
        <w:rPr>
          <w:lang w:eastAsia="en-AU"/>
        </w:rPr>
        <w:t>,</w:t>
      </w:r>
      <w:r w:rsidRPr="008A6FE3">
        <w:rPr>
          <w:lang w:eastAsia="en-AU"/>
        </w:rPr>
        <w:t xml:space="preserve"> due to the short period in which these individuals occupied the KMP positions in 2025, their remuneration has been excluded from reporting</w:t>
      </w:r>
      <w:r>
        <w:rPr>
          <w:lang w:eastAsia="en-AU"/>
        </w:rPr>
        <w:t xml:space="preserve"> in the 2025 financial year</w:t>
      </w:r>
      <w:r w:rsidR="00B84FF2">
        <w:rPr>
          <w:lang w:eastAsia="en-AU"/>
        </w:rPr>
        <w:t xml:space="preserve">. </w:t>
      </w:r>
    </w:p>
    <w:p w14:paraId="3E20697E" w14:textId="0D95941F" w:rsidR="00E74B48" w:rsidRDefault="00E74B48" w:rsidP="00E74B48">
      <w:r w:rsidRPr="00B311D4">
        <w:t>Remuneration for the AOFM CEO is governed by the APSC Executive Remuneration Management Policy and Treasury</w:t>
      </w:r>
      <w:r w:rsidR="00B84FF2">
        <w:t>’</w:t>
      </w:r>
      <w:r w:rsidRPr="00B311D4">
        <w:t xml:space="preserve">s SES performance framework. Executive remuneration is reported in accordance with the </w:t>
      </w:r>
      <w:r w:rsidRPr="001411F7">
        <w:t>Public Governance, Performance and Accountability Rule 2014</w:t>
      </w:r>
      <w:r w:rsidRPr="00573640">
        <w:t xml:space="preserve"> </w:t>
      </w:r>
      <w:r w:rsidRPr="00B311D4">
        <w:t xml:space="preserve">(the PGPA </w:t>
      </w:r>
      <w:r w:rsidR="00573640">
        <w:t>R</w:t>
      </w:r>
      <w:r w:rsidR="00573640" w:rsidRPr="00B311D4">
        <w:t>ule</w:t>
      </w:r>
      <w:r w:rsidRPr="00B311D4">
        <w:t>).</w:t>
      </w:r>
    </w:p>
    <w:p w14:paraId="38288DDD" w14:textId="77777777" w:rsidR="00EE2109" w:rsidRDefault="00EE2109">
      <w:pPr>
        <w:spacing w:after="0" w:line="240" w:lineRule="auto"/>
        <w:rPr>
          <w:rFonts w:eastAsiaTheme="majorEastAsia" w:cs="Open Sans Semibold"/>
          <w:b/>
          <w:bCs/>
          <w:color w:val="19556D"/>
          <w:sz w:val="30"/>
          <w:szCs w:val="32"/>
        </w:rPr>
      </w:pPr>
      <w:r>
        <w:br w:type="page"/>
      </w:r>
    </w:p>
    <w:p w14:paraId="0B093792" w14:textId="04CFEFA0" w:rsidR="00E74B48" w:rsidRDefault="00E74B48" w:rsidP="00713231">
      <w:pPr>
        <w:pStyle w:val="Heading3"/>
      </w:pPr>
      <w:bookmarkStart w:id="1207" w:name="_Toc207796100"/>
      <w:r w:rsidRPr="00B311D4">
        <w:lastRenderedPageBreak/>
        <w:t>Key Management Personnel</w:t>
      </w:r>
      <w:bookmarkEnd w:id="1207"/>
    </w:p>
    <w:p w14:paraId="08EC6D12" w14:textId="5947A9FF" w:rsidR="0048407F" w:rsidRPr="00B311D4" w:rsidRDefault="0048407F" w:rsidP="0048407F">
      <w:pPr>
        <w:keepNext/>
        <w:keepLines/>
        <w:rPr>
          <w:lang w:eastAsia="en-AU"/>
        </w:rPr>
      </w:pPr>
      <w:r w:rsidRPr="00B311D4">
        <w:t xml:space="preserve">In accordance with the executive disclosure rules set out in the </w:t>
      </w:r>
      <w:r w:rsidR="00350774">
        <w:t>PGPA</w:t>
      </w:r>
      <w:r w:rsidR="00350774" w:rsidRPr="00D8483D">
        <w:t xml:space="preserve"> Rule</w:t>
      </w:r>
      <w:r w:rsidRPr="00B311D4">
        <w:t>, the AOFM is also required to report information about remuneration for other highly paid staff in addition to KMP. Remuneration for those staff is reported in accordance with Schedule</w:t>
      </w:r>
      <w:r w:rsidR="002B4A8D">
        <w:t> </w:t>
      </w:r>
      <w:r w:rsidRPr="00B311D4">
        <w:t xml:space="preserve">3 of the PGPA rule. </w:t>
      </w:r>
    </w:p>
    <w:p w14:paraId="06CDDCCD" w14:textId="310843FD" w:rsidR="00E74B48" w:rsidRPr="00B311D4" w:rsidRDefault="00E74B48" w:rsidP="00E74B48">
      <w:pPr>
        <w:pStyle w:val="TableMainHeading"/>
        <w:keepLines/>
      </w:pPr>
      <w:r w:rsidRPr="00B311D4">
        <w:t>Table </w:t>
      </w:r>
      <w:r w:rsidR="00881012">
        <w:t>2</w:t>
      </w:r>
      <w:r w:rsidR="00A7164A">
        <w:t>3</w:t>
      </w:r>
      <w:r w:rsidRPr="00B311D4">
        <w:t>: Remuneration for KMP</w:t>
      </w:r>
    </w:p>
    <w:tbl>
      <w:tblPr>
        <w:tblStyle w:val="AOFMTablemain"/>
        <w:tblW w:w="4964" w:type="pct"/>
        <w:tblLook w:val="04A0" w:firstRow="1" w:lastRow="0" w:firstColumn="1" w:lastColumn="0" w:noHBand="0" w:noVBand="1"/>
      </w:tblPr>
      <w:tblGrid>
        <w:gridCol w:w="1391"/>
        <w:gridCol w:w="649"/>
        <w:gridCol w:w="936"/>
        <w:gridCol w:w="541"/>
        <w:gridCol w:w="541"/>
        <w:gridCol w:w="827"/>
        <w:gridCol w:w="721"/>
        <w:gridCol w:w="541"/>
        <w:gridCol w:w="718"/>
        <w:gridCol w:w="790"/>
      </w:tblGrid>
      <w:tr w:rsidR="00372219" w:rsidRPr="006B2C2D" w14:paraId="34D2B33E" w14:textId="77777777" w:rsidTr="00372219">
        <w:trPr>
          <w:cnfStyle w:val="100000000000" w:firstRow="1" w:lastRow="0" w:firstColumn="0" w:lastColumn="0" w:oddVBand="0" w:evenVBand="0" w:oddHBand="0" w:evenHBand="0" w:firstRowFirstColumn="0" w:firstRowLastColumn="0" w:lastRowFirstColumn="0" w:lastRowLastColumn="0"/>
          <w:trHeight w:val="1829"/>
        </w:trPr>
        <w:tc>
          <w:tcPr>
            <w:tcW w:w="915" w:type="pct"/>
            <w:noWrap/>
            <w:textDirection w:val="btLr"/>
            <w:vAlign w:val="center"/>
          </w:tcPr>
          <w:p w14:paraId="4D68F099" w14:textId="77777777" w:rsidR="009C4ECF" w:rsidRPr="009C4ECF" w:rsidRDefault="009C4ECF" w:rsidP="005B455D">
            <w:pPr>
              <w:pStyle w:val="TableColumnHeadingLeft"/>
            </w:pPr>
          </w:p>
        </w:tc>
        <w:tc>
          <w:tcPr>
            <w:tcW w:w="430" w:type="pct"/>
            <w:tcBorders>
              <w:right w:val="single" w:sz="4" w:space="0" w:color="FFFFFF" w:themeColor="background1"/>
            </w:tcBorders>
            <w:noWrap/>
            <w:textDirection w:val="btLr"/>
            <w:vAlign w:val="center"/>
          </w:tcPr>
          <w:p w14:paraId="4DE30150" w14:textId="77777777" w:rsidR="009C4ECF" w:rsidRPr="009C4ECF" w:rsidRDefault="009C4ECF" w:rsidP="005B455D">
            <w:pPr>
              <w:pStyle w:val="TableColumnHeadingLeft"/>
            </w:pPr>
          </w:p>
        </w:tc>
        <w:tc>
          <w:tcPr>
            <w:tcW w:w="617" w:type="pct"/>
            <w:tcBorders>
              <w:left w:val="single" w:sz="4" w:space="0" w:color="FFFFFF" w:themeColor="background1"/>
            </w:tcBorders>
            <w:textDirection w:val="btLr"/>
            <w:vAlign w:val="center"/>
          </w:tcPr>
          <w:p w14:paraId="18B62AD7" w14:textId="0565DEB5" w:rsidR="009C4ECF" w:rsidRPr="009C4ECF" w:rsidRDefault="008F1075" w:rsidP="005B455D">
            <w:pPr>
              <w:pStyle w:val="TableColumnHeadingLeft"/>
            </w:pPr>
            <w:r w:rsidRPr="003E223C">
              <w:t>Short</w:t>
            </w:r>
            <w:r w:rsidR="00B84FF2">
              <w:noBreakHyphen/>
            </w:r>
            <w:r w:rsidRPr="003E223C">
              <w:t>term benefits ($)</w:t>
            </w:r>
          </w:p>
        </w:tc>
        <w:tc>
          <w:tcPr>
            <w:tcW w:w="359" w:type="pct"/>
            <w:textDirection w:val="btLr"/>
            <w:vAlign w:val="center"/>
          </w:tcPr>
          <w:p w14:paraId="1F96263E" w14:textId="5E9AF1B2" w:rsidR="009C4ECF" w:rsidRPr="009C4ECF" w:rsidRDefault="009C4ECF" w:rsidP="005B455D">
            <w:pPr>
              <w:pStyle w:val="TableColumnHeadingLeft"/>
            </w:pPr>
          </w:p>
        </w:tc>
        <w:tc>
          <w:tcPr>
            <w:tcW w:w="359" w:type="pct"/>
            <w:tcBorders>
              <w:right w:val="single" w:sz="4" w:space="0" w:color="FFFFFF" w:themeColor="background1"/>
            </w:tcBorders>
            <w:textDirection w:val="btLr"/>
            <w:vAlign w:val="center"/>
          </w:tcPr>
          <w:p w14:paraId="5E45CB79" w14:textId="77777777" w:rsidR="009C4ECF" w:rsidRPr="009C4ECF" w:rsidRDefault="009C4ECF" w:rsidP="005B455D">
            <w:pPr>
              <w:pStyle w:val="TableColumnHeadingLeft"/>
            </w:pPr>
          </w:p>
        </w:tc>
        <w:tc>
          <w:tcPr>
            <w:tcW w:w="546" w:type="pct"/>
            <w:tcBorders>
              <w:left w:val="single" w:sz="4" w:space="0" w:color="FFFFFF" w:themeColor="background1"/>
              <w:right w:val="single" w:sz="4" w:space="0" w:color="FFFFFF" w:themeColor="background1"/>
            </w:tcBorders>
            <w:textDirection w:val="btLr"/>
            <w:vAlign w:val="center"/>
          </w:tcPr>
          <w:p w14:paraId="369BCE94" w14:textId="783901A7" w:rsidR="009C4ECF" w:rsidRPr="009C4ECF" w:rsidRDefault="00141F58" w:rsidP="005B455D">
            <w:pPr>
              <w:pStyle w:val="TableColumnHeadingLeft"/>
            </w:pPr>
            <w:r w:rsidRPr="003E223C">
              <w:t>Post</w:t>
            </w:r>
            <w:r w:rsidR="00B84FF2">
              <w:noBreakHyphen/>
            </w:r>
            <w:r w:rsidRPr="003E223C">
              <w:t>employment ($)</w:t>
            </w:r>
          </w:p>
        </w:tc>
        <w:tc>
          <w:tcPr>
            <w:tcW w:w="477" w:type="pct"/>
            <w:tcBorders>
              <w:left w:val="single" w:sz="4" w:space="0" w:color="FFFFFF" w:themeColor="background1"/>
            </w:tcBorders>
            <w:textDirection w:val="btLr"/>
            <w:vAlign w:val="center"/>
          </w:tcPr>
          <w:p w14:paraId="1250D3A4" w14:textId="52AC9E6F" w:rsidR="009C4ECF" w:rsidRPr="009C4ECF" w:rsidRDefault="00141F58" w:rsidP="005B455D">
            <w:pPr>
              <w:pStyle w:val="TableColumnHeadingLeft"/>
            </w:pPr>
            <w:r w:rsidRPr="003E223C">
              <w:t>Other long</w:t>
            </w:r>
            <w:r w:rsidR="00B84FF2">
              <w:noBreakHyphen/>
            </w:r>
            <w:r w:rsidRPr="003E223C">
              <w:t>term benefits ($)</w:t>
            </w:r>
          </w:p>
        </w:tc>
        <w:tc>
          <w:tcPr>
            <w:tcW w:w="359" w:type="pct"/>
            <w:tcBorders>
              <w:right w:val="single" w:sz="4" w:space="0" w:color="FFFFFF" w:themeColor="background1"/>
            </w:tcBorders>
            <w:textDirection w:val="btLr"/>
            <w:vAlign w:val="center"/>
          </w:tcPr>
          <w:p w14:paraId="41D4062E" w14:textId="77777777" w:rsidR="009C4ECF" w:rsidRPr="009C4ECF" w:rsidRDefault="009C4ECF" w:rsidP="005B455D">
            <w:pPr>
              <w:pStyle w:val="TableColumnHeadingLeft"/>
            </w:pPr>
          </w:p>
        </w:tc>
        <w:tc>
          <w:tcPr>
            <w:tcW w:w="475" w:type="pct"/>
            <w:tcBorders>
              <w:left w:val="single" w:sz="4" w:space="0" w:color="FFFFFF" w:themeColor="background1"/>
              <w:right w:val="single" w:sz="4" w:space="0" w:color="FFFFFF" w:themeColor="background1"/>
            </w:tcBorders>
            <w:textDirection w:val="btLr"/>
            <w:vAlign w:val="center"/>
          </w:tcPr>
          <w:p w14:paraId="7DFDF71D" w14:textId="301EB373" w:rsidR="009C4ECF" w:rsidRPr="009C4ECF" w:rsidRDefault="00141F58" w:rsidP="005B455D">
            <w:pPr>
              <w:pStyle w:val="TableColumnHeadingLeft"/>
            </w:pPr>
            <w:r w:rsidRPr="003E223C">
              <w:t>Termination benefits ($)</w:t>
            </w:r>
          </w:p>
        </w:tc>
        <w:tc>
          <w:tcPr>
            <w:tcW w:w="463" w:type="pct"/>
            <w:tcBorders>
              <w:left w:val="single" w:sz="4" w:space="0" w:color="FFFFFF" w:themeColor="background1"/>
            </w:tcBorders>
            <w:noWrap/>
            <w:textDirection w:val="btLr"/>
            <w:vAlign w:val="center"/>
          </w:tcPr>
          <w:p w14:paraId="12FDFCAA" w14:textId="76B71909" w:rsidR="009C4ECF" w:rsidRPr="009C4ECF" w:rsidRDefault="00141F58" w:rsidP="005B455D">
            <w:pPr>
              <w:pStyle w:val="TableColumnHeadingLeft"/>
            </w:pPr>
            <w:r w:rsidRPr="003E223C">
              <w:t>Total ($)</w:t>
            </w:r>
          </w:p>
        </w:tc>
      </w:tr>
      <w:tr w:rsidR="00372219" w:rsidRPr="006B2C2D" w14:paraId="10C601D6" w14:textId="77777777" w:rsidTr="00372219">
        <w:trPr>
          <w:trHeight w:val="1281"/>
        </w:trPr>
        <w:tc>
          <w:tcPr>
            <w:tcW w:w="915" w:type="pct"/>
            <w:tcBorders>
              <w:top w:val="single" w:sz="4" w:space="0" w:color="FFFFFF" w:themeColor="background1"/>
            </w:tcBorders>
            <w:shd w:val="clear" w:color="auto" w:fill="FFFFFF" w:themeFill="background1"/>
            <w:noWrap/>
            <w:textDirection w:val="btLr"/>
            <w:vAlign w:val="center"/>
            <w:hideMark/>
          </w:tcPr>
          <w:p w14:paraId="479864D5" w14:textId="77777777" w:rsidR="00E74B48" w:rsidRPr="00E26492" w:rsidRDefault="00E74B48" w:rsidP="00625DAB">
            <w:pPr>
              <w:pStyle w:val="TableTextLeft"/>
            </w:pPr>
            <w:r w:rsidRPr="00E26492">
              <w:t> Name</w:t>
            </w:r>
          </w:p>
        </w:tc>
        <w:tc>
          <w:tcPr>
            <w:tcW w:w="430" w:type="pct"/>
            <w:tcBorders>
              <w:top w:val="single" w:sz="4" w:space="0" w:color="FFFFFF" w:themeColor="background1"/>
            </w:tcBorders>
            <w:shd w:val="clear" w:color="auto" w:fill="FFFFFF" w:themeFill="background1"/>
            <w:noWrap/>
            <w:textDirection w:val="btLr"/>
            <w:vAlign w:val="center"/>
            <w:hideMark/>
          </w:tcPr>
          <w:p w14:paraId="3C6125A8" w14:textId="77777777" w:rsidR="00E74B48" w:rsidRPr="00E26492" w:rsidRDefault="00E74B48" w:rsidP="00625DAB">
            <w:pPr>
              <w:pStyle w:val="TableTextLeft"/>
            </w:pPr>
            <w:r w:rsidRPr="00E26492">
              <w:t> Position</w:t>
            </w:r>
          </w:p>
        </w:tc>
        <w:tc>
          <w:tcPr>
            <w:tcW w:w="617" w:type="pct"/>
            <w:tcBorders>
              <w:top w:val="single" w:sz="4" w:space="0" w:color="FFFFFF" w:themeColor="background1"/>
            </w:tcBorders>
            <w:shd w:val="clear" w:color="auto" w:fill="FFFFFF" w:themeFill="background1"/>
            <w:textDirection w:val="btLr"/>
            <w:vAlign w:val="center"/>
            <w:hideMark/>
          </w:tcPr>
          <w:p w14:paraId="75EE758B" w14:textId="77777777" w:rsidR="00E74B48" w:rsidRPr="00E26492" w:rsidRDefault="00E74B48" w:rsidP="00625DAB">
            <w:pPr>
              <w:pStyle w:val="TableTextLeft"/>
            </w:pPr>
            <w:r w:rsidRPr="00E26492">
              <w:t>Base salary and annual leave</w:t>
            </w:r>
          </w:p>
        </w:tc>
        <w:tc>
          <w:tcPr>
            <w:tcW w:w="359" w:type="pct"/>
            <w:tcBorders>
              <w:top w:val="single" w:sz="4" w:space="0" w:color="FFFFFF" w:themeColor="background1"/>
            </w:tcBorders>
            <w:shd w:val="clear" w:color="auto" w:fill="FFFFFF" w:themeFill="background1"/>
            <w:textDirection w:val="btLr"/>
            <w:vAlign w:val="center"/>
            <w:hideMark/>
          </w:tcPr>
          <w:p w14:paraId="58205BB1" w14:textId="77777777" w:rsidR="00E74B48" w:rsidRPr="00E26492" w:rsidRDefault="00E74B48" w:rsidP="00625DAB">
            <w:pPr>
              <w:pStyle w:val="TableTextLeft"/>
            </w:pPr>
            <w:r w:rsidRPr="00E26492">
              <w:t>Bonus</w:t>
            </w:r>
          </w:p>
        </w:tc>
        <w:tc>
          <w:tcPr>
            <w:tcW w:w="359" w:type="pct"/>
            <w:tcBorders>
              <w:top w:val="single" w:sz="4" w:space="0" w:color="FFFFFF" w:themeColor="background1"/>
            </w:tcBorders>
            <w:shd w:val="clear" w:color="auto" w:fill="FFFFFF" w:themeFill="background1"/>
            <w:textDirection w:val="btLr"/>
            <w:vAlign w:val="center"/>
            <w:hideMark/>
          </w:tcPr>
          <w:p w14:paraId="6C6A7B6D" w14:textId="77777777" w:rsidR="00E74B48" w:rsidRPr="00E26492" w:rsidRDefault="00E74B48" w:rsidP="00625DAB">
            <w:pPr>
              <w:pStyle w:val="TableTextLeft"/>
            </w:pPr>
            <w:r w:rsidRPr="00E26492">
              <w:t>Other benefits</w:t>
            </w:r>
          </w:p>
        </w:tc>
        <w:tc>
          <w:tcPr>
            <w:tcW w:w="546" w:type="pct"/>
            <w:tcBorders>
              <w:top w:val="single" w:sz="4" w:space="0" w:color="FFFFFF" w:themeColor="background1"/>
            </w:tcBorders>
            <w:shd w:val="clear" w:color="auto" w:fill="FFFFFF" w:themeFill="background1"/>
            <w:textDirection w:val="btLr"/>
            <w:vAlign w:val="center"/>
            <w:hideMark/>
          </w:tcPr>
          <w:p w14:paraId="4C0DF48A" w14:textId="77777777" w:rsidR="00E74B48" w:rsidRPr="00E26492" w:rsidRDefault="00E74B48" w:rsidP="00625DAB">
            <w:pPr>
              <w:pStyle w:val="TableTextLeft"/>
            </w:pPr>
            <w:r w:rsidRPr="00E26492">
              <w:t>Super</w:t>
            </w:r>
          </w:p>
        </w:tc>
        <w:tc>
          <w:tcPr>
            <w:tcW w:w="477" w:type="pct"/>
            <w:tcBorders>
              <w:top w:val="single" w:sz="4" w:space="0" w:color="FFFFFF" w:themeColor="background1"/>
            </w:tcBorders>
            <w:shd w:val="clear" w:color="auto" w:fill="FFFFFF" w:themeFill="background1"/>
            <w:textDirection w:val="btLr"/>
            <w:vAlign w:val="center"/>
            <w:hideMark/>
          </w:tcPr>
          <w:p w14:paraId="4E6B3A5C" w14:textId="77777777" w:rsidR="00E74B48" w:rsidRPr="00E26492" w:rsidRDefault="00E74B48" w:rsidP="00625DAB">
            <w:pPr>
              <w:pStyle w:val="TableTextLeft"/>
            </w:pPr>
            <w:r w:rsidRPr="00E26492">
              <w:t>Long service leave</w:t>
            </w:r>
          </w:p>
        </w:tc>
        <w:tc>
          <w:tcPr>
            <w:tcW w:w="359" w:type="pct"/>
            <w:tcBorders>
              <w:top w:val="single" w:sz="4" w:space="0" w:color="FFFFFF" w:themeColor="background1"/>
            </w:tcBorders>
            <w:shd w:val="clear" w:color="auto" w:fill="FFFFFF" w:themeFill="background1"/>
            <w:textDirection w:val="btLr"/>
            <w:vAlign w:val="center"/>
            <w:hideMark/>
          </w:tcPr>
          <w:p w14:paraId="02AAA84D" w14:textId="77777777" w:rsidR="00E74B48" w:rsidRPr="00E26492" w:rsidRDefault="00E74B48" w:rsidP="00625DAB">
            <w:pPr>
              <w:pStyle w:val="TableTextLeft"/>
            </w:pPr>
            <w:r w:rsidRPr="00E26492">
              <w:t>Other</w:t>
            </w:r>
          </w:p>
        </w:tc>
        <w:tc>
          <w:tcPr>
            <w:tcW w:w="475" w:type="pct"/>
            <w:tcBorders>
              <w:top w:val="single" w:sz="4" w:space="0" w:color="FFFFFF" w:themeColor="background1"/>
            </w:tcBorders>
            <w:shd w:val="clear" w:color="auto" w:fill="FFFFFF" w:themeFill="background1"/>
            <w:textDirection w:val="btLr"/>
            <w:vAlign w:val="center"/>
            <w:hideMark/>
          </w:tcPr>
          <w:p w14:paraId="68075362" w14:textId="77777777" w:rsidR="00E74B48" w:rsidRPr="00E26492" w:rsidRDefault="00E74B48" w:rsidP="00625DAB">
            <w:pPr>
              <w:pStyle w:val="TableTextLeft"/>
            </w:pPr>
            <w:r w:rsidRPr="00E26492">
              <w:t>Termination benefits</w:t>
            </w:r>
          </w:p>
        </w:tc>
        <w:tc>
          <w:tcPr>
            <w:tcW w:w="463" w:type="pct"/>
            <w:tcBorders>
              <w:top w:val="single" w:sz="4" w:space="0" w:color="FFFFFF" w:themeColor="background1"/>
            </w:tcBorders>
            <w:shd w:val="clear" w:color="auto" w:fill="FFFFFF" w:themeFill="background1"/>
            <w:noWrap/>
            <w:textDirection w:val="btLr"/>
            <w:vAlign w:val="center"/>
            <w:hideMark/>
          </w:tcPr>
          <w:p w14:paraId="7C16C665" w14:textId="77777777" w:rsidR="00E74B48" w:rsidRPr="00E26492" w:rsidRDefault="00E74B48" w:rsidP="00625DAB">
            <w:pPr>
              <w:pStyle w:val="TableTextLeft"/>
            </w:pPr>
            <w:r w:rsidRPr="00E26492">
              <w:t>Total</w:t>
            </w:r>
          </w:p>
        </w:tc>
      </w:tr>
      <w:tr w:rsidR="00372219" w:rsidRPr="006B2C2D" w14:paraId="1E7D68C8" w14:textId="77777777" w:rsidTr="00372219">
        <w:trPr>
          <w:cnfStyle w:val="000000010000" w:firstRow="0" w:lastRow="0" w:firstColumn="0" w:lastColumn="0" w:oddVBand="0" w:evenVBand="0" w:oddHBand="0" w:evenHBand="1" w:firstRowFirstColumn="0" w:firstRowLastColumn="0" w:lastRowFirstColumn="0" w:lastRowLastColumn="0"/>
          <w:trHeight w:val="591"/>
        </w:trPr>
        <w:tc>
          <w:tcPr>
            <w:tcW w:w="915" w:type="pct"/>
            <w:noWrap/>
            <w:vAlign w:val="center"/>
          </w:tcPr>
          <w:p w14:paraId="3D13C489" w14:textId="6D553DB4" w:rsidR="0048407F" w:rsidRPr="0048407F" w:rsidRDefault="0048407F" w:rsidP="00625DAB">
            <w:pPr>
              <w:pStyle w:val="TableTextLeft"/>
              <w:rPr>
                <w:b/>
                <w:sz w:val="18"/>
                <w:szCs w:val="18"/>
              </w:rPr>
            </w:pPr>
            <w:r w:rsidRPr="00DF31C0">
              <w:t>Anna Hughes</w:t>
            </w:r>
          </w:p>
        </w:tc>
        <w:tc>
          <w:tcPr>
            <w:tcW w:w="430" w:type="pct"/>
            <w:noWrap/>
            <w:vAlign w:val="center"/>
          </w:tcPr>
          <w:p w14:paraId="3A67855A" w14:textId="7A2D0990" w:rsidR="0048407F" w:rsidRPr="0048407F" w:rsidRDefault="0048407F" w:rsidP="00625DAB">
            <w:pPr>
              <w:pStyle w:val="TableTextLeft"/>
              <w:rPr>
                <w:b/>
                <w:sz w:val="18"/>
                <w:szCs w:val="18"/>
              </w:rPr>
            </w:pPr>
            <w:r w:rsidRPr="00DF31C0">
              <w:t>CEO</w:t>
            </w:r>
          </w:p>
        </w:tc>
        <w:tc>
          <w:tcPr>
            <w:tcW w:w="617" w:type="pct"/>
            <w:vAlign w:val="center"/>
          </w:tcPr>
          <w:p w14:paraId="30738F69" w14:textId="2CD4DE29" w:rsidR="0048407F" w:rsidRPr="0048407F" w:rsidRDefault="0048407F" w:rsidP="00625DAB">
            <w:pPr>
              <w:pStyle w:val="TableTextLeft"/>
              <w:rPr>
                <w:b/>
                <w:sz w:val="18"/>
                <w:szCs w:val="18"/>
              </w:rPr>
            </w:pPr>
            <w:r w:rsidRPr="00DF31C0">
              <w:t xml:space="preserve">324,386 </w:t>
            </w:r>
          </w:p>
        </w:tc>
        <w:tc>
          <w:tcPr>
            <w:tcW w:w="359" w:type="pct"/>
            <w:vAlign w:val="center"/>
          </w:tcPr>
          <w:p w14:paraId="5C516E15" w14:textId="0C413654" w:rsidR="0048407F" w:rsidRPr="0048407F" w:rsidRDefault="00573640" w:rsidP="00625DAB">
            <w:pPr>
              <w:pStyle w:val="TableTextLeft"/>
              <w:rPr>
                <w:sz w:val="18"/>
                <w:szCs w:val="18"/>
              </w:rPr>
            </w:pPr>
            <w:r>
              <w:t>–</w:t>
            </w:r>
          </w:p>
        </w:tc>
        <w:tc>
          <w:tcPr>
            <w:tcW w:w="359" w:type="pct"/>
            <w:vAlign w:val="center"/>
          </w:tcPr>
          <w:p w14:paraId="3AF90BA6" w14:textId="3CCDF27B" w:rsidR="0048407F" w:rsidRPr="0048407F" w:rsidRDefault="00573640" w:rsidP="00625DAB">
            <w:pPr>
              <w:pStyle w:val="TableTextLeft"/>
              <w:rPr>
                <w:sz w:val="18"/>
                <w:szCs w:val="18"/>
              </w:rPr>
            </w:pPr>
            <w:r>
              <w:t>–</w:t>
            </w:r>
          </w:p>
        </w:tc>
        <w:tc>
          <w:tcPr>
            <w:tcW w:w="546" w:type="pct"/>
            <w:vAlign w:val="center"/>
          </w:tcPr>
          <w:p w14:paraId="7F40A7FB" w14:textId="32D271A4" w:rsidR="0048407F" w:rsidRPr="0048407F" w:rsidRDefault="0048407F" w:rsidP="00625DAB">
            <w:pPr>
              <w:pStyle w:val="TableTextLeft"/>
              <w:rPr>
                <w:b/>
                <w:sz w:val="18"/>
                <w:szCs w:val="18"/>
              </w:rPr>
            </w:pPr>
            <w:r w:rsidRPr="00DF31C0">
              <w:t xml:space="preserve">67,885 </w:t>
            </w:r>
          </w:p>
        </w:tc>
        <w:tc>
          <w:tcPr>
            <w:tcW w:w="477" w:type="pct"/>
            <w:vAlign w:val="center"/>
          </w:tcPr>
          <w:p w14:paraId="6E794FBA" w14:textId="4E5E788B" w:rsidR="0048407F" w:rsidRPr="0048407F" w:rsidRDefault="0048407F" w:rsidP="00625DAB">
            <w:pPr>
              <w:pStyle w:val="TableTextLeft"/>
              <w:rPr>
                <w:b/>
                <w:sz w:val="18"/>
                <w:szCs w:val="18"/>
              </w:rPr>
            </w:pPr>
            <w:r w:rsidRPr="00DF31C0">
              <w:t>9,896</w:t>
            </w:r>
          </w:p>
        </w:tc>
        <w:tc>
          <w:tcPr>
            <w:tcW w:w="359" w:type="pct"/>
            <w:vAlign w:val="center"/>
          </w:tcPr>
          <w:p w14:paraId="3EF4830A" w14:textId="43DC3AD7" w:rsidR="0048407F" w:rsidRPr="0048407F" w:rsidRDefault="00573640" w:rsidP="00625DAB">
            <w:pPr>
              <w:pStyle w:val="TableTextLeft"/>
              <w:rPr>
                <w:sz w:val="18"/>
                <w:szCs w:val="18"/>
              </w:rPr>
            </w:pPr>
            <w:r>
              <w:t>–</w:t>
            </w:r>
          </w:p>
        </w:tc>
        <w:tc>
          <w:tcPr>
            <w:tcW w:w="475" w:type="pct"/>
            <w:vAlign w:val="center"/>
          </w:tcPr>
          <w:p w14:paraId="4553E2D6" w14:textId="72CA21FE" w:rsidR="0048407F" w:rsidRPr="0048407F" w:rsidRDefault="00573640" w:rsidP="00625DAB">
            <w:pPr>
              <w:pStyle w:val="TableTextLeft"/>
              <w:rPr>
                <w:sz w:val="18"/>
                <w:szCs w:val="18"/>
              </w:rPr>
            </w:pPr>
            <w:r>
              <w:t>–</w:t>
            </w:r>
          </w:p>
        </w:tc>
        <w:tc>
          <w:tcPr>
            <w:tcW w:w="463" w:type="pct"/>
            <w:noWrap/>
            <w:vAlign w:val="center"/>
          </w:tcPr>
          <w:p w14:paraId="3E31FB2B" w14:textId="4566629F" w:rsidR="0048407F" w:rsidRPr="0048407F" w:rsidRDefault="0048407F" w:rsidP="00625DAB">
            <w:pPr>
              <w:pStyle w:val="TableTextLeft"/>
              <w:rPr>
                <w:b/>
                <w:sz w:val="18"/>
                <w:szCs w:val="18"/>
              </w:rPr>
            </w:pPr>
            <w:r w:rsidRPr="00DF31C0">
              <w:t xml:space="preserve">403,344 </w:t>
            </w:r>
          </w:p>
        </w:tc>
      </w:tr>
    </w:tbl>
    <w:p w14:paraId="0508A37E" w14:textId="77777777" w:rsidR="00D9039F" w:rsidRDefault="00D9039F" w:rsidP="005B455D"/>
    <w:p w14:paraId="7456CF60" w14:textId="77777777" w:rsidR="00D9039F" w:rsidRDefault="00D9039F" w:rsidP="005B455D">
      <w:r>
        <w:br w:type="page"/>
      </w:r>
    </w:p>
    <w:p w14:paraId="585E6CF0" w14:textId="14EE6DF0" w:rsidR="00E74B48" w:rsidRPr="00B311D4" w:rsidRDefault="00E74B48" w:rsidP="00713231">
      <w:pPr>
        <w:pStyle w:val="Heading3"/>
      </w:pPr>
      <w:bookmarkStart w:id="1208" w:name="_Toc207796101"/>
      <w:r w:rsidRPr="00B311D4">
        <w:lastRenderedPageBreak/>
        <w:t>Other highly</w:t>
      </w:r>
      <w:r w:rsidR="00B84FF2">
        <w:noBreakHyphen/>
      </w:r>
      <w:r w:rsidRPr="00B311D4">
        <w:t>paid staff</w:t>
      </w:r>
      <w:bookmarkEnd w:id="1208"/>
    </w:p>
    <w:p w14:paraId="1AA0E2E5" w14:textId="75789FE0" w:rsidR="00E74B48" w:rsidRPr="007D0068" w:rsidRDefault="00E74B48" w:rsidP="00E74B48">
      <w:pPr>
        <w:pStyle w:val="TableMainHeading"/>
        <w:keepLines/>
      </w:pPr>
      <w:r w:rsidRPr="00F43030">
        <w:t>Table </w:t>
      </w:r>
      <w:r w:rsidR="00D61946" w:rsidRPr="00F43030">
        <w:t>2</w:t>
      </w:r>
      <w:r w:rsidR="00A7164A">
        <w:t>4</w:t>
      </w:r>
      <w:r w:rsidRPr="007D0068">
        <w:t>: Remuneration for highly paid staff</w:t>
      </w:r>
    </w:p>
    <w:tbl>
      <w:tblPr>
        <w:tblStyle w:val="AOFMTablemain"/>
        <w:tblW w:w="4971" w:type="pct"/>
        <w:tblLayout w:type="fixed"/>
        <w:tblLook w:val="04A0" w:firstRow="1" w:lastRow="0" w:firstColumn="1" w:lastColumn="0" w:noHBand="0" w:noVBand="1"/>
      </w:tblPr>
      <w:tblGrid>
        <w:gridCol w:w="851"/>
        <w:gridCol w:w="592"/>
        <w:gridCol w:w="805"/>
        <w:gridCol w:w="663"/>
        <w:gridCol w:w="641"/>
        <w:gridCol w:w="701"/>
        <w:gridCol w:w="983"/>
        <w:gridCol w:w="727"/>
        <w:gridCol w:w="841"/>
        <w:gridCol w:w="862"/>
      </w:tblGrid>
      <w:tr w:rsidR="004676A8" w:rsidRPr="00F808A8" w14:paraId="3778DCF3" w14:textId="77777777" w:rsidTr="00511B71">
        <w:trPr>
          <w:cnfStyle w:val="100000000000" w:firstRow="1" w:lastRow="0" w:firstColumn="0" w:lastColumn="0" w:oddVBand="0" w:evenVBand="0" w:oddHBand="0" w:evenHBand="0" w:firstRowFirstColumn="0" w:firstRowLastColumn="0" w:lastRowFirstColumn="0" w:lastRowLastColumn="0"/>
          <w:trHeight w:val="1493"/>
        </w:trPr>
        <w:tc>
          <w:tcPr>
            <w:tcW w:w="851" w:type="dxa"/>
            <w:noWrap/>
            <w:textDirection w:val="btLr"/>
            <w:vAlign w:val="center"/>
          </w:tcPr>
          <w:p w14:paraId="4B1C6B6F" w14:textId="77777777" w:rsidR="00A7164A" w:rsidRPr="00A7164A" w:rsidRDefault="00A7164A" w:rsidP="002B4A8D">
            <w:pPr>
              <w:pStyle w:val="TableHeaderFinancials"/>
              <w:keepLines/>
              <w:ind w:left="113" w:right="113"/>
              <w:rPr>
                <w:color w:val="auto"/>
                <w:sz w:val="18"/>
                <w:szCs w:val="18"/>
              </w:rPr>
            </w:pPr>
          </w:p>
        </w:tc>
        <w:tc>
          <w:tcPr>
            <w:tcW w:w="592" w:type="dxa"/>
            <w:noWrap/>
            <w:textDirection w:val="btLr"/>
            <w:vAlign w:val="center"/>
          </w:tcPr>
          <w:p w14:paraId="1C526236" w14:textId="77777777" w:rsidR="00A7164A" w:rsidRPr="00A7164A" w:rsidRDefault="00A7164A" w:rsidP="002B4A8D">
            <w:pPr>
              <w:pStyle w:val="TableHeaderFinancials"/>
              <w:keepLines/>
              <w:ind w:left="113" w:right="113"/>
              <w:rPr>
                <w:color w:val="auto"/>
                <w:sz w:val="18"/>
                <w:szCs w:val="18"/>
              </w:rPr>
            </w:pPr>
          </w:p>
        </w:tc>
        <w:tc>
          <w:tcPr>
            <w:tcW w:w="805" w:type="dxa"/>
            <w:textDirection w:val="btLr"/>
            <w:vAlign w:val="center"/>
          </w:tcPr>
          <w:p w14:paraId="1F8E5FC6" w14:textId="7D5DC6B2" w:rsidR="00A7164A" w:rsidRPr="00A7164A" w:rsidRDefault="005B37DA" w:rsidP="002B4A8D">
            <w:pPr>
              <w:pStyle w:val="TableHeaderFinancials"/>
              <w:keepLines/>
              <w:ind w:left="113" w:right="113"/>
              <w:rPr>
                <w:color w:val="auto"/>
                <w:sz w:val="18"/>
                <w:szCs w:val="18"/>
              </w:rPr>
            </w:pPr>
            <w:r w:rsidRPr="00F808A8">
              <w:rPr>
                <w:color w:val="FFFFFF" w:themeColor="background1"/>
                <w:sz w:val="18"/>
                <w:szCs w:val="18"/>
              </w:rPr>
              <w:t>Short</w:t>
            </w:r>
            <w:r w:rsidR="00B84FF2">
              <w:rPr>
                <w:color w:val="FFFFFF" w:themeColor="background1"/>
                <w:sz w:val="18"/>
                <w:szCs w:val="18"/>
              </w:rPr>
              <w:noBreakHyphen/>
            </w:r>
            <w:r w:rsidRPr="00F808A8">
              <w:rPr>
                <w:color w:val="FFFFFF" w:themeColor="background1"/>
                <w:sz w:val="18"/>
                <w:szCs w:val="18"/>
              </w:rPr>
              <w:t>term benefits ($)</w:t>
            </w:r>
          </w:p>
        </w:tc>
        <w:tc>
          <w:tcPr>
            <w:tcW w:w="663" w:type="dxa"/>
            <w:textDirection w:val="btLr"/>
            <w:vAlign w:val="center"/>
          </w:tcPr>
          <w:p w14:paraId="33FD0493" w14:textId="77777777" w:rsidR="00A7164A" w:rsidRPr="00A7164A" w:rsidRDefault="00A7164A" w:rsidP="002B4A8D">
            <w:pPr>
              <w:pStyle w:val="TableHeaderFinancials"/>
              <w:keepLines/>
              <w:ind w:left="113" w:right="113"/>
              <w:rPr>
                <w:color w:val="auto"/>
                <w:sz w:val="18"/>
                <w:szCs w:val="18"/>
              </w:rPr>
            </w:pPr>
          </w:p>
        </w:tc>
        <w:tc>
          <w:tcPr>
            <w:tcW w:w="641" w:type="dxa"/>
            <w:textDirection w:val="btLr"/>
            <w:vAlign w:val="center"/>
          </w:tcPr>
          <w:p w14:paraId="0CA5467C" w14:textId="77777777" w:rsidR="00A7164A" w:rsidRPr="00A7164A" w:rsidRDefault="00A7164A" w:rsidP="002B4A8D">
            <w:pPr>
              <w:pStyle w:val="TableHeaderFinancials"/>
              <w:keepLines/>
              <w:ind w:left="113" w:right="113"/>
              <w:rPr>
                <w:color w:val="auto"/>
                <w:sz w:val="18"/>
                <w:szCs w:val="18"/>
              </w:rPr>
            </w:pPr>
          </w:p>
        </w:tc>
        <w:tc>
          <w:tcPr>
            <w:tcW w:w="701" w:type="dxa"/>
            <w:textDirection w:val="btLr"/>
            <w:vAlign w:val="center"/>
          </w:tcPr>
          <w:p w14:paraId="3B8DB6AC" w14:textId="3D3F073B" w:rsidR="00A7164A" w:rsidRPr="00A7164A" w:rsidRDefault="00B677ED" w:rsidP="002B4A8D">
            <w:pPr>
              <w:pStyle w:val="TableHeaderFinancials"/>
              <w:keepLines/>
              <w:ind w:left="113" w:right="113"/>
              <w:rPr>
                <w:color w:val="auto"/>
                <w:sz w:val="18"/>
                <w:szCs w:val="18"/>
              </w:rPr>
            </w:pPr>
            <w:r w:rsidRPr="00F808A8">
              <w:rPr>
                <w:color w:val="FFFFFF" w:themeColor="background1"/>
                <w:sz w:val="18"/>
                <w:szCs w:val="18"/>
              </w:rPr>
              <w:t>Post</w:t>
            </w:r>
            <w:r w:rsidR="00B84FF2">
              <w:rPr>
                <w:color w:val="FFFFFF" w:themeColor="background1"/>
                <w:sz w:val="18"/>
                <w:szCs w:val="18"/>
              </w:rPr>
              <w:noBreakHyphen/>
            </w:r>
            <w:r w:rsidRPr="00F808A8">
              <w:rPr>
                <w:color w:val="FFFFFF" w:themeColor="background1"/>
                <w:sz w:val="18"/>
                <w:szCs w:val="18"/>
              </w:rPr>
              <w:t>employment ($)</w:t>
            </w:r>
          </w:p>
        </w:tc>
        <w:tc>
          <w:tcPr>
            <w:tcW w:w="983" w:type="dxa"/>
            <w:textDirection w:val="btLr"/>
            <w:vAlign w:val="center"/>
          </w:tcPr>
          <w:p w14:paraId="46A5C418" w14:textId="7FF4D179" w:rsidR="00A7164A" w:rsidRPr="00A7164A" w:rsidRDefault="00B677ED" w:rsidP="002B4A8D">
            <w:pPr>
              <w:pStyle w:val="TableHeaderFinancials"/>
              <w:keepLines/>
              <w:ind w:left="113" w:right="113"/>
              <w:rPr>
                <w:color w:val="auto"/>
                <w:sz w:val="18"/>
                <w:szCs w:val="18"/>
              </w:rPr>
            </w:pPr>
            <w:r w:rsidRPr="00F808A8">
              <w:rPr>
                <w:color w:val="FFFFFF" w:themeColor="background1"/>
                <w:sz w:val="18"/>
                <w:szCs w:val="18"/>
              </w:rPr>
              <w:t>Other long</w:t>
            </w:r>
            <w:r w:rsidR="00B84FF2">
              <w:rPr>
                <w:color w:val="FFFFFF" w:themeColor="background1"/>
                <w:sz w:val="18"/>
                <w:szCs w:val="18"/>
              </w:rPr>
              <w:noBreakHyphen/>
            </w:r>
            <w:r w:rsidRPr="00F808A8">
              <w:rPr>
                <w:color w:val="FFFFFF" w:themeColor="background1"/>
                <w:sz w:val="18"/>
                <w:szCs w:val="18"/>
              </w:rPr>
              <w:t>term benefits ($)</w:t>
            </w:r>
          </w:p>
        </w:tc>
        <w:tc>
          <w:tcPr>
            <w:tcW w:w="727" w:type="dxa"/>
            <w:textDirection w:val="btLr"/>
            <w:vAlign w:val="center"/>
          </w:tcPr>
          <w:p w14:paraId="60609DDD" w14:textId="77777777" w:rsidR="00A7164A" w:rsidRPr="00A7164A" w:rsidRDefault="00A7164A" w:rsidP="002B4A8D">
            <w:pPr>
              <w:pStyle w:val="TableHeaderFinancials"/>
              <w:keepLines/>
              <w:ind w:left="113" w:right="113"/>
              <w:rPr>
                <w:color w:val="auto"/>
                <w:sz w:val="18"/>
                <w:szCs w:val="18"/>
              </w:rPr>
            </w:pPr>
          </w:p>
        </w:tc>
        <w:tc>
          <w:tcPr>
            <w:tcW w:w="841" w:type="dxa"/>
            <w:textDirection w:val="btLr"/>
            <w:vAlign w:val="center"/>
          </w:tcPr>
          <w:p w14:paraId="75951C9F" w14:textId="2AE23EB7" w:rsidR="00A7164A" w:rsidRPr="00A7164A" w:rsidRDefault="00760FEE" w:rsidP="002B4A8D">
            <w:pPr>
              <w:pStyle w:val="TableHeaderFinancials"/>
              <w:keepLines/>
              <w:ind w:left="113" w:right="113"/>
              <w:rPr>
                <w:color w:val="auto"/>
                <w:sz w:val="18"/>
                <w:szCs w:val="18"/>
              </w:rPr>
            </w:pPr>
            <w:r w:rsidRPr="00F808A8">
              <w:rPr>
                <w:color w:val="FFFFFF" w:themeColor="background1"/>
                <w:sz w:val="18"/>
                <w:szCs w:val="18"/>
              </w:rPr>
              <w:t>Termination benefits ($)</w:t>
            </w:r>
          </w:p>
        </w:tc>
        <w:tc>
          <w:tcPr>
            <w:tcW w:w="862" w:type="dxa"/>
            <w:noWrap/>
            <w:textDirection w:val="btLr"/>
            <w:vAlign w:val="center"/>
          </w:tcPr>
          <w:p w14:paraId="7477EAD5" w14:textId="53939BAE" w:rsidR="00A7164A" w:rsidRPr="00A7164A" w:rsidRDefault="00760FEE" w:rsidP="002B4A8D">
            <w:pPr>
              <w:pStyle w:val="TableHeaderFinancials"/>
              <w:keepLines/>
              <w:ind w:left="113" w:right="113"/>
              <w:rPr>
                <w:color w:val="auto"/>
                <w:sz w:val="18"/>
                <w:szCs w:val="18"/>
              </w:rPr>
            </w:pPr>
            <w:r w:rsidRPr="00FB3D13">
              <w:rPr>
                <w:color w:val="FFFFFF" w:themeColor="background1"/>
                <w:sz w:val="18"/>
                <w:szCs w:val="18"/>
              </w:rPr>
              <w:t>Total</w:t>
            </w:r>
            <w:r w:rsidR="002C6EAC" w:rsidRPr="002C6EAC">
              <w:rPr>
                <w:color w:val="FFFFFF" w:themeColor="background1"/>
                <w:sz w:val="18"/>
                <w:szCs w:val="18"/>
              </w:rPr>
              <w:t xml:space="preserve"> ($)</w:t>
            </w:r>
          </w:p>
        </w:tc>
      </w:tr>
      <w:tr w:rsidR="00933DD9" w:rsidRPr="00F808A8" w14:paraId="375119E1" w14:textId="77777777" w:rsidTr="00511B71">
        <w:trPr>
          <w:trHeight w:val="1493"/>
        </w:trPr>
        <w:tc>
          <w:tcPr>
            <w:tcW w:w="851" w:type="dxa"/>
            <w:noWrap/>
            <w:textDirection w:val="btLr"/>
            <w:vAlign w:val="center"/>
            <w:hideMark/>
          </w:tcPr>
          <w:p w14:paraId="5343AD09"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Remuneration band</w:t>
            </w:r>
          </w:p>
        </w:tc>
        <w:tc>
          <w:tcPr>
            <w:tcW w:w="592" w:type="dxa"/>
            <w:noWrap/>
            <w:textDirection w:val="btLr"/>
            <w:vAlign w:val="center"/>
            <w:hideMark/>
          </w:tcPr>
          <w:p w14:paraId="66520AE8"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Number</w:t>
            </w:r>
          </w:p>
        </w:tc>
        <w:tc>
          <w:tcPr>
            <w:tcW w:w="805" w:type="dxa"/>
            <w:textDirection w:val="btLr"/>
            <w:vAlign w:val="center"/>
            <w:hideMark/>
          </w:tcPr>
          <w:p w14:paraId="747961E9"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base salary and annual leave</w:t>
            </w:r>
          </w:p>
        </w:tc>
        <w:tc>
          <w:tcPr>
            <w:tcW w:w="663" w:type="dxa"/>
            <w:textDirection w:val="btLr"/>
            <w:vAlign w:val="center"/>
            <w:hideMark/>
          </w:tcPr>
          <w:p w14:paraId="6FAE1C9B"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bonus</w:t>
            </w:r>
          </w:p>
        </w:tc>
        <w:tc>
          <w:tcPr>
            <w:tcW w:w="641" w:type="dxa"/>
            <w:textDirection w:val="btLr"/>
            <w:vAlign w:val="center"/>
            <w:hideMark/>
          </w:tcPr>
          <w:p w14:paraId="058C54FB"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other benefits</w:t>
            </w:r>
          </w:p>
        </w:tc>
        <w:tc>
          <w:tcPr>
            <w:tcW w:w="701" w:type="dxa"/>
            <w:textDirection w:val="btLr"/>
            <w:vAlign w:val="center"/>
            <w:hideMark/>
          </w:tcPr>
          <w:p w14:paraId="73A4DF99"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super</w:t>
            </w:r>
          </w:p>
        </w:tc>
        <w:tc>
          <w:tcPr>
            <w:tcW w:w="983" w:type="dxa"/>
            <w:textDirection w:val="btLr"/>
            <w:vAlign w:val="center"/>
            <w:hideMark/>
          </w:tcPr>
          <w:p w14:paraId="1722D630"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long service leave</w:t>
            </w:r>
          </w:p>
        </w:tc>
        <w:tc>
          <w:tcPr>
            <w:tcW w:w="727" w:type="dxa"/>
            <w:textDirection w:val="btLr"/>
            <w:vAlign w:val="center"/>
            <w:hideMark/>
          </w:tcPr>
          <w:p w14:paraId="2E7FAE9A"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other benefits</w:t>
            </w:r>
          </w:p>
        </w:tc>
        <w:tc>
          <w:tcPr>
            <w:tcW w:w="841" w:type="dxa"/>
            <w:textDirection w:val="btLr"/>
            <w:vAlign w:val="center"/>
            <w:hideMark/>
          </w:tcPr>
          <w:p w14:paraId="735A2881"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Average termination benefits</w:t>
            </w:r>
          </w:p>
        </w:tc>
        <w:tc>
          <w:tcPr>
            <w:tcW w:w="862" w:type="dxa"/>
            <w:noWrap/>
            <w:textDirection w:val="btLr"/>
            <w:vAlign w:val="center"/>
            <w:hideMark/>
          </w:tcPr>
          <w:p w14:paraId="64D0BF8B" w14:textId="77777777" w:rsidR="00E74B48" w:rsidRPr="00FB3D13" w:rsidRDefault="00E74B48" w:rsidP="002B4A8D">
            <w:pPr>
              <w:pStyle w:val="TableHeaderFinancials"/>
              <w:keepLines/>
              <w:ind w:left="113" w:right="113"/>
              <w:rPr>
                <w:color w:val="auto"/>
                <w:sz w:val="18"/>
                <w:szCs w:val="18"/>
              </w:rPr>
            </w:pPr>
            <w:r w:rsidRPr="00FB3D13">
              <w:rPr>
                <w:color w:val="auto"/>
                <w:sz w:val="18"/>
                <w:szCs w:val="18"/>
              </w:rPr>
              <w:t>Total</w:t>
            </w:r>
          </w:p>
        </w:tc>
      </w:tr>
      <w:tr w:rsidR="00E15250" w:rsidRPr="00F808A8" w14:paraId="162D67A0" w14:textId="77777777" w:rsidTr="00511B71">
        <w:trPr>
          <w:cnfStyle w:val="000000010000" w:firstRow="0" w:lastRow="0" w:firstColumn="0" w:lastColumn="0" w:oddVBand="0" w:evenVBand="0" w:oddHBand="0" w:evenHBand="1" w:firstRowFirstColumn="0" w:firstRowLastColumn="0" w:lastRowFirstColumn="0" w:lastRowLastColumn="0"/>
          <w:trHeight w:val="397"/>
        </w:trPr>
        <w:tc>
          <w:tcPr>
            <w:tcW w:w="851" w:type="dxa"/>
            <w:noWrap/>
          </w:tcPr>
          <w:p w14:paraId="0CACE07B" w14:textId="77777777" w:rsidR="004067C8" w:rsidRPr="00F808A8" w:rsidRDefault="004067C8" w:rsidP="00FB3D13">
            <w:pPr>
              <w:pStyle w:val="TableTextRight"/>
            </w:pPr>
            <w:r w:rsidRPr="00F808A8">
              <w:t>270,001 to 295,000</w:t>
            </w:r>
          </w:p>
        </w:tc>
        <w:tc>
          <w:tcPr>
            <w:tcW w:w="592" w:type="dxa"/>
            <w:noWrap/>
          </w:tcPr>
          <w:p w14:paraId="5F2C751F" w14:textId="77777777" w:rsidR="004067C8" w:rsidRPr="00F808A8" w:rsidRDefault="004067C8" w:rsidP="00FB3D13">
            <w:pPr>
              <w:pStyle w:val="TableTextRight"/>
            </w:pPr>
            <w:r w:rsidRPr="00F808A8">
              <w:t>1</w:t>
            </w:r>
          </w:p>
        </w:tc>
        <w:tc>
          <w:tcPr>
            <w:tcW w:w="805" w:type="dxa"/>
            <w:noWrap/>
          </w:tcPr>
          <w:p w14:paraId="47960712" w14:textId="384528B5" w:rsidR="004067C8" w:rsidRPr="00F808A8" w:rsidRDefault="004067C8" w:rsidP="00FB3D13">
            <w:pPr>
              <w:pStyle w:val="TableTextRight"/>
            </w:pPr>
            <w:r w:rsidRPr="00F808A8">
              <w:t>228,805</w:t>
            </w:r>
          </w:p>
        </w:tc>
        <w:tc>
          <w:tcPr>
            <w:tcW w:w="663" w:type="dxa"/>
            <w:noWrap/>
          </w:tcPr>
          <w:p w14:paraId="619A0B17" w14:textId="12232CB5" w:rsidR="004067C8" w:rsidRPr="00F808A8" w:rsidRDefault="004067C8" w:rsidP="00FB3D13">
            <w:pPr>
              <w:pStyle w:val="TableTextRight"/>
            </w:pPr>
            <w:r w:rsidRPr="0091257A">
              <w:t>–</w:t>
            </w:r>
          </w:p>
        </w:tc>
        <w:tc>
          <w:tcPr>
            <w:tcW w:w="641" w:type="dxa"/>
            <w:noWrap/>
          </w:tcPr>
          <w:p w14:paraId="6DA84B1E" w14:textId="6A76DE70" w:rsidR="004067C8" w:rsidRPr="00F808A8" w:rsidRDefault="004067C8" w:rsidP="00FB3D13">
            <w:pPr>
              <w:pStyle w:val="TableTextRight"/>
            </w:pPr>
            <w:r w:rsidRPr="0091257A">
              <w:t>–</w:t>
            </w:r>
          </w:p>
        </w:tc>
        <w:tc>
          <w:tcPr>
            <w:tcW w:w="701" w:type="dxa"/>
            <w:noWrap/>
          </w:tcPr>
          <w:p w14:paraId="6C56AEF6" w14:textId="393A1B25" w:rsidR="004067C8" w:rsidRPr="00F808A8" w:rsidRDefault="004067C8" w:rsidP="00FB3D13">
            <w:pPr>
              <w:pStyle w:val="TableTextRight"/>
            </w:pPr>
            <w:r w:rsidRPr="00F808A8">
              <w:t>37,217</w:t>
            </w:r>
          </w:p>
        </w:tc>
        <w:tc>
          <w:tcPr>
            <w:tcW w:w="983" w:type="dxa"/>
            <w:noWrap/>
          </w:tcPr>
          <w:p w14:paraId="54831751" w14:textId="0F5B2A20" w:rsidR="004067C8" w:rsidRPr="00F808A8" w:rsidRDefault="004067C8" w:rsidP="00FB3D13">
            <w:pPr>
              <w:pStyle w:val="TableTextRight"/>
            </w:pPr>
            <w:r w:rsidRPr="00F808A8">
              <w:t>12,610</w:t>
            </w:r>
          </w:p>
        </w:tc>
        <w:tc>
          <w:tcPr>
            <w:tcW w:w="727" w:type="dxa"/>
            <w:noWrap/>
          </w:tcPr>
          <w:p w14:paraId="44225352" w14:textId="6D4061DA" w:rsidR="004067C8" w:rsidRPr="00F808A8" w:rsidRDefault="004067C8" w:rsidP="00FB3D13">
            <w:pPr>
              <w:pStyle w:val="TableTextRight"/>
            </w:pPr>
            <w:r w:rsidRPr="00C34A7F">
              <w:t>–</w:t>
            </w:r>
          </w:p>
        </w:tc>
        <w:tc>
          <w:tcPr>
            <w:tcW w:w="841" w:type="dxa"/>
            <w:noWrap/>
          </w:tcPr>
          <w:p w14:paraId="73E342E8" w14:textId="59F6C900" w:rsidR="004067C8" w:rsidRPr="00F808A8" w:rsidRDefault="004067C8" w:rsidP="00FB3D13">
            <w:pPr>
              <w:pStyle w:val="TableTextRight"/>
            </w:pPr>
            <w:r w:rsidRPr="00C34A7F">
              <w:t>–</w:t>
            </w:r>
          </w:p>
        </w:tc>
        <w:tc>
          <w:tcPr>
            <w:tcW w:w="862" w:type="dxa"/>
            <w:noWrap/>
          </w:tcPr>
          <w:p w14:paraId="708AC17A" w14:textId="5A805E42" w:rsidR="004067C8" w:rsidRPr="00F808A8" w:rsidRDefault="004067C8" w:rsidP="00FB3D13">
            <w:pPr>
              <w:pStyle w:val="TableTextRight"/>
            </w:pPr>
            <w:r w:rsidRPr="00F808A8">
              <w:t>278,632</w:t>
            </w:r>
          </w:p>
        </w:tc>
      </w:tr>
      <w:tr w:rsidR="00933DD9" w:rsidRPr="00880701" w14:paraId="0A229FD0" w14:textId="77777777" w:rsidTr="00511B71">
        <w:trPr>
          <w:trHeight w:val="397"/>
        </w:trPr>
        <w:tc>
          <w:tcPr>
            <w:tcW w:w="851" w:type="dxa"/>
            <w:noWrap/>
          </w:tcPr>
          <w:p w14:paraId="66ED13CE" w14:textId="77777777" w:rsidR="004067C8" w:rsidRPr="00F808A8" w:rsidRDefault="004067C8" w:rsidP="00FB3D13">
            <w:pPr>
              <w:pStyle w:val="TableTextRight"/>
            </w:pPr>
            <w:r w:rsidRPr="00F808A8">
              <w:t>295,001 to 320,000</w:t>
            </w:r>
          </w:p>
        </w:tc>
        <w:tc>
          <w:tcPr>
            <w:tcW w:w="592" w:type="dxa"/>
            <w:noWrap/>
          </w:tcPr>
          <w:p w14:paraId="301DA5E5" w14:textId="16E386D0" w:rsidR="004067C8" w:rsidRPr="00F808A8" w:rsidRDefault="004067C8" w:rsidP="00FB3D13">
            <w:pPr>
              <w:pStyle w:val="TableTextRight"/>
            </w:pPr>
            <w:r w:rsidRPr="00F808A8">
              <w:t>1</w:t>
            </w:r>
          </w:p>
        </w:tc>
        <w:tc>
          <w:tcPr>
            <w:tcW w:w="805" w:type="dxa"/>
            <w:noWrap/>
          </w:tcPr>
          <w:p w14:paraId="7C7216C8" w14:textId="45BB1477" w:rsidR="004067C8" w:rsidRPr="00F808A8" w:rsidRDefault="004067C8" w:rsidP="00FB3D13">
            <w:pPr>
              <w:pStyle w:val="TableTextRight"/>
            </w:pPr>
            <w:r w:rsidRPr="00F808A8">
              <w:t>239,000</w:t>
            </w:r>
          </w:p>
        </w:tc>
        <w:tc>
          <w:tcPr>
            <w:tcW w:w="663" w:type="dxa"/>
            <w:noWrap/>
          </w:tcPr>
          <w:p w14:paraId="3FE0F9A2" w14:textId="6B89F8E9" w:rsidR="004067C8" w:rsidRPr="00F808A8" w:rsidRDefault="004067C8" w:rsidP="00FB3D13">
            <w:pPr>
              <w:pStyle w:val="TableTextRight"/>
            </w:pPr>
            <w:r w:rsidRPr="0091257A">
              <w:t>–</w:t>
            </w:r>
          </w:p>
        </w:tc>
        <w:tc>
          <w:tcPr>
            <w:tcW w:w="641" w:type="dxa"/>
            <w:noWrap/>
          </w:tcPr>
          <w:p w14:paraId="34D582CF" w14:textId="271F02C6" w:rsidR="004067C8" w:rsidRPr="00F808A8" w:rsidRDefault="004067C8" w:rsidP="00FB3D13">
            <w:pPr>
              <w:pStyle w:val="TableTextRight"/>
            </w:pPr>
            <w:r w:rsidRPr="0091257A">
              <w:t>–</w:t>
            </w:r>
          </w:p>
        </w:tc>
        <w:tc>
          <w:tcPr>
            <w:tcW w:w="701" w:type="dxa"/>
            <w:noWrap/>
          </w:tcPr>
          <w:p w14:paraId="7E08198F" w14:textId="7FAB07B0" w:rsidR="004067C8" w:rsidRPr="00F808A8" w:rsidRDefault="004067C8" w:rsidP="00FB3D13">
            <w:pPr>
              <w:pStyle w:val="TableTextRight"/>
            </w:pPr>
            <w:r w:rsidRPr="00F808A8">
              <w:t>50,091</w:t>
            </w:r>
          </w:p>
        </w:tc>
        <w:tc>
          <w:tcPr>
            <w:tcW w:w="983" w:type="dxa"/>
            <w:noWrap/>
          </w:tcPr>
          <w:p w14:paraId="17C98567" w14:textId="6C6A3709" w:rsidR="004067C8" w:rsidRPr="00F808A8" w:rsidRDefault="004067C8" w:rsidP="00FB3D13">
            <w:pPr>
              <w:pStyle w:val="TableTextRight"/>
            </w:pPr>
            <w:r w:rsidRPr="00F808A8">
              <w:t>13,976</w:t>
            </w:r>
          </w:p>
        </w:tc>
        <w:tc>
          <w:tcPr>
            <w:tcW w:w="727" w:type="dxa"/>
            <w:noWrap/>
          </w:tcPr>
          <w:p w14:paraId="290F7D09" w14:textId="6BBA30C8" w:rsidR="004067C8" w:rsidRPr="00F808A8" w:rsidRDefault="004067C8" w:rsidP="00FB3D13">
            <w:pPr>
              <w:pStyle w:val="TableTextRight"/>
            </w:pPr>
            <w:r w:rsidRPr="00C34A7F">
              <w:t>–</w:t>
            </w:r>
          </w:p>
        </w:tc>
        <w:tc>
          <w:tcPr>
            <w:tcW w:w="841" w:type="dxa"/>
            <w:noWrap/>
          </w:tcPr>
          <w:p w14:paraId="523C9A16" w14:textId="60EE541A" w:rsidR="004067C8" w:rsidRPr="00F808A8" w:rsidRDefault="004067C8" w:rsidP="00FB3D13">
            <w:pPr>
              <w:pStyle w:val="TableTextRight"/>
            </w:pPr>
            <w:r w:rsidRPr="00C34A7F">
              <w:t>–</w:t>
            </w:r>
          </w:p>
        </w:tc>
        <w:tc>
          <w:tcPr>
            <w:tcW w:w="862" w:type="dxa"/>
            <w:noWrap/>
          </w:tcPr>
          <w:p w14:paraId="79F01355" w14:textId="062644C2" w:rsidR="004067C8" w:rsidRPr="00F808A8" w:rsidRDefault="004067C8" w:rsidP="00FB3D13">
            <w:pPr>
              <w:pStyle w:val="TableTextRight"/>
            </w:pPr>
            <w:r w:rsidRPr="00F808A8">
              <w:t>303,067</w:t>
            </w:r>
          </w:p>
        </w:tc>
      </w:tr>
      <w:tr w:rsidR="00E15250" w:rsidRPr="00F808A8" w14:paraId="0C8A2651" w14:textId="77777777" w:rsidTr="00511B71">
        <w:trPr>
          <w:cnfStyle w:val="000000010000" w:firstRow="0" w:lastRow="0" w:firstColumn="0" w:lastColumn="0" w:oddVBand="0" w:evenVBand="0" w:oddHBand="0" w:evenHBand="1" w:firstRowFirstColumn="0" w:firstRowLastColumn="0" w:lastRowFirstColumn="0" w:lastRowLastColumn="0"/>
          <w:trHeight w:val="397"/>
        </w:trPr>
        <w:tc>
          <w:tcPr>
            <w:tcW w:w="851" w:type="dxa"/>
            <w:noWrap/>
          </w:tcPr>
          <w:p w14:paraId="6D59B2D2" w14:textId="77777777" w:rsidR="004067C8" w:rsidRPr="00F808A8" w:rsidRDefault="004067C8" w:rsidP="00FB3D13">
            <w:pPr>
              <w:pStyle w:val="TableTextRight"/>
            </w:pPr>
            <w:r w:rsidRPr="00F808A8">
              <w:t>320,001 to 345,000</w:t>
            </w:r>
          </w:p>
        </w:tc>
        <w:tc>
          <w:tcPr>
            <w:tcW w:w="592" w:type="dxa"/>
            <w:noWrap/>
          </w:tcPr>
          <w:p w14:paraId="252E0E56" w14:textId="59996D02" w:rsidR="004067C8" w:rsidRPr="00F808A8" w:rsidRDefault="004067C8" w:rsidP="00FB3D13">
            <w:pPr>
              <w:pStyle w:val="TableTextRight"/>
            </w:pPr>
            <w:r w:rsidRPr="00F808A8">
              <w:t>2</w:t>
            </w:r>
          </w:p>
        </w:tc>
        <w:tc>
          <w:tcPr>
            <w:tcW w:w="805" w:type="dxa"/>
            <w:noWrap/>
          </w:tcPr>
          <w:p w14:paraId="72E8D062" w14:textId="3E7935AA" w:rsidR="004067C8" w:rsidRPr="00F808A8" w:rsidRDefault="004067C8" w:rsidP="00FB3D13">
            <w:pPr>
              <w:pStyle w:val="TableTextRight"/>
            </w:pPr>
            <w:r w:rsidRPr="00F808A8">
              <w:t>279,549</w:t>
            </w:r>
          </w:p>
        </w:tc>
        <w:tc>
          <w:tcPr>
            <w:tcW w:w="663" w:type="dxa"/>
            <w:noWrap/>
          </w:tcPr>
          <w:p w14:paraId="688F22F4" w14:textId="321D5591" w:rsidR="004067C8" w:rsidRPr="00F808A8" w:rsidRDefault="004067C8" w:rsidP="00FB3D13">
            <w:pPr>
              <w:pStyle w:val="TableTextRight"/>
            </w:pPr>
            <w:r w:rsidRPr="0091257A">
              <w:t>–</w:t>
            </w:r>
          </w:p>
        </w:tc>
        <w:tc>
          <w:tcPr>
            <w:tcW w:w="641" w:type="dxa"/>
            <w:noWrap/>
          </w:tcPr>
          <w:p w14:paraId="563CE572" w14:textId="2A6879A3" w:rsidR="004067C8" w:rsidRPr="00F808A8" w:rsidRDefault="004067C8" w:rsidP="00FB3D13">
            <w:pPr>
              <w:pStyle w:val="TableTextRight"/>
            </w:pPr>
            <w:r w:rsidRPr="0091257A">
              <w:t>–</w:t>
            </w:r>
          </w:p>
        </w:tc>
        <w:tc>
          <w:tcPr>
            <w:tcW w:w="701" w:type="dxa"/>
            <w:noWrap/>
          </w:tcPr>
          <w:p w14:paraId="793B3B73" w14:textId="1689F931" w:rsidR="004067C8" w:rsidRPr="00F808A8" w:rsidRDefault="004067C8" w:rsidP="00FB3D13">
            <w:pPr>
              <w:pStyle w:val="TableTextRight"/>
            </w:pPr>
            <w:r w:rsidRPr="00F808A8">
              <w:t>41,781</w:t>
            </w:r>
          </w:p>
        </w:tc>
        <w:tc>
          <w:tcPr>
            <w:tcW w:w="983" w:type="dxa"/>
            <w:noWrap/>
          </w:tcPr>
          <w:p w14:paraId="7064A056" w14:textId="6F22FA76" w:rsidR="004067C8" w:rsidRPr="00F808A8" w:rsidRDefault="004067C8" w:rsidP="00FB3D13">
            <w:pPr>
              <w:pStyle w:val="TableTextRight"/>
            </w:pPr>
            <w:r w:rsidRPr="00F808A8">
              <w:t>10,231</w:t>
            </w:r>
          </w:p>
        </w:tc>
        <w:tc>
          <w:tcPr>
            <w:tcW w:w="727" w:type="dxa"/>
            <w:noWrap/>
          </w:tcPr>
          <w:p w14:paraId="5F68034B" w14:textId="050F3384" w:rsidR="004067C8" w:rsidRPr="00F808A8" w:rsidRDefault="004067C8" w:rsidP="00FB3D13">
            <w:pPr>
              <w:pStyle w:val="TableTextRight"/>
            </w:pPr>
            <w:r w:rsidRPr="00C34A7F">
              <w:t>–</w:t>
            </w:r>
          </w:p>
        </w:tc>
        <w:tc>
          <w:tcPr>
            <w:tcW w:w="841" w:type="dxa"/>
            <w:noWrap/>
          </w:tcPr>
          <w:p w14:paraId="34533E6C" w14:textId="33380581" w:rsidR="004067C8" w:rsidRPr="00F808A8" w:rsidRDefault="004067C8" w:rsidP="00FB3D13">
            <w:pPr>
              <w:pStyle w:val="TableTextRight"/>
            </w:pPr>
            <w:r w:rsidRPr="00C34A7F">
              <w:t>–</w:t>
            </w:r>
          </w:p>
        </w:tc>
        <w:tc>
          <w:tcPr>
            <w:tcW w:w="862" w:type="dxa"/>
            <w:noWrap/>
          </w:tcPr>
          <w:p w14:paraId="788E7778" w14:textId="5A46BF14" w:rsidR="004067C8" w:rsidRPr="00F808A8" w:rsidRDefault="004067C8" w:rsidP="00FB3D13">
            <w:pPr>
              <w:pStyle w:val="TableTextRight"/>
            </w:pPr>
            <w:r w:rsidRPr="00F808A8">
              <w:t>331,561</w:t>
            </w:r>
          </w:p>
        </w:tc>
      </w:tr>
      <w:tr w:rsidR="00933DD9" w:rsidRPr="00880701" w14:paraId="28BB9A0B" w14:textId="77777777" w:rsidTr="00511B71">
        <w:trPr>
          <w:trHeight w:val="397"/>
        </w:trPr>
        <w:tc>
          <w:tcPr>
            <w:tcW w:w="851" w:type="dxa"/>
            <w:noWrap/>
          </w:tcPr>
          <w:p w14:paraId="2AEC9E4F" w14:textId="77777777" w:rsidR="004067C8" w:rsidRPr="00F808A8" w:rsidRDefault="004067C8" w:rsidP="00FB3D13">
            <w:pPr>
              <w:pStyle w:val="TableTextRight"/>
            </w:pPr>
            <w:r w:rsidRPr="00F808A8">
              <w:t>345,001 to 370,000</w:t>
            </w:r>
          </w:p>
        </w:tc>
        <w:tc>
          <w:tcPr>
            <w:tcW w:w="592" w:type="dxa"/>
            <w:noWrap/>
          </w:tcPr>
          <w:p w14:paraId="52820EF8" w14:textId="77777777" w:rsidR="004067C8" w:rsidRPr="00F808A8" w:rsidRDefault="004067C8" w:rsidP="00FB3D13">
            <w:pPr>
              <w:pStyle w:val="TableTextRight"/>
            </w:pPr>
            <w:r w:rsidRPr="00F808A8">
              <w:t>1</w:t>
            </w:r>
          </w:p>
        </w:tc>
        <w:tc>
          <w:tcPr>
            <w:tcW w:w="805" w:type="dxa"/>
            <w:noWrap/>
          </w:tcPr>
          <w:p w14:paraId="62852ADD" w14:textId="3E62D8DC" w:rsidR="004067C8" w:rsidRPr="00F808A8" w:rsidRDefault="004067C8" w:rsidP="00FB3D13">
            <w:pPr>
              <w:pStyle w:val="TableTextRight"/>
            </w:pPr>
            <w:r w:rsidRPr="00F808A8">
              <w:t>299,990</w:t>
            </w:r>
          </w:p>
        </w:tc>
        <w:tc>
          <w:tcPr>
            <w:tcW w:w="663" w:type="dxa"/>
            <w:noWrap/>
          </w:tcPr>
          <w:p w14:paraId="29CA5A45" w14:textId="0737E256" w:rsidR="004067C8" w:rsidRPr="00F808A8" w:rsidRDefault="004067C8" w:rsidP="00FB3D13">
            <w:pPr>
              <w:pStyle w:val="TableTextRight"/>
            </w:pPr>
            <w:r w:rsidRPr="0091257A">
              <w:t>–</w:t>
            </w:r>
          </w:p>
        </w:tc>
        <w:tc>
          <w:tcPr>
            <w:tcW w:w="641" w:type="dxa"/>
            <w:noWrap/>
          </w:tcPr>
          <w:p w14:paraId="52F5D7D1" w14:textId="05F2A0C3" w:rsidR="004067C8" w:rsidRPr="00F808A8" w:rsidRDefault="004067C8" w:rsidP="00FB3D13">
            <w:pPr>
              <w:pStyle w:val="TableTextRight"/>
            </w:pPr>
            <w:r w:rsidRPr="0091257A">
              <w:t>–</w:t>
            </w:r>
          </w:p>
        </w:tc>
        <w:tc>
          <w:tcPr>
            <w:tcW w:w="701" w:type="dxa"/>
            <w:noWrap/>
          </w:tcPr>
          <w:p w14:paraId="3C654318" w14:textId="559E4EE7" w:rsidR="004067C8" w:rsidRPr="00F808A8" w:rsidRDefault="004067C8" w:rsidP="00FB3D13">
            <w:pPr>
              <w:pStyle w:val="TableTextRight"/>
            </w:pPr>
            <w:r w:rsidRPr="00F808A8">
              <w:t>40,429</w:t>
            </w:r>
          </w:p>
        </w:tc>
        <w:tc>
          <w:tcPr>
            <w:tcW w:w="983" w:type="dxa"/>
            <w:noWrap/>
          </w:tcPr>
          <w:p w14:paraId="13CBC537" w14:textId="1EE90788" w:rsidR="004067C8" w:rsidRPr="00F808A8" w:rsidRDefault="004067C8" w:rsidP="00FB3D13">
            <w:pPr>
              <w:pStyle w:val="TableTextRight"/>
            </w:pPr>
            <w:r w:rsidRPr="00F808A8">
              <w:t>7,925</w:t>
            </w:r>
          </w:p>
        </w:tc>
        <w:tc>
          <w:tcPr>
            <w:tcW w:w="727" w:type="dxa"/>
            <w:noWrap/>
          </w:tcPr>
          <w:p w14:paraId="0B598C20" w14:textId="480E1010" w:rsidR="004067C8" w:rsidRPr="00F808A8" w:rsidRDefault="004067C8" w:rsidP="00FB3D13">
            <w:pPr>
              <w:pStyle w:val="TableTextRight"/>
            </w:pPr>
            <w:r w:rsidRPr="00C34A7F">
              <w:t>–</w:t>
            </w:r>
          </w:p>
        </w:tc>
        <w:tc>
          <w:tcPr>
            <w:tcW w:w="841" w:type="dxa"/>
            <w:noWrap/>
          </w:tcPr>
          <w:p w14:paraId="0561637F" w14:textId="5E8B0AA1" w:rsidR="004067C8" w:rsidRPr="00F808A8" w:rsidRDefault="004067C8" w:rsidP="00FB3D13">
            <w:pPr>
              <w:pStyle w:val="TableTextRight"/>
            </w:pPr>
            <w:r w:rsidRPr="00C34A7F">
              <w:t>–</w:t>
            </w:r>
          </w:p>
        </w:tc>
        <w:tc>
          <w:tcPr>
            <w:tcW w:w="862" w:type="dxa"/>
            <w:noWrap/>
          </w:tcPr>
          <w:p w14:paraId="0432B7A3" w14:textId="6775E9EF" w:rsidR="004067C8" w:rsidRPr="00F808A8" w:rsidRDefault="004067C8" w:rsidP="00FB3D13">
            <w:pPr>
              <w:pStyle w:val="TableTextRight"/>
            </w:pPr>
            <w:r w:rsidRPr="00F808A8">
              <w:t>348,344</w:t>
            </w:r>
          </w:p>
        </w:tc>
      </w:tr>
      <w:tr w:rsidR="00E15250" w:rsidRPr="00F808A8" w14:paraId="779243CC" w14:textId="77777777" w:rsidTr="00511B71">
        <w:trPr>
          <w:cnfStyle w:val="000000010000" w:firstRow="0" w:lastRow="0" w:firstColumn="0" w:lastColumn="0" w:oddVBand="0" w:evenVBand="0" w:oddHBand="0" w:evenHBand="1" w:firstRowFirstColumn="0" w:firstRowLastColumn="0" w:lastRowFirstColumn="0" w:lastRowLastColumn="0"/>
          <w:trHeight w:val="663"/>
        </w:trPr>
        <w:tc>
          <w:tcPr>
            <w:tcW w:w="851" w:type="dxa"/>
            <w:noWrap/>
          </w:tcPr>
          <w:p w14:paraId="401169D1" w14:textId="78839B01" w:rsidR="004067C8" w:rsidRPr="00F808A8" w:rsidRDefault="1BBB7052" w:rsidP="00FB3D13">
            <w:pPr>
              <w:pStyle w:val="TableTextRight"/>
            </w:pPr>
            <w:r>
              <w:t xml:space="preserve">Above </w:t>
            </w:r>
            <w:r w:rsidR="00754BAE">
              <w:t>495,00</w:t>
            </w:r>
            <w:r w:rsidR="00685CD2">
              <w:t>1</w:t>
            </w:r>
            <w:r w:rsidR="003D0B46">
              <w:t xml:space="preserve"> </w:t>
            </w:r>
          </w:p>
        </w:tc>
        <w:tc>
          <w:tcPr>
            <w:tcW w:w="592" w:type="dxa"/>
            <w:noWrap/>
          </w:tcPr>
          <w:p w14:paraId="77155E40" w14:textId="575F1F4D" w:rsidR="004067C8" w:rsidRPr="00F808A8" w:rsidRDefault="004067C8" w:rsidP="00FB3D13">
            <w:pPr>
              <w:pStyle w:val="TableTextRight"/>
            </w:pPr>
            <w:r w:rsidRPr="00F808A8">
              <w:t>2</w:t>
            </w:r>
          </w:p>
        </w:tc>
        <w:tc>
          <w:tcPr>
            <w:tcW w:w="805" w:type="dxa"/>
            <w:noWrap/>
          </w:tcPr>
          <w:p w14:paraId="09CDA99A" w14:textId="6E181BB8" w:rsidR="004067C8" w:rsidRPr="00F808A8" w:rsidRDefault="004067C8" w:rsidP="00FB3D13">
            <w:pPr>
              <w:pStyle w:val="TableTextRight"/>
            </w:pPr>
            <w:r w:rsidRPr="00F808A8">
              <w:t>400,223</w:t>
            </w:r>
          </w:p>
        </w:tc>
        <w:tc>
          <w:tcPr>
            <w:tcW w:w="663" w:type="dxa"/>
            <w:noWrap/>
          </w:tcPr>
          <w:p w14:paraId="31F01F3C" w14:textId="30CB0447" w:rsidR="004067C8" w:rsidRPr="00F808A8" w:rsidRDefault="004067C8" w:rsidP="00FB3D13">
            <w:pPr>
              <w:pStyle w:val="TableTextRight"/>
            </w:pPr>
            <w:r w:rsidRPr="0091257A">
              <w:t>–</w:t>
            </w:r>
          </w:p>
        </w:tc>
        <w:tc>
          <w:tcPr>
            <w:tcW w:w="641" w:type="dxa"/>
            <w:noWrap/>
          </w:tcPr>
          <w:p w14:paraId="63EB13AA" w14:textId="776FE950" w:rsidR="004067C8" w:rsidRPr="00F808A8" w:rsidRDefault="004067C8" w:rsidP="00FB3D13">
            <w:pPr>
              <w:pStyle w:val="TableTextRight"/>
            </w:pPr>
            <w:r w:rsidRPr="0091257A">
              <w:t>–</w:t>
            </w:r>
          </w:p>
        </w:tc>
        <w:tc>
          <w:tcPr>
            <w:tcW w:w="701" w:type="dxa"/>
            <w:noWrap/>
          </w:tcPr>
          <w:p w14:paraId="4C5E5CEA" w14:textId="67701B53" w:rsidR="004067C8" w:rsidRPr="00F808A8" w:rsidRDefault="004067C8" w:rsidP="00FB3D13">
            <w:pPr>
              <w:pStyle w:val="TableTextRight"/>
            </w:pPr>
            <w:r w:rsidRPr="00F808A8">
              <w:t>40,599</w:t>
            </w:r>
          </w:p>
        </w:tc>
        <w:tc>
          <w:tcPr>
            <w:tcW w:w="983" w:type="dxa"/>
            <w:noWrap/>
          </w:tcPr>
          <w:p w14:paraId="5B1F5605" w14:textId="367DE5E4" w:rsidR="004067C8" w:rsidRPr="00F808A8" w:rsidRDefault="00B84FF2" w:rsidP="00FB3D13">
            <w:pPr>
              <w:pStyle w:val="TableTextRight"/>
            </w:pPr>
            <w:r>
              <w:noBreakHyphen/>
            </w:r>
            <w:r w:rsidR="004067C8" w:rsidRPr="00F808A8">
              <w:t>174,112</w:t>
            </w:r>
          </w:p>
        </w:tc>
        <w:tc>
          <w:tcPr>
            <w:tcW w:w="727" w:type="dxa"/>
            <w:noWrap/>
          </w:tcPr>
          <w:p w14:paraId="5C33F5ED" w14:textId="6373F547" w:rsidR="004067C8" w:rsidRPr="00F808A8" w:rsidRDefault="004067C8" w:rsidP="00FB3D13">
            <w:pPr>
              <w:pStyle w:val="TableTextRight"/>
            </w:pPr>
            <w:r>
              <w:t>–</w:t>
            </w:r>
          </w:p>
        </w:tc>
        <w:tc>
          <w:tcPr>
            <w:tcW w:w="841" w:type="dxa"/>
            <w:noWrap/>
          </w:tcPr>
          <w:p w14:paraId="506E6574" w14:textId="2BC6C0B4" w:rsidR="004067C8" w:rsidRPr="00F808A8" w:rsidRDefault="004067C8" w:rsidP="00FB3D13">
            <w:pPr>
              <w:pStyle w:val="TableTextRight"/>
            </w:pPr>
            <w:r w:rsidRPr="00F808A8">
              <w:t>316,818</w:t>
            </w:r>
          </w:p>
        </w:tc>
        <w:tc>
          <w:tcPr>
            <w:tcW w:w="862" w:type="dxa"/>
            <w:noWrap/>
          </w:tcPr>
          <w:p w14:paraId="3637039C" w14:textId="269CF02F" w:rsidR="004067C8" w:rsidRPr="00F808A8" w:rsidRDefault="004067C8" w:rsidP="00FB3D13">
            <w:pPr>
              <w:pStyle w:val="TableTextRight"/>
            </w:pPr>
            <w:r w:rsidRPr="00F808A8">
              <w:t>583,528</w:t>
            </w:r>
          </w:p>
        </w:tc>
      </w:tr>
    </w:tbl>
    <w:p w14:paraId="130E1FFB" w14:textId="77777777" w:rsidR="0083251F" w:rsidRDefault="0083251F" w:rsidP="005B455D"/>
    <w:p w14:paraId="3089FDDB" w14:textId="77777777" w:rsidR="0083251F" w:rsidRDefault="0083251F" w:rsidP="005B455D">
      <w:r>
        <w:br w:type="page"/>
      </w:r>
    </w:p>
    <w:p w14:paraId="11B5D9D3" w14:textId="60FA7CE4" w:rsidR="00F00D6F" w:rsidRDefault="00F00D6F" w:rsidP="00592520">
      <w:pPr>
        <w:pStyle w:val="Heading1-alpha"/>
      </w:pPr>
      <w:bookmarkStart w:id="1209" w:name="_Toc173327336"/>
      <w:bookmarkStart w:id="1210" w:name="_Toc173327789"/>
      <w:bookmarkStart w:id="1211" w:name="_Toc173395312"/>
      <w:bookmarkStart w:id="1212" w:name="_Toc173395389"/>
      <w:bookmarkStart w:id="1213" w:name="_Toc173396611"/>
      <w:bookmarkStart w:id="1214" w:name="_Toc173408205"/>
      <w:bookmarkStart w:id="1215" w:name="_Toc173411527"/>
      <w:bookmarkStart w:id="1216" w:name="_Toc173479206"/>
      <w:bookmarkStart w:id="1217" w:name="_Toc173743082"/>
      <w:bookmarkStart w:id="1218" w:name="_Toc173743243"/>
      <w:bookmarkStart w:id="1219" w:name="_Toc173766804"/>
      <w:bookmarkStart w:id="1220" w:name="_Toc174468568"/>
      <w:bookmarkStart w:id="1221" w:name="_Toc175906463"/>
      <w:bookmarkStart w:id="1222" w:name="_Toc176160565"/>
      <w:bookmarkStart w:id="1223" w:name="_Toc176163194"/>
      <w:bookmarkStart w:id="1224" w:name="_Toc205474328"/>
      <w:bookmarkStart w:id="1225" w:name="_Toc207792909"/>
      <w:bookmarkStart w:id="1226" w:name="_Toc207793948"/>
      <w:bookmarkStart w:id="1227" w:name="_Toc207795655"/>
      <w:bookmarkStart w:id="1228" w:name="_Toc207796102"/>
      <w:bookmarkStart w:id="1229" w:name="_Toc207796953"/>
      <w:bookmarkStart w:id="1230" w:name="_Toc207797305"/>
      <w:bookmarkStart w:id="1231" w:name="_Toc207800255"/>
      <w:bookmarkStart w:id="1232" w:name="_Toc207810833"/>
      <w:bookmarkStart w:id="1233" w:name="_Toc208913980"/>
      <w:bookmarkStart w:id="1234" w:name="_Toc208914112"/>
      <w:bookmarkStart w:id="1235" w:name="_Toc209424509"/>
      <w:bookmarkStart w:id="1236" w:name="_Toc209424598"/>
      <w:r>
        <w:lastRenderedPageBreak/>
        <w:t>Purchasing and</w:t>
      </w:r>
      <w:r w:rsidR="00223761">
        <w:t xml:space="preserve"> </w:t>
      </w:r>
      <w:r>
        <w:t>procurement</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14:paraId="6522AA04" w14:textId="0A633781" w:rsidR="00AC49FA" w:rsidRDefault="00AC49FA" w:rsidP="00AC49FA">
      <w:r w:rsidRPr="00E501F4">
        <w:rPr>
          <w:rFonts w:cstheme="minorBidi"/>
          <w:szCs w:val="22"/>
        </w:rPr>
        <w:t xml:space="preserve">Under the </w:t>
      </w:r>
      <w:r w:rsidR="00487890" w:rsidRPr="009216A4">
        <w:rPr>
          <w:i/>
          <w:iCs/>
        </w:rPr>
        <w:t>Public Governance, Performance and Accountability</w:t>
      </w:r>
      <w:r w:rsidR="00487890" w:rsidRPr="009216A4">
        <w:rPr>
          <w:rFonts w:cstheme="minorBidi"/>
          <w:i/>
          <w:iCs/>
          <w:szCs w:val="22"/>
        </w:rPr>
        <w:t xml:space="preserve"> Act 2023</w:t>
      </w:r>
      <w:r w:rsidR="00487890">
        <w:rPr>
          <w:rFonts w:cstheme="minorBidi"/>
          <w:szCs w:val="22"/>
        </w:rPr>
        <w:t xml:space="preserve"> (</w:t>
      </w:r>
      <w:r w:rsidRPr="00E501F4">
        <w:rPr>
          <w:rFonts w:cstheme="minorBidi"/>
          <w:szCs w:val="22"/>
        </w:rPr>
        <w:t>PGPA Act</w:t>
      </w:r>
      <w:r w:rsidR="00487890">
        <w:rPr>
          <w:rFonts w:cstheme="minorBidi"/>
          <w:szCs w:val="22"/>
        </w:rPr>
        <w:t>)</w:t>
      </w:r>
      <w:r w:rsidRPr="00E501F4">
        <w:rPr>
          <w:rFonts w:cstheme="minorBidi"/>
          <w:szCs w:val="22"/>
        </w:rPr>
        <w:t xml:space="preserve">, the </w:t>
      </w:r>
      <w:r w:rsidR="00487890">
        <w:rPr>
          <w:rFonts w:cstheme="minorBidi"/>
          <w:szCs w:val="22"/>
        </w:rPr>
        <w:t>Chief Executive Officer (CEO) of the Australian Office of Financial Management (</w:t>
      </w:r>
      <w:r w:rsidRPr="00E501F4">
        <w:rPr>
          <w:rFonts w:cstheme="minorBidi"/>
          <w:szCs w:val="22"/>
        </w:rPr>
        <w:t>AOFM</w:t>
      </w:r>
      <w:r w:rsidR="00487890">
        <w:rPr>
          <w:rFonts w:cstheme="minorBidi"/>
          <w:szCs w:val="22"/>
        </w:rPr>
        <w:t>)</w:t>
      </w:r>
      <w:r w:rsidRPr="00E501F4">
        <w:rPr>
          <w:rFonts w:cstheme="minorBidi"/>
          <w:szCs w:val="22"/>
        </w:rPr>
        <w:t xml:space="preserve"> is responsible for the </w:t>
      </w:r>
      <w:r>
        <w:rPr>
          <w:rFonts w:cstheme="minorBidi"/>
          <w:szCs w:val="22"/>
        </w:rPr>
        <w:t>AOFM</w:t>
      </w:r>
      <w:r w:rsidR="00B84FF2">
        <w:rPr>
          <w:rFonts w:cstheme="minorBidi"/>
          <w:szCs w:val="22"/>
        </w:rPr>
        <w:t>’</w:t>
      </w:r>
      <w:r>
        <w:rPr>
          <w:rFonts w:cstheme="minorBidi"/>
          <w:szCs w:val="22"/>
        </w:rPr>
        <w:t xml:space="preserve">s </w:t>
      </w:r>
      <w:r w:rsidRPr="00E501F4">
        <w:rPr>
          <w:rFonts w:cstheme="minorBidi"/>
          <w:szCs w:val="22"/>
        </w:rPr>
        <w:t>proper use of public resources. This responsibility includes developing policies, procedures and systems for conducting procurements.</w:t>
      </w:r>
    </w:p>
    <w:p w14:paraId="7DE13A9C" w14:textId="03998A05" w:rsidR="00AC49FA" w:rsidRDefault="00AC49FA" w:rsidP="00AC49FA">
      <w:r w:rsidRPr="006534F5">
        <w:t xml:space="preserve">During </w:t>
      </w:r>
      <w:r>
        <w:t>2024–25</w:t>
      </w:r>
      <w:r w:rsidRPr="006534F5">
        <w:t xml:space="preserve">, </w:t>
      </w:r>
      <w:r>
        <w:t xml:space="preserve">the </w:t>
      </w:r>
      <w:r w:rsidRPr="006534F5">
        <w:t>AOFM</w:t>
      </w:r>
      <w:r w:rsidR="00B84FF2">
        <w:t>’</w:t>
      </w:r>
      <w:r>
        <w:t>s</w:t>
      </w:r>
      <w:r w:rsidRPr="006534F5">
        <w:t xml:space="preserve"> purchasing activities were consistent with and reflected the principles of the </w:t>
      </w:r>
      <w:r w:rsidRPr="005E5A74">
        <w:t>Commonwealth Procurement Rules</w:t>
      </w:r>
      <w:r w:rsidRPr="006534F5">
        <w:t xml:space="preserve"> (CPRs). </w:t>
      </w:r>
      <w:r w:rsidR="00352618">
        <w:t>We</w:t>
      </w:r>
      <w:r w:rsidRPr="006534F5">
        <w:t xml:space="preserve"> applied</w:t>
      </w:r>
      <w:r w:rsidR="00352618">
        <w:t xml:space="preserve"> these</w:t>
      </w:r>
      <w:r w:rsidRPr="006534F5">
        <w:t xml:space="preserve"> to </w:t>
      </w:r>
      <w:r>
        <w:t xml:space="preserve">the </w:t>
      </w:r>
      <w:r w:rsidRPr="006534F5">
        <w:t>AOFM</w:t>
      </w:r>
      <w:r w:rsidR="00B84FF2">
        <w:t>’</w:t>
      </w:r>
      <w:r>
        <w:t>s</w:t>
      </w:r>
      <w:r w:rsidRPr="006534F5">
        <w:t xml:space="preserve"> activities through the </w:t>
      </w:r>
      <w:r w:rsidRPr="005E5A74">
        <w:t>Accountable Authority Instructions</w:t>
      </w:r>
      <w:r w:rsidRPr="006534F5">
        <w:t xml:space="preserve"> and supporting internal policies and procedures.</w:t>
      </w:r>
    </w:p>
    <w:p w14:paraId="4D123703" w14:textId="763F5987" w:rsidR="00AC49FA" w:rsidRPr="00AC49FA" w:rsidRDefault="00A86855" w:rsidP="00351E94">
      <w:r>
        <w:t>We</w:t>
      </w:r>
      <w:r w:rsidR="00AC49FA" w:rsidRPr="006534F5">
        <w:t xml:space="preserve"> reported data </w:t>
      </w:r>
      <w:r w:rsidR="00352618" w:rsidRPr="006534F5">
        <w:t xml:space="preserve">on </w:t>
      </w:r>
      <w:proofErr w:type="spellStart"/>
      <w:r w:rsidR="00352618" w:rsidRPr="006534F5">
        <w:t>AusTender</w:t>
      </w:r>
      <w:proofErr w:type="spellEnd"/>
      <w:r w:rsidR="00352618" w:rsidRPr="006534F5">
        <w:t xml:space="preserve"> </w:t>
      </w:r>
      <w:r w:rsidR="00AC49FA" w:rsidRPr="006534F5">
        <w:t xml:space="preserve">for contracts awarded with a value of $10,000 or higher. </w:t>
      </w:r>
      <w:r w:rsidR="00352618">
        <w:t xml:space="preserve">We also published on the </w:t>
      </w:r>
      <w:hyperlink r:id="rId111" w:history="1">
        <w:proofErr w:type="spellStart"/>
        <w:r w:rsidR="00352618" w:rsidRPr="00F11575">
          <w:rPr>
            <w:rStyle w:val="Hyperlink"/>
          </w:rPr>
          <w:t>AusTender</w:t>
        </w:r>
        <w:proofErr w:type="spellEnd"/>
        <w:r w:rsidR="00352618" w:rsidRPr="00F11575">
          <w:rPr>
            <w:rStyle w:val="Hyperlink"/>
          </w:rPr>
          <w:t xml:space="preserve"> website</w:t>
        </w:r>
      </w:hyperlink>
      <w:r w:rsidR="00352618">
        <w:t xml:space="preserve"> the</w:t>
      </w:r>
      <w:r w:rsidR="00352618" w:rsidRPr="006534F5">
        <w:t xml:space="preserve"> </w:t>
      </w:r>
      <w:r w:rsidR="00AC49FA" w:rsidRPr="006534F5">
        <w:t xml:space="preserve">AOFM Procurement Plan, </w:t>
      </w:r>
      <w:r w:rsidR="00352618">
        <w:t xml:space="preserve">which is </w:t>
      </w:r>
      <w:r w:rsidR="00AC49FA" w:rsidRPr="006534F5">
        <w:t>designed to provide suppliers with early attention to potential procurement opportunities</w:t>
      </w:r>
      <w:r w:rsidR="00352618">
        <w:t>.</w:t>
      </w:r>
      <w:r w:rsidR="00AC49FA" w:rsidRPr="00BA45D8">
        <w:rPr>
          <w:vertAlign w:val="superscript"/>
        </w:rPr>
        <w:footnoteReference w:id="11"/>
      </w:r>
      <w:r w:rsidR="00AC49FA" w:rsidRPr="006534F5">
        <w:t xml:space="preserve"> </w:t>
      </w:r>
      <w:r w:rsidR="00352618">
        <w:t>We updated this</w:t>
      </w:r>
      <w:r w:rsidR="00352618" w:rsidRPr="006534F5">
        <w:t xml:space="preserve"> </w:t>
      </w:r>
      <w:r w:rsidR="00AC49FA" w:rsidRPr="006534F5">
        <w:t xml:space="preserve">plan as </w:t>
      </w:r>
      <w:r w:rsidR="00352618">
        <w:t>needed during the year</w:t>
      </w:r>
      <w:r w:rsidR="00AC49FA" w:rsidRPr="006534F5">
        <w:t>.</w:t>
      </w:r>
    </w:p>
    <w:p w14:paraId="63811C41" w14:textId="77777777" w:rsidR="005D3540" w:rsidRDefault="00750B5B" w:rsidP="0091424A">
      <w:pPr>
        <w:pStyle w:val="Heading2"/>
      </w:pPr>
      <w:bookmarkStart w:id="1237" w:name="_Toc205474329"/>
      <w:bookmarkStart w:id="1238" w:name="_Toc207792910"/>
      <w:bookmarkStart w:id="1239" w:name="_Toc207793949"/>
      <w:bookmarkStart w:id="1240" w:name="_Toc207796103"/>
      <w:bookmarkStart w:id="1241" w:name="_Toc207796954"/>
      <w:bookmarkStart w:id="1242" w:name="_Toc207800256"/>
      <w:bookmarkStart w:id="1243" w:name="_Toc207810834"/>
      <w:bookmarkStart w:id="1244" w:name="_Toc208914113"/>
      <w:bookmarkStart w:id="1245" w:name="_Toc209424510"/>
      <w:bookmarkStart w:id="1246" w:name="_Toc107329253"/>
      <w:bookmarkStart w:id="1247" w:name="_Toc107329522"/>
      <w:bookmarkStart w:id="1248" w:name="_Toc144813597"/>
      <w:bookmarkStart w:id="1249" w:name="_Toc145684551"/>
      <w:bookmarkStart w:id="1250" w:name="_Toc145685151"/>
      <w:bookmarkStart w:id="1251" w:name="_Toc145686104"/>
      <w:bookmarkStart w:id="1252" w:name="_Toc145686303"/>
      <w:bookmarkStart w:id="1253" w:name="_Toc145686502"/>
      <w:bookmarkStart w:id="1254" w:name="_Toc145686803"/>
      <w:bookmarkStart w:id="1255" w:name="_Toc173336007"/>
      <w:bookmarkStart w:id="1256" w:name="_Toc173360835"/>
      <w:bookmarkStart w:id="1257" w:name="_Toc173362858"/>
      <w:bookmarkStart w:id="1258" w:name="_Toc173363210"/>
      <w:bookmarkStart w:id="1259" w:name="_Toc176160566"/>
      <w:bookmarkStart w:id="1260" w:name="_Toc176163195"/>
      <w:r w:rsidRPr="006534F5">
        <w:t>Reportable consultancy</w:t>
      </w:r>
      <w:bookmarkEnd w:id="1237"/>
      <w:bookmarkEnd w:id="1238"/>
      <w:bookmarkEnd w:id="1239"/>
      <w:bookmarkEnd w:id="1240"/>
      <w:bookmarkEnd w:id="1241"/>
      <w:bookmarkEnd w:id="1242"/>
      <w:bookmarkEnd w:id="1243"/>
      <w:bookmarkEnd w:id="1244"/>
      <w:bookmarkEnd w:id="1245"/>
      <w:r w:rsidRPr="006534F5">
        <w:t xml:space="preserve"> </w:t>
      </w:r>
    </w:p>
    <w:p w14:paraId="28595475" w14:textId="6CEA37F1" w:rsidR="00202CB4" w:rsidRDefault="00202CB4" w:rsidP="00202CB4">
      <w:r w:rsidRPr="00907167">
        <w:t xml:space="preserve">During 2024–25, the AOFM </w:t>
      </w:r>
      <w:proofErr w:type="gramStart"/>
      <w:r w:rsidRPr="00907167">
        <w:t>entered into</w:t>
      </w:r>
      <w:proofErr w:type="gramEnd"/>
      <w:r w:rsidRPr="00907167">
        <w:t xml:space="preserve"> </w:t>
      </w:r>
      <w:r w:rsidR="00FC2BBC">
        <w:t>5</w:t>
      </w:r>
      <w:r w:rsidRPr="00907167">
        <w:t xml:space="preserve"> new reportable consultancy contracts, with total actual expenditure amounting to </w:t>
      </w:r>
      <w:r w:rsidRPr="00B03993">
        <w:t>$110,300</w:t>
      </w:r>
      <w:r w:rsidRPr="00907167">
        <w:t xml:space="preserve">. No reportable consultancy contracts remained active during the reporting period. A summary is provided in </w:t>
      </w:r>
      <w:r w:rsidR="00B359B0">
        <w:t>the table below</w:t>
      </w:r>
      <w:r w:rsidRPr="00907167">
        <w:t>.</w:t>
      </w:r>
    </w:p>
    <w:p w14:paraId="0609E659" w14:textId="2DF11AA8" w:rsidR="00202CB4" w:rsidRPr="006534F5" w:rsidRDefault="00202CB4" w:rsidP="00202CB4">
      <w:r w:rsidRPr="006534F5">
        <w:t xml:space="preserve">This annual report contains information about actual expenditure on reportable consultancy contracts. Information on the value of reportable consultancy contracts is available on the </w:t>
      </w:r>
      <w:hyperlink r:id="rId112" w:history="1">
        <w:proofErr w:type="spellStart"/>
        <w:r w:rsidRPr="00F2521B">
          <w:rPr>
            <w:rStyle w:val="Hyperlink"/>
          </w:rPr>
          <w:t>AusTender</w:t>
        </w:r>
        <w:proofErr w:type="spellEnd"/>
        <w:r w:rsidRPr="00F2521B">
          <w:rPr>
            <w:rStyle w:val="Hyperlink"/>
          </w:rPr>
          <w:t xml:space="preserve"> website</w:t>
        </w:r>
      </w:hyperlink>
      <w:r w:rsidRPr="006534F5">
        <w:t>.</w:t>
      </w:r>
      <w:r w:rsidRPr="00BA45D8">
        <w:rPr>
          <w:vertAlign w:val="superscript"/>
        </w:rPr>
        <w:footnoteReference w:id="12"/>
      </w:r>
    </w:p>
    <w:p w14:paraId="44D68FA4" w14:textId="6737B3C2" w:rsidR="00202CB4" w:rsidRDefault="00202CB4" w:rsidP="00202CB4">
      <w:r w:rsidRPr="006534F5">
        <w:t>The AOFM engages consultants where it requires specialist expertise</w:t>
      </w:r>
      <w:r w:rsidR="00A83611">
        <w:t>,</w:t>
      </w:r>
      <w:r w:rsidRPr="006534F5">
        <w:t xml:space="preserve"> or independent research, review or assessment.</w:t>
      </w:r>
    </w:p>
    <w:p w14:paraId="432295BF" w14:textId="08F3D2DF" w:rsidR="0059258F" w:rsidRPr="0059258F" w:rsidRDefault="00202CB4" w:rsidP="0059258F">
      <w:r>
        <w:t>Before</w:t>
      </w:r>
      <w:r w:rsidRPr="006534F5">
        <w:t xml:space="preserve"> engaging consultants, </w:t>
      </w:r>
      <w:r w:rsidR="0098062E">
        <w:t>we</w:t>
      </w:r>
      <w:r w:rsidRPr="006534F5">
        <w:t xml:space="preserve"> </w:t>
      </w:r>
      <w:r>
        <w:t>consider</w:t>
      </w:r>
      <w:r w:rsidRPr="006534F5">
        <w:t xml:space="preserve"> the skills, experience and resources required for the task, the skills available internally and the</w:t>
      </w:r>
      <w:r w:rsidR="00780EF2">
        <w:t xml:space="preserve"> </w:t>
      </w:r>
      <w:r w:rsidR="00780EF2" w:rsidRPr="006534F5">
        <w:t>cost</w:t>
      </w:r>
      <w:r w:rsidR="00B84FF2">
        <w:noBreakHyphen/>
      </w:r>
      <w:r w:rsidR="00780EF2" w:rsidRPr="006534F5">
        <w:t>effectiveness of engaging external expertise. Decisions to engage consultants are made in accordance with the PGPA Act and related rules, including the CPRs and relevant internal policies.</w:t>
      </w:r>
    </w:p>
    <w:p w14:paraId="6302756C" w14:textId="753A4871" w:rsidR="00750B5B" w:rsidRDefault="0098062E" w:rsidP="0091424A">
      <w:pPr>
        <w:pStyle w:val="Heading2"/>
      </w:pPr>
      <w:bookmarkStart w:id="1261" w:name="_Toc205474330"/>
      <w:bookmarkStart w:id="1262" w:name="_Toc207792911"/>
      <w:bookmarkStart w:id="1263" w:name="_Toc207793950"/>
      <w:bookmarkStart w:id="1264" w:name="_Toc207796104"/>
      <w:bookmarkStart w:id="1265" w:name="_Toc207796955"/>
      <w:bookmarkStart w:id="1266" w:name="_Toc207800257"/>
      <w:bookmarkStart w:id="1267" w:name="_Toc207810835"/>
      <w:bookmarkStart w:id="1268" w:name="_Toc208914114"/>
      <w:bookmarkStart w:id="1269" w:name="_Toc209424511"/>
      <w:r>
        <w:lastRenderedPageBreak/>
        <w:t>C</w:t>
      </w:r>
      <w:r w:rsidR="00750B5B" w:rsidRPr="006534F5">
        <w:t>ontracts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sidR="00750B5B" w:rsidRPr="006534F5">
        <w:t xml:space="preserve"> </w:t>
      </w:r>
    </w:p>
    <w:p w14:paraId="17367358" w14:textId="12FD3E3F" w:rsidR="00830938" w:rsidRPr="00830938" w:rsidRDefault="00830938" w:rsidP="002C4475">
      <w:pPr>
        <w:pStyle w:val="TableMainHeading"/>
      </w:pPr>
      <w:r>
        <w:t>Tab</w:t>
      </w:r>
      <w:r w:rsidR="00415725">
        <w:t>le 2</w:t>
      </w:r>
      <w:r w:rsidR="002C4475">
        <w:t>5</w:t>
      </w:r>
      <w:r w:rsidR="00415725">
        <w:t xml:space="preserve">: </w:t>
      </w:r>
      <w:r w:rsidR="00550821" w:rsidRPr="005A0E6D">
        <w:t xml:space="preserve">Reportable consultancy contracts </w:t>
      </w:r>
      <w:r w:rsidR="00E37754">
        <w:t>2024</w:t>
      </w:r>
      <w:r w:rsidR="00A83611">
        <w:t>–</w:t>
      </w:r>
      <w:r w:rsidR="00E37754">
        <w:t>25</w:t>
      </w:r>
    </w:p>
    <w:tbl>
      <w:tblPr>
        <w:tblStyle w:val="AOFMTablemain"/>
        <w:tblW w:w="5000" w:type="pct"/>
        <w:tblLook w:val="04A0" w:firstRow="1" w:lastRow="0" w:firstColumn="1" w:lastColumn="0" w:noHBand="0" w:noVBand="1"/>
      </w:tblPr>
      <w:tblGrid>
        <w:gridCol w:w="2828"/>
        <w:gridCol w:w="2040"/>
        <w:gridCol w:w="2843"/>
      </w:tblGrid>
      <w:tr w:rsidR="00920159" w:rsidRPr="00680E70" w14:paraId="0FED54F8" w14:textId="77777777" w:rsidTr="00415725">
        <w:trPr>
          <w:cnfStyle w:val="100000000000" w:firstRow="1" w:lastRow="0" w:firstColumn="0" w:lastColumn="0" w:oddVBand="0" w:evenVBand="0" w:oddHBand="0" w:evenHBand="0" w:firstRowFirstColumn="0" w:firstRowLastColumn="0" w:lastRowFirstColumn="0" w:lastRowLastColumn="0"/>
          <w:trHeight w:val="270"/>
        </w:trPr>
        <w:tc>
          <w:tcPr>
            <w:tcW w:w="0" w:type="dxa"/>
          </w:tcPr>
          <w:p w14:paraId="52CE0EE1" w14:textId="7435AAB8" w:rsidR="00920159" w:rsidRPr="005A0E6D" w:rsidRDefault="00920159" w:rsidP="00B6159D">
            <w:pPr>
              <w:pStyle w:val="TableColumnHeadingLeft"/>
            </w:pPr>
            <w:r w:rsidRPr="005A0E6D">
              <w:t>Reportable consultancy contr</w:t>
            </w:r>
            <w:r w:rsidR="00F72C78" w:rsidRPr="005A0E6D">
              <w:t>a</w:t>
            </w:r>
            <w:r w:rsidRPr="005A0E6D">
              <w:t xml:space="preserve">cts </w:t>
            </w:r>
          </w:p>
        </w:tc>
        <w:tc>
          <w:tcPr>
            <w:tcW w:w="0" w:type="dxa"/>
          </w:tcPr>
          <w:p w14:paraId="461DA2DB" w14:textId="77777777" w:rsidR="00920159" w:rsidRPr="005A0E6D" w:rsidRDefault="00920159" w:rsidP="00B6159D">
            <w:pPr>
              <w:pStyle w:val="TableColumnHeadingRight"/>
            </w:pPr>
            <w:r w:rsidRPr="005A0E6D">
              <w:t>Number</w:t>
            </w:r>
          </w:p>
        </w:tc>
        <w:tc>
          <w:tcPr>
            <w:tcW w:w="0" w:type="dxa"/>
          </w:tcPr>
          <w:p w14:paraId="79FD9295" w14:textId="0FF28D26" w:rsidR="00920159" w:rsidRPr="005A0E6D" w:rsidRDefault="00920159" w:rsidP="00B6159D">
            <w:pPr>
              <w:pStyle w:val="TableColumnHeadingRight"/>
            </w:pPr>
            <w:r w:rsidRPr="005A0E6D">
              <w:t>Expenditure $</w:t>
            </w:r>
            <w:r w:rsidR="00B84FF2">
              <w:t>’</w:t>
            </w:r>
            <w:r w:rsidRPr="005A0E6D">
              <w:t>000</w:t>
            </w:r>
          </w:p>
        </w:tc>
      </w:tr>
      <w:tr w:rsidR="00920159" w:rsidRPr="00680E70" w14:paraId="5941FC5F" w14:textId="77777777" w:rsidTr="005A3CF5">
        <w:trPr>
          <w:trHeight w:val="25"/>
        </w:trPr>
        <w:tc>
          <w:tcPr>
            <w:tcW w:w="0" w:type="dxa"/>
          </w:tcPr>
          <w:p w14:paraId="1EE164DE" w14:textId="77777777" w:rsidR="00920159" w:rsidRPr="00B6159D" w:rsidRDefault="00920159" w:rsidP="00625DAB">
            <w:pPr>
              <w:pStyle w:val="TableTextLeft"/>
            </w:pPr>
            <w:r w:rsidRPr="00B6159D">
              <w:t>New contracts</w:t>
            </w:r>
          </w:p>
        </w:tc>
        <w:tc>
          <w:tcPr>
            <w:tcW w:w="0" w:type="dxa"/>
          </w:tcPr>
          <w:p w14:paraId="47E76A05" w14:textId="77777777" w:rsidR="00920159" w:rsidRPr="00B6159D" w:rsidRDefault="00920159" w:rsidP="00B6159D">
            <w:pPr>
              <w:pStyle w:val="TableTextRight"/>
            </w:pPr>
            <w:r w:rsidRPr="00B6159D">
              <w:t>5</w:t>
            </w:r>
          </w:p>
        </w:tc>
        <w:tc>
          <w:tcPr>
            <w:tcW w:w="0" w:type="dxa"/>
          </w:tcPr>
          <w:p w14:paraId="13DB25B3" w14:textId="77777777" w:rsidR="00920159" w:rsidRPr="00B6159D" w:rsidRDefault="00920159" w:rsidP="00B6159D">
            <w:pPr>
              <w:pStyle w:val="TableTextRight"/>
            </w:pPr>
            <w:r w:rsidRPr="00B6159D">
              <w:t>110</w:t>
            </w:r>
          </w:p>
        </w:tc>
      </w:tr>
      <w:tr w:rsidR="00920159" w:rsidRPr="00680E70" w14:paraId="013AF501" w14:textId="77777777" w:rsidTr="005A3CF5">
        <w:trPr>
          <w:cnfStyle w:val="000000010000" w:firstRow="0" w:lastRow="0" w:firstColumn="0" w:lastColumn="0" w:oddVBand="0" w:evenVBand="0" w:oddHBand="0" w:evenHBand="1" w:firstRowFirstColumn="0" w:firstRowLastColumn="0" w:lastRowFirstColumn="0" w:lastRowLastColumn="0"/>
          <w:trHeight w:val="103"/>
        </w:trPr>
        <w:tc>
          <w:tcPr>
            <w:tcW w:w="0" w:type="dxa"/>
          </w:tcPr>
          <w:p w14:paraId="537BB921" w14:textId="77777777" w:rsidR="00920159" w:rsidRPr="00B6159D" w:rsidRDefault="00920159" w:rsidP="00625DAB">
            <w:pPr>
              <w:pStyle w:val="TableTextLeft"/>
            </w:pPr>
            <w:r w:rsidRPr="00B6159D">
              <w:t>Ongoing contracts</w:t>
            </w:r>
          </w:p>
        </w:tc>
        <w:tc>
          <w:tcPr>
            <w:tcW w:w="0" w:type="dxa"/>
          </w:tcPr>
          <w:p w14:paraId="4C7A010D" w14:textId="77777777" w:rsidR="00920159" w:rsidRPr="00B6159D" w:rsidRDefault="00920159" w:rsidP="00B6159D">
            <w:pPr>
              <w:pStyle w:val="TableTextRight"/>
            </w:pPr>
            <w:r w:rsidRPr="00B6159D">
              <w:t>Nil</w:t>
            </w:r>
          </w:p>
        </w:tc>
        <w:tc>
          <w:tcPr>
            <w:tcW w:w="0" w:type="dxa"/>
          </w:tcPr>
          <w:p w14:paraId="7F87364C" w14:textId="4792056D" w:rsidR="00920159" w:rsidRPr="00B6159D" w:rsidRDefault="00A83611" w:rsidP="00B6159D">
            <w:pPr>
              <w:pStyle w:val="TableTextRight"/>
            </w:pPr>
            <w:r w:rsidRPr="00B6159D">
              <w:t>–</w:t>
            </w:r>
          </w:p>
        </w:tc>
      </w:tr>
      <w:tr w:rsidR="00920159" w:rsidRPr="00680E70" w14:paraId="158369A1" w14:textId="77777777" w:rsidTr="005A3CF5">
        <w:trPr>
          <w:trHeight w:val="150"/>
        </w:trPr>
        <w:tc>
          <w:tcPr>
            <w:tcW w:w="0" w:type="dxa"/>
          </w:tcPr>
          <w:p w14:paraId="4DD5D059" w14:textId="77777777" w:rsidR="00920159" w:rsidRPr="002B4A8D" w:rsidRDefault="00920159" w:rsidP="00625DAB">
            <w:pPr>
              <w:pStyle w:val="TableTextLeft"/>
              <w:rPr>
                <w:b/>
                <w:bCs/>
              </w:rPr>
            </w:pPr>
            <w:r w:rsidRPr="002B4A8D">
              <w:rPr>
                <w:b/>
                <w:bCs/>
              </w:rPr>
              <w:t>Total</w:t>
            </w:r>
          </w:p>
        </w:tc>
        <w:tc>
          <w:tcPr>
            <w:tcW w:w="0" w:type="dxa"/>
          </w:tcPr>
          <w:p w14:paraId="1EA6CDE3" w14:textId="77777777" w:rsidR="00920159" w:rsidRPr="00B6159D" w:rsidRDefault="00920159" w:rsidP="00B6159D">
            <w:pPr>
              <w:pStyle w:val="TableTextRight"/>
              <w:rPr>
                <w:b/>
                <w:bCs/>
              </w:rPr>
            </w:pPr>
            <w:r w:rsidRPr="00B6159D">
              <w:rPr>
                <w:b/>
                <w:bCs/>
              </w:rPr>
              <w:t>5</w:t>
            </w:r>
          </w:p>
        </w:tc>
        <w:tc>
          <w:tcPr>
            <w:tcW w:w="0" w:type="dxa"/>
          </w:tcPr>
          <w:p w14:paraId="00353D75" w14:textId="77777777" w:rsidR="00920159" w:rsidRPr="00B6159D" w:rsidRDefault="00920159" w:rsidP="00B6159D">
            <w:pPr>
              <w:pStyle w:val="TableTextRight"/>
              <w:rPr>
                <w:b/>
                <w:bCs/>
              </w:rPr>
            </w:pPr>
            <w:r w:rsidRPr="00B6159D">
              <w:rPr>
                <w:b/>
                <w:bCs/>
              </w:rPr>
              <w:t>110</w:t>
            </w:r>
          </w:p>
        </w:tc>
      </w:tr>
    </w:tbl>
    <w:p w14:paraId="0644303B" w14:textId="77777777" w:rsidR="008D72EF" w:rsidRPr="006534F5" w:rsidRDefault="008D72EF" w:rsidP="00713231">
      <w:pPr>
        <w:pStyle w:val="Heading3"/>
      </w:pPr>
      <w:bookmarkStart w:id="1270" w:name="_Toc145684552"/>
      <w:bookmarkStart w:id="1271" w:name="_Toc145685152"/>
      <w:bookmarkStart w:id="1272" w:name="_Toc145686105"/>
      <w:bookmarkStart w:id="1273" w:name="_Toc145686304"/>
      <w:bookmarkStart w:id="1274" w:name="_Toc145686503"/>
      <w:bookmarkStart w:id="1275" w:name="_Toc145686804"/>
      <w:bookmarkStart w:id="1276" w:name="_Toc173408207"/>
      <w:bookmarkStart w:id="1277" w:name="_Toc173411528"/>
      <w:bookmarkStart w:id="1278" w:name="_Toc173479207"/>
      <w:bookmarkStart w:id="1279" w:name="_Toc207796105"/>
      <w:r w:rsidRPr="006534F5">
        <w:t>Additional information</w:t>
      </w:r>
      <w:bookmarkEnd w:id="1270"/>
      <w:bookmarkEnd w:id="1271"/>
      <w:bookmarkEnd w:id="1272"/>
      <w:bookmarkEnd w:id="1273"/>
      <w:bookmarkEnd w:id="1274"/>
      <w:bookmarkEnd w:id="1275"/>
      <w:bookmarkEnd w:id="1276"/>
      <w:bookmarkEnd w:id="1277"/>
      <w:bookmarkEnd w:id="1278"/>
      <w:bookmarkEnd w:id="1279"/>
    </w:p>
    <w:p w14:paraId="011CAB96" w14:textId="41F7BAF5" w:rsidR="002555F1" w:rsidRDefault="008C52CC" w:rsidP="002555F1">
      <w:r>
        <w:t>Below is the list</w:t>
      </w:r>
      <w:r w:rsidR="00CD3588">
        <w:t xml:space="preserve"> of</w:t>
      </w:r>
      <w:r w:rsidR="002555F1" w:rsidRPr="00D44824">
        <w:t xml:space="preserve"> organisations that received </w:t>
      </w:r>
      <w:r w:rsidR="002555F1">
        <w:t xml:space="preserve">payments </w:t>
      </w:r>
      <w:r w:rsidR="00A83611">
        <w:t xml:space="preserve">from the AOFM </w:t>
      </w:r>
      <w:r w:rsidR="002555F1">
        <w:t xml:space="preserve">under </w:t>
      </w:r>
      <w:r w:rsidR="002555F1" w:rsidRPr="00D44824">
        <w:t>one or more consultancy contracts</w:t>
      </w:r>
      <w:r w:rsidR="002555F1">
        <w:t xml:space="preserve"> during 2024</w:t>
      </w:r>
      <w:r w:rsidR="00A83611">
        <w:t>–</w:t>
      </w:r>
      <w:r w:rsidR="002555F1">
        <w:t>25</w:t>
      </w:r>
      <w:r w:rsidR="00A83611">
        <w:t>. T</w:t>
      </w:r>
      <w:r w:rsidR="002555F1" w:rsidRPr="00D44824">
        <w:t>he total amount</w:t>
      </w:r>
      <w:r w:rsidR="002555F1">
        <w:t xml:space="preserve"> </w:t>
      </w:r>
      <w:r w:rsidR="00A83611">
        <w:t xml:space="preserve">for </w:t>
      </w:r>
      <w:r w:rsidR="00A83611" w:rsidRPr="00D44824">
        <w:t>each organisatio</w:t>
      </w:r>
      <w:r w:rsidR="00A83611">
        <w:t xml:space="preserve">n is </w:t>
      </w:r>
      <w:r w:rsidR="005148F8">
        <w:t xml:space="preserve">reported in </w:t>
      </w:r>
      <w:proofErr w:type="spellStart"/>
      <w:r w:rsidR="005148F8">
        <w:t>AusTender</w:t>
      </w:r>
      <w:proofErr w:type="spellEnd"/>
      <w:r w:rsidR="002555F1" w:rsidRPr="00D44824">
        <w:t>.</w:t>
      </w:r>
    </w:p>
    <w:p w14:paraId="2ED60B6B" w14:textId="719E3D12" w:rsidR="00415725" w:rsidRPr="002555F1" w:rsidRDefault="00415725" w:rsidP="00685CD2">
      <w:pPr>
        <w:pStyle w:val="TableMainHeading"/>
      </w:pPr>
      <w:r>
        <w:t>Table 2</w:t>
      </w:r>
      <w:r w:rsidR="002C4475">
        <w:t>6</w:t>
      </w:r>
      <w:r>
        <w:t xml:space="preserve">: </w:t>
      </w:r>
      <w:r w:rsidR="00896FA0" w:rsidRPr="00896FA0">
        <w:t xml:space="preserve">Organisations receiving a share of reportable consultancy contract expenditure </w:t>
      </w:r>
    </w:p>
    <w:tbl>
      <w:tblPr>
        <w:tblStyle w:val="AOFMTablemain"/>
        <w:tblW w:w="4968" w:type="pct"/>
        <w:tblLook w:val="04A0" w:firstRow="1" w:lastRow="0" w:firstColumn="1" w:lastColumn="0" w:noHBand="0" w:noVBand="1"/>
      </w:tblPr>
      <w:tblGrid>
        <w:gridCol w:w="4051"/>
        <w:gridCol w:w="3611"/>
      </w:tblGrid>
      <w:tr w:rsidR="00140491" w:rsidRPr="00680E70" w14:paraId="00A466F5" w14:textId="77777777" w:rsidTr="005A3CF5">
        <w:trPr>
          <w:cnfStyle w:val="100000000000" w:firstRow="1" w:lastRow="0" w:firstColumn="0" w:lastColumn="0" w:oddVBand="0" w:evenVBand="0" w:oddHBand="0" w:evenHBand="0" w:firstRowFirstColumn="0" w:firstRowLastColumn="0" w:lastRowFirstColumn="0" w:lastRowLastColumn="0"/>
          <w:trHeight w:val="104"/>
        </w:trPr>
        <w:tc>
          <w:tcPr>
            <w:tcW w:w="0" w:type="dxa"/>
            <w:noWrap/>
            <w:hideMark/>
          </w:tcPr>
          <w:p w14:paraId="3D173E92" w14:textId="4F86CAE6" w:rsidR="00140491" w:rsidRPr="005A3CF5" w:rsidRDefault="00140491" w:rsidP="005A3CF5">
            <w:pPr>
              <w:pStyle w:val="TableColumnHeadingLeft"/>
            </w:pPr>
            <w:r w:rsidRPr="005A3CF5">
              <w:t>Organisation</w:t>
            </w:r>
            <w:r w:rsidR="003C527F" w:rsidRPr="005A3CF5">
              <w:t xml:space="preserve"> </w:t>
            </w:r>
          </w:p>
        </w:tc>
        <w:tc>
          <w:tcPr>
            <w:tcW w:w="0" w:type="dxa"/>
            <w:noWrap/>
            <w:hideMark/>
          </w:tcPr>
          <w:p w14:paraId="3FC8424D" w14:textId="77D4F03D" w:rsidR="00140491" w:rsidRPr="00DF31C0" w:rsidRDefault="00140491" w:rsidP="005A3CF5">
            <w:pPr>
              <w:pStyle w:val="TableColumnHeadingRight"/>
            </w:pPr>
            <w:r w:rsidRPr="00DF31C0">
              <w:t xml:space="preserve"> Expenditure $</w:t>
            </w:r>
            <w:r w:rsidR="00B84FF2">
              <w:t>’</w:t>
            </w:r>
            <w:r w:rsidRPr="00DF31C0">
              <w:t>000</w:t>
            </w:r>
          </w:p>
        </w:tc>
      </w:tr>
      <w:tr w:rsidR="00140491" w:rsidRPr="00680E70" w14:paraId="677BD4DD" w14:textId="77777777" w:rsidTr="005A3CF5">
        <w:trPr>
          <w:trHeight w:val="128"/>
        </w:trPr>
        <w:tc>
          <w:tcPr>
            <w:tcW w:w="0" w:type="dxa"/>
            <w:noWrap/>
            <w:hideMark/>
          </w:tcPr>
          <w:p w14:paraId="3E0E7675" w14:textId="77777777" w:rsidR="00140491" w:rsidRPr="005A3CF5" w:rsidRDefault="00140491" w:rsidP="00625DAB">
            <w:pPr>
              <w:pStyle w:val="TableTextLeft"/>
            </w:pPr>
            <w:r w:rsidRPr="005A3CF5">
              <w:t>Australian Government Solicitor</w:t>
            </w:r>
          </w:p>
        </w:tc>
        <w:tc>
          <w:tcPr>
            <w:tcW w:w="0" w:type="dxa"/>
            <w:noWrap/>
            <w:hideMark/>
          </w:tcPr>
          <w:p w14:paraId="4BE33BD9" w14:textId="77777777" w:rsidR="00140491" w:rsidRPr="005A3CF5" w:rsidRDefault="00140491" w:rsidP="005A3CF5">
            <w:pPr>
              <w:pStyle w:val="TableTextRight"/>
            </w:pPr>
            <w:r w:rsidRPr="005A3CF5">
              <w:t>10</w:t>
            </w:r>
          </w:p>
        </w:tc>
      </w:tr>
      <w:tr w:rsidR="00140491" w:rsidRPr="00680E70" w14:paraId="65A8B36C" w14:textId="77777777" w:rsidTr="005A3CF5">
        <w:trPr>
          <w:cnfStyle w:val="000000010000" w:firstRow="0" w:lastRow="0" w:firstColumn="0" w:lastColumn="0" w:oddVBand="0" w:evenVBand="0" w:oddHBand="0" w:evenHBand="1" w:firstRowFirstColumn="0" w:firstRowLastColumn="0" w:lastRowFirstColumn="0" w:lastRowLastColumn="0"/>
          <w:trHeight w:val="134"/>
        </w:trPr>
        <w:tc>
          <w:tcPr>
            <w:tcW w:w="0" w:type="dxa"/>
            <w:noWrap/>
          </w:tcPr>
          <w:p w14:paraId="14A204BE" w14:textId="77777777" w:rsidR="00140491" w:rsidRPr="005A3CF5" w:rsidRDefault="00140491" w:rsidP="00625DAB">
            <w:pPr>
              <w:pStyle w:val="TableTextLeft"/>
            </w:pPr>
            <w:r w:rsidRPr="005A3CF5">
              <w:t>Clayton Utz</w:t>
            </w:r>
          </w:p>
        </w:tc>
        <w:tc>
          <w:tcPr>
            <w:tcW w:w="0" w:type="dxa"/>
            <w:noWrap/>
          </w:tcPr>
          <w:p w14:paraId="269CBA6D" w14:textId="77777777" w:rsidR="00140491" w:rsidRPr="005A3CF5" w:rsidRDefault="00140491" w:rsidP="005A3CF5">
            <w:pPr>
              <w:pStyle w:val="TableTextRight"/>
            </w:pPr>
            <w:r w:rsidRPr="005A3CF5">
              <w:t>46</w:t>
            </w:r>
          </w:p>
        </w:tc>
      </w:tr>
      <w:tr w:rsidR="00140491" w:rsidRPr="00680E70" w14:paraId="7029ECDE" w14:textId="77777777" w:rsidTr="005A3CF5">
        <w:trPr>
          <w:trHeight w:val="25"/>
        </w:trPr>
        <w:tc>
          <w:tcPr>
            <w:tcW w:w="0" w:type="dxa"/>
            <w:noWrap/>
          </w:tcPr>
          <w:p w14:paraId="13F82F8C" w14:textId="77777777" w:rsidR="00140491" w:rsidRPr="005A3CF5" w:rsidRDefault="00140491" w:rsidP="00625DAB">
            <w:pPr>
              <w:pStyle w:val="TableTextLeft"/>
            </w:pPr>
            <w:r w:rsidRPr="005A3CF5">
              <w:t>Elm Communications</w:t>
            </w:r>
          </w:p>
        </w:tc>
        <w:tc>
          <w:tcPr>
            <w:tcW w:w="0" w:type="dxa"/>
            <w:noWrap/>
          </w:tcPr>
          <w:p w14:paraId="3344C442" w14:textId="77777777" w:rsidR="00140491" w:rsidRPr="005A3CF5" w:rsidRDefault="00140491" w:rsidP="005A3CF5">
            <w:pPr>
              <w:pStyle w:val="TableTextRight"/>
            </w:pPr>
            <w:r w:rsidRPr="005A3CF5">
              <w:t>13</w:t>
            </w:r>
          </w:p>
        </w:tc>
      </w:tr>
      <w:tr w:rsidR="00140491" w:rsidRPr="00680E70" w14:paraId="0D808F4E" w14:textId="77777777" w:rsidTr="005A3CF5">
        <w:trPr>
          <w:cnfStyle w:val="000000010000" w:firstRow="0" w:lastRow="0" w:firstColumn="0" w:lastColumn="0" w:oddVBand="0" w:evenVBand="0" w:oddHBand="0" w:evenHBand="1" w:firstRowFirstColumn="0" w:firstRowLastColumn="0" w:lastRowFirstColumn="0" w:lastRowLastColumn="0"/>
          <w:trHeight w:val="25"/>
        </w:trPr>
        <w:tc>
          <w:tcPr>
            <w:tcW w:w="0" w:type="dxa"/>
            <w:noWrap/>
          </w:tcPr>
          <w:p w14:paraId="1370F923" w14:textId="3F034E3C" w:rsidR="00140491" w:rsidRPr="005A3CF5" w:rsidRDefault="00140491" w:rsidP="00625DAB">
            <w:pPr>
              <w:pStyle w:val="TableTextLeft"/>
            </w:pPr>
            <w:r w:rsidRPr="005A3CF5">
              <w:t xml:space="preserve">King </w:t>
            </w:r>
            <w:r w:rsidR="00A83611" w:rsidRPr="005A3CF5">
              <w:t xml:space="preserve">&amp; </w:t>
            </w:r>
            <w:r w:rsidRPr="005A3CF5">
              <w:t>Wood Mallesons</w:t>
            </w:r>
          </w:p>
        </w:tc>
        <w:tc>
          <w:tcPr>
            <w:tcW w:w="0" w:type="dxa"/>
            <w:noWrap/>
          </w:tcPr>
          <w:p w14:paraId="70126A2F" w14:textId="77777777" w:rsidR="00140491" w:rsidRPr="005A3CF5" w:rsidRDefault="00140491" w:rsidP="005A3CF5">
            <w:pPr>
              <w:pStyle w:val="TableTextRight"/>
            </w:pPr>
            <w:r w:rsidRPr="005A3CF5">
              <w:t>20</w:t>
            </w:r>
          </w:p>
        </w:tc>
      </w:tr>
      <w:tr w:rsidR="00140491" w:rsidRPr="00680E70" w14:paraId="032DBF3F" w14:textId="77777777" w:rsidTr="005A3CF5">
        <w:trPr>
          <w:trHeight w:val="25"/>
        </w:trPr>
        <w:tc>
          <w:tcPr>
            <w:tcW w:w="0" w:type="dxa"/>
            <w:noWrap/>
          </w:tcPr>
          <w:p w14:paraId="18064B20" w14:textId="77777777" w:rsidR="00140491" w:rsidRPr="005A3CF5" w:rsidRDefault="00140491" w:rsidP="00625DAB">
            <w:pPr>
              <w:pStyle w:val="TableTextLeft"/>
            </w:pPr>
            <w:r w:rsidRPr="005A3CF5">
              <w:t>Norton Rose Fulbright Australia</w:t>
            </w:r>
          </w:p>
        </w:tc>
        <w:tc>
          <w:tcPr>
            <w:tcW w:w="0" w:type="dxa"/>
            <w:noWrap/>
          </w:tcPr>
          <w:p w14:paraId="447CCF69" w14:textId="77777777" w:rsidR="00140491" w:rsidRPr="005A3CF5" w:rsidRDefault="00140491" w:rsidP="005A3CF5">
            <w:pPr>
              <w:pStyle w:val="TableTextRight"/>
            </w:pPr>
            <w:r w:rsidRPr="005A3CF5">
              <w:t>20</w:t>
            </w:r>
          </w:p>
        </w:tc>
      </w:tr>
      <w:tr w:rsidR="00140491" w:rsidRPr="00680E70" w14:paraId="760A6527" w14:textId="77777777" w:rsidTr="005A3CF5">
        <w:trPr>
          <w:cnfStyle w:val="000000010000" w:firstRow="0" w:lastRow="0" w:firstColumn="0" w:lastColumn="0" w:oddVBand="0" w:evenVBand="0" w:oddHBand="0" w:evenHBand="1" w:firstRowFirstColumn="0" w:firstRowLastColumn="0" w:lastRowFirstColumn="0" w:lastRowLastColumn="0"/>
          <w:trHeight w:val="25"/>
        </w:trPr>
        <w:tc>
          <w:tcPr>
            <w:tcW w:w="0" w:type="dxa"/>
            <w:noWrap/>
          </w:tcPr>
          <w:p w14:paraId="0D0E8E09" w14:textId="77777777" w:rsidR="00140491" w:rsidRPr="002B4A8D" w:rsidRDefault="00140491" w:rsidP="00625DAB">
            <w:pPr>
              <w:pStyle w:val="TableTextLeft"/>
              <w:rPr>
                <w:b/>
                <w:bCs/>
              </w:rPr>
            </w:pPr>
            <w:r w:rsidRPr="002B4A8D">
              <w:rPr>
                <w:b/>
                <w:bCs/>
              </w:rPr>
              <w:t>Total</w:t>
            </w:r>
          </w:p>
        </w:tc>
        <w:tc>
          <w:tcPr>
            <w:tcW w:w="0" w:type="dxa"/>
            <w:noWrap/>
          </w:tcPr>
          <w:p w14:paraId="026BA0F4" w14:textId="77777777" w:rsidR="00140491" w:rsidRPr="005A3CF5" w:rsidRDefault="00140491" w:rsidP="005A3CF5">
            <w:pPr>
              <w:pStyle w:val="TableTextRight"/>
              <w:rPr>
                <w:b/>
                <w:bCs/>
              </w:rPr>
            </w:pPr>
            <w:r w:rsidRPr="005A3CF5">
              <w:rPr>
                <w:b/>
                <w:bCs/>
              </w:rPr>
              <w:t>110</w:t>
            </w:r>
          </w:p>
        </w:tc>
      </w:tr>
    </w:tbl>
    <w:p w14:paraId="457B0488" w14:textId="77777777" w:rsidR="005A3CF5" w:rsidRDefault="005A3CF5" w:rsidP="005A3CF5">
      <w:bookmarkStart w:id="1280" w:name="_Toc205474331"/>
      <w:bookmarkStart w:id="1281" w:name="_Toc107329254"/>
      <w:bookmarkStart w:id="1282" w:name="_Toc107329523"/>
      <w:bookmarkStart w:id="1283" w:name="_Toc144813598"/>
      <w:bookmarkStart w:id="1284" w:name="_Toc145684553"/>
      <w:bookmarkStart w:id="1285" w:name="_Toc145685153"/>
      <w:bookmarkStart w:id="1286" w:name="_Toc145686106"/>
      <w:bookmarkStart w:id="1287" w:name="_Toc145686305"/>
      <w:bookmarkStart w:id="1288" w:name="_Toc145686504"/>
      <w:bookmarkStart w:id="1289" w:name="_Toc145686805"/>
      <w:bookmarkStart w:id="1290" w:name="_Toc173327338"/>
      <w:bookmarkStart w:id="1291" w:name="_Toc173327791"/>
      <w:bookmarkStart w:id="1292" w:name="_Toc173395314"/>
      <w:bookmarkStart w:id="1293" w:name="_Toc173395391"/>
      <w:bookmarkStart w:id="1294" w:name="_Toc173395726"/>
      <w:bookmarkStart w:id="1295" w:name="_Toc173396613"/>
      <w:bookmarkStart w:id="1296" w:name="_Toc173397625"/>
      <w:bookmarkStart w:id="1297" w:name="_Toc173408208"/>
      <w:bookmarkStart w:id="1298" w:name="_Toc173411529"/>
      <w:bookmarkStart w:id="1299" w:name="_Toc173479208"/>
      <w:bookmarkStart w:id="1300" w:name="_Toc173743083"/>
      <w:bookmarkStart w:id="1301" w:name="_Toc173743244"/>
      <w:bookmarkStart w:id="1302" w:name="_Toc176160567"/>
      <w:bookmarkStart w:id="1303" w:name="_Toc176163196"/>
    </w:p>
    <w:p w14:paraId="42F2F8D9" w14:textId="77777777" w:rsidR="005A3CF5" w:rsidRDefault="005A3CF5" w:rsidP="005A3CF5">
      <w:pPr>
        <w:rPr>
          <w:shd w:val="clear" w:color="auto" w:fill="FFFFFF"/>
        </w:rPr>
      </w:pPr>
      <w:r>
        <w:br w:type="page"/>
      </w:r>
    </w:p>
    <w:p w14:paraId="184CB380" w14:textId="1B69BFE2" w:rsidR="00C17410" w:rsidRPr="00256138" w:rsidRDefault="00AB24BF" w:rsidP="0091424A">
      <w:pPr>
        <w:pStyle w:val="Heading2"/>
      </w:pPr>
      <w:bookmarkStart w:id="1304" w:name="_Toc207792912"/>
      <w:bookmarkStart w:id="1305" w:name="_Toc207793951"/>
      <w:bookmarkStart w:id="1306" w:name="_Toc207796106"/>
      <w:bookmarkStart w:id="1307" w:name="_Toc207796956"/>
      <w:bookmarkStart w:id="1308" w:name="_Toc207800258"/>
      <w:bookmarkStart w:id="1309" w:name="_Toc207810836"/>
      <w:bookmarkStart w:id="1310" w:name="_Toc208914115"/>
      <w:bookmarkStart w:id="1311" w:name="_Toc209424512"/>
      <w:r w:rsidRPr="006534F5">
        <w:lastRenderedPageBreak/>
        <w:t>Reportable non</w:t>
      </w:r>
      <w:r w:rsidR="00B84FF2">
        <w:noBreakHyphen/>
      </w:r>
      <w:r w:rsidRPr="006534F5">
        <w:t>consultancy</w:t>
      </w:r>
      <w:bookmarkEnd w:id="1280"/>
      <w:bookmarkEnd w:id="1304"/>
      <w:bookmarkEnd w:id="1305"/>
      <w:bookmarkEnd w:id="1306"/>
      <w:bookmarkEnd w:id="1307"/>
      <w:bookmarkEnd w:id="1308"/>
      <w:bookmarkEnd w:id="1309"/>
      <w:bookmarkEnd w:id="1310"/>
      <w:bookmarkEnd w:id="1311"/>
      <w:r w:rsidRPr="006534F5">
        <w:t xml:space="preserve"> </w:t>
      </w:r>
    </w:p>
    <w:p w14:paraId="518F05E6" w14:textId="18D56785" w:rsidR="00C17410" w:rsidRDefault="0077063B" w:rsidP="00C17410">
      <w:r w:rsidRPr="00094F70">
        <w:t>During 202</w:t>
      </w:r>
      <w:r>
        <w:t>4–</w:t>
      </w:r>
      <w:r w:rsidRPr="00256138">
        <w:t>25,</w:t>
      </w:r>
      <w:r w:rsidR="00A83611">
        <w:t xml:space="preserve"> the AOFM </w:t>
      </w:r>
      <w:proofErr w:type="gramStart"/>
      <w:r w:rsidR="00A83611">
        <w:t>entered into</w:t>
      </w:r>
      <w:proofErr w:type="gramEnd"/>
      <w:r w:rsidRPr="00256138">
        <w:t xml:space="preserve"> </w:t>
      </w:r>
      <w:r>
        <w:t>33</w:t>
      </w:r>
      <w:r w:rsidRPr="00256138">
        <w:t xml:space="preserve"> new reportable non</w:t>
      </w:r>
      <w:r w:rsidR="00B84FF2">
        <w:noBreakHyphen/>
      </w:r>
      <w:r w:rsidRPr="00256138">
        <w:t xml:space="preserve">consultancy contracts, with total actual expenditure of </w:t>
      </w:r>
      <w:r w:rsidRPr="00B03993">
        <w:t>$25,719,935.</w:t>
      </w:r>
      <w:r w:rsidRPr="00256138">
        <w:t xml:space="preserve"> </w:t>
      </w:r>
      <w:r>
        <w:t xml:space="preserve">Of these, </w:t>
      </w:r>
      <w:r w:rsidRPr="00256138">
        <w:t xml:space="preserve">13 </w:t>
      </w:r>
      <w:r>
        <w:t xml:space="preserve">contracts </w:t>
      </w:r>
      <w:r w:rsidRPr="00256138">
        <w:t xml:space="preserve">were active and ongoing during the reporting period, </w:t>
      </w:r>
      <w:r>
        <w:t xml:space="preserve">accounting for </w:t>
      </w:r>
      <w:r w:rsidRPr="004C5859">
        <w:t>$1,268,715</w:t>
      </w:r>
      <w:r>
        <w:t xml:space="preserve"> in expenditure</w:t>
      </w:r>
      <w:r w:rsidRPr="004C5859">
        <w:t>.</w:t>
      </w:r>
      <w:r w:rsidRPr="00256138">
        <w:t xml:space="preserve"> </w:t>
      </w:r>
      <w:r>
        <w:t xml:space="preserve">A </w:t>
      </w:r>
      <w:r w:rsidRPr="00256138">
        <w:t>summar</w:t>
      </w:r>
      <w:r>
        <w:t>y is provided</w:t>
      </w:r>
      <w:r w:rsidRPr="00256138">
        <w:t xml:space="preserve"> in</w:t>
      </w:r>
      <w:r w:rsidR="00ED18D6">
        <w:t xml:space="preserve"> </w:t>
      </w:r>
      <w:r w:rsidR="00EA09D1">
        <w:t xml:space="preserve">the following </w:t>
      </w:r>
      <w:r w:rsidR="00ED18D6">
        <w:t>table</w:t>
      </w:r>
      <w:r w:rsidRPr="00256138">
        <w:t>.</w:t>
      </w:r>
    </w:p>
    <w:p w14:paraId="76E21E92" w14:textId="630DCCD2" w:rsidR="00C17410" w:rsidRDefault="00C17410" w:rsidP="00C17410">
      <w:r w:rsidRPr="00591D8C">
        <w:t xml:space="preserve">This annual report includes details on actual expenditure for reportable contracts. Information on the total value of reportable contracts is available on the </w:t>
      </w:r>
      <w:hyperlink r:id="rId113" w:history="1">
        <w:proofErr w:type="spellStart"/>
        <w:r w:rsidR="001F10B3" w:rsidRPr="00F2521B">
          <w:rPr>
            <w:rStyle w:val="Hyperlink"/>
          </w:rPr>
          <w:t>AusTender</w:t>
        </w:r>
        <w:proofErr w:type="spellEnd"/>
        <w:r w:rsidR="001F10B3" w:rsidRPr="00F2521B">
          <w:rPr>
            <w:rStyle w:val="Hyperlink"/>
          </w:rPr>
          <w:t xml:space="preserve"> website</w:t>
        </w:r>
      </w:hyperlink>
      <w:r w:rsidR="00A83611">
        <w:t>.</w:t>
      </w:r>
      <w:r w:rsidRPr="00BA45D8">
        <w:rPr>
          <w:vertAlign w:val="superscript"/>
        </w:rPr>
        <w:footnoteReference w:id="13"/>
      </w:r>
    </w:p>
    <w:p w14:paraId="7CB7C71C" w14:textId="7DC9A367" w:rsidR="00AB24BF" w:rsidRDefault="00FF520A" w:rsidP="0091424A">
      <w:pPr>
        <w:pStyle w:val="Heading2"/>
      </w:pPr>
      <w:bookmarkStart w:id="1312" w:name="_Toc205474332"/>
      <w:bookmarkStart w:id="1313" w:name="_Toc207792913"/>
      <w:bookmarkStart w:id="1314" w:name="_Toc207793952"/>
      <w:bookmarkStart w:id="1315" w:name="_Toc207796107"/>
      <w:bookmarkStart w:id="1316" w:name="_Toc207796957"/>
      <w:bookmarkStart w:id="1317" w:name="_Toc207800259"/>
      <w:bookmarkStart w:id="1318" w:name="_Toc207810837"/>
      <w:bookmarkStart w:id="1319" w:name="_Toc208914116"/>
      <w:bookmarkStart w:id="1320" w:name="_Toc209424513"/>
      <w:r>
        <w:t>C</w:t>
      </w:r>
      <w:r w:rsidR="00AB24BF" w:rsidRPr="006534F5">
        <w:t>ontracts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12"/>
      <w:bookmarkEnd w:id="1313"/>
      <w:bookmarkEnd w:id="1314"/>
      <w:bookmarkEnd w:id="1315"/>
      <w:bookmarkEnd w:id="1316"/>
      <w:bookmarkEnd w:id="1317"/>
      <w:bookmarkEnd w:id="1318"/>
      <w:bookmarkEnd w:id="1319"/>
      <w:bookmarkEnd w:id="1320"/>
    </w:p>
    <w:p w14:paraId="241D9709" w14:textId="33F1D481" w:rsidR="00C17BC6" w:rsidRPr="00C17BC6" w:rsidRDefault="00C17BC6" w:rsidP="00685CD2">
      <w:pPr>
        <w:pStyle w:val="TableMainHeading"/>
      </w:pPr>
      <w:r>
        <w:t>Table 2</w:t>
      </w:r>
      <w:r w:rsidR="002C4475">
        <w:t>7</w:t>
      </w:r>
      <w:r>
        <w:t xml:space="preserve">: </w:t>
      </w:r>
      <w:r w:rsidRPr="00C17BC6">
        <w:t>Reportable non</w:t>
      </w:r>
      <w:r w:rsidR="00B84FF2">
        <w:noBreakHyphen/>
      </w:r>
      <w:r w:rsidRPr="00C17BC6">
        <w:t>consultancy contracts 2024</w:t>
      </w:r>
      <w:r w:rsidR="00A83611">
        <w:t>–</w:t>
      </w:r>
      <w:r w:rsidRPr="00C17BC6">
        <w:t>25</w:t>
      </w:r>
    </w:p>
    <w:tbl>
      <w:tblPr>
        <w:tblStyle w:val="AOFMTablemain"/>
        <w:tblW w:w="5000" w:type="pct"/>
        <w:tblLook w:val="04A0" w:firstRow="1" w:lastRow="0" w:firstColumn="1" w:lastColumn="0" w:noHBand="0" w:noVBand="1"/>
      </w:tblPr>
      <w:tblGrid>
        <w:gridCol w:w="5073"/>
        <w:gridCol w:w="899"/>
        <w:gridCol w:w="1739"/>
      </w:tblGrid>
      <w:tr w:rsidR="00663533" w:rsidRPr="00EA09D1" w14:paraId="2BD278B1" w14:textId="77777777" w:rsidTr="007D45D3">
        <w:trPr>
          <w:cnfStyle w:val="100000000000" w:firstRow="1" w:lastRow="0" w:firstColumn="0" w:lastColumn="0" w:oddVBand="0" w:evenVBand="0" w:oddHBand="0" w:evenHBand="0" w:firstRowFirstColumn="0" w:firstRowLastColumn="0" w:lastRowFirstColumn="0" w:lastRowLastColumn="0"/>
          <w:trHeight w:val="227"/>
        </w:trPr>
        <w:tc>
          <w:tcPr>
            <w:tcW w:w="3321" w:type="pct"/>
          </w:tcPr>
          <w:p w14:paraId="497A15D2" w14:textId="3A85FB45" w:rsidR="00397E41" w:rsidRPr="005A0E6D" w:rsidRDefault="00397E41" w:rsidP="007D45D3">
            <w:pPr>
              <w:pStyle w:val="TableColumnHeadingLeft"/>
            </w:pPr>
            <w:r w:rsidRPr="005A0E6D">
              <w:t> Reportable non</w:t>
            </w:r>
            <w:r w:rsidR="00B84FF2">
              <w:noBreakHyphen/>
            </w:r>
            <w:r w:rsidRPr="005A0E6D">
              <w:t xml:space="preserve">consultancy </w:t>
            </w:r>
            <w:r w:rsidRPr="007D45D3">
              <w:t>contracts</w:t>
            </w:r>
            <w:r w:rsidRPr="005A0E6D">
              <w:t xml:space="preserve"> </w:t>
            </w:r>
          </w:p>
        </w:tc>
        <w:tc>
          <w:tcPr>
            <w:tcW w:w="518" w:type="pct"/>
          </w:tcPr>
          <w:p w14:paraId="6BA3EF14" w14:textId="77777777" w:rsidR="00397E41" w:rsidRPr="007D45D3" w:rsidRDefault="00397E41" w:rsidP="007D45D3">
            <w:pPr>
              <w:pStyle w:val="TableColumnHeadingRight"/>
            </w:pPr>
            <w:r w:rsidRPr="007D45D3">
              <w:t>Number</w:t>
            </w:r>
          </w:p>
        </w:tc>
        <w:tc>
          <w:tcPr>
            <w:tcW w:w="1160" w:type="pct"/>
          </w:tcPr>
          <w:p w14:paraId="0B17D1A6" w14:textId="134C2EA9" w:rsidR="00397E41" w:rsidRPr="007D45D3" w:rsidRDefault="00397E41" w:rsidP="007D45D3">
            <w:pPr>
              <w:pStyle w:val="TableColumnHeadingRight"/>
            </w:pPr>
            <w:r w:rsidRPr="007D45D3">
              <w:t>Expenditure $</w:t>
            </w:r>
            <w:r w:rsidR="00B84FF2" w:rsidRPr="007D45D3">
              <w:t>’</w:t>
            </w:r>
            <w:r w:rsidRPr="007D45D3">
              <w:t>000</w:t>
            </w:r>
          </w:p>
        </w:tc>
      </w:tr>
      <w:tr w:rsidR="00EA09D1" w:rsidRPr="00EA09D1" w14:paraId="0A250E22" w14:textId="77777777" w:rsidTr="007D45D3">
        <w:trPr>
          <w:trHeight w:val="173"/>
        </w:trPr>
        <w:tc>
          <w:tcPr>
            <w:tcW w:w="3321" w:type="pct"/>
          </w:tcPr>
          <w:p w14:paraId="446CD84C" w14:textId="77777777" w:rsidR="00397E41" w:rsidRPr="007D45D3" w:rsidRDefault="00397E41" w:rsidP="00625DAB">
            <w:pPr>
              <w:pStyle w:val="TableTextLeft"/>
            </w:pPr>
            <w:r w:rsidRPr="007D45D3">
              <w:t>New contracts</w:t>
            </w:r>
          </w:p>
        </w:tc>
        <w:tc>
          <w:tcPr>
            <w:tcW w:w="518" w:type="pct"/>
          </w:tcPr>
          <w:p w14:paraId="1EB2A5B7" w14:textId="77777777" w:rsidR="00397E41" w:rsidRPr="00067228" w:rsidRDefault="00397E41" w:rsidP="007D45D3">
            <w:pPr>
              <w:pStyle w:val="TableTextRight"/>
            </w:pPr>
            <w:r w:rsidRPr="00067228">
              <w:t>20</w:t>
            </w:r>
          </w:p>
        </w:tc>
        <w:tc>
          <w:tcPr>
            <w:tcW w:w="1160" w:type="pct"/>
          </w:tcPr>
          <w:p w14:paraId="468C299C" w14:textId="77777777" w:rsidR="00397E41" w:rsidRPr="00067228" w:rsidRDefault="00397E41" w:rsidP="007D45D3">
            <w:pPr>
              <w:pStyle w:val="TableTextRight"/>
            </w:pPr>
            <w:r w:rsidRPr="00067228">
              <w:t>24,451</w:t>
            </w:r>
          </w:p>
        </w:tc>
      </w:tr>
      <w:tr w:rsidR="00EA09D1" w:rsidRPr="00EA09D1" w14:paraId="506D900A" w14:textId="77777777" w:rsidTr="007D45D3">
        <w:trPr>
          <w:cnfStyle w:val="000000010000" w:firstRow="0" w:lastRow="0" w:firstColumn="0" w:lastColumn="0" w:oddVBand="0" w:evenVBand="0" w:oddHBand="0" w:evenHBand="1" w:firstRowFirstColumn="0" w:firstRowLastColumn="0" w:lastRowFirstColumn="0" w:lastRowLastColumn="0"/>
          <w:trHeight w:val="36"/>
        </w:trPr>
        <w:tc>
          <w:tcPr>
            <w:tcW w:w="3321" w:type="pct"/>
          </w:tcPr>
          <w:p w14:paraId="4A9BD444" w14:textId="77777777" w:rsidR="00397E41" w:rsidRPr="007D45D3" w:rsidRDefault="00397E41" w:rsidP="00625DAB">
            <w:pPr>
              <w:pStyle w:val="TableTextLeft"/>
            </w:pPr>
            <w:r w:rsidRPr="007D45D3">
              <w:t>Ongoing contracts</w:t>
            </w:r>
          </w:p>
        </w:tc>
        <w:tc>
          <w:tcPr>
            <w:tcW w:w="518" w:type="pct"/>
          </w:tcPr>
          <w:p w14:paraId="572B0B18" w14:textId="77777777" w:rsidR="00397E41" w:rsidRPr="00067228" w:rsidRDefault="00397E41" w:rsidP="007D45D3">
            <w:pPr>
              <w:pStyle w:val="TableTextRight"/>
            </w:pPr>
            <w:r w:rsidRPr="00067228">
              <w:t>13</w:t>
            </w:r>
          </w:p>
        </w:tc>
        <w:tc>
          <w:tcPr>
            <w:tcW w:w="1160" w:type="pct"/>
          </w:tcPr>
          <w:p w14:paraId="2955821E" w14:textId="77777777" w:rsidR="00397E41" w:rsidRPr="00067228" w:rsidRDefault="00397E41" w:rsidP="007D45D3">
            <w:pPr>
              <w:pStyle w:val="TableTextRight"/>
            </w:pPr>
            <w:r w:rsidRPr="00067228">
              <w:t>1,269</w:t>
            </w:r>
          </w:p>
        </w:tc>
      </w:tr>
      <w:tr w:rsidR="00EA09D1" w:rsidRPr="00EA09D1" w14:paraId="5F54DCB7" w14:textId="77777777" w:rsidTr="007D45D3">
        <w:trPr>
          <w:trHeight w:val="56"/>
        </w:trPr>
        <w:tc>
          <w:tcPr>
            <w:tcW w:w="3321" w:type="pct"/>
          </w:tcPr>
          <w:p w14:paraId="163BB2FE" w14:textId="77777777" w:rsidR="00397E41" w:rsidRPr="00896FDB" w:rsidRDefault="00397E41" w:rsidP="00625DAB">
            <w:pPr>
              <w:pStyle w:val="TableTextLeft"/>
              <w:rPr>
                <w:b/>
                <w:bCs/>
              </w:rPr>
            </w:pPr>
            <w:r w:rsidRPr="00896FDB">
              <w:rPr>
                <w:b/>
                <w:bCs/>
              </w:rPr>
              <w:t>Total</w:t>
            </w:r>
          </w:p>
        </w:tc>
        <w:tc>
          <w:tcPr>
            <w:tcW w:w="518" w:type="pct"/>
          </w:tcPr>
          <w:p w14:paraId="0B4E6835" w14:textId="77777777" w:rsidR="00397E41" w:rsidRPr="007D45D3" w:rsidRDefault="00397E41" w:rsidP="007D45D3">
            <w:pPr>
              <w:pStyle w:val="TableTextRight"/>
              <w:rPr>
                <w:b/>
                <w:bCs/>
              </w:rPr>
            </w:pPr>
            <w:r w:rsidRPr="007D45D3">
              <w:rPr>
                <w:b/>
                <w:bCs/>
              </w:rPr>
              <w:t>33</w:t>
            </w:r>
          </w:p>
        </w:tc>
        <w:tc>
          <w:tcPr>
            <w:tcW w:w="1160" w:type="pct"/>
          </w:tcPr>
          <w:p w14:paraId="5A0079FE" w14:textId="77777777" w:rsidR="00397E41" w:rsidRPr="007D45D3" w:rsidRDefault="00397E41" w:rsidP="007D45D3">
            <w:pPr>
              <w:pStyle w:val="TableTextRight"/>
              <w:rPr>
                <w:b/>
                <w:bCs/>
              </w:rPr>
            </w:pPr>
            <w:r w:rsidRPr="007D45D3">
              <w:rPr>
                <w:b/>
                <w:bCs/>
              </w:rPr>
              <w:t>25,720</w:t>
            </w:r>
          </w:p>
        </w:tc>
      </w:tr>
    </w:tbl>
    <w:p w14:paraId="418DB551" w14:textId="77777777" w:rsidR="001A6D45" w:rsidRPr="006534F5" w:rsidRDefault="001A6D45" w:rsidP="00713231">
      <w:pPr>
        <w:pStyle w:val="Heading3"/>
      </w:pPr>
      <w:bookmarkStart w:id="1321" w:name="_Toc207796108"/>
      <w:r w:rsidRPr="006534F5">
        <w:t>Additional information</w:t>
      </w:r>
      <w:bookmarkEnd w:id="1321"/>
    </w:p>
    <w:p w14:paraId="16CE54DE" w14:textId="062DF619" w:rsidR="00136A3B" w:rsidRPr="00CF1BA9" w:rsidRDefault="008906A3" w:rsidP="00136A3B">
      <w:r>
        <w:t xml:space="preserve">Below is the </w:t>
      </w:r>
      <w:r w:rsidR="00136A3B" w:rsidRPr="00623021">
        <w:t>list</w:t>
      </w:r>
      <w:r>
        <w:t xml:space="preserve"> of</w:t>
      </w:r>
      <w:r w:rsidR="00136A3B" w:rsidRPr="00623021">
        <w:t xml:space="preserve"> organisations that received the </w:t>
      </w:r>
      <w:r w:rsidR="00EA09D1">
        <w:t>5</w:t>
      </w:r>
      <w:r w:rsidR="00136A3B" w:rsidRPr="00623021">
        <w:t xml:space="preserve"> largest shares of </w:t>
      </w:r>
      <w:r w:rsidR="00A83611">
        <w:t xml:space="preserve">the </w:t>
      </w:r>
      <w:r w:rsidR="00136A3B" w:rsidRPr="00623021">
        <w:t>AOFM</w:t>
      </w:r>
      <w:r w:rsidR="00B84FF2">
        <w:t>’</w:t>
      </w:r>
      <w:r w:rsidR="00136A3B" w:rsidRPr="00623021">
        <w:t>s total expenditure on non</w:t>
      </w:r>
      <w:r w:rsidR="00B84FF2">
        <w:noBreakHyphen/>
      </w:r>
      <w:r w:rsidR="00136A3B" w:rsidRPr="00623021">
        <w:t xml:space="preserve">consultancy contracts in 2024–25. </w:t>
      </w:r>
      <w:r w:rsidR="00A83611">
        <w:t>This list</w:t>
      </w:r>
      <w:r w:rsidR="00136A3B" w:rsidRPr="00623021">
        <w:t xml:space="preserve"> also identifies</w:t>
      </w:r>
      <w:r w:rsidR="00136A3B" w:rsidRPr="00623021">
        <w:rPr>
          <w:b/>
          <w:bCs/>
        </w:rPr>
        <w:t xml:space="preserve"> </w:t>
      </w:r>
      <w:r w:rsidR="00136A3B" w:rsidRPr="00623021">
        <w:t>all organisations that received one or more non</w:t>
      </w:r>
      <w:r w:rsidR="00B84FF2">
        <w:noBreakHyphen/>
      </w:r>
      <w:r w:rsidR="00136A3B" w:rsidRPr="00623021">
        <w:t>consultancy contract payments amounting to at least 5</w:t>
      </w:r>
      <w:r w:rsidR="00A83611">
        <w:t xml:space="preserve"> per cent</w:t>
      </w:r>
      <w:r w:rsidR="00A83611" w:rsidRPr="00623021">
        <w:t xml:space="preserve"> </w:t>
      </w:r>
      <w:r w:rsidR="00136A3B" w:rsidRPr="00623021">
        <w:t>of AOFM</w:t>
      </w:r>
      <w:r w:rsidR="00B84FF2">
        <w:t>’</w:t>
      </w:r>
      <w:r w:rsidR="00136A3B" w:rsidRPr="00623021">
        <w:t>s total non</w:t>
      </w:r>
      <w:r w:rsidR="00B84FF2">
        <w:noBreakHyphen/>
      </w:r>
      <w:r w:rsidR="00136A3B" w:rsidRPr="00623021">
        <w:t xml:space="preserve">consultancy expenditure, </w:t>
      </w:r>
      <w:r w:rsidR="00A83611">
        <w:t xml:space="preserve">alongside </w:t>
      </w:r>
      <w:r w:rsidR="00136A3B" w:rsidRPr="00CF1BA9">
        <w:t>the total amount the</w:t>
      </w:r>
      <w:r w:rsidR="00136A3B">
        <w:t>y</w:t>
      </w:r>
      <w:r w:rsidR="00136A3B" w:rsidRPr="00CF1BA9">
        <w:t xml:space="preserve"> received.</w:t>
      </w:r>
    </w:p>
    <w:p w14:paraId="1A75085B" w14:textId="2BE12976" w:rsidR="007D45D3" w:rsidRDefault="00136A3B" w:rsidP="00136A3B">
      <w:r w:rsidRPr="004B2AA1">
        <w:t>All payments made to suppliers identified in Table 2</w:t>
      </w:r>
      <w:r w:rsidR="00F65621">
        <w:t>5</w:t>
      </w:r>
      <w:r w:rsidRPr="004B2AA1">
        <w:t xml:space="preserve"> relate to the syndicated issuance of </w:t>
      </w:r>
      <w:r w:rsidR="00A83611">
        <w:t>Australian Government Securities</w:t>
      </w:r>
      <w:r w:rsidR="00A83611" w:rsidRPr="004B2AA1">
        <w:t xml:space="preserve"> </w:t>
      </w:r>
      <w:r w:rsidRPr="004B2AA1">
        <w:t>in 2024–25</w:t>
      </w:r>
      <w:r w:rsidRPr="00CF1BA9">
        <w:t>.</w:t>
      </w:r>
    </w:p>
    <w:p w14:paraId="7800574D" w14:textId="77777777" w:rsidR="007D45D3" w:rsidRDefault="007D45D3">
      <w:pPr>
        <w:spacing w:after="0" w:line="240" w:lineRule="auto"/>
      </w:pPr>
      <w:r>
        <w:br w:type="page"/>
      </w:r>
    </w:p>
    <w:p w14:paraId="23FB4054" w14:textId="26819FC0" w:rsidR="00F65621" w:rsidRPr="00136A3B" w:rsidRDefault="00F65621" w:rsidP="00A96215">
      <w:pPr>
        <w:pStyle w:val="TableMainHeading"/>
      </w:pPr>
      <w:r>
        <w:lastRenderedPageBreak/>
        <w:t>Table 2</w:t>
      </w:r>
      <w:r w:rsidR="002C4475">
        <w:t>8</w:t>
      </w:r>
      <w:r>
        <w:t xml:space="preserve">: </w:t>
      </w:r>
      <w:r w:rsidRPr="00F65621">
        <w:t>Organisations receiving a share of reportable non</w:t>
      </w:r>
      <w:r w:rsidR="00B84FF2">
        <w:noBreakHyphen/>
      </w:r>
      <w:r w:rsidRPr="00F65621">
        <w:t>consultancy contract expenditure 2024</w:t>
      </w:r>
      <w:r w:rsidR="00A83611">
        <w:t>–</w:t>
      </w:r>
      <w:r w:rsidRPr="00F65621">
        <w:t>25</w:t>
      </w:r>
    </w:p>
    <w:tbl>
      <w:tblPr>
        <w:tblStyle w:val="AOFMTablemain"/>
        <w:tblW w:w="4968" w:type="pct"/>
        <w:tblLayout w:type="fixed"/>
        <w:tblLook w:val="04A0" w:firstRow="1" w:lastRow="0" w:firstColumn="1" w:lastColumn="0" w:noHBand="0" w:noVBand="1"/>
      </w:tblPr>
      <w:tblGrid>
        <w:gridCol w:w="5786"/>
        <w:gridCol w:w="1876"/>
      </w:tblGrid>
      <w:tr w:rsidR="0030473B" w:rsidRPr="003107EE" w14:paraId="1E2982EF" w14:textId="77777777" w:rsidTr="00EE0B7C">
        <w:trPr>
          <w:cnfStyle w:val="100000000000" w:firstRow="1" w:lastRow="0" w:firstColumn="0" w:lastColumn="0" w:oddVBand="0" w:evenVBand="0" w:oddHBand="0" w:evenHBand="0" w:firstRowFirstColumn="0" w:firstRowLastColumn="0" w:lastRowFirstColumn="0" w:lastRowLastColumn="0"/>
          <w:trHeight w:val="227"/>
        </w:trPr>
        <w:tc>
          <w:tcPr>
            <w:tcW w:w="3776" w:type="pct"/>
            <w:noWrap/>
            <w:hideMark/>
          </w:tcPr>
          <w:p w14:paraId="0F21533E" w14:textId="14BBF8CF" w:rsidR="0030473B" w:rsidRPr="005A0E6D" w:rsidRDefault="0030473B" w:rsidP="00EE0B7C">
            <w:pPr>
              <w:pStyle w:val="TableColumnHeadingLeft"/>
            </w:pPr>
            <w:r w:rsidRPr="005A0E6D">
              <w:t xml:space="preserve">Organisation </w:t>
            </w:r>
          </w:p>
        </w:tc>
        <w:tc>
          <w:tcPr>
            <w:tcW w:w="1224" w:type="pct"/>
            <w:noWrap/>
            <w:hideMark/>
          </w:tcPr>
          <w:p w14:paraId="0C8324DA" w14:textId="33CD0ED9" w:rsidR="0030473B" w:rsidRPr="005A0E6D" w:rsidRDefault="0030473B" w:rsidP="00EE0B7C">
            <w:pPr>
              <w:pStyle w:val="TableColumnHeadingRight"/>
            </w:pPr>
            <w:r w:rsidRPr="00EE0B7C">
              <w:t>Expenditure</w:t>
            </w:r>
            <w:r w:rsidRPr="005A0E6D">
              <w:t xml:space="preserve"> $</w:t>
            </w:r>
            <w:r w:rsidR="00B84FF2">
              <w:t>’</w:t>
            </w:r>
            <w:r w:rsidRPr="005A0E6D">
              <w:t>000</w:t>
            </w:r>
          </w:p>
        </w:tc>
      </w:tr>
      <w:tr w:rsidR="0030473B" w:rsidRPr="003107EE" w14:paraId="2E06D4F6" w14:textId="77777777" w:rsidTr="00EE0B7C">
        <w:trPr>
          <w:trHeight w:val="175"/>
        </w:trPr>
        <w:tc>
          <w:tcPr>
            <w:tcW w:w="3776" w:type="pct"/>
            <w:noWrap/>
          </w:tcPr>
          <w:p w14:paraId="3990C618" w14:textId="77777777" w:rsidR="0030473B" w:rsidRPr="00EE0B7C" w:rsidRDefault="0030473B" w:rsidP="00625DAB">
            <w:pPr>
              <w:pStyle w:val="TableTextLeft"/>
            </w:pPr>
            <w:r w:rsidRPr="00EE0B7C">
              <w:t>Barrenjoey Markets Pty Limited</w:t>
            </w:r>
          </w:p>
        </w:tc>
        <w:tc>
          <w:tcPr>
            <w:tcW w:w="1224" w:type="pct"/>
            <w:noWrap/>
          </w:tcPr>
          <w:p w14:paraId="020C5433" w14:textId="77777777" w:rsidR="0030473B" w:rsidRPr="00EE0B7C" w:rsidRDefault="0030473B" w:rsidP="00EE0B7C">
            <w:pPr>
              <w:pStyle w:val="TableTextRight"/>
            </w:pPr>
            <w:r w:rsidRPr="00EE0B7C">
              <w:t>5,830</w:t>
            </w:r>
          </w:p>
        </w:tc>
      </w:tr>
      <w:tr w:rsidR="0030473B" w:rsidRPr="003107EE" w14:paraId="467054DB" w14:textId="77777777" w:rsidTr="00EE0B7C">
        <w:trPr>
          <w:cnfStyle w:val="000000010000" w:firstRow="0" w:lastRow="0" w:firstColumn="0" w:lastColumn="0" w:oddVBand="0" w:evenVBand="0" w:oddHBand="0" w:evenHBand="1" w:firstRowFirstColumn="0" w:firstRowLastColumn="0" w:lastRowFirstColumn="0" w:lastRowLastColumn="0"/>
          <w:trHeight w:val="182"/>
        </w:trPr>
        <w:tc>
          <w:tcPr>
            <w:tcW w:w="3776" w:type="pct"/>
            <w:noWrap/>
          </w:tcPr>
          <w:p w14:paraId="5724B031" w14:textId="77777777" w:rsidR="0030473B" w:rsidRPr="00EE0B7C" w:rsidRDefault="0030473B" w:rsidP="00625DAB">
            <w:pPr>
              <w:pStyle w:val="TableTextLeft"/>
            </w:pPr>
            <w:r w:rsidRPr="00EE0B7C">
              <w:t>UBS AG, Australia Branch</w:t>
            </w:r>
          </w:p>
        </w:tc>
        <w:tc>
          <w:tcPr>
            <w:tcW w:w="1224" w:type="pct"/>
            <w:noWrap/>
          </w:tcPr>
          <w:p w14:paraId="35883BF1" w14:textId="77777777" w:rsidR="0030473B" w:rsidRPr="00EE0B7C" w:rsidRDefault="0030473B" w:rsidP="00EE0B7C">
            <w:pPr>
              <w:pStyle w:val="TableTextRight"/>
            </w:pPr>
            <w:r w:rsidRPr="00EE0B7C">
              <w:t>5,830</w:t>
            </w:r>
          </w:p>
        </w:tc>
      </w:tr>
      <w:tr w:rsidR="0030473B" w:rsidRPr="003107EE" w14:paraId="17080C1C" w14:textId="77777777" w:rsidTr="00EE0B7C">
        <w:trPr>
          <w:trHeight w:val="227"/>
        </w:trPr>
        <w:tc>
          <w:tcPr>
            <w:tcW w:w="3776" w:type="pct"/>
            <w:noWrap/>
          </w:tcPr>
          <w:p w14:paraId="5E743A43" w14:textId="77777777" w:rsidR="0030473B" w:rsidRPr="00EE0B7C" w:rsidRDefault="0030473B" w:rsidP="00625DAB">
            <w:pPr>
              <w:pStyle w:val="TableTextLeft"/>
            </w:pPr>
            <w:r w:rsidRPr="00EE0B7C">
              <w:t>Commonwealth Bank of Australia</w:t>
            </w:r>
          </w:p>
        </w:tc>
        <w:tc>
          <w:tcPr>
            <w:tcW w:w="1224" w:type="pct"/>
            <w:noWrap/>
          </w:tcPr>
          <w:p w14:paraId="2BEBFAFA" w14:textId="77777777" w:rsidR="0030473B" w:rsidRPr="00EE0B7C" w:rsidRDefault="0030473B" w:rsidP="00EE0B7C">
            <w:pPr>
              <w:pStyle w:val="TableTextRight"/>
            </w:pPr>
            <w:r w:rsidRPr="00EE0B7C">
              <w:t>3,300</w:t>
            </w:r>
          </w:p>
        </w:tc>
      </w:tr>
      <w:tr w:rsidR="0030473B" w:rsidRPr="003107EE" w14:paraId="40FAA3DE" w14:textId="77777777" w:rsidTr="00EE0B7C">
        <w:trPr>
          <w:cnfStyle w:val="000000010000" w:firstRow="0" w:lastRow="0" w:firstColumn="0" w:lastColumn="0" w:oddVBand="0" w:evenVBand="0" w:oddHBand="0" w:evenHBand="1" w:firstRowFirstColumn="0" w:firstRowLastColumn="0" w:lastRowFirstColumn="0" w:lastRowLastColumn="0"/>
          <w:trHeight w:val="227"/>
        </w:trPr>
        <w:tc>
          <w:tcPr>
            <w:tcW w:w="3776" w:type="pct"/>
            <w:noWrap/>
          </w:tcPr>
          <w:p w14:paraId="2AC545FF" w14:textId="77777777" w:rsidR="0030473B" w:rsidRPr="00EE0B7C" w:rsidRDefault="0030473B" w:rsidP="00625DAB">
            <w:pPr>
              <w:pStyle w:val="TableTextLeft"/>
            </w:pPr>
            <w:r w:rsidRPr="00EE0B7C">
              <w:t>National Australia Bank Limited</w:t>
            </w:r>
          </w:p>
        </w:tc>
        <w:tc>
          <w:tcPr>
            <w:tcW w:w="1224" w:type="pct"/>
            <w:noWrap/>
          </w:tcPr>
          <w:p w14:paraId="6D1B0779" w14:textId="77777777" w:rsidR="0030473B" w:rsidRPr="00EE0B7C" w:rsidRDefault="0030473B" w:rsidP="00EE0B7C">
            <w:pPr>
              <w:pStyle w:val="TableTextRight"/>
            </w:pPr>
            <w:r w:rsidRPr="00EE0B7C">
              <w:t>3,300</w:t>
            </w:r>
          </w:p>
        </w:tc>
      </w:tr>
      <w:tr w:rsidR="0030473B" w:rsidRPr="003107EE" w14:paraId="6C753625" w14:textId="77777777" w:rsidTr="00EE0B7C">
        <w:trPr>
          <w:trHeight w:val="227"/>
        </w:trPr>
        <w:tc>
          <w:tcPr>
            <w:tcW w:w="3776" w:type="pct"/>
            <w:noWrap/>
          </w:tcPr>
          <w:p w14:paraId="6A6D5FAD" w14:textId="77777777" w:rsidR="0030473B" w:rsidRPr="00EE0B7C" w:rsidRDefault="0030473B" w:rsidP="00625DAB">
            <w:pPr>
              <w:pStyle w:val="TableTextLeft"/>
            </w:pPr>
            <w:r w:rsidRPr="00EE0B7C">
              <w:t>J.P. Morgan Securities Australia Limited</w:t>
            </w:r>
          </w:p>
        </w:tc>
        <w:tc>
          <w:tcPr>
            <w:tcW w:w="1224" w:type="pct"/>
            <w:noWrap/>
          </w:tcPr>
          <w:p w14:paraId="00FC5C7F" w14:textId="77777777" w:rsidR="0030473B" w:rsidRPr="00EE0B7C" w:rsidRDefault="0030473B" w:rsidP="00EE0B7C">
            <w:pPr>
              <w:pStyle w:val="TableTextRight"/>
            </w:pPr>
            <w:r w:rsidRPr="00EE0B7C">
              <w:t>2,530</w:t>
            </w:r>
          </w:p>
        </w:tc>
      </w:tr>
      <w:tr w:rsidR="0030473B" w:rsidRPr="003107EE" w14:paraId="7F601D15" w14:textId="77777777" w:rsidTr="00EE0B7C">
        <w:trPr>
          <w:cnfStyle w:val="000000010000" w:firstRow="0" w:lastRow="0" w:firstColumn="0" w:lastColumn="0" w:oddVBand="0" w:evenVBand="0" w:oddHBand="0" w:evenHBand="1" w:firstRowFirstColumn="0" w:firstRowLastColumn="0" w:lastRowFirstColumn="0" w:lastRowLastColumn="0"/>
          <w:trHeight w:val="227"/>
        </w:trPr>
        <w:tc>
          <w:tcPr>
            <w:tcW w:w="3776" w:type="pct"/>
            <w:noWrap/>
          </w:tcPr>
          <w:p w14:paraId="67AB2A9E" w14:textId="77777777" w:rsidR="0030473B" w:rsidRPr="00EE0B7C" w:rsidRDefault="0030473B" w:rsidP="00625DAB">
            <w:pPr>
              <w:pStyle w:val="TableTextLeft"/>
            </w:pPr>
            <w:r w:rsidRPr="00EE0B7C">
              <w:t>Westpac Institutional Bank</w:t>
            </w:r>
          </w:p>
        </w:tc>
        <w:tc>
          <w:tcPr>
            <w:tcW w:w="1224" w:type="pct"/>
            <w:noWrap/>
          </w:tcPr>
          <w:p w14:paraId="2C8EDA79" w14:textId="77777777" w:rsidR="0030473B" w:rsidRPr="00EE0B7C" w:rsidRDefault="0030473B" w:rsidP="00EE0B7C">
            <w:pPr>
              <w:pStyle w:val="TableTextRight"/>
            </w:pPr>
            <w:r w:rsidRPr="00EE0B7C">
              <w:t>2,530</w:t>
            </w:r>
          </w:p>
        </w:tc>
      </w:tr>
      <w:tr w:rsidR="0030473B" w:rsidRPr="003107EE" w14:paraId="6682833C" w14:textId="77777777" w:rsidTr="00EE0B7C">
        <w:trPr>
          <w:trHeight w:val="227"/>
        </w:trPr>
        <w:tc>
          <w:tcPr>
            <w:tcW w:w="3776" w:type="pct"/>
            <w:noWrap/>
          </w:tcPr>
          <w:p w14:paraId="2548B99F" w14:textId="77777777" w:rsidR="0030473B" w:rsidRPr="006C030A" w:rsidRDefault="0030473B" w:rsidP="00625DAB">
            <w:pPr>
              <w:pStyle w:val="TableTextLeft"/>
              <w:rPr>
                <w:b/>
                <w:bCs/>
              </w:rPr>
            </w:pPr>
            <w:r w:rsidRPr="006C030A">
              <w:rPr>
                <w:b/>
                <w:bCs/>
              </w:rPr>
              <w:t>Total</w:t>
            </w:r>
          </w:p>
        </w:tc>
        <w:tc>
          <w:tcPr>
            <w:tcW w:w="1224" w:type="pct"/>
            <w:noWrap/>
          </w:tcPr>
          <w:p w14:paraId="7205E080" w14:textId="77777777" w:rsidR="0030473B" w:rsidRPr="00EE0B7C" w:rsidRDefault="0030473B" w:rsidP="00EE0B7C">
            <w:pPr>
              <w:pStyle w:val="TableTextRight"/>
              <w:rPr>
                <w:b/>
                <w:bCs/>
              </w:rPr>
            </w:pPr>
            <w:r w:rsidRPr="00EE0B7C">
              <w:rPr>
                <w:b/>
                <w:bCs/>
              </w:rPr>
              <w:t>23,320</w:t>
            </w:r>
          </w:p>
        </w:tc>
      </w:tr>
    </w:tbl>
    <w:p w14:paraId="41BB1A7B" w14:textId="6DC57172" w:rsidR="00DC7409" w:rsidRPr="006534F5" w:rsidRDefault="00DC7409" w:rsidP="00A96215">
      <w:pPr>
        <w:pStyle w:val="Heading3"/>
      </w:pPr>
      <w:bookmarkStart w:id="1322" w:name="_Toc145684554"/>
      <w:bookmarkStart w:id="1323" w:name="_Toc145685154"/>
      <w:bookmarkStart w:id="1324" w:name="_Toc145686107"/>
      <w:bookmarkStart w:id="1325" w:name="_Toc145686306"/>
      <w:bookmarkStart w:id="1326" w:name="_Toc145686505"/>
      <w:bookmarkStart w:id="1327" w:name="_Toc145686806"/>
      <w:bookmarkStart w:id="1328" w:name="_Toc173408210"/>
      <w:bookmarkStart w:id="1329" w:name="_Toc173411531"/>
      <w:bookmarkStart w:id="1330" w:name="_Toc173479210"/>
      <w:bookmarkStart w:id="1331" w:name="_Toc207796109"/>
      <w:r w:rsidRPr="006534F5">
        <w:t>A</w:t>
      </w:r>
      <w:r w:rsidR="00A83611">
        <w:t xml:space="preserve">ustralian </w:t>
      </w:r>
      <w:r w:rsidRPr="006534F5">
        <w:t>N</w:t>
      </w:r>
      <w:r w:rsidR="00A83611">
        <w:t xml:space="preserve">ational </w:t>
      </w:r>
      <w:r w:rsidRPr="006534F5">
        <w:t>A</w:t>
      </w:r>
      <w:r w:rsidR="00A83611">
        <w:t xml:space="preserve">udit </w:t>
      </w:r>
      <w:r w:rsidRPr="006534F5">
        <w:t>O</w:t>
      </w:r>
      <w:r w:rsidR="00A83611">
        <w:t>ffice</w:t>
      </w:r>
      <w:r w:rsidRPr="006534F5">
        <w:t xml:space="preserve"> </w:t>
      </w:r>
      <w:r>
        <w:t>a</w:t>
      </w:r>
      <w:r w:rsidRPr="006534F5">
        <w:t xml:space="preserve">ccess </w:t>
      </w:r>
      <w:r>
        <w:t>c</w:t>
      </w:r>
      <w:r w:rsidRPr="006534F5">
        <w:t xml:space="preserve">lauses and </w:t>
      </w:r>
      <w:r>
        <w:t>e</w:t>
      </w:r>
      <w:r w:rsidRPr="006534F5">
        <w:t xml:space="preserve">xempt </w:t>
      </w:r>
      <w:r>
        <w:t>c</w:t>
      </w:r>
      <w:r w:rsidRPr="006534F5">
        <w:t>ontracts</w:t>
      </w:r>
      <w:bookmarkEnd w:id="1322"/>
      <w:bookmarkEnd w:id="1323"/>
      <w:bookmarkEnd w:id="1324"/>
      <w:bookmarkEnd w:id="1325"/>
      <w:bookmarkEnd w:id="1326"/>
      <w:bookmarkEnd w:id="1327"/>
      <w:bookmarkEnd w:id="1328"/>
      <w:bookmarkEnd w:id="1329"/>
      <w:bookmarkEnd w:id="1330"/>
      <w:bookmarkEnd w:id="1331"/>
    </w:p>
    <w:p w14:paraId="58A58418" w14:textId="3425E79C" w:rsidR="00AC45ED" w:rsidRPr="006534F5" w:rsidRDefault="00AC45ED" w:rsidP="00AC45ED">
      <w:r>
        <w:t xml:space="preserve">Of the contracts </w:t>
      </w:r>
      <w:proofErr w:type="gramStart"/>
      <w:r>
        <w:t>entered into</w:t>
      </w:r>
      <w:proofErr w:type="gramEnd"/>
      <w:r>
        <w:t xml:space="preserve"> during 2024–25 that were valued </w:t>
      </w:r>
      <w:r w:rsidRPr="004C5859">
        <w:t>at $100,000 or</w:t>
      </w:r>
      <w:r>
        <w:t xml:space="preserve"> more, all gave</w:t>
      </w:r>
      <w:r w:rsidRPr="006534F5">
        <w:t xml:space="preserve"> the Auditor</w:t>
      </w:r>
      <w:r w:rsidR="00B84FF2">
        <w:noBreakHyphen/>
      </w:r>
      <w:r w:rsidRPr="006534F5">
        <w:t>General access to the contractor</w:t>
      </w:r>
      <w:r w:rsidR="00B84FF2">
        <w:t>’</w:t>
      </w:r>
      <w:r w:rsidRPr="006534F5">
        <w:t>s premises.</w:t>
      </w:r>
    </w:p>
    <w:p w14:paraId="60C977DD" w14:textId="56B72FFE" w:rsidR="00AC45ED" w:rsidRDefault="00AC45ED" w:rsidP="00AC45ED">
      <w:r w:rsidRPr="006534F5">
        <w:t xml:space="preserve">No contract or </w:t>
      </w:r>
      <w:r w:rsidRPr="00B00709">
        <w:t>standing arrangement</w:t>
      </w:r>
      <w:r w:rsidRPr="006534F5">
        <w:t xml:space="preserve"> </w:t>
      </w:r>
      <w:r>
        <w:t xml:space="preserve">was </w:t>
      </w:r>
      <w:r w:rsidRPr="006534F5">
        <w:t xml:space="preserve">exempt from being published in </w:t>
      </w:r>
      <w:proofErr w:type="spellStart"/>
      <w:r w:rsidRPr="006534F5">
        <w:t>AusTender</w:t>
      </w:r>
      <w:proofErr w:type="spellEnd"/>
      <w:r w:rsidRPr="006534F5">
        <w:t xml:space="preserve"> on the basis </w:t>
      </w:r>
      <w:r>
        <w:t xml:space="preserve">that </w:t>
      </w:r>
      <w:r w:rsidRPr="006534F5">
        <w:t xml:space="preserve">it would disclose exempt matters under the </w:t>
      </w:r>
      <w:r w:rsidRPr="005B70FC">
        <w:rPr>
          <w:i/>
          <w:iCs/>
        </w:rPr>
        <w:t>Freedom of Information Act 1982</w:t>
      </w:r>
      <w:r w:rsidRPr="006534F5">
        <w:t xml:space="preserve"> (FOI Act)</w:t>
      </w:r>
      <w:r w:rsidRPr="005B70FC">
        <w:t>.</w:t>
      </w:r>
    </w:p>
    <w:p w14:paraId="2C084FC0" w14:textId="77777777" w:rsidR="00AC45ED" w:rsidRPr="00063D4E" w:rsidRDefault="00AC45ED" w:rsidP="00EE0B7C">
      <w:pPr>
        <w:pStyle w:val="Heading4"/>
      </w:pPr>
      <w:r w:rsidRPr="00063D4E">
        <w:t>Exempt contracts</w:t>
      </w:r>
    </w:p>
    <w:p w14:paraId="55E832E5" w14:textId="59D6677A" w:rsidR="00AC45ED" w:rsidRPr="00D675FF" w:rsidRDefault="00AC45ED" w:rsidP="00AC45ED">
      <w:r w:rsidRPr="00934175">
        <w:t xml:space="preserve">The PGPA Rule requires that if any contract in </w:t>
      </w:r>
      <w:r w:rsidRPr="004C5859">
        <w:t>excess of $10,000 (</w:t>
      </w:r>
      <w:r w:rsidRPr="00934175">
        <w:t xml:space="preserve">inclusive of GST) or </w:t>
      </w:r>
      <w:r w:rsidRPr="00D675FF">
        <w:t>a</w:t>
      </w:r>
      <w:r w:rsidR="003E235A">
        <w:t>ny</w:t>
      </w:r>
      <w:r w:rsidRPr="00D675FF">
        <w:t xml:space="preserve"> standing arrangement has been exempted by the accountable authority from being published on </w:t>
      </w:r>
      <w:proofErr w:type="spellStart"/>
      <w:r w:rsidRPr="00D675FF">
        <w:t>AusTender</w:t>
      </w:r>
      <w:proofErr w:type="spellEnd"/>
      <w:r w:rsidRPr="00D675FF">
        <w:t xml:space="preserve"> on the basis that it would disclose exempt matters under the</w:t>
      </w:r>
      <w:r w:rsidR="003E235A" w:rsidRPr="005A0E6D" w:rsidDel="003E235A">
        <w:t xml:space="preserve"> </w:t>
      </w:r>
      <w:r w:rsidRPr="00D675FF">
        <w:t>FOI</w:t>
      </w:r>
      <w:r w:rsidR="006C030A">
        <w:t> </w:t>
      </w:r>
      <w:r w:rsidRPr="00D675FF">
        <w:t>Act, the fact that the contract has been exempted and the value of the contract or standing arrangement must be reported, to the extent that doing so does not in itself disclose the exempt matters. </w:t>
      </w:r>
    </w:p>
    <w:p w14:paraId="47F5533B" w14:textId="028086E7" w:rsidR="00511B71" w:rsidRDefault="00AC45ED" w:rsidP="00AC45ED">
      <w:r w:rsidRPr="00D675FF">
        <w:t>The exempt contracts provision addresses the requirement to document, in entities</w:t>
      </w:r>
      <w:r w:rsidR="00B84FF2">
        <w:t>’</w:t>
      </w:r>
      <w:r w:rsidRPr="00D675FF">
        <w:t xml:space="preserve"> annual reports, any contracts </w:t>
      </w:r>
      <w:proofErr w:type="gramStart"/>
      <w:r w:rsidRPr="00D675FF">
        <w:t>entered into</w:t>
      </w:r>
      <w:proofErr w:type="gramEnd"/>
      <w:r w:rsidRPr="00D675FF">
        <w:t xml:space="preserve"> during the reporting period, where the contract details were not published in </w:t>
      </w:r>
      <w:proofErr w:type="spellStart"/>
      <w:r w:rsidRPr="00D675FF">
        <w:t>AusTender</w:t>
      </w:r>
      <w:proofErr w:type="spellEnd"/>
      <w:r w:rsidRPr="00D675FF">
        <w:t xml:space="preserve">. This requirement also covers standing </w:t>
      </w:r>
      <w:r>
        <w:t>arrangements</w:t>
      </w:r>
      <w:r w:rsidRPr="00934175">
        <w:t>.</w:t>
      </w:r>
    </w:p>
    <w:p w14:paraId="17C3EC5D" w14:textId="77777777" w:rsidR="00511B71" w:rsidRDefault="00511B71">
      <w:pPr>
        <w:spacing w:after="0" w:line="240" w:lineRule="auto"/>
      </w:pPr>
      <w:r>
        <w:br w:type="page"/>
      </w:r>
    </w:p>
    <w:p w14:paraId="08E219C2" w14:textId="6E755C2F" w:rsidR="001C7B31" w:rsidRPr="001C7B31" w:rsidRDefault="00AC45ED" w:rsidP="00511B71">
      <w:pPr>
        <w:spacing w:line="276" w:lineRule="auto"/>
      </w:pPr>
      <w:r w:rsidRPr="00934175">
        <w:lastRenderedPageBreak/>
        <w:t xml:space="preserve">An accountable authority may direct in writing that contract details are not to be reported on </w:t>
      </w:r>
      <w:proofErr w:type="spellStart"/>
      <w:r w:rsidRPr="00934175">
        <w:t>AusTender</w:t>
      </w:r>
      <w:proofErr w:type="spellEnd"/>
      <w:r w:rsidRPr="00934175">
        <w:t xml:space="preserve"> if they would be subject to an exemption under the FOI Act and the accountable authority considers that the information is genuinely sensitive, and harm is likely to be caused by its disclosure.</w:t>
      </w:r>
    </w:p>
    <w:p w14:paraId="2594B5D9" w14:textId="77777777" w:rsidR="00535F42" w:rsidRPr="006534F5" w:rsidRDefault="00535F42" w:rsidP="00511B71">
      <w:pPr>
        <w:pStyle w:val="Heading2"/>
        <w:spacing w:line="240" w:lineRule="auto"/>
      </w:pPr>
      <w:bookmarkStart w:id="1332" w:name="_Procurement_initiatives_to"/>
      <w:bookmarkStart w:id="1333" w:name="_Toc144813599"/>
      <w:bookmarkStart w:id="1334" w:name="_Toc145684555"/>
      <w:bookmarkStart w:id="1335" w:name="_Toc145685155"/>
      <w:bookmarkStart w:id="1336" w:name="_Toc145686108"/>
      <w:bookmarkStart w:id="1337" w:name="_Toc145686307"/>
      <w:bookmarkStart w:id="1338" w:name="_Toc145686506"/>
      <w:bookmarkStart w:id="1339" w:name="_Toc145686807"/>
      <w:bookmarkStart w:id="1340" w:name="_Toc173327339"/>
      <w:bookmarkStart w:id="1341" w:name="_Toc173327792"/>
      <w:bookmarkStart w:id="1342" w:name="_Toc173395315"/>
      <w:bookmarkStart w:id="1343" w:name="_Toc173395392"/>
      <w:bookmarkStart w:id="1344" w:name="_Toc173395727"/>
      <w:bookmarkStart w:id="1345" w:name="_Toc173396614"/>
      <w:bookmarkStart w:id="1346" w:name="_Toc173397626"/>
      <w:bookmarkStart w:id="1347" w:name="_Toc173408211"/>
      <w:bookmarkStart w:id="1348" w:name="_Toc173411532"/>
      <w:bookmarkStart w:id="1349" w:name="_Toc173479211"/>
      <w:bookmarkStart w:id="1350" w:name="_Toc173743084"/>
      <w:bookmarkStart w:id="1351" w:name="_Toc173743245"/>
      <w:bookmarkStart w:id="1352" w:name="_Toc176160568"/>
      <w:bookmarkStart w:id="1353" w:name="_Toc176163197"/>
      <w:bookmarkStart w:id="1354" w:name="_Toc205474333"/>
      <w:bookmarkStart w:id="1355" w:name="_Toc207792914"/>
      <w:bookmarkStart w:id="1356" w:name="_Toc207793953"/>
      <w:bookmarkStart w:id="1357" w:name="_Toc207796110"/>
      <w:bookmarkStart w:id="1358" w:name="_Toc207796958"/>
      <w:bookmarkStart w:id="1359" w:name="_Toc207800260"/>
      <w:bookmarkStart w:id="1360" w:name="_Toc207810838"/>
      <w:bookmarkStart w:id="1361" w:name="_Toc208914117"/>
      <w:bookmarkStart w:id="1362" w:name="_Toc209424514"/>
      <w:bookmarkEnd w:id="1332"/>
      <w:r w:rsidRPr="006534F5">
        <w:t>Procurement initiatives to support small business</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14:paraId="1A4E73DC" w14:textId="27DDCB51" w:rsidR="00D029C0" w:rsidRPr="00DD3893" w:rsidRDefault="00D029C0" w:rsidP="00D029C0">
      <w:r w:rsidRPr="006534F5">
        <w:t>The AOFM support</w:t>
      </w:r>
      <w:r>
        <w:t>s</w:t>
      </w:r>
      <w:r w:rsidRPr="006534F5">
        <w:t xml:space="preserve"> small business participation in the </w:t>
      </w:r>
      <w:r>
        <w:t>Australian </w:t>
      </w:r>
      <w:r w:rsidRPr="006534F5">
        <w:t xml:space="preserve">Government procurement market. </w:t>
      </w:r>
      <w:r>
        <w:t>S</w:t>
      </w:r>
      <w:r w:rsidR="001B6950">
        <w:t xml:space="preserve">mall and medium </w:t>
      </w:r>
      <w:r w:rsidRPr="006534F5">
        <w:t>enterprise</w:t>
      </w:r>
      <w:r w:rsidR="001B6950">
        <w:t xml:space="preserve"> (SME)</w:t>
      </w:r>
      <w:r w:rsidRPr="006534F5">
        <w:t xml:space="preserve"> participation statistics are available on</w:t>
      </w:r>
      <w:r w:rsidRPr="002261E5">
        <w:t xml:space="preserve"> the </w:t>
      </w:r>
      <w:hyperlink r:id="rId114" w:history="1">
        <w:r w:rsidR="001B6950" w:rsidRPr="003240E4">
          <w:rPr>
            <w:rStyle w:val="Hyperlink"/>
          </w:rPr>
          <w:t>Department of Finance website</w:t>
        </w:r>
      </w:hyperlink>
      <w:r w:rsidRPr="002261E5">
        <w:t>.</w:t>
      </w:r>
      <w:r w:rsidRPr="002261E5">
        <w:rPr>
          <w:vertAlign w:val="superscript"/>
        </w:rPr>
        <w:footnoteReference w:id="14"/>
      </w:r>
    </w:p>
    <w:p w14:paraId="4EBF8C19" w14:textId="46F977AD" w:rsidR="00D029C0" w:rsidRPr="006534F5" w:rsidRDefault="00D029C0" w:rsidP="00D029C0">
      <w:r w:rsidRPr="006534F5">
        <w:t>Consistent with paragraph 5.5 of the CPRs, the AOFM</w:t>
      </w:r>
      <w:r w:rsidR="00B84FF2">
        <w:t>’</w:t>
      </w:r>
      <w:r w:rsidRPr="006534F5">
        <w:t>s procurement practices provide appropriate opportunities for SMEs to compete</w:t>
      </w:r>
      <w:r>
        <w:t>. They also</w:t>
      </w:r>
      <w:r w:rsidRPr="006534F5">
        <w:t xml:space="preserve"> ensure</w:t>
      </w:r>
      <w:r>
        <w:t xml:space="preserve"> that</w:t>
      </w:r>
      <w:r w:rsidRPr="006534F5">
        <w:t xml:space="preserve"> SMEs </w:t>
      </w:r>
      <w:r>
        <w:t>are</w:t>
      </w:r>
      <w:r w:rsidRPr="006534F5">
        <w:t xml:space="preserve"> not unfairly discriminated against.</w:t>
      </w:r>
    </w:p>
    <w:p w14:paraId="2B4F3FC7" w14:textId="35DEDC6D" w:rsidR="00D029C0" w:rsidRPr="00D029C0" w:rsidRDefault="00D029C0" w:rsidP="00D029C0">
      <w:pPr>
        <w:spacing w:before="240"/>
      </w:pPr>
      <w:r>
        <w:t>We</w:t>
      </w:r>
      <w:r w:rsidRPr="006534F5">
        <w:t xml:space="preserve"> recognise the importance of small businesses </w:t>
      </w:r>
      <w:r>
        <w:t>being</w:t>
      </w:r>
      <w:r w:rsidRPr="006534F5">
        <w:t xml:space="preserve"> paid on time</w:t>
      </w:r>
      <w:r w:rsidR="001B6950">
        <w:t xml:space="preserve">; </w:t>
      </w:r>
      <w:r>
        <w:t>see</w:t>
      </w:r>
      <w:r w:rsidRPr="006534F5">
        <w:t xml:space="preserve"> the Australian Government Pay</w:t>
      </w:r>
      <w:r>
        <w:t xml:space="preserve"> On</w:t>
      </w:r>
      <w:r w:rsidR="00B84FF2">
        <w:noBreakHyphen/>
      </w:r>
      <w:r>
        <w:t>Time Survey</w:t>
      </w:r>
      <w:r w:rsidRPr="006534F5">
        <w:t xml:space="preserve"> </w:t>
      </w:r>
      <w:r w:rsidRPr="002261E5">
        <w:t>on</w:t>
      </w:r>
      <w:r w:rsidR="001B6950">
        <w:t xml:space="preserve"> the</w:t>
      </w:r>
      <w:r w:rsidRPr="002261E5">
        <w:t xml:space="preserve"> </w:t>
      </w:r>
      <w:hyperlink r:id="rId115" w:history="1">
        <w:r w:rsidR="001B6950" w:rsidRPr="001E6828">
          <w:rPr>
            <w:rStyle w:val="Hyperlink"/>
          </w:rPr>
          <w:t>Treasury website</w:t>
        </w:r>
      </w:hyperlink>
      <w:r w:rsidRPr="006534F5">
        <w:t>.</w:t>
      </w:r>
      <w:r w:rsidRPr="006534F5">
        <w:rPr>
          <w:rStyle w:val="FootnoteReference"/>
          <w:rFonts w:eastAsiaTheme="majorEastAsia"/>
        </w:rPr>
        <w:footnoteReference w:id="15"/>
      </w:r>
    </w:p>
    <w:p w14:paraId="295A4E03" w14:textId="77777777" w:rsidR="004306D7" w:rsidRPr="006534F5" w:rsidRDefault="004306D7" w:rsidP="0091424A">
      <w:pPr>
        <w:pStyle w:val="Heading2"/>
      </w:pPr>
      <w:bookmarkStart w:id="1363" w:name="_Toc107329256"/>
      <w:bookmarkStart w:id="1364" w:name="_Toc107329525"/>
      <w:bookmarkStart w:id="1365" w:name="_Toc144813600"/>
      <w:bookmarkStart w:id="1366" w:name="_Toc145684556"/>
      <w:bookmarkStart w:id="1367" w:name="_Toc145685156"/>
      <w:bookmarkStart w:id="1368" w:name="_Toc145686109"/>
      <w:bookmarkStart w:id="1369" w:name="_Toc145686308"/>
      <w:bookmarkStart w:id="1370" w:name="_Toc145686507"/>
      <w:bookmarkStart w:id="1371" w:name="_Toc145686808"/>
      <w:bookmarkStart w:id="1372" w:name="_Toc173327340"/>
      <w:bookmarkStart w:id="1373" w:name="_Toc173327793"/>
      <w:bookmarkStart w:id="1374" w:name="_Toc173395316"/>
      <w:bookmarkStart w:id="1375" w:name="_Toc173395393"/>
      <w:bookmarkStart w:id="1376" w:name="_Toc173395728"/>
      <w:bookmarkStart w:id="1377" w:name="_Toc173396615"/>
      <w:bookmarkStart w:id="1378" w:name="_Toc173397627"/>
      <w:bookmarkStart w:id="1379" w:name="_Toc173408212"/>
      <w:bookmarkStart w:id="1380" w:name="_Toc173411533"/>
      <w:bookmarkStart w:id="1381" w:name="_Toc173479212"/>
      <w:bookmarkStart w:id="1382" w:name="_Toc173743085"/>
      <w:bookmarkStart w:id="1383" w:name="_Toc173743246"/>
      <w:bookmarkStart w:id="1384" w:name="_Toc176160569"/>
      <w:bookmarkStart w:id="1385" w:name="_Toc176163198"/>
      <w:bookmarkStart w:id="1386" w:name="_Toc205474334"/>
      <w:bookmarkStart w:id="1387" w:name="_Toc207792915"/>
      <w:bookmarkStart w:id="1388" w:name="_Toc207793954"/>
      <w:bookmarkStart w:id="1389" w:name="_Toc207796111"/>
      <w:bookmarkStart w:id="1390" w:name="_Toc207796959"/>
      <w:bookmarkStart w:id="1391" w:name="_Toc207800261"/>
      <w:bookmarkStart w:id="1392" w:name="_Toc207810839"/>
      <w:bookmarkStart w:id="1393" w:name="_Toc208914118"/>
      <w:bookmarkStart w:id="1394" w:name="_Toc209424515"/>
      <w:r>
        <w:t>Advertising campaigns</w:t>
      </w:r>
      <w:bookmarkEnd w:id="1363"/>
      <w:bookmarkEnd w:id="1364"/>
      <w:r>
        <w:t xml:space="preserve"> and market research</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14:paraId="01835907" w14:textId="7FE493B1" w:rsidR="00E61C49" w:rsidRPr="00E61C49" w:rsidRDefault="00E61C49" w:rsidP="00E61C49">
      <w:r w:rsidRPr="006534F5">
        <w:t>During 202</w:t>
      </w:r>
      <w:r>
        <w:t>4–</w:t>
      </w:r>
      <w:r w:rsidRPr="006534F5">
        <w:t>2</w:t>
      </w:r>
      <w:r>
        <w:t>5,</w:t>
      </w:r>
      <w:r w:rsidRPr="006534F5">
        <w:t xml:space="preserve"> the AOFM </w:t>
      </w:r>
      <w:r w:rsidRPr="00E75A8F">
        <w:t>did not conduct any advertising campaigns</w:t>
      </w:r>
      <w:r>
        <w:t>. We</w:t>
      </w:r>
      <w:r w:rsidR="001B6950">
        <w:t xml:space="preserve"> also</w:t>
      </w:r>
      <w:r>
        <w:t xml:space="preserve"> did not conduct market research in relation to an advertising campaign.</w:t>
      </w:r>
    </w:p>
    <w:p w14:paraId="3BE2EA03" w14:textId="69A1D883" w:rsidR="00BF71B1" w:rsidRDefault="00246D28" w:rsidP="0091424A">
      <w:pPr>
        <w:pStyle w:val="Heading2"/>
      </w:pPr>
      <w:bookmarkStart w:id="1395" w:name="_Toc107329257"/>
      <w:bookmarkStart w:id="1396" w:name="_Toc107329526"/>
      <w:bookmarkStart w:id="1397" w:name="_Toc144813601"/>
      <w:bookmarkStart w:id="1398" w:name="_Toc145684557"/>
      <w:bookmarkStart w:id="1399" w:name="_Toc145685157"/>
      <w:bookmarkStart w:id="1400" w:name="_Toc145686110"/>
      <w:bookmarkStart w:id="1401" w:name="_Toc145686309"/>
      <w:bookmarkStart w:id="1402" w:name="_Toc145686508"/>
      <w:bookmarkStart w:id="1403" w:name="_Toc145686809"/>
      <w:bookmarkStart w:id="1404" w:name="_Toc173327341"/>
      <w:bookmarkStart w:id="1405" w:name="_Toc173327794"/>
      <w:bookmarkStart w:id="1406" w:name="_Toc173395317"/>
      <w:bookmarkStart w:id="1407" w:name="_Toc173395394"/>
      <w:bookmarkStart w:id="1408" w:name="_Toc173395729"/>
      <w:bookmarkStart w:id="1409" w:name="_Toc173396616"/>
      <w:bookmarkStart w:id="1410" w:name="_Toc173397628"/>
      <w:bookmarkStart w:id="1411" w:name="_Toc173408213"/>
      <w:bookmarkStart w:id="1412" w:name="_Toc173411534"/>
      <w:bookmarkStart w:id="1413" w:name="_Toc173479213"/>
      <w:bookmarkStart w:id="1414" w:name="_Toc173743086"/>
      <w:bookmarkStart w:id="1415" w:name="_Toc173743247"/>
      <w:bookmarkStart w:id="1416" w:name="_Toc176160570"/>
      <w:bookmarkStart w:id="1417" w:name="_Toc176163199"/>
      <w:bookmarkStart w:id="1418" w:name="_Toc205474335"/>
      <w:bookmarkStart w:id="1419" w:name="_Toc207792916"/>
      <w:bookmarkStart w:id="1420" w:name="_Toc207793955"/>
      <w:bookmarkStart w:id="1421" w:name="_Toc207796112"/>
      <w:bookmarkStart w:id="1422" w:name="_Toc207796960"/>
      <w:bookmarkStart w:id="1423" w:name="_Toc207800262"/>
      <w:bookmarkStart w:id="1424" w:name="_Toc207810840"/>
      <w:bookmarkStart w:id="1425" w:name="_Toc208914119"/>
      <w:bookmarkStart w:id="1426" w:name="_Toc209424516"/>
      <w:r w:rsidRPr="006534F5">
        <w:t>Grants</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14:paraId="2097D669" w14:textId="77777777" w:rsidR="00075BCD" w:rsidRPr="006534F5" w:rsidRDefault="00075BCD" w:rsidP="00075BCD">
      <w:r w:rsidRPr="006534F5">
        <w:t xml:space="preserve">Under the </w:t>
      </w:r>
      <w:r w:rsidRPr="00EE0B7C">
        <w:rPr>
          <w:i/>
          <w:iCs/>
        </w:rPr>
        <w:t xml:space="preserve">Financial Agreement Act 1994 </w:t>
      </w:r>
      <w:r w:rsidRPr="006534F5">
        <w:t xml:space="preserve">(FA Act), the Commonwealth is required to contribute to the </w:t>
      </w:r>
      <w:bookmarkStart w:id="1427" w:name="_Hlk174380185"/>
      <w:r w:rsidRPr="006534F5">
        <w:t>Debt Retirement Reserve Trust Account</w:t>
      </w:r>
      <w:bookmarkEnd w:id="1427"/>
      <w:r w:rsidRPr="006534F5">
        <w:t xml:space="preserve"> to assist the New South Wales </w:t>
      </w:r>
      <w:r>
        <w:t>a</w:t>
      </w:r>
      <w:r w:rsidRPr="006534F5">
        <w:t xml:space="preserve">nd Victorian governments to redeem maturing debt on allocation to them. Monies standing to the credit of this </w:t>
      </w:r>
      <w:r>
        <w:t>a</w:t>
      </w:r>
      <w:r w:rsidRPr="006534F5">
        <w:t xml:space="preserve">ccount are held for the purposes prescribed by the </w:t>
      </w:r>
      <w:r w:rsidRPr="00910C6F">
        <w:t>FA Act</w:t>
      </w:r>
      <w:r w:rsidRPr="006534F5">
        <w:t>.</w:t>
      </w:r>
    </w:p>
    <w:p w14:paraId="32CF6CEA" w14:textId="2CE1FB5A" w:rsidR="00D46BB8" w:rsidRDefault="00075BCD" w:rsidP="00FC0B4D">
      <w:r w:rsidRPr="003A73D5">
        <w:t>The Commonwealth</w:t>
      </w:r>
      <w:r>
        <w:t xml:space="preserve"> </w:t>
      </w:r>
      <w:r w:rsidRPr="003A73D5">
        <w:t xml:space="preserve">paid </w:t>
      </w:r>
      <w:r>
        <w:t xml:space="preserve">a total of </w:t>
      </w:r>
      <w:r w:rsidRPr="004A23FF">
        <w:t>$7,465</w:t>
      </w:r>
      <w:r>
        <w:t xml:space="preserve"> </w:t>
      </w:r>
      <w:r w:rsidRPr="003A73D5">
        <w:t xml:space="preserve">into the </w:t>
      </w:r>
      <w:r w:rsidRPr="006534F5">
        <w:t>Debt Retirement Reserve Trust Account</w:t>
      </w:r>
      <w:r w:rsidRPr="003A73D5">
        <w:t xml:space="preserve"> </w:t>
      </w:r>
      <w:r>
        <w:t>during</w:t>
      </w:r>
      <w:r w:rsidRPr="003A73D5">
        <w:t xml:space="preserve"> 202</w:t>
      </w:r>
      <w:r>
        <w:t>4–</w:t>
      </w:r>
      <w:r w:rsidRPr="003A73D5">
        <w:t>2</w:t>
      </w:r>
      <w:r>
        <w:t>5</w:t>
      </w:r>
      <w:r w:rsidRPr="003A73D5">
        <w:t>.</w:t>
      </w:r>
    </w:p>
    <w:p w14:paraId="3FFAC3FC" w14:textId="53942FAB" w:rsidR="00FC0B4D" w:rsidRDefault="00FC0B4D" w:rsidP="00592520">
      <w:pPr>
        <w:pStyle w:val="Heading1-alpha"/>
      </w:pPr>
      <w:bookmarkStart w:id="1428" w:name="_Toc173327343"/>
      <w:bookmarkStart w:id="1429" w:name="_Toc173327796"/>
      <w:bookmarkStart w:id="1430" w:name="_Toc173395318"/>
      <w:bookmarkStart w:id="1431" w:name="_Toc173395395"/>
      <w:bookmarkStart w:id="1432" w:name="_Toc173396617"/>
      <w:bookmarkStart w:id="1433" w:name="_Toc173408214"/>
      <w:bookmarkStart w:id="1434" w:name="_Toc173411535"/>
      <w:bookmarkStart w:id="1435" w:name="_Toc173479214"/>
      <w:bookmarkStart w:id="1436" w:name="_Toc173743087"/>
      <w:bookmarkStart w:id="1437" w:name="_Toc173743248"/>
      <w:bookmarkStart w:id="1438" w:name="_Toc173766805"/>
      <w:bookmarkStart w:id="1439" w:name="_Toc174468569"/>
      <w:bookmarkStart w:id="1440" w:name="_Toc175906464"/>
      <w:bookmarkStart w:id="1441" w:name="_Toc176160571"/>
      <w:bookmarkStart w:id="1442" w:name="_Toc176163200"/>
      <w:bookmarkStart w:id="1443" w:name="_Toc205474336"/>
      <w:bookmarkStart w:id="1444" w:name="_Toc207792917"/>
      <w:bookmarkStart w:id="1445" w:name="_Toc207793956"/>
      <w:bookmarkStart w:id="1446" w:name="_Toc207795656"/>
      <w:bookmarkStart w:id="1447" w:name="_Toc207796113"/>
      <w:bookmarkStart w:id="1448" w:name="_Toc207796961"/>
      <w:bookmarkStart w:id="1449" w:name="_Toc207797306"/>
      <w:bookmarkStart w:id="1450" w:name="_Toc207800263"/>
      <w:bookmarkStart w:id="1451" w:name="_Toc207810841"/>
      <w:bookmarkStart w:id="1452" w:name="_Toc208913981"/>
      <w:bookmarkStart w:id="1453" w:name="_Toc208914120"/>
      <w:bookmarkStart w:id="1454" w:name="_Toc209424517"/>
      <w:bookmarkStart w:id="1455" w:name="_Toc209424599"/>
      <w:r>
        <w:lastRenderedPageBreak/>
        <w:t>Freedom of information</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14:paraId="54F00814" w14:textId="6812DD5A" w:rsidR="00232D34" w:rsidRDefault="00AE7E9F" w:rsidP="00232D34">
      <w:r>
        <w:t>Entities</w:t>
      </w:r>
      <w:r w:rsidRPr="00AE7E9F">
        <w:t xml:space="preserve"> subject to the </w:t>
      </w:r>
      <w:r w:rsidRPr="00685CD2">
        <w:rPr>
          <w:i/>
        </w:rPr>
        <w:t>Freedom of Information Act 1982</w:t>
      </w:r>
      <w:r w:rsidRPr="00AE7E9F">
        <w:t xml:space="preserve"> (FOI Act) must meet requirements as part of the Information Publication Scheme </w:t>
      </w:r>
      <w:r w:rsidR="00105D66">
        <w:t>(IPS)</w:t>
      </w:r>
      <w:r w:rsidRPr="00AE7E9F">
        <w:t xml:space="preserve">. Part II of the FOI Act requires each agency to display a plan on its website showing what information it publishes in accordance with the </w:t>
      </w:r>
      <w:r w:rsidR="007A3465">
        <w:t>IPS requirements</w:t>
      </w:r>
      <w:r w:rsidRPr="00AE7E9F">
        <w:t xml:space="preserve">. </w:t>
      </w:r>
      <w:r w:rsidR="00A04AE3">
        <w:t>AOFM</w:t>
      </w:r>
      <w:r w:rsidR="00B84FF2">
        <w:t>’</w:t>
      </w:r>
      <w:r w:rsidRPr="00AE7E9F">
        <w:t xml:space="preserve">s </w:t>
      </w:r>
      <w:r w:rsidR="009F46A1">
        <w:t xml:space="preserve">IPS </w:t>
      </w:r>
      <w:r w:rsidRPr="00AE7E9F">
        <w:t xml:space="preserve">plan is available </w:t>
      </w:r>
      <w:r w:rsidR="00561FFC">
        <w:t xml:space="preserve">on </w:t>
      </w:r>
      <w:hyperlink r:id="rId116" w:history="1">
        <w:r w:rsidR="00E43842" w:rsidRPr="00E45768">
          <w:rPr>
            <w:rStyle w:val="Hyperlink"/>
          </w:rPr>
          <w:t>our</w:t>
        </w:r>
        <w:r w:rsidR="00561FFC" w:rsidRPr="00E45768">
          <w:rPr>
            <w:rStyle w:val="Hyperlink"/>
          </w:rPr>
          <w:t xml:space="preserve"> website</w:t>
        </w:r>
      </w:hyperlink>
      <w:r w:rsidR="00561FFC">
        <w:rPr>
          <w:rStyle w:val="FootnoteReference"/>
        </w:rPr>
        <w:footnoteReference w:id="16"/>
      </w:r>
      <w:r w:rsidR="00D90B92">
        <w:t>.</w:t>
      </w:r>
    </w:p>
    <w:p w14:paraId="2A6D8C80" w14:textId="0F0A8209" w:rsidR="00D46BB8" w:rsidRDefault="00D46BB8">
      <w:pPr>
        <w:spacing w:after="0" w:line="240" w:lineRule="auto"/>
      </w:pPr>
      <w:r>
        <w:br w:type="page"/>
      </w:r>
    </w:p>
    <w:p w14:paraId="0595B967" w14:textId="54B1DA27" w:rsidR="00BF2C73" w:rsidRDefault="00BF2C73" w:rsidP="00592520">
      <w:pPr>
        <w:pStyle w:val="Heading1-alpha"/>
      </w:pPr>
      <w:bookmarkStart w:id="1456" w:name="_Toc173327344"/>
      <w:bookmarkStart w:id="1457" w:name="_Toc173327797"/>
      <w:bookmarkStart w:id="1458" w:name="_Toc173395319"/>
      <w:bookmarkStart w:id="1459" w:name="_Toc173395396"/>
      <w:bookmarkStart w:id="1460" w:name="_Toc173396618"/>
      <w:bookmarkStart w:id="1461" w:name="_Toc173408215"/>
      <w:bookmarkStart w:id="1462" w:name="_Toc173411536"/>
      <w:bookmarkStart w:id="1463" w:name="_Toc173479215"/>
      <w:bookmarkStart w:id="1464" w:name="_Toc173743088"/>
      <w:bookmarkStart w:id="1465" w:name="_Toc173743249"/>
      <w:bookmarkStart w:id="1466" w:name="_Toc173766806"/>
      <w:bookmarkStart w:id="1467" w:name="_Toc174468570"/>
      <w:bookmarkStart w:id="1468" w:name="_Toc175906465"/>
      <w:bookmarkStart w:id="1469" w:name="_Toc176160572"/>
      <w:bookmarkStart w:id="1470" w:name="_Toc176163201"/>
      <w:bookmarkStart w:id="1471" w:name="_Toc205474337"/>
      <w:bookmarkStart w:id="1472" w:name="_Toc207792918"/>
      <w:bookmarkStart w:id="1473" w:name="_Toc207793957"/>
      <w:bookmarkStart w:id="1474" w:name="_Toc207795657"/>
      <w:bookmarkStart w:id="1475" w:name="_Toc207796114"/>
      <w:bookmarkStart w:id="1476" w:name="_Toc207796962"/>
      <w:bookmarkStart w:id="1477" w:name="_Toc207797307"/>
      <w:bookmarkStart w:id="1478" w:name="_Toc207800264"/>
      <w:bookmarkStart w:id="1479" w:name="_Toc207810842"/>
      <w:bookmarkStart w:id="1480" w:name="_Toc208913982"/>
      <w:bookmarkStart w:id="1481" w:name="_Toc208914121"/>
      <w:bookmarkStart w:id="1482" w:name="_Toc209424518"/>
      <w:bookmarkStart w:id="1483" w:name="_Toc209424600"/>
      <w:r>
        <w:lastRenderedPageBreak/>
        <w:t>Financial performance</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14:paraId="32949956" w14:textId="0A44CF1B" w:rsidR="000525A4" w:rsidRDefault="000525A4" w:rsidP="0091424A">
      <w:pPr>
        <w:pStyle w:val="Heading2"/>
      </w:pPr>
      <w:bookmarkStart w:id="1484" w:name="_Toc173327345"/>
      <w:bookmarkStart w:id="1485" w:name="_Toc173327798"/>
      <w:bookmarkStart w:id="1486" w:name="_Toc173395320"/>
      <w:bookmarkStart w:id="1487" w:name="_Toc173395397"/>
      <w:bookmarkStart w:id="1488" w:name="_Toc173395732"/>
      <w:bookmarkStart w:id="1489" w:name="_Toc173396619"/>
      <w:bookmarkStart w:id="1490" w:name="_Toc173397631"/>
      <w:bookmarkStart w:id="1491" w:name="_Toc173408216"/>
      <w:bookmarkStart w:id="1492" w:name="_Toc173411537"/>
      <w:bookmarkStart w:id="1493" w:name="_Toc173479216"/>
      <w:bookmarkStart w:id="1494" w:name="_Toc173743089"/>
      <w:bookmarkStart w:id="1495" w:name="_Toc173743250"/>
      <w:bookmarkStart w:id="1496" w:name="_Toc176160573"/>
      <w:bookmarkStart w:id="1497" w:name="_Toc176163202"/>
      <w:bookmarkStart w:id="1498" w:name="_Toc205474338"/>
      <w:bookmarkStart w:id="1499" w:name="_Toc207792919"/>
      <w:bookmarkStart w:id="1500" w:name="_Toc207793958"/>
      <w:bookmarkStart w:id="1501" w:name="_Toc207796115"/>
      <w:bookmarkStart w:id="1502" w:name="_Toc207796963"/>
      <w:bookmarkStart w:id="1503" w:name="_Toc207800265"/>
      <w:bookmarkStart w:id="1504" w:name="_Toc207810843"/>
      <w:bookmarkStart w:id="1505" w:name="_Toc208914122"/>
      <w:bookmarkStart w:id="1506" w:name="_Toc209424519"/>
      <w:r>
        <w:t xml:space="preserve">Administered </w:t>
      </w:r>
      <w:r w:rsidR="00C7162B">
        <w:t>resourcing</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14:paraId="4F751B37" w14:textId="64C80CEC" w:rsidR="00810CE9" w:rsidRDefault="00810CE9" w:rsidP="00810CE9">
      <w:r>
        <w:t>In 2024</w:t>
      </w:r>
      <w:r w:rsidR="00E6340A">
        <w:t>–</w:t>
      </w:r>
      <w:r>
        <w:t>25, the AOFM managed $237.</w:t>
      </w:r>
      <w:r w:rsidR="00E6340A">
        <w:t>64 </w:t>
      </w:r>
      <w:r>
        <w:t>billion in administered resourcing</w:t>
      </w:r>
      <w:r w:rsidR="00292A5F">
        <w:t>,</w:t>
      </w:r>
      <w:r>
        <w:t xml:space="preserve"> including $220.48 billion in special appropriations and $17.16 billion in special accounts. The AOFM</w:t>
      </w:r>
      <w:r w:rsidR="00B84FF2">
        <w:t>’</w:t>
      </w:r>
      <w:r>
        <w:t>s administered resourcing is available for payments under the program administered by the AOFM on behalf of the Australian Government.</w:t>
      </w:r>
    </w:p>
    <w:p w14:paraId="5AA1E851" w14:textId="65736521" w:rsidR="00810CE9" w:rsidRDefault="00810CE9" w:rsidP="00810CE9">
      <w:r>
        <w:t>The AOFM</w:t>
      </w:r>
      <w:r w:rsidR="00B84FF2">
        <w:t>’</w:t>
      </w:r>
      <w:r>
        <w:t xml:space="preserve">s total administered </w:t>
      </w:r>
      <w:r w:rsidR="00BA0872">
        <w:t xml:space="preserve">net </w:t>
      </w:r>
      <w:r w:rsidR="00B22792">
        <w:t>payments</w:t>
      </w:r>
      <w:r>
        <w:t xml:space="preserve"> in 2024</w:t>
      </w:r>
      <w:r w:rsidR="00E6340A">
        <w:t>–</w:t>
      </w:r>
      <w:r>
        <w:t xml:space="preserve">25 </w:t>
      </w:r>
      <w:proofErr w:type="gramStart"/>
      <w:r>
        <w:t>w</w:t>
      </w:r>
      <w:r w:rsidR="00BD5561">
        <w:t>ere</w:t>
      </w:r>
      <w:proofErr w:type="gramEnd"/>
      <w:r w:rsidR="00E6340A">
        <w:t xml:space="preserve"> </w:t>
      </w:r>
      <w:r>
        <w:t xml:space="preserve">$220.63 billion </w:t>
      </w:r>
      <w:r w:rsidR="005B28CC">
        <w:br/>
      </w:r>
      <w:r>
        <w:t>(2023</w:t>
      </w:r>
      <w:r w:rsidR="00C05D3B">
        <w:t>–</w:t>
      </w:r>
      <w:r>
        <w:t>24: $159.75</w:t>
      </w:r>
      <w:r w:rsidR="006C030A">
        <w:t> </w:t>
      </w:r>
      <w:r>
        <w:t xml:space="preserve">billion). Of this total, $196.78 billion was for payments for </w:t>
      </w:r>
      <w:r w:rsidR="00E6340A">
        <w:t>Australian Government Securities (</w:t>
      </w:r>
      <w:r>
        <w:t>AGS</w:t>
      </w:r>
      <w:r w:rsidR="00E6340A">
        <w:t>)</w:t>
      </w:r>
      <w:r>
        <w:t xml:space="preserve"> and $23.85 billion was for interest payments on AGS.</w:t>
      </w:r>
    </w:p>
    <w:p w14:paraId="105A5561" w14:textId="108B24E2" w:rsidR="00810CE9" w:rsidRDefault="00810CE9" w:rsidP="00810CE9">
      <w:r>
        <w:t>The AOFM</w:t>
      </w:r>
      <w:r w:rsidR="00B84FF2">
        <w:t>’</w:t>
      </w:r>
      <w:r>
        <w:t>s total administered revenue in 2024</w:t>
      </w:r>
      <w:r w:rsidR="00E6340A">
        <w:t>–</w:t>
      </w:r>
      <w:r>
        <w:t xml:space="preserve">25 was $2.87 billion </w:t>
      </w:r>
      <w:r w:rsidR="006B0F56">
        <w:t>(</w:t>
      </w:r>
      <w:r>
        <w:t>2023</w:t>
      </w:r>
      <w:r w:rsidR="00C05D3B">
        <w:t>–</w:t>
      </w:r>
      <w:r>
        <w:t>24: $2.</w:t>
      </w:r>
      <w:r w:rsidR="006B0F56">
        <w:t>98 </w:t>
      </w:r>
      <w:r>
        <w:t>billion)</w:t>
      </w:r>
      <w:r w:rsidR="006B0F56">
        <w:t xml:space="preserve">, </w:t>
      </w:r>
      <w:r>
        <w:t>primarily from interest on cash and deposits.</w:t>
      </w:r>
    </w:p>
    <w:p w14:paraId="0CA3FFA7" w14:textId="0CC9F13D" w:rsidR="009376F6" w:rsidRDefault="009376F6" w:rsidP="0091424A">
      <w:pPr>
        <w:pStyle w:val="Heading2"/>
      </w:pPr>
      <w:bookmarkStart w:id="1507" w:name="_Toc173327346"/>
      <w:bookmarkStart w:id="1508" w:name="_Toc173327799"/>
      <w:bookmarkStart w:id="1509" w:name="_Toc173395321"/>
      <w:bookmarkStart w:id="1510" w:name="_Toc173395398"/>
      <w:bookmarkStart w:id="1511" w:name="_Toc173395733"/>
      <w:bookmarkStart w:id="1512" w:name="_Toc173396620"/>
      <w:bookmarkStart w:id="1513" w:name="_Toc173397632"/>
      <w:bookmarkStart w:id="1514" w:name="_Toc173408217"/>
      <w:bookmarkStart w:id="1515" w:name="_Toc173411538"/>
      <w:bookmarkStart w:id="1516" w:name="_Toc173479217"/>
      <w:bookmarkStart w:id="1517" w:name="_Toc173743090"/>
      <w:bookmarkStart w:id="1518" w:name="_Toc173743251"/>
      <w:bookmarkStart w:id="1519" w:name="_Toc176160574"/>
      <w:bookmarkStart w:id="1520" w:name="_Toc176163203"/>
      <w:bookmarkStart w:id="1521" w:name="_Toc205474339"/>
      <w:bookmarkStart w:id="1522" w:name="_Toc207792920"/>
      <w:bookmarkStart w:id="1523" w:name="_Toc207793959"/>
      <w:bookmarkStart w:id="1524" w:name="_Toc207796116"/>
      <w:bookmarkStart w:id="1525" w:name="_Toc207796964"/>
      <w:bookmarkStart w:id="1526" w:name="_Toc207800266"/>
      <w:bookmarkStart w:id="1527" w:name="_Toc207810844"/>
      <w:bookmarkStart w:id="1528" w:name="_Toc208914123"/>
      <w:bookmarkStart w:id="1529" w:name="_Toc209424520"/>
      <w:r>
        <w:t xml:space="preserve">Departmental </w:t>
      </w:r>
      <w:r w:rsidR="00810CE9">
        <w:t>resourcing</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14:paraId="1463C0FD" w14:textId="4BFB996B" w:rsidR="00E73D37" w:rsidRDefault="00E73D37" w:rsidP="00E73D37">
      <w:r>
        <w:t>The AOFM received $16.357 million in departmental operating appropriations and $0.</w:t>
      </w:r>
      <w:r w:rsidR="006B0F56">
        <w:t>405 </w:t>
      </w:r>
      <w:r>
        <w:t>million in capital budget appropriations in 2024</w:t>
      </w:r>
      <w:r w:rsidR="006B0F56">
        <w:t>–</w:t>
      </w:r>
      <w:r>
        <w:t>25. The AOFM</w:t>
      </w:r>
      <w:r w:rsidR="00B84FF2">
        <w:t>’</w:t>
      </w:r>
      <w:r>
        <w:t xml:space="preserve">s departmental resourcing is controlled by the AOFM </w:t>
      </w:r>
      <w:r w:rsidR="006B0F56">
        <w:t>Chief Executive Officer</w:t>
      </w:r>
      <w:r>
        <w:t xml:space="preserve"> and is provided for the day</w:t>
      </w:r>
      <w:r w:rsidR="00B84FF2">
        <w:noBreakHyphen/>
      </w:r>
      <w:r>
        <w:t>to</w:t>
      </w:r>
      <w:r w:rsidR="00B84FF2">
        <w:noBreakHyphen/>
      </w:r>
      <w:r>
        <w:t>day operations of the AOFM.</w:t>
      </w:r>
    </w:p>
    <w:p w14:paraId="51EF6E8B" w14:textId="74AD5962" w:rsidR="00E73D37" w:rsidRDefault="00E73D37" w:rsidP="00E73D37">
      <w:r>
        <w:t>The AOFM reported a net cash operating surplus of $0.</w:t>
      </w:r>
      <w:r w:rsidR="000E22B2">
        <w:t>0</w:t>
      </w:r>
      <w:r>
        <w:t>83 million in 2024</w:t>
      </w:r>
      <w:r w:rsidR="006B0F56">
        <w:t>–</w:t>
      </w:r>
      <w:r>
        <w:t xml:space="preserve">25 </w:t>
      </w:r>
      <w:r w:rsidR="005B28CC">
        <w:br/>
      </w:r>
      <w:r>
        <w:t>(2023</w:t>
      </w:r>
      <w:r w:rsidR="00C05D3B">
        <w:t>–</w:t>
      </w:r>
      <w:r>
        <w:t>24: $4.359 million surplus). The AOFM has a sound financial position and can</w:t>
      </w:r>
      <w:r w:rsidR="005B28CC">
        <w:t> </w:t>
      </w:r>
      <w:r>
        <w:t>meet its debt obligations as and when they fall due.</w:t>
      </w:r>
    </w:p>
    <w:p w14:paraId="6970B305" w14:textId="2DB8364A" w:rsidR="00EE0B7C" w:rsidRDefault="00E73D37" w:rsidP="00E73D37">
      <w:r>
        <w:t>Further details on the AOFM</w:t>
      </w:r>
      <w:r w:rsidR="00B84FF2">
        <w:t>’</w:t>
      </w:r>
      <w:r>
        <w:t>s financial resources and expenses are</w:t>
      </w:r>
      <w:r w:rsidR="006B0F56">
        <w:t xml:space="preserve"> presented</w:t>
      </w:r>
      <w:r>
        <w:t xml:space="preserve"> in Table</w:t>
      </w:r>
      <w:r w:rsidR="00292A5F">
        <w:t> </w:t>
      </w:r>
      <w:r>
        <w:t>2</w:t>
      </w:r>
      <w:r w:rsidR="00140D67">
        <w:t>9</w:t>
      </w:r>
      <w:r>
        <w:t xml:space="preserve"> and Table </w:t>
      </w:r>
      <w:r w:rsidR="00140D67">
        <w:t>30</w:t>
      </w:r>
      <w:r>
        <w:t>.</w:t>
      </w:r>
    </w:p>
    <w:p w14:paraId="0F079086" w14:textId="77777777" w:rsidR="00EE0B7C" w:rsidRDefault="00EE0B7C">
      <w:pPr>
        <w:spacing w:after="0" w:line="240" w:lineRule="auto"/>
      </w:pPr>
      <w:r>
        <w:br w:type="page"/>
      </w:r>
    </w:p>
    <w:p w14:paraId="142E8711" w14:textId="4379BED3" w:rsidR="00DF4E8F" w:rsidRPr="00960A2C" w:rsidRDefault="00DF4E8F" w:rsidP="00DF4E8F">
      <w:pPr>
        <w:pStyle w:val="TableMainHeading"/>
        <w:keepLines/>
      </w:pPr>
      <w:r w:rsidRPr="00960A2C">
        <w:lastRenderedPageBreak/>
        <w:t xml:space="preserve">Table </w:t>
      </w:r>
      <w:r w:rsidR="00F65621">
        <w:t>2</w:t>
      </w:r>
      <w:r w:rsidR="00140D67">
        <w:t>9</w:t>
      </w:r>
      <w:r w:rsidRPr="00960A2C">
        <w:t>: Agency resource statement and resources for outcomes</w:t>
      </w:r>
    </w:p>
    <w:tbl>
      <w:tblPr>
        <w:tblStyle w:val="AOFMTablemain"/>
        <w:tblW w:w="5000" w:type="pct"/>
        <w:tblLayout w:type="fixed"/>
        <w:tblLook w:val="06A0" w:firstRow="1" w:lastRow="0" w:firstColumn="1" w:lastColumn="0" w:noHBand="1" w:noVBand="1"/>
      </w:tblPr>
      <w:tblGrid>
        <w:gridCol w:w="3443"/>
        <w:gridCol w:w="1516"/>
        <w:gridCol w:w="1655"/>
        <w:gridCol w:w="1097"/>
      </w:tblGrid>
      <w:tr w:rsidR="00DF4E8F" w:rsidRPr="00212FCA" w14:paraId="21841494" w14:textId="77777777" w:rsidTr="00685CD2">
        <w:trPr>
          <w:cnfStyle w:val="100000000000" w:firstRow="1" w:lastRow="0" w:firstColumn="0" w:lastColumn="0" w:oddVBand="0" w:evenVBand="0" w:oddHBand="0" w:evenHBand="0" w:firstRowFirstColumn="0" w:firstRowLastColumn="0" w:lastRowFirstColumn="0" w:lastRowLastColumn="0"/>
          <w:trHeight w:val="60"/>
        </w:trPr>
        <w:tc>
          <w:tcPr>
            <w:tcW w:w="0" w:type="pct"/>
            <w:gridSpan w:val="4"/>
            <w:noWrap/>
            <w:hideMark/>
          </w:tcPr>
          <w:p w14:paraId="58006088" w14:textId="3265C44C" w:rsidR="00DF4E8F" w:rsidRPr="00344191" w:rsidRDefault="00DF4E8F" w:rsidP="00EE0B7C">
            <w:pPr>
              <w:pStyle w:val="TableColumnHeadingLeft"/>
            </w:pPr>
            <w:bookmarkStart w:id="1530" w:name="_Toc19526744"/>
            <w:r w:rsidRPr="00344191">
              <w:t>Outcome 1: The advancement of macroeconomic growth and stability</w:t>
            </w:r>
            <w:r w:rsidR="006B0F56">
              <w:t>,</w:t>
            </w:r>
            <w:r w:rsidRPr="00344191">
              <w:t xml:space="preserve"> and effective operation of financial markets, through issuing debt</w:t>
            </w:r>
            <w:r w:rsidR="006B0F56">
              <w:t>;</w:t>
            </w:r>
            <w:r w:rsidRPr="00344191">
              <w:t xml:space="preserve"> investing in financial assets</w:t>
            </w:r>
            <w:r w:rsidR="006B0F56">
              <w:t>;</w:t>
            </w:r>
            <w:r w:rsidRPr="00344191">
              <w:t xml:space="preserve"> and managing debt, investments and cash for the Australian Government</w:t>
            </w:r>
          </w:p>
        </w:tc>
      </w:tr>
      <w:tr w:rsidR="00663533" w:rsidRPr="00663533" w14:paraId="40F02FCE" w14:textId="77777777" w:rsidTr="00685CD2">
        <w:trPr>
          <w:trHeight w:val="60"/>
        </w:trPr>
        <w:tc>
          <w:tcPr>
            <w:tcW w:w="0" w:type="pct"/>
          </w:tcPr>
          <w:p w14:paraId="63163D11" w14:textId="77777777" w:rsidR="00DF4E8F" w:rsidRPr="00344191" w:rsidRDefault="00DF4E8F" w:rsidP="00EE0B7C">
            <w:pPr>
              <w:pStyle w:val="TableTextRight"/>
            </w:pPr>
          </w:p>
        </w:tc>
        <w:tc>
          <w:tcPr>
            <w:tcW w:w="0" w:type="pct"/>
            <w:noWrap/>
          </w:tcPr>
          <w:p w14:paraId="6731A411" w14:textId="0528537B" w:rsidR="00DF4E8F" w:rsidRPr="00EE0B7C" w:rsidRDefault="00DF4E8F" w:rsidP="00EE0B7C">
            <w:pPr>
              <w:pStyle w:val="TableTextRight"/>
              <w:rPr>
                <w:b/>
                <w:bCs/>
                <w:color w:val="auto"/>
              </w:rPr>
            </w:pPr>
            <w:r w:rsidRPr="00EE0B7C">
              <w:rPr>
                <w:b/>
                <w:bCs/>
                <w:color w:val="auto"/>
              </w:rPr>
              <w:t>Budget</w:t>
            </w:r>
            <w:r w:rsidRPr="00EE0B7C">
              <w:rPr>
                <w:b/>
                <w:bCs/>
                <w:color w:val="auto"/>
                <w:vertAlign w:val="superscript"/>
              </w:rPr>
              <w:t>(a)</w:t>
            </w:r>
          </w:p>
        </w:tc>
        <w:tc>
          <w:tcPr>
            <w:tcW w:w="0" w:type="pct"/>
            <w:noWrap/>
          </w:tcPr>
          <w:p w14:paraId="767019C8" w14:textId="05550B05" w:rsidR="00DF4E8F" w:rsidRPr="00EE0B7C" w:rsidRDefault="00DF4E8F" w:rsidP="00EE0B7C">
            <w:pPr>
              <w:pStyle w:val="TableTextRight"/>
              <w:rPr>
                <w:b/>
                <w:bCs/>
                <w:color w:val="auto"/>
              </w:rPr>
            </w:pPr>
            <w:r w:rsidRPr="00EE0B7C">
              <w:rPr>
                <w:b/>
                <w:bCs/>
                <w:color w:val="auto"/>
              </w:rPr>
              <w:t xml:space="preserve">Actual </w:t>
            </w:r>
            <w:r w:rsidR="006B0F56" w:rsidRPr="00EE0B7C">
              <w:rPr>
                <w:b/>
                <w:bCs/>
                <w:color w:val="auto"/>
              </w:rPr>
              <w:t>expenses</w:t>
            </w:r>
          </w:p>
        </w:tc>
        <w:tc>
          <w:tcPr>
            <w:tcW w:w="0" w:type="pct"/>
            <w:noWrap/>
          </w:tcPr>
          <w:p w14:paraId="459A064A" w14:textId="77777777" w:rsidR="00DF4E8F" w:rsidRPr="00EE0B7C" w:rsidRDefault="00DF4E8F" w:rsidP="00EE0B7C">
            <w:pPr>
              <w:pStyle w:val="TableTextRight"/>
              <w:rPr>
                <w:b/>
                <w:bCs/>
                <w:color w:val="auto"/>
              </w:rPr>
            </w:pPr>
            <w:r w:rsidRPr="00EE0B7C">
              <w:rPr>
                <w:b/>
                <w:bCs/>
                <w:color w:val="auto"/>
              </w:rPr>
              <w:t>Variation</w:t>
            </w:r>
          </w:p>
        </w:tc>
      </w:tr>
      <w:tr w:rsidR="00AA3E9D" w:rsidRPr="00663533" w14:paraId="2809D8F2" w14:textId="77777777" w:rsidTr="009A24A2">
        <w:trPr>
          <w:trHeight w:val="60"/>
        </w:trPr>
        <w:tc>
          <w:tcPr>
            <w:tcW w:w="0" w:type="pct"/>
          </w:tcPr>
          <w:p w14:paraId="5966D364" w14:textId="77777777" w:rsidR="00DF4E8F" w:rsidRPr="00344191" w:rsidRDefault="00DF4E8F" w:rsidP="00EE0B7C">
            <w:pPr>
              <w:pStyle w:val="TableTextRight"/>
            </w:pPr>
          </w:p>
        </w:tc>
        <w:tc>
          <w:tcPr>
            <w:tcW w:w="0" w:type="pct"/>
            <w:noWrap/>
          </w:tcPr>
          <w:p w14:paraId="58C89033" w14:textId="77174E2D" w:rsidR="00DF4E8F" w:rsidRPr="00685CD2" w:rsidRDefault="00DF4E8F" w:rsidP="00EE0B7C">
            <w:pPr>
              <w:pStyle w:val="TableTextRight"/>
              <w:rPr>
                <w:color w:val="auto"/>
              </w:rPr>
            </w:pPr>
            <w:r w:rsidRPr="00685CD2">
              <w:rPr>
                <w:color w:val="auto"/>
              </w:rPr>
              <w:t>202</w:t>
            </w:r>
            <w:r w:rsidR="00C24A06" w:rsidRPr="00685CD2">
              <w:rPr>
                <w:color w:val="auto"/>
              </w:rPr>
              <w:t>4</w:t>
            </w:r>
            <w:r w:rsidR="006B0F56" w:rsidRPr="00685CD2">
              <w:rPr>
                <w:color w:val="auto"/>
              </w:rPr>
              <w:t>–</w:t>
            </w:r>
            <w:r w:rsidR="00C24A06" w:rsidRPr="00685CD2">
              <w:rPr>
                <w:color w:val="auto"/>
              </w:rPr>
              <w:t>25</w:t>
            </w:r>
          </w:p>
        </w:tc>
        <w:tc>
          <w:tcPr>
            <w:tcW w:w="0" w:type="pct"/>
            <w:noWrap/>
          </w:tcPr>
          <w:p w14:paraId="2150CB72" w14:textId="541F12E7" w:rsidR="00DF4E8F" w:rsidRPr="00685CD2" w:rsidRDefault="00DF4E8F" w:rsidP="00EE0B7C">
            <w:pPr>
              <w:pStyle w:val="TableTextRight"/>
              <w:rPr>
                <w:color w:val="auto"/>
              </w:rPr>
            </w:pPr>
            <w:r w:rsidRPr="00685CD2">
              <w:rPr>
                <w:color w:val="auto"/>
              </w:rPr>
              <w:t>202</w:t>
            </w:r>
            <w:r w:rsidR="00C24A06" w:rsidRPr="00685CD2">
              <w:rPr>
                <w:color w:val="auto"/>
              </w:rPr>
              <w:t>4</w:t>
            </w:r>
            <w:r w:rsidR="006B0F56" w:rsidRPr="00685CD2">
              <w:rPr>
                <w:color w:val="auto"/>
              </w:rPr>
              <w:t>–</w:t>
            </w:r>
            <w:r w:rsidR="00C24A06" w:rsidRPr="00685CD2">
              <w:rPr>
                <w:color w:val="auto"/>
              </w:rPr>
              <w:t>25</w:t>
            </w:r>
          </w:p>
        </w:tc>
        <w:tc>
          <w:tcPr>
            <w:tcW w:w="0" w:type="pct"/>
            <w:noWrap/>
          </w:tcPr>
          <w:p w14:paraId="3399A2DD" w14:textId="77777777" w:rsidR="00DF4E8F" w:rsidRPr="00685CD2" w:rsidRDefault="00DF4E8F" w:rsidP="00EE0B7C">
            <w:pPr>
              <w:pStyle w:val="TableTextRight"/>
              <w:rPr>
                <w:color w:val="auto"/>
              </w:rPr>
            </w:pPr>
          </w:p>
        </w:tc>
      </w:tr>
      <w:tr w:rsidR="00663533" w:rsidRPr="00663533" w14:paraId="52DCC51D" w14:textId="77777777" w:rsidTr="00685CD2">
        <w:trPr>
          <w:trHeight w:val="60"/>
        </w:trPr>
        <w:tc>
          <w:tcPr>
            <w:tcW w:w="0" w:type="pct"/>
            <w:hideMark/>
          </w:tcPr>
          <w:p w14:paraId="1CD47B88" w14:textId="77777777" w:rsidR="00DF4E8F" w:rsidRPr="00344191" w:rsidRDefault="00DF4E8F" w:rsidP="00EE0B7C">
            <w:pPr>
              <w:pStyle w:val="TableTextRight"/>
            </w:pPr>
          </w:p>
        </w:tc>
        <w:tc>
          <w:tcPr>
            <w:tcW w:w="0" w:type="pct"/>
            <w:noWrap/>
            <w:hideMark/>
          </w:tcPr>
          <w:p w14:paraId="1E93CC0D" w14:textId="3C989B39" w:rsidR="00DF4E8F" w:rsidRPr="00685CD2" w:rsidRDefault="00DF4E8F" w:rsidP="00EE0B7C">
            <w:pPr>
              <w:pStyle w:val="TableTextRight"/>
              <w:rPr>
                <w:color w:val="auto"/>
              </w:rPr>
            </w:pPr>
            <w:r w:rsidRPr="00685CD2">
              <w:rPr>
                <w:color w:val="auto"/>
              </w:rPr>
              <w:t>$</w:t>
            </w:r>
            <w:r w:rsidR="00B84FF2">
              <w:rPr>
                <w:color w:val="auto"/>
              </w:rPr>
              <w:t>’</w:t>
            </w:r>
            <w:r w:rsidRPr="00685CD2">
              <w:rPr>
                <w:color w:val="auto"/>
              </w:rPr>
              <w:t>000</w:t>
            </w:r>
          </w:p>
        </w:tc>
        <w:tc>
          <w:tcPr>
            <w:tcW w:w="0" w:type="pct"/>
            <w:noWrap/>
            <w:hideMark/>
          </w:tcPr>
          <w:p w14:paraId="2707D8AE" w14:textId="037B4277" w:rsidR="00DF4E8F" w:rsidRPr="00685CD2" w:rsidRDefault="00DF4E8F" w:rsidP="00EE0B7C">
            <w:pPr>
              <w:pStyle w:val="TableTextRight"/>
              <w:rPr>
                <w:color w:val="auto"/>
              </w:rPr>
            </w:pPr>
            <w:r w:rsidRPr="00685CD2">
              <w:rPr>
                <w:color w:val="auto"/>
              </w:rPr>
              <w:t>$</w:t>
            </w:r>
            <w:r w:rsidR="00B84FF2">
              <w:rPr>
                <w:color w:val="auto"/>
              </w:rPr>
              <w:t>’</w:t>
            </w:r>
            <w:r w:rsidRPr="00685CD2">
              <w:rPr>
                <w:color w:val="auto"/>
              </w:rPr>
              <w:t>000</w:t>
            </w:r>
          </w:p>
        </w:tc>
        <w:tc>
          <w:tcPr>
            <w:tcW w:w="0" w:type="pct"/>
            <w:noWrap/>
            <w:hideMark/>
          </w:tcPr>
          <w:p w14:paraId="73104966" w14:textId="75D67819" w:rsidR="00DF4E8F" w:rsidRPr="00685CD2" w:rsidRDefault="00DF4E8F" w:rsidP="00EE0B7C">
            <w:pPr>
              <w:pStyle w:val="TableTextRight"/>
              <w:rPr>
                <w:color w:val="auto"/>
              </w:rPr>
            </w:pPr>
            <w:r w:rsidRPr="00685CD2">
              <w:rPr>
                <w:color w:val="auto"/>
              </w:rPr>
              <w:t>$</w:t>
            </w:r>
            <w:r w:rsidR="00B84FF2">
              <w:rPr>
                <w:color w:val="auto"/>
              </w:rPr>
              <w:t>’</w:t>
            </w:r>
            <w:r w:rsidRPr="00685CD2">
              <w:rPr>
                <w:color w:val="auto"/>
              </w:rPr>
              <w:t>000</w:t>
            </w:r>
          </w:p>
        </w:tc>
      </w:tr>
      <w:tr w:rsidR="00DF4E8F" w:rsidRPr="00212FCA" w14:paraId="092BA1E8" w14:textId="77777777" w:rsidTr="00EE0B7C">
        <w:trPr>
          <w:trHeight w:val="100"/>
        </w:trPr>
        <w:tc>
          <w:tcPr>
            <w:tcW w:w="0" w:type="pct"/>
            <w:gridSpan w:val="4"/>
            <w:shd w:val="clear" w:color="auto" w:fill="FFFFFF" w:themeFill="background1"/>
            <w:hideMark/>
          </w:tcPr>
          <w:p w14:paraId="7A82DB7F" w14:textId="54C23FBC" w:rsidR="00DF4E8F" w:rsidRPr="00344191" w:rsidRDefault="00DF4E8F" w:rsidP="00EE0B7C">
            <w:pPr>
              <w:pStyle w:val="TableSecondHeading"/>
            </w:pPr>
            <w:r w:rsidRPr="00344191">
              <w:t>Program</w:t>
            </w:r>
            <w:r w:rsidR="000321C8">
              <w:t xml:space="preserve"> </w:t>
            </w:r>
            <w:r w:rsidRPr="00344191">
              <w:t>1.1: Australian Office of Financial Management</w:t>
            </w:r>
          </w:p>
        </w:tc>
      </w:tr>
      <w:tr w:rsidR="00663533" w:rsidRPr="00663533" w14:paraId="324FCE5B" w14:textId="77777777" w:rsidTr="00685CD2">
        <w:trPr>
          <w:trHeight w:val="255"/>
        </w:trPr>
        <w:tc>
          <w:tcPr>
            <w:tcW w:w="0" w:type="pct"/>
            <w:hideMark/>
          </w:tcPr>
          <w:p w14:paraId="69EF040A" w14:textId="77777777" w:rsidR="00DF4E8F" w:rsidRPr="00E04D4E" w:rsidRDefault="00DF4E8F" w:rsidP="00625DAB">
            <w:pPr>
              <w:pStyle w:val="TableTextLeft"/>
              <w:rPr>
                <w:b/>
                <w:bCs/>
              </w:rPr>
            </w:pPr>
            <w:r w:rsidRPr="00E04D4E">
              <w:rPr>
                <w:b/>
                <w:bCs/>
              </w:rPr>
              <w:t>Departmental expenses</w:t>
            </w:r>
          </w:p>
        </w:tc>
        <w:tc>
          <w:tcPr>
            <w:tcW w:w="0" w:type="pct"/>
            <w:noWrap/>
            <w:hideMark/>
          </w:tcPr>
          <w:p w14:paraId="117AEDC5" w14:textId="77777777" w:rsidR="00DF4E8F" w:rsidRPr="00344191" w:rsidRDefault="00DF4E8F" w:rsidP="00EE0B7C">
            <w:pPr>
              <w:pStyle w:val="TableTextRight"/>
            </w:pPr>
          </w:p>
        </w:tc>
        <w:tc>
          <w:tcPr>
            <w:tcW w:w="0" w:type="pct"/>
            <w:noWrap/>
            <w:hideMark/>
          </w:tcPr>
          <w:p w14:paraId="340054E4" w14:textId="77777777" w:rsidR="00DF4E8F" w:rsidRPr="00344191" w:rsidRDefault="00DF4E8F" w:rsidP="00EE0B7C">
            <w:pPr>
              <w:pStyle w:val="TableTextRight"/>
            </w:pPr>
          </w:p>
        </w:tc>
        <w:tc>
          <w:tcPr>
            <w:tcW w:w="0" w:type="pct"/>
            <w:noWrap/>
            <w:hideMark/>
          </w:tcPr>
          <w:p w14:paraId="0BC57CC2" w14:textId="77777777" w:rsidR="00DF4E8F" w:rsidRPr="00344191" w:rsidRDefault="00DF4E8F" w:rsidP="00EE0B7C">
            <w:pPr>
              <w:pStyle w:val="TableTextRight"/>
            </w:pPr>
          </w:p>
        </w:tc>
      </w:tr>
      <w:tr w:rsidR="009A24A2" w:rsidRPr="00663533" w14:paraId="241C06C4" w14:textId="77777777" w:rsidTr="009A24A2">
        <w:trPr>
          <w:trHeight w:val="255"/>
        </w:trPr>
        <w:tc>
          <w:tcPr>
            <w:tcW w:w="2233" w:type="pct"/>
            <w:hideMark/>
          </w:tcPr>
          <w:p w14:paraId="3AAC5585" w14:textId="77777777" w:rsidR="00222E0C" w:rsidRPr="000E6032" w:rsidRDefault="00222E0C" w:rsidP="00625DAB">
            <w:pPr>
              <w:pStyle w:val="TableTextLeft"/>
            </w:pPr>
            <w:r w:rsidRPr="000E6032">
              <w:t>Departmental appropriation and other receipts</w:t>
            </w:r>
          </w:p>
        </w:tc>
        <w:tc>
          <w:tcPr>
            <w:tcW w:w="983" w:type="pct"/>
            <w:noWrap/>
          </w:tcPr>
          <w:p w14:paraId="0059AEB4" w14:textId="7DE40FD5" w:rsidR="00222E0C" w:rsidRPr="000E6032" w:rsidRDefault="00222E0C" w:rsidP="00EE0B7C">
            <w:pPr>
              <w:pStyle w:val="TableTextRight"/>
            </w:pPr>
            <w:r w:rsidRPr="000E6032">
              <w:t>16,121</w:t>
            </w:r>
          </w:p>
        </w:tc>
        <w:tc>
          <w:tcPr>
            <w:tcW w:w="1073" w:type="pct"/>
            <w:noWrap/>
          </w:tcPr>
          <w:p w14:paraId="0B8FEBA3" w14:textId="0A4BE9D0" w:rsidR="00222E0C" w:rsidRPr="000E6032" w:rsidRDefault="00AD2C8C" w:rsidP="00EE0B7C">
            <w:pPr>
              <w:pStyle w:val="TableTextRight"/>
              <w:rPr>
                <w:rFonts w:cs="Arial"/>
              </w:rPr>
            </w:pPr>
            <w:r w:rsidRPr="000E6032">
              <w:t>16,258</w:t>
            </w:r>
          </w:p>
        </w:tc>
        <w:tc>
          <w:tcPr>
            <w:tcW w:w="711" w:type="pct"/>
            <w:noWrap/>
          </w:tcPr>
          <w:p w14:paraId="2B4F8131" w14:textId="5B6180D4" w:rsidR="00222E0C" w:rsidRPr="000E6032" w:rsidRDefault="00A42FAC" w:rsidP="00EE0B7C">
            <w:pPr>
              <w:pStyle w:val="TableTextRight"/>
              <w:rPr>
                <w:rFonts w:cs="Arial"/>
              </w:rPr>
            </w:pPr>
            <w:r w:rsidRPr="000E6032">
              <w:t>(137)</w:t>
            </w:r>
          </w:p>
        </w:tc>
      </w:tr>
      <w:tr w:rsidR="00663533" w:rsidRPr="00663533" w14:paraId="3A870929" w14:textId="77777777" w:rsidTr="00685CD2">
        <w:trPr>
          <w:trHeight w:val="122"/>
        </w:trPr>
        <w:tc>
          <w:tcPr>
            <w:tcW w:w="0" w:type="pct"/>
            <w:hideMark/>
          </w:tcPr>
          <w:p w14:paraId="623C4CDA" w14:textId="4724F9D1" w:rsidR="00A42FAC" w:rsidRPr="000E6032" w:rsidRDefault="00A42FAC" w:rsidP="00625DAB">
            <w:pPr>
              <w:pStyle w:val="TableTextLeft"/>
            </w:pPr>
            <w:r w:rsidRPr="000E6032">
              <w:t>Expenses not requiring appropriation in the Budget year</w:t>
            </w:r>
            <w:r w:rsidRPr="000E6032">
              <w:rPr>
                <w:vertAlign w:val="superscript"/>
              </w:rPr>
              <w:t>(b)</w:t>
            </w:r>
          </w:p>
        </w:tc>
        <w:tc>
          <w:tcPr>
            <w:tcW w:w="0" w:type="pct"/>
            <w:noWrap/>
          </w:tcPr>
          <w:p w14:paraId="3E5D3FDE" w14:textId="314048A1" w:rsidR="00A42FAC" w:rsidRPr="000E6032" w:rsidRDefault="00A42FAC" w:rsidP="00EE0B7C">
            <w:pPr>
              <w:pStyle w:val="TableTextRight"/>
            </w:pPr>
            <w:r w:rsidRPr="000E6032">
              <w:t xml:space="preserve">848 </w:t>
            </w:r>
          </w:p>
        </w:tc>
        <w:tc>
          <w:tcPr>
            <w:tcW w:w="0" w:type="pct"/>
            <w:noWrap/>
          </w:tcPr>
          <w:p w14:paraId="1A6802C4" w14:textId="368DA31B" w:rsidR="00A42FAC" w:rsidRPr="000E6032" w:rsidRDefault="00A42FAC" w:rsidP="00EE0B7C">
            <w:pPr>
              <w:pStyle w:val="TableTextRight"/>
              <w:rPr>
                <w:rFonts w:cs="Arial"/>
              </w:rPr>
            </w:pPr>
            <w:r w:rsidRPr="000E6032">
              <w:t>856</w:t>
            </w:r>
          </w:p>
        </w:tc>
        <w:tc>
          <w:tcPr>
            <w:tcW w:w="0" w:type="pct"/>
            <w:noWrap/>
          </w:tcPr>
          <w:p w14:paraId="233EC7E3" w14:textId="702D062E" w:rsidR="00A42FAC" w:rsidRPr="000E6032" w:rsidRDefault="00A42FAC" w:rsidP="00EE0B7C">
            <w:pPr>
              <w:pStyle w:val="TableTextRight"/>
              <w:rPr>
                <w:rFonts w:cs="Arial"/>
              </w:rPr>
            </w:pPr>
            <w:r w:rsidRPr="000E6032">
              <w:t>(8)</w:t>
            </w:r>
          </w:p>
        </w:tc>
      </w:tr>
      <w:tr w:rsidR="009A24A2" w:rsidRPr="00663533" w14:paraId="5C785B5A" w14:textId="77777777" w:rsidTr="009A24A2">
        <w:trPr>
          <w:trHeight w:val="200"/>
        </w:trPr>
        <w:tc>
          <w:tcPr>
            <w:tcW w:w="2233" w:type="pct"/>
            <w:hideMark/>
          </w:tcPr>
          <w:p w14:paraId="69773E7D" w14:textId="19FF8EC0" w:rsidR="00DF4E8F" w:rsidRPr="00E04D4E" w:rsidRDefault="00DF4E8F" w:rsidP="00625DAB">
            <w:pPr>
              <w:pStyle w:val="TableTextLeft"/>
              <w:rPr>
                <w:b/>
                <w:bCs/>
              </w:rPr>
            </w:pPr>
            <w:r w:rsidRPr="00E04D4E">
              <w:rPr>
                <w:b/>
                <w:bCs/>
              </w:rPr>
              <w:t xml:space="preserve">Administered expenses before remeasurements </w:t>
            </w:r>
          </w:p>
        </w:tc>
        <w:tc>
          <w:tcPr>
            <w:tcW w:w="983" w:type="pct"/>
            <w:noWrap/>
            <w:hideMark/>
          </w:tcPr>
          <w:p w14:paraId="1EA51E06" w14:textId="77777777" w:rsidR="00DF4E8F" w:rsidRPr="00344191" w:rsidRDefault="00DF4E8F" w:rsidP="00EE0B7C">
            <w:pPr>
              <w:pStyle w:val="TableTextRight"/>
              <w:rPr>
                <w:sz w:val="18"/>
                <w:szCs w:val="18"/>
              </w:rPr>
            </w:pPr>
          </w:p>
        </w:tc>
        <w:tc>
          <w:tcPr>
            <w:tcW w:w="1073" w:type="pct"/>
            <w:noWrap/>
            <w:hideMark/>
          </w:tcPr>
          <w:p w14:paraId="3F7D9323" w14:textId="77777777" w:rsidR="00DF4E8F" w:rsidRPr="00344191" w:rsidRDefault="00DF4E8F" w:rsidP="00EE0B7C">
            <w:pPr>
              <w:pStyle w:val="TableTextRight"/>
              <w:rPr>
                <w:sz w:val="18"/>
                <w:szCs w:val="18"/>
              </w:rPr>
            </w:pPr>
          </w:p>
        </w:tc>
        <w:tc>
          <w:tcPr>
            <w:tcW w:w="711" w:type="pct"/>
            <w:noWrap/>
            <w:hideMark/>
          </w:tcPr>
          <w:p w14:paraId="4F828014" w14:textId="77777777" w:rsidR="00DF4E8F" w:rsidRPr="00344191" w:rsidRDefault="00DF4E8F" w:rsidP="00EE0B7C">
            <w:pPr>
              <w:pStyle w:val="TableTextRight"/>
              <w:rPr>
                <w:sz w:val="18"/>
                <w:szCs w:val="18"/>
              </w:rPr>
            </w:pPr>
          </w:p>
        </w:tc>
      </w:tr>
      <w:tr w:rsidR="00663533" w:rsidRPr="00663533" w14:paraId="418C1E32" w14:textId="77777777" w:rsidTr="00685CD2">
        <w:trPr>
          <w:trHeight w:val="255"/>
        </w:trPr>
        <w:tc>
          <w:tcPr>
            <w:tcW w:w="0" w:type="pct"/>
            <w:hideMark/>
          </w:tcPr>
          <w:p w14:paraId="10556E9B" w14:textId="70908EDB" w:rsidR="00EA1F25" w:rsidRPr="000E6032" w:rsidRDefault="00EA1F25" w:rsidP="00625DAB">
            <w:pPr>
              <w:pStyle w:val="TableTextLeft"/>
            </w:pPr>
            <w:r w:rsidRPr="000E6032">
              <w:t>Expenses not requiring appropriation</w:t>
            </w:r>
            <w:r w:rsidRPr="000E6032">
              <w:rPr>
                <w:vertAlign w:val="superscript"/>
              </w:rPr>
              <w:t>(c)</w:t>
            </w:r>
          </w:p>
        </w:tc>
        <w:tc>
          <w:tcPr>
            <w:tcW w:w="0" w:type="pct"/>
            <w:noWrap/>
          </w:tcPr>
          <w:p w14:paraId="3880DACB" w14:textId="4FD0B636" w:rsidR="00EA1F25" w:rsidRPr="000E6032" w:rsidRDefault="00EA1F25" w:rsidP="00EE0B7C">
            <w:pPr>
              <w:pStyle w:val="TableTextRight"/>
            </w:pPr>
            <w:r w:rsidRPr="000E6032">
              <w:t xml:space="preserve">41,201 </w:t>
            </w:r>
          </w:p>
        </w:tc>
        <w:tc>
          <w:tcPr>
            <w:tcW w:w="0" w:type="pct"/>
            <w:noWrap/>
          </w:tcPr>
          <w:p w14:paraId="42567736" w14:textId="7328872A" w:rsidR="00EA1F25" w:rsidRPr="000E6032" w:rsidRDefault="00BA5474" w:rsidP="00EE0B7C">
            <w:pPr>
              <w:pStyle w:val="TableTextRight"/>
            </w:pPr>
            <w:r w:rsidRPr="000E6032">
              <w:t>22,279</w:t>
            </w:r>
          </w:p>
        </w:tc>
        <w:tc>
          <w:tcPr>
            <w:tcW w:w="0" w:type="pct"/>
            <w:noWrap/>
          </w:tcPr>
          <w:p w14:paraId="0A2827D0" w14:textId="0AF42F02" w:rsidR="00EA1F25" w:rsidRPr="000E6032" w:rsidRDefault="00D026F0" w:rsidP="00EE0B7C">
            <w:pPr>
              <w:pStyle w:val="TableTextRight"/>
              <w:rPr>
                <w:rFonts w:cs="Arial"/>
              </w:rPr>
            </w:pPr>
            <w:r w:rsidRPr="000E6032">
              <w:t>18,922</w:t>
            </w:r>
          </w:p>
        </w:tc>
      </w:tr>
      <w:tr w:rsidR="009A24A2" w:rsidRPr="00663533" w14:paraId="53A0E618" w14:textId="77777777" w:rsidTr="009A24A2">
        <w:trPr>
          <w:trHeight w:val="225"/>
        </w:trPr>
        <w:tc>
          <w:tcPr>
            <w:tcW w:w="2233" w:type="pct"/>
            <w:hideMark/>
          </w:tcPr>
          <w:p w14:paraId="376F3084" w14:textId="77777777" w:rsidR="00DF4E8F" w:rsidRPr="000E6032" w:rsidRDefault="00DF4E8F" w:rsidP="00625DAB">
            <w:pPr>
              <w:pStyle w:val="TableTextLeft"/>
            </w:pPr>
            <w:r w:rsidRPr="000E6032">
              <w:t>Special appropriations expenses</w:t>
            </w:r>
          </w:p>
        </w:tc>
        <w:tc>
          <w:tcPr>
            <w:tcW w:w="983" w:type="pct"/>
            <w:noWrap/>
          </w:tcPr>
          <w:p w14:paraId="3FA51550" w14:textId="41B7DB14" w:rsidR="00DF4E8F" w:rsidRPr="000E6032" w:rsidRDefault="00DF4E8F" w:rsidP="00EE0B7C">
            <w:pPr>
              <w:pStyle w:val="TableTextRight"/>
            </w:pPr>
          </w:p>
        </w:tc>
        <w:tc>
          <w:tcPr>
            <w:tcW w:w="1073" w:type="pct"/>
            <w:noWrap/>
          </w:tcPr>
          <w:p w14:paraId="3B2F8457" w14:textId="57BE7C6A" w:rsidR="00DF4E8F" w:rsidRPr="000E6032" w:rsidRDefault="00DF4E8F" w:rsidP="00EE0B7C">
            <w:pPr>
              <w:pStyle w:val="TableTextRight"/>
            </w:pPr>
          </w:p>
        </w:tc>
        <w:tc>
          <w:tcPr>
            <w:tcW w:w="711" w:type="pct"/>
            <w:noWrap/>
          </w:tcPr>
          <w:p w14:paraId="28F4D520" w14:textId="4B5D5CD0" w:rsidR="00DF4E8F" w:rsidRPr="000E6032" w:rsidRDefault="00DF4E8F" w:rsidP="00EE0B7C">
            <w:pPr>
              <w:pStyle w:val="TableTextRight"/>
            </w:pPr>
          </w:p>
        </w:tc>
      </w:tr>
      <w:tr w:rsidR="005A07E4" w:rsidRPr="00663533" w14:paraId="797F6D96" w14:textId="77777777" w:rsidTr="00685CD2">
        <w:trPr>
          <w:trHeight w:val="225"/>
        </w:trPr>
        <w:tc>
          <w:tcPr>
            <w:tcW w:w="0" w:type="pct"/>
            <w:hideMark/>
          </w:tcPr>
          <w:p w14:paraId="5EA80CC5" w14:textId="77777777" w:rsidR="005A07E4" w:rsidRPr="00EE0B7C" w:rsidRDefault="005A07E4" w:rsidP="00625DAB">
            <w:pPr>
              <w:pStyle w:val="TableTextLeft"/>
              <w:rPr>
                <w:rStyle w:val="Italics"/>
                <w:iCs/>
              </w:rPr>
            </w:pPr>
            <w:r w:rsidRPr="00EE0B7C">
              <w:rPr>
                <w:rStyle w:val="Italics"/>
                <w:iCs/>
              </w:rPr>
              <w:t>Commonwealth Inscribed Stock Act 1911</w:t>
            </w:r>
          </w:p>
        </w:tc>
        <w:tc>
          <w:tcPr>
            <w:tcW w:w="0" w:type="pct"/>
            <w:noWrap/>
          </w:tcPr>
          <w:p w14:paraId="6FFECA8A" w14:textId="4F1ABCFB" w:rsidR="005A07E4" w:rsidRPr="000E6032" w:rsidRDefault="005A07E4" w:rsidP="00EE0B7C">
            <w:pPr>
              <w:pStyle w:val="TableTextRight"/>
            </w:pPr>
            <w:r w:rsidRPr="000E6032">
              <w:t xml:space="preserve">24,107,257 </w:t>
            </w:r>
          </w:p>
        </w:tc>
        <w:tc>
          <w:tcPr>
            <w:tcW w:w="0" w:type="pct"/>
            <w:noWrap/>
          </w:tcPr>
          <w:p w14:paraId="1CACFC55" w14:textId="500F694F" w:rsidR="005A07E4" w:rsidRPr="000E6032" w:rsidRDefault="005A07E4" w:rsidP="00EE0B7C">
            <w:pPr>
              <w:pStyle w:val="TableTextRight"/>
              <w:rPr>
                <w:rFonts w:cs="Arial"/>
              </w:rPr>
            </w:pPr>
            <w:r w:rsidRPr="000E6032">
              <w:t>23,867,126</w:t>
            </w:r>
          </w:p>
        </w:tc>
        <w:tc>
          <w:tcPr>
            <w:tcW w:w="0" w:type="pct"/>
            <w:noWrap/>
          </w:tcPr>
          <w:p w14:paraId="33590772" w14:textId="69F3747F" w:rsidR="005A07E4" w:rsidRPr="000E6032" w:rsidRDefault="007839AA" w:rsidP="00EE0B7C">
            <w:pPr>
              <w:pStyle w:val="TableTextRight"/>
              <w:rPr>
                <w:rFonts w:cs="Arial"/>
              </w:rPr>
            </w:pPr>
            <w:r w:rsidRPr="000E6032">
              <w:t>240,131</w:t>
            </w:r>
          </w:p>
        </w:tc>
      </w:tr>
      <w:tr w:rsidR="009A24A2" w:rsidRPr="00663533" w14:paraId="47200445" w14:textId="77777777" w:rsidTr="009A24A2">
        <w:trPr>
          <w:trHeight w:val="225"/>
        </w:trPr>
        <w:tc>
          <w:tcPr>
            <w:tcW w:w="2233" w:type="pct"/>
            <w:hideMark/>
          </w:tcPr>
          <w:p w14:paraId="289C1725" w14:textId="77777777" w:rsidR="00F726F6" w:rsidRPr="00EE0B7C" w:rsidRDefault="00F726F6" w:rsidP="00625DAB">
            <w:pPr>
              <w:pStyle w:val="TableTextLeft"/>
              <w:rPr>
                <w:rStyle w:val="Italics"/>
                <w:iCs/>
              </w:rPr>
            </w:pPr>
            <w:r w:rsidRPr="00EE0B7C">
              <w:rPr>
                <w:rStyle w:val="Italics"/>
                <w:iCs/>
              </w:rPr>
              <w:t>Australian Business Securitisation Fund Act 2019</w:t>
            </w:r>
          </w:p>
        </w:tc>
        <w:tc>
          <w:tcPr>
            <w:tcW w:w="983" w:type="pct"/>
            <w:noWrap/>
            <w:hideMark/>
          </w:tcPr>
          <w:p w14:paraId="07309F77" w14:textId="18DC1B94" w:rsidR="00F726F6" w:rsidRPr="000E6032" w:rsidRDefault="006B0F56" w:rsidP="00EE0B7C">
            <w:pPr>
              <w:pStyle w:val="TableTextRight"/>
            </w:pPr>
            <w:r w:rsidRPr="000E6032">
              <w:t>–</w:t>
            </w:r>
          </w:p>
        </w:tc>
        <w:tc>
          <w:tcPr>
            <w:tcW w:w="1073" w:type="pct"/>
            <w:noWrap/>
            <w:hideMark/>
          </w:tcPr>
          <w:p w14:paraId="6F625478" w14:textId="600AC95F" w:rsidR="00F726F6" w:rsidRPr="000E6032" w:rsidRDefault="00F726F6" w:rsidP="00EE0B7C">
            <w:pPr>
              <w:pStyle w:val="TableTextRight"/>
            </w:pPr>
            <w:r w:rsidRPr="000E6032">
              <w:t xml:space="preserve">414 </w:t>
            </w:r>
          </w:p>
        </w:tc>
        <w:tc>
          <w:tcPr>
            <w:tcW w:w="711" w:type="pct"/>
            <w:noWrap/>
            <w:hideMark/>
          </w:tcPr>
          <w:p w14:paraId="2A4F814C" w14:textId="120D96EA" w:rsidR="00F726F6" w:rsidRPr="000E6032" w:rsidRDefault="00F726F6" w:rsidP="00EE0B7C">
            <w:pPr>
              <w:pStyle w:val="TableTextRight"/>
            </w:pPr>
            <w:r w:rsidRPr="000E6032" w:rsidDel="00722BBD">
              <w:t xml:space="preserve"> </w:t>
            </w:r>
            <w:r w:rsidRPr="000E6032">
              <w:t xml:space="preserve">(414) </w:t>
            </w:r>
          </w:p>
        </w:tc>
      </w:tr>
      <w:tr w:rsidR="00FB2A70" w:rsidRPr="00663533" w14:paraId="406D892A" w14:textId="77777777" w:rsidTr="00685CD2">
        <w:trPr>
          <w:trHeight w:val="430"/>
        </w:trPr>
        <w:tc>
          <w:tcPr>
            <w:tcW w:w="0" w:type="pct"/>
            <w:hideMark/>
          </w:tcPr>
          <w:p w14:paraId="3250A5BB" w14:textId="77777777" w:rsidR="00FB2A70" w:rsidRPr="00EE0B7C" w:rsidRDefault="00FB2A70" w:rsidP="00625DAB">
            <w:pPr>
              <w:pStyle w:val="TableTextLeft"/>
              <w:rPr>
                <w:rStyle w:val="Italics"/>
                <w:iCs/>
              </w:rPr>
            </w:pPr>
            <w:r w:rsidRPr="00EE0B7C">
              <w:rPr>
                <w:rStyle w:val="Italics"/>
                <w:iCs/>
              </w:rPr>
              <w:t>Structured Finance Support (Coronavirus Economic Response Package) Act 2020</w:t>
            </w:r>
          </w:p>
        </w:tc>
        <w:tc>
          <w:tcPr>
            <w:tcW w:w="0" w:type="pct"/>
            <w:noWrap/>
            <w:hideMark/>
          </w:tcPr>
          <w:p w14:paraId="5AF2C887" w14:textId="50929EF8" w:rsidR="00FB2A70" w:rsidRPr="000E6032" w:rsidRDefault="006B0F56" w:rsidP="00EE0B7C">
            <w:pPr>
              <w:pStyle w:val="TableTextRight"/>
              <w:rPr>
                <w:rFonts w:cs="Arial"/>
              </w:rPr>
            </w:pPr>
            <w:r w:rsidRPr="000E6032">
              <w:t>–</w:t>
            </w:r>
          </w:p>
        </w:tc>
        <w:tc>
          <w:tcPr>
            <w:tcW w:w="0" w:type="pct"/>
            <w:noWrap/>
            <w:hideMark/>
          </w:tcPr>
          <w:p w14:paraId="2F03DBD4" w14:textId="3FD9AAF1" w:rsidR="00FB2A70" w:rsidRPr="000E6032" w:rsidRDefault="00FB2A70" w:rsidP="00EE0B7C">
            <w:pPr>
              <w:pStyle w:val="TableTextRight"/>
            </w:pPr>
            <w:r w:rsidRPr="000E6032">
              <w:t>3</w:t>
            </w:r>
          </w:p>
        </w:tc>
        <w:tc>
          <w:tcPr>
            <w:tcW w:w="0" w:type="pct"/>
            <w:noWrap/>
            <w:hideMark/>
          </w:tcPr>
          <w:p w14:paraId="4215265D" w14:textId="6B4E3F1E" w:rsidR="00FB2A70" w:rsidRPr="000E6032" w:rsidRDefault="00FB2A70" w:rsidP="00EE0B7C">
            <w:pPr>
              <w:pStyle w:val="TableTextRight"/>
            </w:pPr>
            <w:r w:rsidRPr="000E6032">
              <w:t>(3)</w:t>
            </w:r>
          </w:p>
        </w:tc>
      </w:tr>
      <w:tr w:rsidR="009A24A2" w:rsidRPr="00663533" w14:paraId="17D5430F" w14:textId="77777777" w:rsidTr="009A24A2">
        <w:trPr>
          <w:trHeight w:val="225"/>
        </w:trPr>
        <w:tc>
          <w:tcPr>
            <w:tcW w:w="2233" w:type="pct"/>
            <w:hideMark/>
          </w:tcPr>
          <w:p w14:paraId="4533DFC2" w14:textId="77777777" w:rsidR="005A07E4" w:rsidRPr="00EE0B7C" w:rsidRDefault="005A07E4" w:rsidP="00625DAB">
            <w:pPr>
              <w:pStyle w:val="TableTextLeft"/>
              <w:rPr>
                <w:rStyle w:val="Italics"/>
                <w:iCs/>
              </w:rPr>
            </w:pPr>
            <w:r w:rsidRPr="00EE0B7C">
              <w:rPr>
                <w:rStyle w:val="Italics"/>
                <w:iCs/>
              </w:rPr>
              <w:t>Financial Agreement Act 1994</w:t>
            </w:r>
          </w:p>
        </w:tc>
        <w:tc>
          <w:tcPr>
            <w:tcW w:w="983" w:type="pct"/>
            <w:noWrap/>
            <w:hideMark/>
          </w:tcPr>
          <w:p w14:paraId="721BE499" w14:textId="3EBEFB00" w:rsidR="005A07E4" w:rsidRPr="000E6032" w:rsidRDefault="005A07E4" w:rsidP="00EE0B7C">
            <w:pPr>
              <w:pStyle w:val="TableTextRight"/>
            </w:pPr>
            <w:r w:rsidRPr="000E6032">
              <w:t xml:space="preserve">10 </w:t>
            </w:r>
          </w:p>
        </w:tc>
        <w:tc>
          <w:tcPr>
            <w:tcW w:w="1073" w:type="pct"/>
            <w:noWrap/>
            <w:hideMark/>
          </w:tcPr>
          <w:p w14:paraId="331DBA98" w14:textId="3FB00DB6" w:rsidR="005A07E4" w:rsidRPr="000E6032" w:rsidRDefault="005A07E4" w:rsidP="00EE0B7C">
            <w:pPr>
              <w:pStyle w:val="TableTextRight"/>
            </w:pPr>
            <w:r w:rsidRPr="000E6032">
              <w:t>2</w:t>
            </w:r>
            <w:r w:rsidR="00FB2A70" w:rsidRPr="000E6032">
              <w:t>3</w:t>
            </w:r>
            <w:r w:rsidRPr="000E6032">
              <w:t xml:space="preserve"> </w:t>
            </w:r>
          </w:p>
        </w:tc>
        <w:tc>
          <w:tcPr>
            <w:tcW w:w="711" w:type="pct"/>
            <w:noWrap/>
            <w:hideMark/>
          </w:tcPr>
          <w:p w14:paraId="168C1A2F" w14:textId="10DB2BB2" w:rsidR="005A07E4" w:rsidRPr="000E6032" w:rsidRDefault="005A07E4" w:rsidP="00EE0B7C">
            <w:pPr>
              <w:pStyle w:val="TableTextRight"/>
              <w:rPr>
                <w:rFonts w:cs="Arial"/>
              </w:rPr>
            </w:pPr>
            <w:r w:rsidRPr="000E6032">
              <w:t>(</w:t>
            </w:r>
            <w:r w:rsidR="00FB2A70" w:rsidRPr="000E6032">
              <w:t>13</w:t>
            </w:r>
            <w:r w:rsidRPr="000E6032">
              <w:t>)</w:t>
            </w:r>
            <w:r w:rsidRPr="000E6032">
              <w:rPr>
                <w:rFonts w:cs="Arial"/>
              </w:rPr>
              <w:t xml:space="preserve"> </w:t>
            </w:r>
          </w:p>
        </w:tc>
      </w:tr>
      <w:tr w:rsidR="005A07E4" w:rsidRPr="00663533" w14:paraId="24E2016F" w14:textId="77777777" w:rsidTr="00685CD2">
        <w:trPr>
          <w:trHeight w:val="225"/>
        </w:trPr>
        <w:tc>
          <w:tcPr>
            <w:tcW w:w="0" w:type="pct"/>
          </w:tcPr>
          <w:p w14:paraId="6B7A62F3" w14:textId="77777777" w:rsidR="005A07E4" w:rsidRPr="00EE0B7C" w:rsidRDefault="005A07E4" w:rsidP="00625DAB">
            <w:pPr>
              <w:pStyle w:val="TableTextLeft"/>
              <w:rPr>
                <w:rStyle w:val="Italics"/>
                <w:iCs/>
              </w:rPr>
            </w:pPr>
            <w:r w:rsidRPr="00EE0B7C">
              <w:rPr>
                <w:rStyle w:val="Italics"/>
                <w:iCs/>
              </w:rPr>
              <w:t>Loans Securities Act 1919</w:t>
            </w:r>
          </w:p>
        </w:tc>
        <w:tc>
          <w:tcPr>
            <w:tcW w:w="0" w:type="pct"/>
            <w:noWrap/>
          </w:tcPr>
          <w:p w14:paraId="5132EF93" w14:textId="23E97EEA" w:rsidR="005A07E4" w:rsidRPr="000E6032" w:rsidRDefault="006B0F56" w:rsidP="00EE0B7C">
            <w:pPr>
              <w:pStyle w:val="TableTextRight"/>
              <w:rPr>
                <w:rFonts w:cs="Arial"/>
              </w:rPr>
            </w:pPr>
            <w:r w:rsidRPr="000E6032">
              <w:t>–</w:t>
            </w:r>
          </w:p>
        </w:tc>
        <w:tc>
          <w:tcPr>
            <w:tcW w:w="0" w:type="pct"/>
            <w:noWrap/>
          </w:tcPr>
          <w:p w14:paraId="2A1DB870" w14:textId="4FB6A349" w:rsidR="005A07E4" w:rsidRPr="000E6032" w:rsidRDefault="006B0F56" w:rsidP="00EE0B7C">
            <w:pPr>
              <w:pStyle w:val="TableTextRight"/>
              <w:rPr>
                <w:iCs/>
              </w:rPr>
            </w:pPr>
            <w:r w:rsidRPr="000E6032">
              <w:rPr>
                <w:iCs/>
              </w:rPr>
              <w:t>–</w:t>
            </w:r>
          </w:p>
        </w:tc>
        <w:tc>
          <w:tcPr>
            <w:tcW w:w="0" w:type="pct"/>
            <w:noWrap/>
          </w:tcPr>
          <w:p w14:paraId="513978F4" w14:textId="2CA2FDEA" w:rsidR="005A07E4" w:rsidRPr="000E6032" w:rsidRDefault="006B0F56" w:rsidP="00EE0B7C">
            <w:pPr>
              <w:pStyle w:val="TableTextRight"/>
              <w:rPr>
                <w:iCs/>
              </w:rPr>
            </w:pPr>
            <w:r w:rsidRPr="000E6032">
              <w:rPr>
                <w:iCs/>
              </w:rPr>
              <w:t>–</w:t>
            </w:r>
          </w:p>
        </w:tc>
      </w:tr>
      <w:tr w:rsidR="009A24A2" w:rsidRPr="00663533" w14:paraId="716CEC2F" w14:textId="77777777" w:rsidTr="009A24A2">
        <w:trPr>
          <w:trHeight w:val="225"/>
        </w:trPr>
        <w:tc>
          <w:tcPr>
            <w:tcW w:w="2233" w:type="pct"/>
            <w:hideMark/>
          </w:tcPr>
          <w:p w14:paraId="0D5DBC2B" w14:textId="5C4BB581" w:rsidR="005A07E4" w:rsidRPr="00E04D4E" w:rsidRDefault="005A07E4" w:rsidP="00625DAB">
            <w:pPr>
              <w:pStyle w:val="TableTextLeft"/>
              <w:rPr>
                <w:b/>
                <w:bCs/>
              </w:rPr>
            </w:pPr>
            <w:r w:rsidRPr="00E04D4E">
              <w:rPr>
                <w:b/>
                <w:bCs/>
              </w:rPr>
              <w:t xml:space="preserve">Total expenses for </w:t>
            </w:r>
            <w:r w:rsidR="003D0260" w:rsidRPr="00E04D4E">
              <w:rPr>
                <w:b/>
                <w:bCs/>
              </w:rPr>
              <w:t>P</w:t>
            </w:r>
            <w:r w:rsidRPr="00E04D4E">
              <w:rPr>
                <w:b/>
                <w:bCs/>
              </w:rPr>
              <w:t>rogram 1.1</w:t>
            </w:r>
          </w:p>
        </w:tc>
        <w:tc>
          <w:tcPr>
            <w:tcW w:w="983" w:type="pct"/>
            <w:noWrap/>
          </w:tcPr>
          <w:p w14:paraId="600883FA" w14:textId="46A4E3AB" w:rsidR="005A07E4" w:rsidRPr="00EE0B7C" w:rsidRDefault="005A07E4" w:rsidP="00EE0B7C">
            <w:pPr>
              <w:pStyle w:val="TableTextRight"/>
              <w:rPr>
                <w:b/>
                <w:bCs/>
              </w:rPr>
            </w:pPr>
            <w:r w:rsidRPr="00EE0B7C">
              <w:rPr>
                <w:b/>
                <w:bCs/>
              </w:rPr>
              <w:t xml:space="preserve">24,165,437 </w:t>
            </w:r>
          </w:p>
        </w:tc>
        <w:tc>
          <w:tcPr>
            <w:tcW w:w="1073" w:type="pct"/>
            <w:noWrap/>
          </w:tcPr>
          <w:p w14:paraId="41BBFD2A" w14:textId="7F684152" w:rsidR="005A07E4" w:rsidRPr="00EE0B7C" w:rsidRDefault="00802EC7" w:rsidP="00EE0B7C">
            <w:pPr>
              <w:pStyle w:val="TableTextRight"/>
              <w:rPr>
                <w:b/>
                <w:bCs/>
              </w:rPr>
            </w:pPr>
            <w:r w:rsidRPr="00EE0B7C">
              <w:rPr>
                <w:b/>
                <w:bCs/>
              </w:rPr>
              <w:t>23,906,959</w:t>
            </w:r>
          </w:p>
        </w:tc>
        <w:tc>
          <w:tcPr>
            <w:tcW w:w="711" w:type="pct"/>
            <w:noWrap/>
          </w:tcPr>
          <w:p w14:paraId="63EC0AF3" w14:textId="172A5F49" w:rsidR="005A07E4" w:rsidRPr="00EE0B7C" w:rsidRDefault="007F3970" w:rsidP="00EE0B7C">
            <w:pPr>
              <w:pStyle w:val="TableTextRight"/>
              <w:rPr>
                <w:b/>
                <w:bCs/>
              </w:rPr>
            </w:pPr>
            <w:r w:rsidRPr="00EE0B7C">
              <w:rPr>
                <w:b/>
                <w:bCs/>
              </w:rPr>
              <w:t>258,478</w:t>
            </w:r>
          </w:p>
        </w:tc>
      </w:tr>
      <w:tr w:rsidR="005A07E4" w:rsidRPr="00663533" w14:paraId="387FCC2A" w14:textId="77777777" w:rsidTr="00685CD2">
        <w:trPr>
          <w:trHeight w:val="225"/>
        </w:trPr>
        <w:tc>
          <w:tcPr>
            <w:tcW w:w="0" w:type="pct"/>
            <w:hideMark/>
          </w:tcPr>
          <w:p w14:paraId="7AADB417" w14:textId="77777777" w:rsidR="005A07E4" w:rsidRPr="00E04D4E" w:rsidRDefault="005A07E4" w:rsidP="00625DAB">
            <w:pPr>
              <w:pStyle w:val="TableTextLeft"/>
              <w:rPr>
                <w:b/>
                <w:bCs/>
              </w:rPr>
            </w:pPr>
            <w:r w:rsidRPr="00E04D4E">
              <w:rPr>
                <w:b/>
                <w:bCs/>
              </w:rPr>
              <w:t>Average staffing level (number)</w:t>
            </w:r>
          </w:p>
        </w:tc>
        <w:tc>
          <w:tcPr>
            <w:tcW w:w="0" w:type="pct"/>
            <w:noWrap/>
          </w:tcPr>
          <w:p w14:paraId="74E2E1A5" w14:textId="15E9BE88" w:rsidR="005A07E4" w:rsidRPr="00EE0B7C" w:rsidRDefault="005A07E4" w:rsidP="00EE0B7C">
            <w:pPr>
              <w:pStyle w:val="TableTextRight"/>
              <w:rPr>
                <w:b/>
                <w:bCs/>
              </w:rPr>
            </w:pPr>
            <w:r w:rsidRPr="00EE0B7C">
              <w:rPr>
                <w:b/>
                <w:bCs/>
              </w:rPr>
              <w:t>52</w:t>
            </w:r>
          </w:p>
        </w:tc>
        <w:tc>
          <w:tcPr>
            <w:tcW w:w="0" w:type="pct"/>
            <w:noWrap/>
          </w:tcPr>
          <w:p w14:paraId="3EF76A8E" w14:textId="7A18BF09" w:rsidR="005A07E4" w:rsidRPr="00EE0B7C" w:rsidRDefault="005A07E4" w:rsidP="00EE0B7C">
            <w:pPr>
              <w:pStyle w:val="TableTextRight"/>
              <w:rPr>
                <w:b/>
                <w:bCs/>
              </w:rPr>
            </w:pPr>
            <w:r w:rsidRPr="00EE0B7C">
              <w:rPr>
                <w:b/>
                <w:bCs/>
              </w:rPr>
              <w:t>51</w:t>
            </w:r>
          </w:p>
        </w:tc>
        <w:tc>
          <w:tcPr>
            <w:tcW w:w="0" w:type="pct"/>
            <w:noWrap/>
          </w:tcPr>
          <w:p w14:paraId="34BFADEA" w14:textId="5E224AFA" w:rsidR="005A07E4" w:rsidRPr="00EE0B7C" w:rsidRDefault="00F029F4" w:rsidP="00EE0B7C">
            <w:pPr>
              <w:pStyle w:val="TableTextRight"/>
              <w:rPr>
                <w:b/>
                <w:bCs/>
              </w:rPr>
            </w:pPr>
            <w:r>
              <w:rPr>
                <w:b/>
                <w:bCs/>
              </w:rPr>
              <w:t>1</w:t>
            </w:r>
          </w:p>
        </w:tc>
      </w:tr>
    </w:tbl>
    <w:bookmarkEnd w:id="1530"/>
    <w:p w14:paraId="19C83F27" w14:textId="2E4F7D56" w:rsidR="00DF4E8F" w:rsidRPr="00960A2C" w:rsidRDefault="00DF4E8F" w:rsidP="006D2EDF">
      <w:pPr>
        <w:pStyle w:val="ChartorTableNoteAlpha"/>
        <w:numPr>
          <w:ilvl w:val="0"/>
          <w:numId w:val="37"/>
        </w:numPr>
      </w:pPr>
      <w:r w:rsidRPr="00960A2C">
        <w:t>The Budget figure for 202</w:t>
      </w:r>
      <w:r w:rsidR="004A7C86">
        <w:t>4</w:t>
      </w:r>
      <w:r w:rsidR="006B0F56">
        <w:t>–</w:t>
      </w:r>
      <w:r w:rsidR="004A7C86">
        <w:t>25</w:t>
      </w:r>
      <w:r w:rsidRPr="00960A2C">
        <w:t xml:space="preserve"> is the </w:t>
      </w:r>
      <w:r w:rsidR="00015887">
        <w:t>original budget expense as presented in the 2024</w:t>
      </w:r>
      <w:r w:rsidR="006B0F56">
        <w:t>–</w:t>
      </w:r>
      <w:r w:rsidR="00015887">
        <w:t>25 Portfolio Budget Statements</w:t>
      </w:r>
      <w:r w:rsidRPr="00960A2C">
        <w:t>.</w:t>
      </w:r>
    </w:p>
    <w:p w14:paraId="322B711E" w14:textId="42D5AFA1" w:rsidR="00DF4E8F" w:rsidRPr="00960A2C" w:rsidRDefault="00DF4E8F" w:rsidP="006D2EDF">
      <w:pPr>
        <w:pStyle w:val="ChartorTableNoteAlpha"/>
        <w:numPr>
          <w:ilvl w:val="0"/>
          <w:numId w:val="37"/>
        </w:numPr>
      </w:pPr>
      <w:r w:rsidRPr="00960A2C">
        <w:t xml:space="preserve">Departmental </w:t>
      </w:r>
      <w:r w:rsidR="00B84FF2">
        <w:t>‘</w:t>
      </w:r>
      <w:r w:rsidRPr="00960A2C">
        <w:t>Expenses not requiring appropriation</w:t>
      </w:r>
      <w:r w:rsidR="00B84FF2">
        <w:t>’</w:t>
      </w:r>
      <w:r w:rsidRPr="00960A2C">
        <w:t xml:space="preserve"> includes depreciation and amortisation, interest on make</w:t>
      </w:r>
      <w:r w:rsidR="00292A5F">
        <w:t xml:space="preserve"> </w:t>
      </w:r>
      <w:r w:rsidRPr="00960A2C">
        <w:t>good and other resources received free of charge (</w:t>
      </w:r>
      <w:r w:rsidR="006B0F56">
        <w:t>Australian National Audit Office</w:t>
      </w:r>
      <w:r w:rsidRPr="00960A2C">
        <w:t>).</w:t>
      </w:r>
    </w:p>
    <w:p w14:paraId="479F5D58" w14:textId="1FDE189F" w:rsidR="00DF4E8F" w:rsidRPr="00960A2C" w:rsidRDefault="00DF4E8F" w:rsidP="001F10B3">
      <w:pPr>
        <w:pStyle w:val="ChartorTableNoteAlpha"/>
      </w:pPr>
      <w:r w:rsidRPr="00960A2C">
        <w:t xml:space="preserve">Administered </w:t>
      </w:r>
      <w:r w:rsidR="00B84FF2">
        <w:t>‘</w:t>
      </w:r>
      <w:r w:rsidRPr="00960A2C">
        <w:t>Expenses not requiring appropriation</w:t>
      </w:r>
      <w:r w:rsidR="00B84FF2">
        <w:t>’</w:t>
      </w:r>
      <w:r w:rsidRPr="00960A2C">
        <w:t xml:space="preserve"> represents expected credit loss expenses on investments in structured finance securities</w:t>
      </w:r>
      <w:r w:rsidR="006B0F56">
        <w:t>,</w:t>
      </w:r>
      <w:r w:rsidRPr="00960A2C">
        <w:t xml:space="preserve"> and accrual losses on repurchase of debt prior to maturity. Note in the Budget papers</w:t>
      </w:r>
      <w:r w:rsidR="006B0F56">
        <w:t>:</w:t>
      </w:r>
      <w:r w:rsidRPr="00960A2C">
        <w:t xml:space="preserve"> expected credit loss expenses are reported against expenses, whil</w:t>
      </w:r>
      <w:r w:rsidR="006B0F56">
        <w:t>e</w:t>
      </w:r>
      <w:r w:rsidRPr="00960A2C">
        <w:t xml:space="preserve"> in the Annual Financial Statements they are reported as an offset to interest revenue.</w:t>
      </w:r>
    </w:p>
    <w:p w14:paraId="150DF550" w14:textId="77777777" w:rsidR="008A40B6" w:rsidRDefault="008A40B6" w:rsidP="008A40B6"/>
    <w:p w14:paraId="68C932F8" w14:textId="1321CEBF" w:rsidR="000208E2" w:rsidRDefault="000208E2" w:rsidP="000208E2">
      <w:pPr>
        <w:pStyle w:val="TableMainHeading"/>
        <w:keepLines/>
      </w:pPr>
      <w:r w:rsidRPr="006534F5">
        <w:lastRenderedPageBreak/>
        <w:t xml:space="preserve">Table </w:t>
      </w:r>
      <w:r w:rsidR="00140D67">
        <w:t>30</w:t>
      </w:r>
      <w:r w:rsidRPr="006534F5">
        <w:t>: AOFM resource statement</w:t>
      </w:r>
    </w:p>
    <w:tbl>
      <w:tblPr>
        <w:tblStyle w:val="AOFMTablemain"/>
        <w:tblW w:w="5056" w:type="pct"/>
        <w:tblLayout w:type="fixed"/>
        <w:tblLook w:val="06A0" w:firstRow="1" w:lastRow="0" w:firstColumn="1" w:lastColumn="0" w:noHBand="1" w:noVBand="1"/>
      </w:tblPr>
      <w:tblGrid>
        <w:gridCol w:w="1985"/>
        <w:gridCol w:w="425"/>
        <w:gridCol w:w="1559"/>
        <w:gridCol w:w="1134"/>
        <w:gridCol w:w="1560"/>
        <w:gridCol w:w="1134"/>
      </w:tblGrid>
      <w:tr w:rsidR="006C235E" w:rsidRPr="00DF31C0" w14:paraId="06A5D377" w14:textId="77777777" w:rsidTr="0057420E">
        <w:trPr>
          <w:cnfStyle w:val="100000000000" w:firstRow="1" w:lastRow="0" w:firstColumn="0" w:lastColumn="0" w:oddVBand="0" w:evenVBand="0" w:oddHBand="0" w:evenHBand="0" w:firstRowFirstColumn="0" w:firstRowLastColumn="0" w:lastRowFirstColumn="0" w:lastRowLastColumn="0"/>
          <w:trHeight w:val="20"/>
          <w:tblHeader/>
        </w:trPr>
        <w:tc>
          <w:tcPr>
            <w:tcW w:w="1985" w:type="dxa"/>
            <w:hideMark/>
          </w:tcPr>
          <w:p w14:paraId="015763E7" w14:textId="7B6F7F64" w:rsidR="00ED2E4A" w:rsidRPr="00DF31C0" w:rsidRDefault="00ED2E4A" w:rsidP="002B2C54">
            <w:pPr>
              <w:pStyle w:val="TableColumnHeadingLeft"/>
            </w:pPr>
          </w:p>
        </w:tc>
        <w:tc>
          <w:tcPr>
            <w:tcW w:w="425" w:type="dxa"/>
            <w:noWrap/>
            <w:textDirection w:val="btLr"/>
            <w:vAlign w:val="center"/>
            <w:hideMark/>
          </w:tcPr>
          <w:p w14:paraId="10A04254" w14:textId="77777777" w:rsidR="00ED2E4A" w:rsidRPr="00DF31C0" w:rsidRDefault="00ED2E4A" w:rsidP="0057420E">
            <w:pPr>
              <w:pStyle w:val="TableColumnHeadingRight"/>
              <w:jc w:val="left"/>
            </w:pPr>
            <w:r w:rsidRPr="00DF31C0">
              <w:t>Note</w:t>
            </w:r>
          </w:p>
        </w:tc>
        <w:tc>
          <w:tcPr>
            <w:tcW w:w="1559" w:type="dxa"/>
            <w:noWrap/>
            <w:vAlign w:val="bottom"/>
            <w:hideMark/>
          </w:tcPr>
          <w:p w14:paraId="51337F88" w14:textId="272DACEE" w:rsidR="00ED2E4A" w:rsidRPr="00DF31C0" w:rsidRDefault="00ED2E4A" w:rsidP="0006086F">
            <w:pPr>
              <w:pStyle w:val="TableColumnHeadingRight"/>
            </w:pPr>
            <w:r w:rsidRPr="00DF31C0">
              <w:t>Actual</w:t>
            </w:r>
            <w:r w:rsidR="001F10B3">
              <w:t xml:space="preserve"> </w:t>
            </w:r>
            <w:r w:rsidRPr="00DF31C0">
              <w:t>available</w:t>
            </w:r>
            <w:r w:rsidR="001F10B3">
              <w:t xml:space="preserve"> </w:t>
            </w:r>
          </w:p>
          <w:p w14:paraId="3FB06956" w14:textId="77777777" w:rsidR="00ED2E4A" w:rsidRPr="00DF31C0" w:rsidRDefault="00ED2E4A" w:rsidP="0006086F">
            <w:pPr>
              <w:pStyle w:val="TableColumnHeadingRight"/>
            </w:pPr>
            <w:r w:rsidRPr="00DF31C0">
              <w:t>appropriation</w:t>
            </w:r>
          </w:p>
        </w:tc>
        <w:tc>
          <w:tcPr>
            <w:tcW w:w="1134" w:type="dxa"/>
            <w:noWrap/>
            <w:vAlign w:val="bottom"/>
            <w:hideMark/>
          </w:tcPr>
          <w:p w14:paraId="6DC5D56A" w14:textId="77777777" w:rsidR="00ED2E4A" w:rsidRPr="00DF31C0" w:rsidRDefault="00ED2E4A" w:rsidP="0006086F">
            <w:pPr>
              <w:pStyle w:val="TableColumnHeadingRight"/>
            </w:pPr>
            <w:r w:rsidRPr="00DF31C0">
              <w:t>Net payments</w:t>
            </w:r>
          </w:p>
          <w:p w14:paraId="59994728" w14:textId="77777777" w:rsidR="00ED2E4A" w:rsidRPr="00DF31C0" w:rsidRDefault="00ED2E4A" w:rsidP="0006086F">
            <w:pPr>
              <w:pStyle w:val="TableColumnHeadingRight"/>
            </w:pPr>
            <w:r w:rsidRPr="00DF31C0">
              <w:t>made</w:t>
            </w:r>
          </w:p>
        </w:tc>
        <w:tc>
          <w:tcPr>
            <w:tcW w:w="1560" w:type="dxa"/>
            <w:noWrap/>
            <w:vAlign w:val="bottom"/>
            <w:hideMark/>
          </w:tcPr>
          <w:p w14:paraId="684BA8EA" w14:textId="77777777" w:rsidR="00ED2E4A" w:rsidRPr="00DF31C0" w:rsidRDefault="00ED2E4A" w:rsidP="0006086F">
            <w:pPr>
              <w:pStyle w:val="TableColumnHeadingRight"/>
            </w:pPr>
            <w:r w:rsidRPr="00DF31C0">
              <w:t>Appropriations</w:t>
            </w:r>
          </w:p>
          <w:p w14:paraId="399BFB9D" w14:textId="77777777" w:rsidR="00ED2E4A" w:rsidRPr="00DF31C0" w:rsidRDefault="00ED2E4A" w:rsidP="0006086F">
            <w:pPr>
              <w:pStyle w:val="TableColumnHeadingRight"/>
            </w:pPr>
            <w:r w:rsidRPr="00DF31C0">
              <w:t>extinguished</w:t>
            </w:r>
          </w:p>
        </w:tc>
        <w:tc>
          <w:tcPr>
            <w:tcW w:w="1134" w:type="dxa"/>
            <w:noWrap/>
            <w:vAlign w:val="bottom"/>
            <w:hideMark/>
          </w:tcPr>
          <w:p w14:paraId="30109160" w14:textId="77777777" w:rsidR="00ED2E4A" w:rsidRPr="00DF31C0" w:rsidRDefault="00ED2E4A" w:rsidP="0006086F">
            <w:pPr>
              <w:pStyle w:val="TableColumnHeadingRight"/>
            </w:pPr>
            <w:r w:rsidRPr="00DF31C0">
              <w:t>Balance</w:t>
            </w:r>
          </w:p>
        </w:tc>
      </w:tr>
      <w:tr w:rsidR="006C235E" w:rsidRPr="00DF31C0" w14:paraId="4BA9965C" w14:textId="77777777" w:rsidTr="0006086F">
        <w:trPr>
          <w:cnfStyle w:val="100000000000" w:firstRow="1" w:lastRow="0" w:firstColumn="0" w:lastColumn="0" w:oddVBand="0" w:evenVBand="0" w:oddHBand="0" w:evenHBand="0" w:firstRowFirstColumn="0" w:firstRowLastColumn="0" w:lastRowFirstColumn="0" w:lastRowLastColumn="0"/>
          <w:trHeight w:val="20"/>
          <w:tblHeader/>
        </w:trPr>
        <w:tc>
          <w:tcPr>
            <w:tcW w:w="1985" w:type="dxa"/>
          </w:tcPr>
          <w:p w14:paraId="22AE2990" w14:textId="77777777" w:rsidR="00ED2E4A" w:rsidRPr="00E0077E" w:rsidRDefault="00ED2E4A" w:rsidP="002B2C54">
            <w:pPr>
              <w:pStyle w:val="TableColumnHeadingLeft"/>
              <w:rPr>
                <w:color w:val="auto"/>
              </w:rPr>
            </w:pPr>
          </w:p>
        </w:tc>
        <w:tc>
          <w:tcPr>
            <w:tcW w:w="425" w:type="dxa"/>
            <w:noWrap/>
            <w:vAlign w:val="center"/>
          </w:tcPr>
          <w:p w14:paraId="0E7D4F09" w14:textId="77777777" w:rsidR="00ED2E4A" w:rsidRPr="00E0077E" w:rsidRDefault="00ED2E4A" w:rsidP="002B2C54">
            <w:pPr>
              <w:pStyle w:val="TableColumnHeadingRight"/>
              <w:jc w:val="center"/>
              <w:rPr>
                <w:color w:val="auto"/>
              </w:rPr>
            </w:pPr>
          </w:p>
        </w:tc>
        <w:tc>
          <w:tcPr>
            <w:tcW w:w="1559" w:type="dxa"/>
            <w:noWrap/>
          </w:tcPr>
          <w:p w14:paraId="784DB7F3" w14:textId="4B101B37" w:rsidR="00ED2E4A" w:rsidRPr="00E0077E" w:rsidRDefault="00ED2E4A" w:rsidP="002B2C54">
            <w:pPr>
              <w:pStyle w:val="TableColumnHeadingRight"/>
              <w:rPr>
                <w:color w:val="auto"/>
              </w:rPr>
            </w:pPr>
            <w:r w:rsidRPr="00E0077E">
              <w:rPr>
                <w:color w:val="auto"/>
              </w:rPr>
              <w:t>202</w:t>
            </w:r>
            <w:r w:rsidR="00D00915" w:rsidRPr="00E0077E">
              <w:rPr>
                <w:color w:val="auto"/>
              </w:rPr>
              <w:t>4</w:t>
            </w:r>
            <w:r w:rsidRPr="00E0077E">
              <w:rPr>
                <w:color w:val="auto"/>
              </w:rPr>
              <w:t>–2</w:t>
            </w:r>
            <w:r w:rsidR="00D00915" w:rsidRPr="00E0077E">
              <w:rPr>
                <w:color w:val="auto"/>
              </w:rPr>
              <w:t>5</w:t>
            </w:r>
            <w:r w:rsidRPr="00E0077E">
              <w:rPr>
                <w:color w:val="auto"/>
              </w:rPr>
              <w:br/>
              <w:t>$</w:t>
            </w:r>
            <w:r w:rsidR="00B84FF2">
              <w:rPr>
                <w:color w:val="auto"/>
              </w:rPr>
              <w:t>’</w:t>
            </w:r>
            <w:r w:rsidRPr="00E0077E">
              <w:rPr>
                <w:color w:val="auto"/>
              </w:rPr>
              <w:t>000</w:t>
            </w:r>
          </w:p>
        </w:tc>
        <w:tc>
          <w:tcPr>
            <w:tcW w:w="1134" w:type="dxa"/>
            <w:noWrap/>
          </w:tcPr>
          <w:p w14:paraId="5896E182" w14:textId="0E0FDE3A" w:rsidR="00ED2E4A" w:rsidRPr="00E0077E" w:rsidRDefault="00ED2E4A" w:rsidP="002B2C54">
            <w:pPr>
              <w:pStyle w:val="TableColumnHeadingRight"/>
              <w:rPr>
                <w:color w:val="auto"/>
              </w:rPr>
            </w:pPr>
            <w:r w:rsidRPr="00E0077E">
              <w:rPr>
                <w:color w:val="auto"/>
              </w:rPr>
              <w:t>202</w:t>
            </w:r>
            <w:r w:rsidR="00D00915" w:rsidRPr="00E0077E">
              <w:rPr>
                <w:color w:val="auto"/>
              </w:rPr>
              <w:t>4</w:t>
            </w:r>
            <w:r w:rsidRPr="00E0077E">
              <w:rPr>
                <w:color w:val="auto"/>
              </w:rPr>
              <w:t>–2</w:t>
            </w:r>
            <w:r w:rsidR="00D00915" w:rsidRPr="00E0077E">
              <w:rPr>
                <w:color w:val="auto"/>
              </w:rPr>
              <w:t>5</w:t>
            </w:r>
            <w:r w:rsidRPr="00E0077E">
              <w:rPr>
                <w:color w:val="auto"/>
              </w:rPr>
              <w:br/>
              <w:t>$</w:t>
            </w:r>
            <w:r w:rsidR="00B84FF2">
              <w:rPr>
                <w:color w:val="auto"/>
              </w:rPr>
              <w:t>’</w:t>
            </w:r>
            <w:r w:rsidRPr="00E0077E">
              <w:rPr>
                <w:color w:val="auto"/>
              </w:rPr>
              <w:t>000</w:t>
            </w:r>
          </w:p>
        </w:tc>
        <w:tc>
          <w:tcPr>
            <w:tcW w:w="1560" w:type="dxa"/>
            <w:noWrap/>
          </w:tcPr>
          <w:p w14:paraId="2F56185C" w14:textId="059E260E" w:rsidR="00ED2E4A" w:rsidRPr="00E0077E" w:rsidRDefault="00ED2E4A" w:rsidP="002B2C54">
            <w:pPr>
              <w:pStyle w:val="TableColumnHeadingRight"/>
              <w:rPr>
                <w:color w:val="auto"/>
              </w:rPr>
            </w:pPr>
            <w:r w:rsidRPr="00E0077E">
              <w:rPr>
                <w:color w:val="auto"/>
              </w:rPr>
              <w:t>202</w:t>
            </w:r>
            <w:r w:rsidR="00D00915" w:rsidRPr="00E0077E">
              <w:rPr>
                <w:color w:val="auto"/>
              </w:rPr>
              <w:t>4</w:t>
            </w:r>
            <w:r w:rsidRPr="00E0077E">
              <w:rPr>
                <w:color w:val="auto"/>
              </w:rPr>
              <w:t>–2</w:t>
            </w:r>
            <w:r w:rsidR="00D00915" w:rsidRPr="00E0077E">
              <w:rPr>
                <w:color w:val="auto"/>
              </w:rPr>
              <w:t>5</w:t>
            </w:r>
            <w:r w:rsidRPr="00E0077E">
              <w:rPr>
                <w:color w:val="auto"/>
              </w:rPr>
              <w:br/>
              <w:t>$</w:t>
            </w:r>
            <w:r w:rsidR="00B84FF2">
              <w:rPr>
                <w:color w:val="auto"/>
              </w:rPr>
              <w:t>’</w:t>
            </w:r>
            <w:r w:rsidRPr="00E0077E">
              <w:rPr>
                <w:color w:val="auto"/>
              </w:rPr>
              <w:t>000</w:t>
            </w:r>
          </w:p>
        </w:tc>
        <w:tc>
          <w:tcPr>
            <w:tcW w:w="1134" w:type="dxa"/>
            <w:noWrap/>
          </w:tcPr>
          <w:p w14:paraId="14F15CFD" w14:textId="291DDFCD" w:rsidR="00ED2E4A" w:rsidRPr="00E0077E" w:rsidRDefault="00ED2E4A" w:rsidP="002B2C54">
            <w:pPr>
              <w:pStyle w:val="TableColumnHeadingRight"/>
              <w:rPr>
                <w:color w:val="auto"/>
              </w:rPr>
            </w:pPr>
            <w:r w:rsidRPr="00E0077E">
              <w:rPr>
                <w:color w:val="auto"/>
              </w:rPr>
              <w:t>202</w:t>
            </w:r>
            <w:r w:rsidR="00D00915" w:rsidRPr="00E0077E">
              <w:rPr>
                <w:color w:val="auto"/>
              </w:rPr>
              <w:t>4</w:t>
            </w:r>
            <w:r w:rsidRPr="00E0077E">
              <w:rPr>
                <w:color w:val="auto"/>
              </w:rPr>
              <w:t>–2</w:t>
            </w:r>
            <w:r w:rsidR="00D00915" w:rsidRPr="00E0077E">
              <w:rPr>
                <w:color w:val="auto"/>
              </w:rPr>
              <w:t>5</w:t>
            </w:r>
            <w:r w:rsidRPr="00E0077E">
              <w:rPr>
                <w:color w:val="auto"/>
              </w:rPr>
              <w:br/>
              <w:t>$</w:t>
            </w:r>
            <w:r w:rsidR="00B84FF2">
              <w:rPr>
                <w:color w:val="auto"/>
              </w:rPr>
              <w:t>’</w:t>
            </w:r>
            <w:r w:rsidRPr="00E0077E">
              <w:rPr>
                <w:color w:val="auto"/>
              </w:rPr>
              <w:t>000</w:t>
            </w:r>
          </w:p>
        </w:tc>
      </w:tr>
      <w:tr w:rsidR="00BF1E02" w:rsidRPr="00DF31C0" w14:paraId="4D11F751" w14:textId="77777777" w:rsidTr="00A2513E">
        <w:trPr>
          <w:trHeight w:val="243"/>
        </w:trPr>
        <w:tc>
          <w:tcPr>
            <w:tcW w:w="7797" w:type="dxa"/>
            <w:gridSpan w:val="6"/>
            <w:shd w:val="clear" w:color="auto" w:fill="FFFFFF" w:themeFill="background1"/>
            <w:vAlign w:val="center"/>
          </w:tcPr>
          <w:p w14:paraId="045BB3EB" w14:textId="6BB82D64" w:rsidR="00BF1E02" w:rsidRPr="004B423B" w:rsidRDefault="00BF1E02" w:rsidP="002B2C54">
            <w:pPr>
              <w:pStyle w:val="TableSecondHeading"/>
              <w:rPr>
                <w:b/>
                <w:bCs/>
              </w:rPr>
            </w:pPr>
            <w:r w:rsidRPr="004B423B">
              <w:rPr>
                <w:b/>
                <w:bCs/>
              </w:rPr>
              <w:t>Ordinary annual services</w:t>
            </w:r>
          </w:p>
        </w:tc>
      </w:tr>
      <w:tr w:rsidR="005E0F90" w:rsidRPr="00DF31C0" w14:paraId="4864E731" w14:textId="77777777" w:rsidTr="0006086F">
        <w:trPr>
          <w:trHeight w:val="20"/>
        </w:trPr>
        <w:tc>
          <w:tcPr>
            <w:tcW w:w="1985" w:type="dxa"/>
            <w:hideMark/>
          </w:tcPr>
          <w:p w14:paraId="4549BA10" w14:textId="77777777" w:rsidR="0065799E" w:rsidRPr="00DF31C0" w:rsidRDefault="0065799E" w:rsidP="00625DAB">
            <w:pPr>
              <w:pStyle w:val="TableTextLeft"/>
            </w:pPr>
            <w:r w:rsidRPr="00DF31C0">
              <w:t>Departmental appropriation</w:t>
            </w:r>
            <w:r w:rsidRPr="00E0077E">
              <w:rPr>
                <w:vertAlign w:val="superscript"/>
              </w:rPr>
              <w:t>(a)(b)</w:t>
            </w:r>
          </w:p>
        </w:tc>
        <w:tc>
          <w:tcPr>
            <w:tcW w:w="425" w:type="dxa"/>
            <w:noWrap/>
            <w:vAlign w:val="center"/>
            <w:hideMark/>
          </w:tcPr>
          <w:p w14:paraId="3873D746" w14:textId="77777777" w:rsidR="0065799E" w:rsidRPr="00DF31C0" w:rsidRDefault="0065799E" w:rsidP="002B2C54">
            <w:pPr>
              <w:pStyle w:val="TableTextCentered"/>
            </w:pPr>
          </w:p>
        </w:tc>
        <w:tc>
          <w:tcPr>
            <w:tcW w:w="1559" w:type="dxa"/>
            <w:noWrap/>
            <w:hideMark/>
          </w:tcPr>
          <w:p w14:paraId="4F165BA4" w14:textId="79B347D7" w:rsidR="0065799E" w:rsidRPr="00DF31C0" w:rsidRDefault="0065799E" w:rsidP="00E0077E">
            <w:pPr>
              <w:pStyle w:val="TableTextRight"/>
            </w:pPr>
            <w:r w:rsidRPr="00DF31C0">
              <w:t>53,519</w:t>
            </w:r>
          </w:p>
        </w:tc>
        <w:tc>
          <w:tcPr>
            <w:tcW w:w="1134" w:type="dxa"/>
            <w:noWrap/>
            <w:hideMark/>
          </w:tcPr>
          <w:p w14:paraId="27C679CC" w14:textId="144E50A7" w:rsidR="0065799E" w:rsidRPr="00DF31C0" w:rsidRDefault="0065799E" w:rsidP="00E0077E">
            <w:pPr>
              <w:pStyle w:val="TableTextRight"/>
            </w:pPr>
            <w:r w:rsidRPr="00DF31C0">
              <w:t>17,604</w:t>
            </w:r>
          </w:p>
        </w:tc>
        <w:tc>
          <w:tcPr>
            <w:tcW w:w="1560" w:type="dxa"/>
            <w:noWrap/>
            <w:hideMark/>
          </w:tcPr>
          <w:p w14:paraId="043B4B13" w14:textId="03EFBF1E" w:rsidR="0065799E" w:rsidRPr="00DF31C0" w:rsidRDefault="0065799E" w:rsidP="00E0077E">
            <w:pPr>
              <w:pStyle w:val="TableTextRight"/>
            </w:pPr>
            <w:r w:rsidRPr="00DF31C0">
              <w:t>0</w:t>
            </w:r>
          </w:p>
        </w:tc>
        <w:tc>
          <w:tcPr>
            <w:tcW w:w="1134" w:type="dxa"/>
            <w:noWrap/>
            <w:hideMark/>
          </w:tcPr>
          <w:p w14:paraId="71BBC1B6" w14:textId="15F51653" w:rsidR="0065799E" w:rsidRPr="00DF31C0" w:rsidRDefault="0065799E" w:rsidP="00E0077E">
            <w:pPr>
              <w:pStyle w:val="TableTextRight"/>
            </w:pPr>
            <w:r w:rsidRPr="00DF31C0">
              <w:t>35,915</w:t>
            </w:r>
          </w:p>
        </w:tc>
      </w:tr>
      <w:tr w:rsidR="005E0F90" w:rsidRPr="00DF31C0" w14:paraId="10C05889" w14:textId="77777777" w:rsidTr="0006086F">
        <w:trPr>
          <w:trHeight w:val="20"/>
        </w:trPr>
        <w:tc>
          <w:tcPr>
            <w:tcW w:w="1985" w:type="dxa"/>
            <w:hideMark/>
          </w:tcPr>
          <w:p w14:paraId="58517D36" w14:textId="52BD2697" w:rsidR="00B621D8" w:rsidRPr="00DF31C0" w:rsidRDefault="00B621D8" w:rsidP="00625DAB">
            <w:pPr>
              <w:pStyle w:val="TableTextLeft"/>
            </w:pPr>
            <w:r w:rsidRPr="00DF31C0">
              <w:t>Receipts from other sources (s</w:t>
            </w:r>
            <w:proofErr w:type="gramStart"/>
            <w:r w:rsidRPr="00DF31C0">
              <w:t>74)</w:t>
            </w:r>
            <w:r w:rsidRPr="009216A4">
              <w:rPr>
                <w:vertAlign w:val="superscript"/>
              </w:rPr>
              <w:t>(</w:t>
            </w:r>
            <w:proofErr w:type="gramEnd"/>
            <w:r w:rsidRPr="00E0077E">
              <w:rPr>
                <w:vertAlign w:val="superscript"/>
              </w:rPr>
              <w:t>c)</w:t>
            </w:r>
          </w:p>
        </w:tc>
        <w:tc>
          <w:tcPr>
            <w:tcW w:w="425" w:type="dxa"/>
            <w:noWrap/>
            <w:vAlign w:val="center"/>
            <w:hideMark/>
          </w:tcPr>
          <w:p w14:paraId="493D7235" w14:textId="77777777" w:rsidR="00B621D8" w:rsidRPr="00DF31C0" w:rsidRDefault="00B621D8" w:rsidP="002B2C54">
            <w:pPr>
              <w:pStyle w:val="TableTextCentered"/>
            </w:pPr>
          </w:p>
        </w:tc>
        <w:tc>
          <w:tcPr>
            <w:tcW w:w="1559" w:type="dxa"/>
            <w:noWrap/>
            <w:hideMark/>
          </w:tcPr>
          <w:p w14:paraId="5553432E" w14:textId="5A82C975" w:rsidR="00B621D8" w:rsidRPr="00DF31C0" w:rsidRDefault="00B621D8" w:rsidP="00E0077E">
            <w:pPr>
              <w:pStyle w:val="TableTextRight"/>
            </w:pPr>
            <w:r w:rsidRPr="00DF31C0">
              <w:t>532</w:t>
            </w:r>
          </w:p>
        </w:tc>
        <w:tc>
          <w:tcPr>
            <w:tcW w:w="1134" w:type="dxa"/>
            <w:noWrap/>
            <w:hideMark/>
          </w:tcPr>
          <w:p w14:paraId="76451313" w14:textId="3D7E41A7" w:rsidR="00B621D8" w:rsidRPr="00DF31C0" w:rsidRDefault="00B621D8" w:rsidP="00E0077E">
            <w:pPr>
              <w:pStyle w:val="TableTextRight"/>
            </w:pPr>
            <w:r w:rsidRPr="00DF31C0">
              <w:t xml:space="preserve"> </w:t>
            </w:r>
            <w:r w:rsidR="00EE1918">
              <w:t>–</w:t>
            </w:r>
            <w:r w:rsidRPr="00DF31C0">
              <w:t xml:space="preserve"> </w:t>
            </w:r>
          </w:p>
        </w:tc>
        <w:tc>
          <w:tcPr>
            <w:tcW w:w="1560" w:type="dxa"/>
            <w:noWrap/>
            <w:hideMark/>
          </w:tcPr>
          <w:p w14:paraId="52F9B829" w14:textId="2FA9727E" w:rsidR="00B621D8" w:rsidRPr="00DF31C0" w:rsidRDefault="00EE1918" w:rsidP="00E0077E">
            <w:pPr>
              <w:pStyle w:val="TableTextRight"/>
            </w:pPr>
            <w:r>
              <w:t>–</w:t>
            </w:r>
          </w:p>
        </w:tc>
        <w:tc>
          <w:tcPr>
            <w:tcW w:w="1134" w:type="dxa"/>
            <w:noWrap/>
            <w:hideMark/>
          </w:tcPr>
          <w:p w14:paraId="511AEB43" w14:textId="1AD01E99" w:rsidR="00B621D8" w:rsidRPr="00DF31C0" w:rsidRDefault="00B621D8" w:rsidP="00E0077E">
            <w:pPr>
              <w:pStyle w:val="TableTextRight"/>
            </w:pPr>
            <w:r w:rsidRPr="00DF31C0">
              <w:t>532</w:t>
            </w:r>
          </w:p>
        </w:tc>
      </w:tr>
      <w:tr w:rsidR="005E0F90" w:rsidRPr="00DF31C0" w14:paraId="17BCFE38" w14:textId="77777777" w:rsidTr="0006086F">
        <w:trPr>
          <w:trHeight w:val="236"/>
        </w:trPr>
        <w:tc>
          <w:tcPr>
            <w:tcW w:w="1985" w:type="dxa"/>
            <w:tcBorders>
              <w:bottom w:val="single" w:sz="4" w:space="0" w:color="29114B" w:themeColor="text2"/>
            </w:tcBorders>
            <w:hideMark/>
          </w:tcPr>
          <w:p w14:paraId="3E114886" w14:textId="77777777" w:rsidR="00B621D8" w:rsidRPr="00DF31C0" w:rsidRDefault="00B621D8" w:rsidP="00625DAB">
            <w:pPr>
              <w:pStyle w:val="TableTextLeft"/>
            </w:pPr>
            <w:r w:rsidRPr="00DF31C0">
              <w:t>Total departmental</w:t>
            </w:r>
          </w:p>
        </w:tc>
        <w:tc>
          <w:tcPr>
            <w:tcW w:w="425" w:type="dxa"/>
            <w:tcBorders>
              <w:bottom w:val="single" w:sz="4" w:space="0" w:color="29114B" w:themeColor="text2"/>
            </w:tcBorders>
            <w:noWrap/>
            <w:vAlign w:val="center"/>
            <w:hideMark/>
          </w:tcPr>
          <w:p w14:paraId="381824D5" w14:textId="77777777" w:rsidR="00B621D8" w:rsidRPr="00DF31C0" w:rsidRDefault="00B621D8" w:rsidP="002B2C54">
            <w:pPr>
              <w:pStyle w:val="TableTextCentered"/>
              <w:rPr>
                <w:rFonts w:eastAsia="Arial" w:cs="Times New Roman (Body CS)"/>
              </w:rPr>
            </w:pPr>
          </w:p>
        </w:tc>
        <w:tc>
          <w:tcPr>
            <w:tcW w:w="1559" w:type="dxa"/>
            <w:tcBorders>
              <w:bottom w:val="single" w:sz="4" w:space="0" w:color="29114B" w:themeColor="text2"/>
            </w:tcBorders>
            <w:noWrap/>
          </w:tcPr>
          <w:p w14:paraId="1149C54A" w14:textId="59E3B48C" w:rsidR="00B621D8" w:rsidRPr="00DF31C0" w:rsidRDefault="00B621D8" w:rsidP="00E0077E">
            <w:pPr>
              <w:pStyle w:val="TableTextRight"/>
            </w:pPr>
            <w:r w:rsidRPr="00DF31C0">
              <w:t>54,051</w:t>
            </w:r>
          </w:p>
        </w:tc>
        <w:tc>
          <w:tcPr>
            <w:tcW w:w="1134" w:type="dxa"/>
            <w:tcBorders>
              <w:bottom w:val="single" w:sz="4" w:space="0" w:color="29114B" w:themeColor="text2"/>
            </w:tcBorders>
            <w:noWrap/>
          </w:tcPr>
          <w:p w14:paraId="56226D6A" w14:textId="784274F0" w:rsidR="00B621D8" w:rsidRPr="00DF31C0" w:rsidRDefault="00B621D8" w:rsidP="00E0077E">
            <w:pPr>
              <w:pStyle w:val="TableTextRight"/>
            </w:pPr>
            <w:r w:rsidRPr="00DF31C0">
              <w:t>17,604</w:t>
            </w:r>
          </w:p>
        </w:tc>
        <w:tc>
          <w:tcPr>
            <w:tcW w:w="1560" w:type="dxa"/>
            <w:tcBorders>
              <w:bottom w:val="single" w:sz="4" w:space="0" w:color="29114B" w:themeColor="text2"/>
            </w:tcBorders>
            <w:noWrap/>
          </w:tcPr>
          <w:p w14:paraId="01CC6AEE" w14:textId="45BFFB56" w:rsidR="00B621D8" w:rsidRPr="00DF31C0" w:rsidRDefault="00B621D8" w:rsidP="00E0077E">
            <w:pPr>
              <w:pStyle w:val="TableTextRight"/>
            </w:pPr>
            <w:r w:rsidRPr="00DF31C0">
              <w:t>0</w:t>
            </w:r>
          </w:p>
        </w:tc>
        <w:tc>
          <w:tcPr>
            <w:tcW w:w="1134" w:type="dxa"/>
            <w:tcBorders>
              <w:bottom w:val="single" w:sz="4" w:space="0" w:color="29114B" w:themeColor="text2"/>
            </w:tcBorders>
            <w:noWrap/>
          </w:tcPr>
          <w:p w14:paraId="1A2EE3C3" w14:textId="0C45FF00" w:rsidR="00B621D8" w:rsidRPr="00DF31C0" w:rsidRDefault="00B621D8" w:rsidP="00E0077E">
            <w:pPr>
              <w:pStyle w:val="TableTextRight"/>
            </w:pPr>
            <w:r w:rsidRPr="00DF31C0">
              <w:t>36,447</w:t>
            </w:r>
          </w:p>
        </w:tc>
      </w:tr>
      <w:tr w:rsidR="002B2C54" w:rsidRPr="00DF31C0" w14:paraId="5498A1AC" w14:textId="77777777" w:rsidTr="0006086F">
        <w:trPr>
          <w:trHeight w:val="20"/>
        </w:trPr>
        <w:tc>
          <w:tcPr>
            <w:tcW w:w="1985" w:type="dxa"/>
            <w:tcBorders>
              <w:top w:val="single" w:sz="4" w:space="0" w:color="29114B" w:themeColor="text2"/>
              <w:right w:val="single" w:sz="4" w:space="0" w:color="FFFFFF" w:themeColor="background1"/>
            </w:tcBorders>
            <w:shd w:val="clear" w:color="auto" w:fill="FFFFFF" w:themeFill="background1"/>
            <w:hideMark/>
          </w:tcPr>
          <w:p w14:paraId="3C0DBFBD" w14:textId="77777777" w:rsidR="00ED2E4A" w:rsidRPr="004B423B" w:rsidRDefault="00ED2E4A" w:rsidP="002B2C54">
            <w:pPr>
              <w:pStyle w:val="TableSecondHeading"/>
              <w:rPr>
                <w:b/>
                <w:bCs/>
              </w:rPr>
            </w:pPr>
            <w:r w:rsidRPr="004B423B">
              <w:rPr>
                <w:b/>
                <w:bCs/>
              </w:rPr>
              <w:t>Administered expenses</w:t>
            </w:r>
          </w:p>
        </w:tc>
        <w:tc>
          <w:tcPr>
            <w:tcW w:w="425" w:type="dxa"/>
            <w:tcBorders>
              <w:top w:val="single" w:sz="4" w:space="0" w:color="29114B" w:themeColor="text2"/>
              <w:left w:val="single" w:sz="4" w:space="0" w:color="FFFFFF" w:themeColor="background1"/>
              <w:right w:val="single" w:sz="4" w:space="0" w:color="FFFFFF" w:themeColor="background1"/>
            </w:tcBorders>
            <w:shd w:val="clear" w:color="auto" w:fill="FFFFFF" w:themeFill="background1"/>
            <w:noWrap/>
            <w:vAlign w:val="center"/>
            <w:hideMark/>
          </w:tcPr>
          <w:p w14:paraId="76818DEC" w14:textId="77777777" w:rsidR="00ED2E4A" w:rsidRPr="00DF31C0" w:rsidRDefault="00ED2E4A" w:rsidP="002B2C54">
            <w:pPr>
              <w:pStyle w:val="TableTextCentered"/>
            </w:pPr>
          </w:p>
        </w:tc>
        <w:tc>
          <w:tcPr>
            <w:tcW w:w="1559" w:type="dxa"/>
            <w:tcBorders>
              <w:top w:val="single" w:sz="4" w:space="0" w:color="29114B" w:themeColor="text2"/>
              <w:left w:val="single" w:sz="4" w:space="0" w:color="FFFFFF" w:themeColor="background1"/>
              <w:right w:val="single" w:sz="4" w:space="0" w:color="FFFFFF" w:themeColor="background1"/>
            </w:tcBorders>
            <w:shd w:val="clear" w:color="auto" w:fill="FFFFFF" w:themeFill="background1"/>
            <w:noWrap/>
            <w:hideMark/>
          </w:tcPr>
          <w:p w14:paraId="632E95E3" w14:textId="77777777" w:rsidR="00ED2E4A" w:rsidRPr="00DF31C0" w:rsidRDefault="00ED2E4A" w:rsidP="00E0077E">
            <w:pPr>
              <w:pStyle w:val="TableTextRight"/>
            </w:pPr>
          </w:p>
        </w:tc>
        <w:tc>
          <w:tcPr>
            <w:tcW w:w="1134" w:type="dxa"/>
            <w:tcBorders>
              <w:top w:val="single" w:sz="4" w:space="0" w:color="29114B" w:themeColor="text2"/>
              <w:left w:val="single" w:sz="4" w:space="0" w:color="FFFFFF" w:themeColor="background1"/>
              <w:right w:val="single" w:sz="4" w:space="0" w:color="FFFFFF" w:themeColor="background1"/>
            </w:tcBorders>
            <w:shd w:val="clear" w:color="auto" w:fill="FFFFFF" w:themeFill="background1"/>
            <w:noWrap/>
            <w:hideMark/>
          </w:tcPr>
          <w:p w14:paraId="0D3908C0" w14:textId="77777777" w:rsidR="00ED2E4A" w:rsidRPr="00DF31C0" w:rsidRDefault="00ED2E4A" w:rsidP="00E0077E">
            <w:pPr>
              <w:pStyle w:val="TableTextRight"/>
            </w:pPr>
          </w:p>
        </w:tc>
        <w:tc>
          <w:tcPr>
            <w:tcW w:w="1560" w:type="dxa"/>
            <w:tcBorders>
              <w:top w:val="single" w:sz="4" w:space="0" w:color="29114B" w:themeColor="text2"/>
              <w:left w:val="single" w:sz="4" w:space="0" w:color="FFFFFF" w:themeColor="background1"/>
              <w:right w:val="single" w:sz="4" w:space="0" w:color="FFFFFF" w:themeColor="background1"/>
            </w:tcBorders>
            <w:shd w:val="clear" w:color="auto" w:fill="FFFFFF" w:themeFill="background1"/>
            <w:noWrap/>
            <w:hideMark/>
          </w:tcPr>
          <w:p w14:paraId="601154B6" w14:textId="77777777" w:rsidR="00ED2E4A" w:rsidRPr="00DF31C0" w:rsidRDefault="00ED2E4A" w:rsidP="00E0077E">
            <w:pPr>
              <w:pStyle w:val="TableTextRight"/>
            </w:pPr>
          </w:p>
        </w:tc>
        <w:tc>
          <w:tcPr>
            <w:tcW w:w="1134" w:type="dxa"/>
            <w:tcBorders>
              <w:top w:val="single" w:sz="4" w:space="0" w:color="29114B" w:themeColor="text2"/>
              <w:left w:val="single" w:sz="4" w:space="0" w:color="FFFFFF" w:themeColor="background1"/>
            </w:tcBorders>
            <w:shd w:val="clear" w:color="auto" w:fill="FFFFFF" w:themeFill="background1"/>
            <w:noWrap/>
            <w:hideMark/>
          </w:tcPr>
          <w:p w14:paraId="13EBB558" w14:textId="77777777" w:rsidR="00ED2E4A" w:rsidRPr="00DF31C0" w:rsidRDefault="00ED2E4A" w:rsidP="00E0077E">
            <w:pPr>
              <w:pStyle w:val="TableTextRight"/>
            </w:pPr>
          </w:p>
        </w:tc>
      </w:tr>
      <w:tr w:rsidR="005E0F90" w:rsidRPr="00DF31C0" w14:paraId="0530F192" w14:textId="77777777" w:rsidTr="0006086F">
        <w:trPr>
          <w:trHeight w:val="20"/>
        </w:trPr>
        <w:tc>
          <w:tcPr>
            <w:tcW w:w="1985" w:type="dxa"/>
            <w:hideMark/>
          </w:tcPr>
          <w:p w14:paraId="7E7F1FDE" w14:textId="77777777" w:rsidR="00EE1918" w:rsidRPr="00DF31C0" w:rsidRDefault="00EE1918" w:rsidP="00625DAB">
            <w:pPr>
              <w:pStyle w:val="TableTextLeft"/>
            </w:pPr>
            <w:r w:rsidRPr="00DF31C0">
              <w:t>Total administered</w:t>
            </w:r>
          </w:p>
        </w:tc>
        <w:tc>
          <w:tcPr>
            <w:tcW w:w="425" w:type="dxa"/>
            <w:noWrap/>
            <w:vAlign w:val="center"/>
            <w:hideMark/>
          </w:tcPr>
          <w:p w14:paraId="6DF6866D" w14:textId="77777777" w:rsidR="00EE1918" w:rsidRPr="00DF31C0" w:rsidRDefault="00EE1918" w:rsidP="002B2C54">
            <w:pPr>
              <w:pStyle w:val="TableTextCentered"/>
              <w:rPr>
                <w:rFonts w:eastAsia="Arial" w:cs="Times New Roman (Body CS)"/>
              </w:rPr>
            </w:pPr>
          </w:p>
        </w:tc>
        <w:tc>
          <w:tcPr>
            <w:tcW w:w="1559" w:type="dxa"/>
            <w:noWrap/>
            <w:hideMark/>
          </w:tcPr>
          <w:p w14:paraId="258FEA54" w14:textId="0B6A65B0" w:rsidR="00EE1918" w:rsidRPr="00DF31C0" w:rsidRDefault="00EE1918" w:rsidP="00E0077E">
            <w:pPr>
              <w:pStyle w:val="TableTextRight"/>
            </w:pPr>
            <w:r w:rsidRPr="00E0077E">
              <w:t xml:space="preserve">– </w:t>
            </w:r>
          </w:p>
        </w:tc>
        <w:tc>
          <w:tcPr>
            <w:tcW w:w="1134" w:type="dxa"/>
            <w:noWrap/>
            <w:hideMark/>
          </w:tcPr>
          <w:p w14:paraId="1D1D4D31" w14:textId="0BCBB787" w:rsidR="00EE1918" w:rsidRPr="00DF31C0" w:rsidRDefault="00EE1918" w:rsidP="00E0077E">
            <w:pPr>
              <w:pStyle w:val="TableTextRight"/>
            </w:pPr>
            <w:r w:rsidRPr="00E0077E">
              <w:t xml:space="preserve">– </w:t>
            </w:r>
          </w:p>
        </w:tc>
        <w:tc>
          <w:tcPr>
            <w:tcW w:w="1560" w:type="dxa"/>
            <w:noWrap/>
            <w:hideMark/>
          </w:tcPr>
          <w:p w14:paraId="08271EE1" w14:textId="214C7E6D" w:rsidR="00EE1918" w:rsidRPr="00DF31C0" w:rsidRDefault="00EE1918" w:rsidP="00E0077E">
            <w:pPr>
              <w:pStyle w:val="TableTextRight"/>
            </w:pPr>
            <w:r w:rsidRPr="00E0077E">
              <w:t xml:space="preserve">– </w:t>
            </w:r>
          </w:p>
        </w:tc>
        <w:tc>
          <w:tcPr>
            <w:tcW w:w="1134" w:type="dxa"/>
            <w:noWrap/>
            <w:hideMark/>
          </w:tcPr>
          <w:p w14:paraId="5FD85B8D" w14:textId="0E9AE0E9" w:rsidR="00EE1918" w:rsidRPr="00DF31C0" w:rsidRDefault="00EE1918" w:rsidP="00E0077E">
            <w:pPr>
              <w:pStyle w:val="TableTextRight"/>
            </w:pPr>
            <w:r w:rsidRPr="00E0077E">
              <w:t xml:space="preserve">– </w:t>
            </w:r>
          </w:p>
        </w:tc>
      </w:tr>
      <w:tr w:rsidR="005E0F90" w:rsidRPr="00DF31C0" w14:paraId="759E8B1E" w14:textId="77777777" w:rsidTr="0006086F">
        <w:trPr>
          <w:trHeight w:val="20"/>
        </w:trPr>
        <w:tc>
          <w:tcPr>
            <w:tcW w:w="1985" w:type="dxa"/>
            <w:hideMark/>
          </w:tcPr>
          <w:p w14:paraId="67A000F8" w14:textId="77777777" w:rsidR="003850A9" w:rsidRPr="00DF31C0" w:rsidRDefault="003850A9" w:rsidP="00625DAB">
            <w:pPr>
              <w:pStyle w:val="TableTextLeft"/>
            </w:pPr>
            <w:r w:rsidRPr="00DF31C0">
              <w:t xml:space="preserve">Total ordinary annual services </w:t>
            </w:r>
          </w:p>
        </w:tc>
        <w:tc>
          <w:tcPr>
            <w:tcW w:w="425" w:type="dxa"/>
            <w:noWrap/>
            <w:vAlign w:val="center"/>
            <w:hideMark/>
          </w:tcPr>
          <w:p w14:paraId="005205A9" w14:textId="77777777" w:rsidR="003850A9" w:rsidRPr="00655325" w:rsidRDefault="003850A9" w:rsidP="002B2C54">
            <w:pPr>
              <w:pStyle w:val="TableTextCentered"/>
              <w:rPr>
                <w:b/>
                <w:bCs/>
              </w:rPr>
            </w:pPr>
            <w:r w:rsidRPr="00655325">
              <w:rPr>
                <w:b/>
                <w:bCs/>
                <w:szCs w:val="16"/>
              </w:rPr>
              <w:t>A</w:t>
            </w:r>
          </w:p>
        </w:tc>
        <w:tc>
          <w:tcPr>
            <w:tcW w:w="1559" w:type="dxa"/>
            <w:noWrap/>
          </w:tcPr>
          <w:p w14:paraId="65AFD685" w14:textId="66E210E1" w:rsidR="003850A9" w:rsidRPr="00DF31C0" w:rsidRDefault="003850A9" w:rsidP="00E0077E">
            <w:pPr>
              <w:pStyle w:val="TableTextRight"/>
            </w:pPr>
            <w:r w:rsidRPr="00DF31C0">
              <w:t>54,051</w:t>
            </w:r>
          </w:p>
        </w:tc>
        <w:tc>
          <w:tcPr>
            <w:tcW w:w="1134" w:type="dxa"/>
            <w:noWrap/>
          </w:tcPr>
          <w:p w14:paraId="25C59A04" w14:textId="07545DB8" w:rsidR="003850A9" w:rsidRPr="00DF31C0" w:rsidRDefault="003850A9" w:rsidP="00E0077E">
            <w:pPr>
              <w:pStyle w:val="TableTextRight"/>
            </w:pPr>
            <w:r w:rsidRPr="00DF31C0">
              <w:t>17,604</w:t>
            </w:r>
          </w:p>
        </w:tc>
        <w:tc>
          <w:tcPr>
            <w:tcW w:w="1560" w:type="dxa"/>
            <w:noWrap/>
          </w:tcPr>
          <w:p w14:paraId="28B24A52" w14:textId="5F60B5D5" w:rsidR="003850A9" w:rsidRPr="00DF31C0" w:rsidRDefault="003850A9" w:rsidP="00E0077E">
            <w:pPr>
              <w:pStyle w:val="TableTextRight"/>
            </w:pPr>
            <w:r w:rsidRPr="00DF31C0">
              <w:t>0</w:t>
            </w:r>
          </w:p>
        </w:tc>
        <w:tc>
          <w:tcPr>
            <w:tcW w:w="1134" w:type="dxa"/>
            <w:noWrap/>
          </w:tcPr>
          <w:p w14:paraId="5AD9EE79" w14:textId="73C9BCA4" w:rsidR="003850A9" w:rsidRPr="00DF31C0" w:rsidRDefault="003850A9" w:rsidP="00E0077E">
            <w:pPr>
              <w:pStyle w:val="TableTextRight"/>
            </w:pPr>
            <w:r w:rsidRPr="00DF31C0">
              <w:t>36,447</w:t>
            </w:r>
          </w:p>
        </w:tc>
      </w:tr>
      <w:tr w:rsidR="00440681" w:rsidRPr="00DF31C0" w14:paraId="4A8762ED" w14:textId="77777777" w:rsidTr="0006086F">
        <w:trPr>
          <w:trHeight w:val="20"/>
        </w:trPr>
        <w:tc>
          <w:tcPr>
            <w:tcW w:w="1985" w:type="dxa"/>
          </w:tcPr>
          <w:p w14:paraId="0CE477E9" w14:textId="63063DF1" w:rsidR="00440681" w:rsidRPr="00DF31C0" w:rsidRDefault="005E5876" w:rsidP="00625DAB">
            <w:pPr>
              <w:pStyle w:val="TableTextLeft"/>
            </w:pPr>
            <w:r>
              <w:t>Total other services</w:t>
            </w:r>
          </w:p>
        </w:tc>
        <w:tc>
          <w:tcPr>
            <w:tcW w:w="425" w:type="dxa"/>
            <w:noWrap/>
            <w:vAlign w:val="center"/>
          </w:tcPr>
          <w:p w14:paraId="33D8E75C" w14:textId="01833380" w:rsidR="00440681" w:rsidRPr="00655325" w:rsidRDefault="005E5876" w:rsidP="002B2C54">
            <w:pPr>
              <w:pStyle w:val="TableTextCentered"/>
              <w:rPr>
                <w:b/>
                <w:bCs/>
                <w:szCs w:val="16"/>
              </w:rPr>
            </w:pPr>
            <w:r>
              <w:rPr>
                <w:b/>
                <w:bCs/>
                <w:szCs w:val="16"/>
              </w:rPr>
              <w:t>B</w:t>
            </w:r>
          </w:p>
        </w:tc>
        <w:tc>
          <w:tcPr>
            <w:tcW w:w="1559" w:type="dxa"/>
            <w:noWrap/>
          </w:tcPr>
          <w:p w14:paraId="2330735D" w14:textId="4B724982" w:rsidR="00440681" w:rsidRPr="00DF31C0" w:rsidRDefault="005E5876" w:rsidP="00E0077E">
            <w:pPr>
              <w:pStyle w:val="TableTextRight"/>
            </w:pPr>
            <w:r w:rsidRPr="00E0077E">
              <w:t>–</w:t>
            </w:r>
          </w:p>
        </w:tc>
        <w:tc>
          <w:tcPr>
            <w:tcW w:w="1134" w:type="dxa"/>
            <w:noWrap/>
          </w:tcPr>
          <w:p w14:paraId="14C68071" w14:textId="7A7AECC2" w:rsidR="00440681" w:rsidRPr="00DF31C0" w:rsidRDefault="005E5876" w:rsidP="00E0077E">
            <w:pPr>
              <w:pStyle w:val="TableTextRight"/>
            </w:pPr>
            <w:r w:rsidRPr="00E0077E">
              <w:t>–</w:t>
            </w:r>
          </w:p>
        </w:tc>
        <w:tc>
          <w:tcPr>
            <w:tcW w:w="1560" w:type="dxa"/>
            <w:noWrap/>
          </w:tcPr>
          <w:p w14:paraId="1E3A37BC" w14:textId="58D9BF9E" w:rsidR="00440681" w:rsidRPr="00DF31C0" w:rsidRDefault="005E5876" w:rsidP="00E0077E">
            <w:pPr>
              <w:pStyle w:val="TableTextRight"/>
            </w:pPr>
            <w:r w:rsidRPr="00E0077E">
              <w:t>–</w:t>
            </w:r>
          </w:p>
        </w:tc>
        <w:tc>
          <w:tcPr>
            <w:tcW w:w="1134" w:type="dxa"/>
            <w:noWrap/>
          </w:tcPr>
          <w:p w14:paraId="3A78E21E" w14:textId="3498F507" w:rsidR="00440681" w:rsidRPr="00DF31C0" w:rsidRDefault="005E5876" w:rsidP="00E0077E">
            <w:pPr>
              <w:pStyle w:val="TableTextRight"/>
            </w:pPr>
            <w:r w:rsidRPr="00E0077E">
              <w:t>–</w:t>
            </w:r>
          </w:p>
        </w:tc>
      </w:tr>
      <w:tr w:rsidR="005E0F90" w:rsidRPr="00DF31C0" w14:paraId="3D8CC8D9" w14:textId="77777777" w:rsidTr="0006086F">
        <w:trPr>
          <w:trHeight w:val="20"/>
        </w:trPr>
        <w:tc>
          <w:tcPr>
            <w:tcW w:w="1985" w:type="dxa"/>
            <w:hideMark/>
          </w:tcPr>
          <w:p w14:paraId="6A64D3FD" w14:textId="77777777" w:rsidR="003850A9" w:rsidRPr="00EF1CE1" w:rsidRDefault="003850A9" w:rsidP="00625DAB">
            <w:pPr>
              <w:pStyle w:val="TableTextLeft"/>
              <w:rPr>
                <w:b/>
                <w:bCs/>
              </w:rPr>
            </w:pPr>
            <w:r w:rsidRPr="00EF1CE1">
              <w:rPr>
                <w:b/>
                <w:bCs/>
              </w:rPr>
              <w:t>Total available annual appropriations (A+B)</w:t>
            </w:r>
          </w:p>
        </w:tc>
        <w:tc>
          <w:tcPr>
            <w:tcW w:w="425" w:type="dxa"/>
            <w:noWrap/>
            <w:vAlign w:val="center"/>
            <w:hideMark/>
          </w:tcPr>
          <w:p w14:paraId="39258905" w14:textId="77777777" w:rsidR="003850A9" w:rsidRPr="00EF1CE1" w:rsidRDefault="003850A9" w:rsidP="002B2C54">
            <w:pPr>
              <w:pStyle w:val="TableTextCentered"/>
              <w:rPr>
                <w:rFonts w:eastAsia="Arial" w:cs="Times New Roman (Body CS)"/>
                <w:b/>
                <w:bCs/>
              </w:rPr>
            </w:pPr>
          </w:p>
        </w:tc>
        <w:tc>
          <w:tcPr>
            <w:tcW w:w="1559" w:type="dxa"/>
            <w:noWrap/>
            <w:hideMark/>
          </w:tcPr>
          <w:p w14:paraId="7006652C" w14:textId="280D7667" w:rsidR="003850A9" w:rsidRPr="00EF1CE1" w:rsidRDefault="003850A9" w:rsidP="00E0077E">
            <w:pPr>
              <w:pStyle w:val="TableTextRight"/>
              <w:rPr>
                <w:b/>
                <w:bCs/>
              </w:rPr>
            </w:pPr>
            <w:r w:rsidRPr="00EF1CE1">
              <w:rPr>
                <w:b/>
                <w:bCs/>
              </w:rPr>
              <w:t>54,051</w:t>
            </w:r>
          </w:p>
        </w:tc>
        <w:tc>
          <w:tcPr>
            <w:tcW w:w="1134" w:type="dxa"/>
            <w:noWrap/>
            <w:hideMark/>
          </w:tcPr>
          <w:p w14:paraId="40643974" w14:textId="1287104D" w:rsidR="003850A9" w:rsidRPr="00EF1CE1" w:rsidRDefault="003850A9" w:rsidP="00E0077E">
            <w:pPr>
              <w:pStyle w:val="TableTextRight"/>
              <w:rPr>
                <w:b/>
                <w:bCs/>
              </w:rPr>
            </w:pPr>
            <w:r w:rsidRPr="00EF1CE1">
              <w:rPr>
                <w:b/>
                <w:bCs/>
              </w:rPr>
              <w:t>17,604</w:t>
            </w:r>
          </w:p>
        </w:tc>
        <w:tc>
          <w:tcPr>
            <w:tcW w:w="1560" w:type="dxa"/>
            <w:noWrap/>
            <w:hideMark/>
          </w:tcPr>
          <w:p w14:paraId="5FFCE357" w14:textId="3EC1A75B" w:rsidR="003850A9" w:rsidRPr="00EF1CE1" w:rsidRDefault="003850A9" w:rsidP="00E0077E">
            <w:pPr>
              <w:pStyle w:val="TableTextRight"/>
              <w:rPr>
                <w:b/>
                <w:bCs/>
              </w:rPr>
            </w:pPr>
            <w:r w:rsidRPr="00EF1CE1">
              <w:rPr>
                <w:b/>
                <w:bCs/>
              </w:rPr>
              <w:t>0</w:t>
            </w:r>
          </w:p>
        </w:tc>
        <w:tc>
          <w:tcPr>
            <w:tcW w:w="1134" w:type="dxa"/>
            <w:noWrap/>
            <w:hideMark/>
          </w:tcPr>
          <w:p w14:paraId="03AA7666" w14:textId="380F256D" w:rsidR="003850A9" w:rsidRPr="00EF1CE1" w:rsidRDefault="003850A9" w:rsidP="00E0077E">
            <w:pPr>
              <w:pStyle w:val="TableTextRight"/>
              <w:rPr>
                <w:b/>
                <w:bCs/>
              </w:rPr>
            </w:pPr>
            <w:r w:rsidRPr="00EF1CE1">
              <w:rPr>
                <w:b/>
                <w:bCs/>
              </w:rPr>
              <w:t>36,447</w:t>
            </w:r>
          </w:p>
        </w:tc>
      </w:tr>
      <w:tr w:rsidR="00ED2E4A" w:rsidRPr="00DF31C0" w14:paraId="3150EB76" w14:textId="77777777" w:rsidTr="00A2513E">
        <w:trPr>
          <w:trHeight w:val="20"/>
        </w:trPr>
        <w:tc>
          <w:tcPr>
            <w:tcW w:w="7797" w:type="dxa"/>
            <w:gridSpan w:val="6"/>
            <w:shd w:val="clear" w:color="auto" w:fill="FFFFFF" w:themeFill="background1"/>
            <w:vAlign w:val="center"/>
            <w:hideMark/>
          </w:tcPr>
          <w:p w14:paraId="5D020399" w14:textId="77777777" w:rsidR="00ED2E4A" w:rsidRPr="004B423B" w:rsidRDefault="00ED2E4A" w:rsidP="002B2C54">
            <w:pPr>
              <w:pStyle w:val="TableSecondHeading"/>
              <w:rPr>
                <w:b/>
                <w:bCs/>
              </w:rPr>
            </w:pPr>
            <w:r w:rsidRPr="004B423B">
              <w:rPr>
                <w:b/>
                <w:bCs/>
              </w:rPr>
              <w:t>Special appropriations – operating</w:t>
            </w:r>
          </w:p>
        </w:tc>
      </w:tr>
      <w:tr w:rsidR="005E0F90" w:rsidRPr="00DF31C0" w14:paraId="60DD48E2" w14:textId="77777777" w:rsidTr="0006086F">
        <w:trPr>
          <w:trHeight w:val="20"/>
        </w:trPr>
        <w:tc>
          <w:tcPr>
            <w:tcW w:w="1985" w:type="dxa"/>
            <w:hideMark/>
          </w:tcPr>
          <w:p w14:paraId="0865D068" w14:textId="77777777" w:rsidR="00CF70DC" w:rsidRPr="00E0077E" w:rsidRDefault="00CF70DC" w:rsidP="00625DAB">
            <w:pPr>
              <w:pStyle w:val="TableTextLeft"/>
            </w:pPr>
            <w:r w:rsidRPr="00E0077E">
              <w:t>Commonwealth Inscribed Stock Act 1911</w:t>
            </w:r>
          </w:p>
        </w:tc>
        <w:tc>
          <w:tcPr>
            <w:tcW w:w="425" w:type="dxa"/>
            <w:noWrap/>
            <w:vAlign w:val="center"/>
            <w:hideMark/>
          </w:tcPr>
          <w:p w14:paraId="44F8E4A5" w14:textId="77777777" w:rsidR="00CF70DC" w:rsidRPr="00DF31C0" w:rsidRDefault="00CF70DC" w:rsidP="002B2C54">
            <w:pPr>
              <w:pStyle w:val="TableTextCentered"/>
            </w:pPr>
          </w:p>
        </w:tc>
        <w:tc>
          <w:tcPr>
            <w:tcW w:w="1559" w:type="dxa"/>
            <w:noWrap/>
          </w:tcPr>
          <w:p w14:paraId="1B6876FE" w14:textId="333F1D6B" w:rsidR="00CF70DC" w:rsidRPr="00DF31C0" w:rsidRDefault="00CF70DC" w:rsidP="00E0077E">
            <w:pPr>
              <w:pStyle w:val="TableTextRight"/>
              <w:rPr>
                <w:color w:val="000000"/>
              </w:rPr>
            </w:pPr>
            <w:r w:rsidRPr="00DF31C0">
              <w:t>25,483,092</w:t>
            </w:r>
          </w:p>
        </w:tc>
        <w:tc>
          <w:tcPr>
            <w:tcW w:w="1134" w:type="dxa"/>
            <w:noWrap/>
          </w:tcPr>
          <w:p w14:paraId="11A9BB14" w14:textId="1758680B" w:rsidR="00CF70DC" w:rsidRPr="00DF31C0" w:rsidRDefault="00CF70DC" w:rsidP="00E0077E">
            <w:pPr>
              <w:pStyle w:val="TableTextRight"/>
              <w:rPr>
                <w:color w:val="000000"/>
              </w:rPr>
            </w:pPr>
            <w:r w:rsidRPr="00DF31C0">
              <w:t>25,483,092</w:t>
            </w:r>
          </w:p>
        </w:tc>
        <w:tc>
          <w:tcPr>
            <w:tcW w:w="1560" w:type="dxa"/>
            <w:noWrap/>
            <w:hideMark/>
          </w:tcPr>
          <w:p w14:paraId="377AA8B6" w14:textId="77777777" w:rsidR="00CF70DC" w:rsidRPr="00DF31C0" w:rsidRDefault="00CF70DC" w:rsidP="00E0077E">
            <w:pPr>
              <w:pStyle w:val="TableTextRight"/>
              <w:rPr>
                <w:color w:val="000000"/>
              </w:rPr>
            </w:pPr>
            <w:r w:rsidRPr="00DF31C0">
              <w:rPr>
                <w:color w:val="000000"/>
              </w:rPr>
              <w:t xml:space="preserve">– </w:t>
            </w:r>
          </w:p>
        </w:tc>
        <w:tc>
          <w:tcPr>
            <w:tcW w:w="1134" w:type="dxa"/>
            <w:noWrap/>
            <w:hideMark/>
          </w:tcPr>
          <w:p w14:paraId="77A71BAA" w14:textId="77777777" w:rsidR="00CF70DC" w:rsidRPr="00DF31C0" w:rsidRDefault="00CF70DC" w:rsidP="00E0077E">
            <w:pPr>
              <w:pStyle w:val="TableTextRight"/>
              <w:rPr>
                <w:color w:val="000000"/>
              </w:rPr>
            </w:pPr>
            <w:r w:rsidRPr="00DF31C0">
              <w:rPr>
                <w:color w:val="000000"/>
              </w:rPr>
              <w:t xml:space="preserve"> – </w:t>
            </w:r>
          </w:p>
        </w:tc>
      </w:tr>
      <w:tr w:rsidR="005E0F90" w:rsidRPr="00DF31C0" w14:paraId="583A2B05" w14:textId="77777777" w:rsidTr="0006086F">
        <w:trPr>
          <w:trHeight w:val="102"/>
        </w:trPr>
        <w:tc>
          <w:tcPr>
            <w:tcW w:w="1985" w:type="dxa"/>
            <w:hideMark/>
          </w:tcPr>
          <w:p w14:paraId="2441F752" w14:textId="77777777" w:rsidR="00CF70DC" w:rsidRPr="00E0077E" w:rsidRDefault="00CF70DC" w:rsidP="00625DAB">
            <w:pPr>
              <w:pStyle w:val="TableTextLeft"/>
            </w:pPr>
            <w:r w:rsidRPr="00E0077E">
              <w:t>Financial Agreement Act 1994</w:t>
            </w:r>
          </w:p>
        </w:tc>
        <w:tc>
          <w:tcPr>
            <w:tcW w:w="425" w:type="dxa"/>
            <w:noWrap/>
            <w:vAlign w:val="center"/>
            <w:hideMark/>
          </w:tcPr>
          <w:p w14:paraId="11B9C9E0" w14:textId="77777777" w:rsidR="00CF70DC" w:rsidRPr="00DF31C0" w:rsidRDefault="00CF70DC" w:rsidP="002B2C54">
            <w:pPr>
              <w:pStyle w:val="TableTextCentered"/>
            </w:pPr>
          </w:p>
        </w:tc>
        <w:tc>
          <w:tcPr>
            <w:tcW w:w="1559" w:type="dxa"/>
            <w:noWrap/>
          </w:tcPr>
          <w:p w14:paraId="1F825BFC" w14:textId="359C1D21" w:rsidR="00CF70DC" w:rsidRPr="00DF31C0" w:rsidRDefault="00CF70DC" w:rsidP="00E0077E">
            <w:pPr>
              <w:pStyle w:val="TableTextRight"/>
              <w:rPr>
                <w:i/>
                <w:iCs/>
                <w:color w:val="000000"/>
              </w:rPr>
            </w:pPr>
            <w:r w:rsidRPr="00DF31C0">
              <w:t>12</w:t>
            </w:r>
          </w:p>
        </w:tc>
        <w:tc>
          <w:tcPr>
            <w:tcW w:w="1134" w:type="dxa"/>
            <w:noWrap/>
          </w:tcPr>
          <w:p w14:paraId="670FA291" w14:textId="41163821" w:rsidR="00CF70DC" w:rsidRPr="00DF31C0" w:rsidRDefault="00CF70DC" w:rsidP="00E0077E">
            <w:pPr>
              <w:pStyle w:val="TableTextRight"/>
              <w:rPr>
                <w:i/>
                <w:iCs/>
                <w:color w:val="000000"/>
              </w:rPr>
            </w:pPr>
            <w:r w:rsidRPr="00DF31C0">
              <w:t>12</w:t>
            </w:r>
          </w:p>
        </w:tc>
        <w:tc>
          <w:tcPr>
            <w:tcW w:w="1560" w:type="dxa"/>
            <w:noWrap/>
            <w:hideMark/>
          </w:tcPr>
          <w:p w14:paraId="5DDC9494" w14:textId="77777777" w:rsidR="00CF70DC" w:rsidRPr="00DF31C0" w:rsidRDefault="00CF70DC" w:rsidP="00E0077E">
            <w:pPr>
              <w:pStyle w:val="TableTextRight"/>
              <w:rPr>
                <w:color w:val="000000"/>
              </w:rPr>
            </w:pPr>
            <w:r w:rsidRPr="00DF31C0">
              <w:rPr>
                <w:color w:val="000000"/>
              </w:rPr>
              <w:t xml:space="preserve">– </w:t>
            </w:r>
          </w:p>
        </w:tc>
        <w:tc>
          <w:tcPr>
            <w:tcW w:w="1134" w:type="dxa"/>
            <w:noWrap/>
            <w:hideMark/>
          </w:tcPr>
          <w:p w14:paraId="723CCDED" w14:textId="77777777" w:rsidR="00CF70DC" w:rsidRPr="00DF31C0" w:rsidRDefault="00CF70DC" w:rsidP="00E0077E">
            <w:pPr>
              <w:pStyle w:val="TableTextRight"/>
              <w:rPr>
                <w:color w:val="000000"/>
              </w:rPr>
            </w:pPr>
            <w:r w:rsidRPr="00DF31C0">
              <w:rPr>
                <w:color w:val="000000"/>
              </w:rPr>
              <w:t xml:space="preserve"> – </w:t>
            </w:r>
          </w:p>
        </w:tc>
      </w:tr>
      <w:tr w:rsidR="005E0F90" w:rsidRPr="00DF31C0" w14:paraId="0E492CCC" w14:textId="77777777" w:rsidTr="0006086F">
        <w:trPr>
          <w:trHeight w:val="20"/>
        </w:trPr>
        <w:tc>
          <w:tcPr>
            <w:tcW w:w="1985" w:type="dxa"/>
            <w:hideMark/>
          </w:tcPr>
          <w:p w14:paraId="340DAB42" w14:textId="77777777" w:rsidR="00CF70DC" w:rsidRPr="00E0077E" w:rsidRDefault="00CF70DC" w:rsidP="00625DAB">
            <w:pPr>
              <w:pStyle w:val="TableTextLeft"/>
            </w:pPr>
            <w:r w:rsidRPr="00E0077E">
              <w:t>Loans Securities Act 1919</w:t>
            </w:r>
          </w:p>
        </w:tc>
        <w:tc>
          <w:tcPr>
            <w:tcW w:w="425" w:type="dxa"/>
            <w:noWrap/>
            <w:vAlign w:val="center"/>
            <w:hideMark/>
          </w:tcPr>
          <w:p w14:paraId="0B6FE3CA" w14:textId="77777777" w:rsidR="00CF70DC" w:rsidRPr="00DF31C0" w:rsidRDefault="00CF70DC" w:rsidP="002B2C54">
            <w:pPr>
              <w:pStyle w:val="TableTextCentered"/>
            </w:pPr>
          </w:p>
        </w:tc>
        <w:tc>
          <w:tcPr>
            <w:tcW w:w="1559" w:type="dxa"/>
            <w:noWrap/>
          </w:tcPr>
          <w:p w14:paraId="5E826392" w14:textId="0C742C39" w:rsidR="00CF70DC" w:rsidRPr="00DF31C0" w:rsidRDefault="00CF70DC" w:rsidP="00E0077E">
            <w:pPr>
              <w:pStyle w:val="TableTextRight"/>
              <w:rPr>
                <w:i/>
                <w:iCs/>
                <w:color w:val="000000"/>
              </w:rPr>
            </w:pPr>
            <w:r w:rsidRPr="00DF31C0">
              <w:t>158</w:t>
            </w:r>
          </w:p>
        </w:tc>
        <w:tc>
          <w:tcPr>
            <w:tcW w:w="1134" w:type="dxa"/>
            <w:noWrap/>
          </w:tcPr>
          <w:p w14:paraId="4B32B1CE" w14:textId="5FD13F34" w:rsidR="00CF70DC" w:rsidRPr="00DF31C0" w:rsidRDefault="00CF70DC" w:rsidP="00E0077E">
            <w:pPr>
              <w:pStyle w:val="TableTextRight"/>
              <w:rPr>
                <w:i/>
                <w:iCs/>
                <w:color w:val="000000"/>
              </w:rPr>
            </w:pPr>
            <w:r w:rsidRPr="00DF31C0">
              <w:t>158</w:t>
            </w:r>
          </w:p>
        </w:tc>
        <w:tc>
          <w:tcPr>
            <w:tcW w:w="1560" w:type="dxa"/>
            <w:noWrap/>
            <w:hideMark/>
          </w:tcPr>
          <w:p w14:paraId="72DBF689" w14:textId="13D5A4EB" w:rsidR="00CF70DC" w:rsidRPr="00DF31C0" w:rsidRDefault="00CF70DC" w:rsidP="00E0077E">
            <w:pPr>
              <w:pStyle w:val="TableTextRight"/>
              <w:rPr>
                <w:color w:val="000000"/>
              </w:rPr>
            </w:pPr>
            <w:r w:rsidRPr="00DF31C0">
              <w:rPr>
                <w:color w:val="000000"/>
              </w:rPr>
              <w:t xml:space="preserve">0 </w:t>
            </w:r>
          </w:p>
        </w:tc>
        <w:tc>
          <w:tcPr>
            <w:tcW w:w="1134" w:type="dxa"/>
            <w:noWrap/>
            <w:hideMark/>
          </w:tcPr>
          <w:p w14:paraId="7B8DE9A4" w14:textId="77777777" w:rsidR="00CF70DC" w:rsidRPr="00DF31C0" w:rsidRDefault="00CF70DC" w:rsidP="00E0077E">
            <w:pPr>
              <w:pStyle w:val="TableTextRight"/>
              <w:rPr>
                <w:color w:val="000000"/>
              </w:rPr>
            </w:pPr>
            <w:r w:rsidRPr="00DF31C0">
              <w:rPr>
                <w:color w:val="000000"/>
              </w:rPr>
              <w:t xml:space="preserve"> – </w:t>
            </w:r>
          </w:p>
        </w:tc>
      </w:tr>
      <w:tr w:rsidR="005E0F90" w:rsidRPr="00DF31C0" w14:paraId="1F0C8A7A" w14:textId="77777777" w:rsidTr="0006086F">
        <w:trPr>
          <w:trHeight w:val="20"/>
        </w:trPr>
        <w:tc>
          <w:tcPr>
            <w:tcW w:w="1985" w:type="dxa"/>
            <w:hideMark/>
          </w:tcPr>
          <w:p w14:paraId="28483719" w14:textId="1D19BEC4" w:rsidR="00CF70DC" w:rsidRPr="00E0077E" w:rsidRDefault="00CF70DC" w:rsidP="00625DAB">
            <w:pPr>
              <w:pStyle w:val="TableTextLeft"/>
            </w:pPr>
            <w:r w:rsidRPr="00E0077E">
              <w:t>Subtotal</w:t>
            </w:r>
          </w:p>
        </w:tc>
        <w:tc>
          <w:tcPr>
            <w:tcW w:w="425" w:type="dxa"/>
            <w:noWrap/>
            <w:vAlign w:val="center"/>
            <w:hideMark/>
          </w:tcPr>
          <w:p w14:paraId="75767B44" w14:textId="77777777" w:rsidR="00CF70DC" w:rsidRPr="00DF31C0" w:rsidRDefault="00CF70DC" w:rsidP="002B2C54">
            <w:pPr>
              <w:pStyle w:val="TableTextCentered"/>
              <w:rPr>
                <w:rFonts w:eastAsia="Arial" w:cs="Times New Roman (Body CS)"/>
              </w:rPr>
            </w:pPr>
          </w:p>
        </w:tc>
        <w:tc>
          <w:tcPr>
            <w:tcW w:w="1559" w:type="dxa"/>
            <w:noWrap/>
          </w:tcPr>
          <w:p w14:paraId="5D63E0F4" w14:textId="79728614" w:rsidR="00CF70DC" w:rsidRPr="00DF31C0" w:rsidRDefault="00CF70DC" w:rsidP="00E0077E">
            <w:pPr>
              <w:pStyle w:val="TableTextRight"/>
              <w:rPr>
                <w:b/>
                <w:bCs/>
                <w:color w:val="000000"/>
              </w:rPr>
            </w:pPr>
            <w:r w:rsidRPr="00DF31C0">
              <w:t>25,483,262</w:t>
            </w:r>
          </w:p>
        </w:tc>
        <w:tc>
          <w:tcPr>
            <w:tcW w:w="1134" w:type="dxa"/>
            <w:noWrap/>
          </w:tcPr>
          <w:p w14:paraId="5BB9D737" w14:textId="398EA574" w:rsidR="00CF70DC" w:rsidRPr="00DF31C0" w:rsidRDefault="00CF70DC" w:rsidP="00E0077E">
            <w:pPr>
              <w:pStyle w:val="TableTextRight"/>
              <w:rPr>
                <w:b/>
                <w:bCs/>
                <w:color w:val="000000"/>
              </w:rPr>
            </w:pPr>
            <w:r w:rsidRPr="00DF31C0">
              <w:t>25,483,262</w:t>
            </w:r>
          </w:p>
        </w:tc>
        <w:tc>
          <w:tcPr>
            <w:tcW w:w="1560" w:type="dxa"/>
            <w:noWrap/>
            <w:hideMark/>
          </w:tcPr>
          <w:p w14:paraId="03824C60" w14:textId="11158898" w:rsidR="00CF70DC" w:rsidRPr="00DF31C0" w:rsidRDefault="002E09D6" w:rsidP="00E0077E">
            <w:pPr>
              <w:pStyle w:val="TableTextRight"/>
              <w:rPr>
                <w:color w:val="000000"/>
              </w:rPr>
            </w:pPr>
            <w:r w:rsidRPr="00DF31C0">
              <w:rPr>
                <w:color w:val="000000"/>
              </w:rPr>
              <w:t>0</w:t>
            </w:r>
            <w:r w:rsidR="00CF70DC" w:rsidRPr="00DF31C0">
              <w:rPr>
                <w:color w:val="000000"/>
              </w:rPr>
              <w:t xml:space="preserve"> </w:t>
            </w:r>
          </w:p>
        </w:tc>
        <w:tc>
          <w:tcPr>
            <w:tcW w:w="1134" w:type="dxa"/>
            <w:noWrap/>
            <w:hideMark/>
          </w:tcPr>
          <w:p w14:paraId="38B8A7DD" w14:textId="67457A5A" w:rsidR="00CF70DC" w:rsidRPr="00DF31C0" w:rsidRDefault="00CF70DC" w:rsidP="00E0077E">
            <w:pPr>
              <w:pStyle w:val="TableTextRight"/>
              <w:rPr>
                <w:color w:val="000000"/>
              </w:rPr>
            </w:pPr>
            <w:r w:rsidRPr="00DF31C0">
              <w:rPr>
                <w:color w:val="000000"/>
              </w:rPr>
              <w:t xml:space="preserve"> </w:t>
            </w:r>
            <w:r w:rsidR="002E09D6" w:rsidRPr="00DF31C0">
              <w:rPr>
                <w:color w:val="000000"/>
              </w:rPr>
              <w:t>0</w:t>
            </w:r>
          </w:p>
        </w:tc>
      </w:tr>
      <w:tr w:rsidR="00AB65A7" w:rsidRPr="00DF31C0" w14:paraId="27912AF9" w14:textId="77777777" w:rsidTr="00A2513E">
        <w:trPr>
          <w:trHeight w:val="289"/>
        </w:trPr>
        <w:tc>
          <w:tcPr>
            <w:tcW w:w="7797" w:type="dxa"/>
            <w:gridSpan w:val="6"/>
            <w:shd w:val="clear" w:color="auto" w:fill="FFFFFF" w:themeFill="background1"/>
            <w:vAlign w:val="center"/>
          </w:tcPr>
          <w:p w14:paraId="3F291ED8" w14:textId="7BE971EB" w:rsidR="00ED2E4A" w:rsidRPr="004B423B" w:rsidRDefault="00ED2E4A" w:rsidP="002B2C54">
            <w:pPr>
              <w:pStyle w:val="TableSecondHeading"/>
              <w:rPr>
                <w:b/>
                <w:bCs/>
              </w:rPr>
            </w:pPr>
            <w:r w:rsidRPr="004B423B">
              <w:rPr>
                <w:b/>
                <w:bCs/>
              </w:rPr>
              <w:t>Special appropriations –</w:t>
            </w:r>
            <w:r w:rsidR="00EE1918" w:rsidRPr="004B423B">
              <w:rPr>
                <w:b/>
                <w:bCs/>
              </w:rPr>
              <w:t xml:space="preserve"> </w:t>
            </w:r>
            <w:r w:rsidRPr="004B423B">
              <w:rPr>
                <w:b/>
                <w:bCs/>
              </w:rPr>
              <w:t>investing and financing</w:t>
            </w:r>
          </w:p>
        </w:tc>
      </w:tr>
      <w:tr w:rsidR="005E0F90" w:rsidRPr="00DF31C0" w14:paraId="50B3DB7E" w14:textId="77777777" w:rsidTr="0006086F">
        <w:trPr>
          <w:trHeight w:val="20"/>
        </w:trPr>
        <w:tc>
          <w:tcPr>
            <w:tcW w:w="1985" w:type="dxa"/>
          </w:tcPr>
          <w:p w14:paraId="072A5885" w14:textId="77777777" w:rsidR="00CF70DC" w:rsidRPr="00E0077E" w:rsidRDefault="00CF70DC" w:rsidP="00625DAB">
            <w:pPr>
              <w:pStyle w:val="TableTextLeft"/>
            </w:pPr>
            <w:r w:rsidRPr="00E0077E">
              <w:t>Commonwealth Inscribed Stock Act 1911</w:t>
            </w:r>
          </w:p>
        </w:tc>
        <w:tc>
          <w:tcPr>
            <w:tcW w:w="425" w:type="dxa"/>
            <w:noWrap/>
            <w:vAlign w:val="center"/>
          </w:tcPr>
          <w:p w14:paraId="7E92936B" w14:textId="77777777" w:rsidR="00CF70DC" w:rsidRPr="00DF31C0" w:rsidRDefault="00CF70DC" w:rsidP="002B2C54">
            <w:pPr>
              <w:pStyle w:val="TableTextCentered"/>
              <w:rPr>
                <w:lang w:eastAsia="en-GB"/>
              </w:rPr>
            </w:pPr>
          </w:p>
        </w:tc>
        <w:tc>
          <w:tcPr>
            <w:tcW w:w="1559" w:type="dxa"/>
            <w:noWrap/>
          </w:tcPr>
          <w:p w14:paraId="582E7D69" w14:textId="019DF2A0" w:rsidR="00CF70DC" w:rsidRPr="00DF31C0" w:rsidRDefault="00CF70DC" w:rsidP="002B2C54">
            <w:pPr>
              <w:pStyle w:val="TableTextRight"/>
              <w:rPr>
                <w:color w:val="000000"/>
              </w:rPr>
            </w:pPr>
            <w:r w:rsidRPr="00DF31C0">
              <w:t>194,039,739</w:t>
            </w:r>
          </w:p>
        </w:tc>
        <w:tc>
          <w:tcPr>
            <w:tcW w:w="1134" w:type="dxa"/>
            <w:noWrap/>
          </w:tcPr>
          <w:p w14:paraId="0A8E03A2" w14:textId="237190DC" w:rsidR="00CF70DC" w:rsidRPr="00DF31C0" w:rsidRDefault="00CF70DC" w:rsidP="002B2C54">
            <w:pPr>
              <w:pStyle w:val="TableTextRight"/>
              <w:rPr>
                <w:color w:val="000000"/>
              </w:rPr>
            </w:pPr>
            <w:r w:rsidRPr="00DF31C0">
              <w:t>194,039,739</w:t>
            </w:r>
          </w:p>
        </w:tc>
        <w:tc>
          <w:tcPr>
            <w:tcW w:w="1560" w:type="dxa"/>
            <w:noWrap/>
          </w:tcPr>
          <w:p w14:paraId="052E1334" w14:textId="77777777" w:rsidR="00CF70DC" w:rsidRPr="00DF31C0" w:rsidRDefault="00CF70DC" w:rsidP="002B2C54">
            <w:pPr>
              <w:pStyle w:val="TableTextRight"/>
              <w:rPr>
                <w:color w:val="000000"/>
              </w:rPr>
            </w:pPr>
            <w:r w:rsidRPr="00DF31C0">
              <w:rPr>
                <w:color w:val="000000"/>
              </w:rPr>
              <w:t xml:space="preserve">– </w:t>
            </w:r>
          </w:p>
        </w:tc>
        <w:tc>
          <w:tcPr>
            <w:tcW w:w="1134" w:type="dxa"/>
            <w:noWrap/>
          </w:tcPr>
          <w:p w14:paraId="53A371F4" w14:textId="77777777" w:rsidR="00CF70DC" w:rsidRPr="00DF31C0" w:rsidRDefault="00CF70DC" w:rsidP="002B2C54">
            <w:pPr>
              <w:pStyle w:val="TableTextRight"/>
              <w:rPr>
                <w:color w:val="000000"/>
              </w:rPr>
            </w:pPr>
            <w:r w:rsidRPr="00DF31C0">
              <w:rPr>
                <w:color w:val="000000"/>
              </w:rPr>
              <w:t xml:space="preserve"> – </w:t>
            </w:r>
          </w:p>
        </w:tc>
      </w:tr>
      <w:tr w:rsidR="005E0F90" w:rsidRPr="00DF31C0" w14:paraId="01F9A295" w14:textId="77777777" w:rsidTr="0006086F">
        <w:trPr>
          <w:trHeight w:val="20"/>
        </w:trPr>
        <w:tc>
          <w:tcPr>
            <w:tcW w:w="1985" w:type="dxa"/>
          </w:tcPr>
          <w:p w14:paraId="784D074F" w14:textId="77777777" w:rsidR="00CF70DC" w:rsidRPr="00E0077E" w:rsidRDefault="00CF70DC" w:rsidP="00625DAB">
            <w:pPr>
              <w:pStyle w:val="TableTextLeft"/>
            </w:pPr>
            <w:r w:rsidRPr="00E0077E">
              <w:t>Loans Securities Act 1919</w:t>
            </w:r>
          </w:p>
        </w:tc>
        <w:tc>
          <w:tcPr>
            <w:tcW w:w="425" w:type="dxa"/>
            <w:noWrap/>
            <w:vAlign w:val="center"/>
          </w:tcPr>
          <w:p w14:paraId="3E1E4880" w14:textId="77777777" w:rsidR="00CF70DC" w:rsidRPr="00DF31C0" w:rsidRDefault="00CF70DC" w:rsidP="002B2C54">
            <w:pPr>
              <w:pStyle w:val="TableTextCentered"/>
              <w:rPr>
                <w:lang w:eastAsia="en-GB"/>
              </w:rPr>
            </w:pPr>
          </w:p>
        </w:tc>
        <w:tc>
          <w:tcPr>
            <w:tcW w:w="1559" w:type="dxa"/>
            <w:noWrap/>
          </w:tcPr>
          <w:p w14:paraId="2AD0386F" w14:textId="56CF0C42" w:rsidR="00CF70DC" w:rsidRPr="00DF31C0" w:rsidRDefault="00CF70DC" w:rsidP="002B2C54">
            <w:pPr>
              <w:pStyle w:val="TableTextRight"/>
              <w:rPr>
                <w:color w:val="000000"/>
              </w:rPr>
            </w:pPr>
            <w:r w:rsidRPr="00DF31C0">
              <w:t>901,209</w:t>
            </w:r>
          </w:p>
        </w:tc>
        <w:tc>
          <w:tcPr>
            <w:tcW w:w="1134" w:type="dxa"/>
            <w:noWrap/>
          </w:tcPr>
          <w:p w14:paraId="1111BD50" w14:textId="60161821" w:rsidR="00CF70DC" w:rsidRPr="00DF31C0" w:rsidRDefault="00CF70DC" w:rsidP="002B2C54">
            <w:pPr>
              <w:pStyle w:val="TableTextRight"/>
              <w:rPr>
                <w:color w:val="000000"/>
              </w:rPr>
            </w:pPr>
            <w:r w:rsidRPr="00DF31C0">
              <w:t>901,209</w:t>
            </w:r>
          </w:p>
        </w:tc>
        <w:tc>
          <w:tcPr>
            <w:tcW w:w="1560" w:type="dxa"/>
            <w:noWrap/>
          </w:tcPr>
          <w:p w14:paraId="7098685F" w14:textId="77777777" w:rsidR="00CF70DC" w:rsidRPr="00DF31C0" w:rsidRDefault="00CF70DC" w:rsidP="002B2C54">
            <w:pPr>
              <w:pStyle w:val="TableTextRight"/>
              <w:rPr>
                <w:color w:val="000000"/>
              </w:rPr>
            </w:pPr>
            <w:r w:rsidRPr="00DF31C0">
              <w:rPr>
                <w:color w:val="000000"/>
              </w:rPr>
              <w:t xml:space="preserve">– </w:t>
            </w:r>
          </w:p>
        </w:tc>
        <w:tc>
          <w:tcPr>
            <w:tcW w:w="1134" w:type="dxa"/>
            <w:noWrap/>
          </w:tcPr>
          <w:p w14:paraId="21E8FB33" w14:textId="77777777" w:rsidR="00CF70DC" w:rsidRPr="00DF31C0" w:rsidRDefault="00CF70DC" w:rsidP="002B2C54">
            <w:pPr>
              <w:pStyle w:val="TableTextRight"/>
              <w:rPr>
                <w:color w:val="000000"/>
              </w:rPr>
            </w:pPr>
            <w:r w:rsidRPr="00DF31C0">
              <w:rPr>
                <w:color w:val="000000"/>
              </w:rPr>
              <w:t xml:space="preserve">– </w:t>
            </w:r>
          </w:p>
        </w:tc>
      </w:tr>
      <w:tr w:rsidR="005E0F90" w:rsidRPr="00DF31C0" w14:paraId="2D908074" w14:textId="77777777" w:rsidTr="0006086F">
        <w:trPr>
          <w:trHeight w:val="20"/>
        </w:trPr>
        <w:tc>
          <w:tcPr>
            <w:tcW w:w="1985" w:type="dxa"/>
          </w:tcPr>
          <w:p w14:paraId="60DED371" w14:textId="0A725EB7" w:rsidR="00CF70DC" w:rsidRPr="00A847C1" w:rsidRDefault="00CF70DC" w:rsidP="00625DAB">
            <w:pPr>
              <w:pStyle w:val="TableTextLeft"/>
            </w:pPr>
            <w:r w:rsidRPr="00A847C1">
              <w:lastRenderedPageBreak/>
              <w:t>Subtotal</w:t>
            </w:r>
          </w:p>
        </w:tc>
        <w:tc>
          <w:tcPr>
            <w:tcW w:w="425" w:type="dxa"/>
            <w:noWrap/>
            <w:vAlign w:val="center"/>
          </w:tcPr>
          <w:p w14:paraId="5F62816C" w14:textId="77777777" w:rsidR="00CF70DC" w:rsidRPr="00A847C1" w:rsidRDefault="00CF70DC" w:rsidP="002B2C54">
            <w:pPr>
              <w:pStyle w:val="TableTextCentered"/>
              <w:rPr>
                <w:rFonts w:eastAsia="Arial" w:cs="Times New Roman (Body CS)"/>
              </w:rPr>
            </w:pPr>
          </w:p>
        </w:tc>
        <w:tc>
          <w:tcPr>
            <w:tcW w:w="1559" w:type="dxa"/>
            <w:noWrap/>
          </w:tcPr>
          <w:p w14:paraId="610C083D" w14:textId="4AA88B8B" w:rsidR="00CF70DC" w:rsidRPr="00A847C1" w:rsidRDefault="00CF70DC" w:rsidP="002B2C54">
            <w:pPr>
              <w:pStyle w:val="TableTextRight"/>
              <w:rPr>
                <w:color w:val="000000"/>
                <w:szCs w:val="16"/>
              </w:rPr>
            </w:pPr>
            <w:r w:rsidRPr="00A847C1">
              <w:rPr>
                <w:szCs w:val="16"/>
              </w:rPr>
              <w:t>194,940,948</w:t>
            </w:r>
          </w:p>
        </w:tc>
        <w:tc>
          <w:tcPr>
            <w:tcW w:w="1134" w:type="dxa"/>
            <w:noWrap/>
          </w:tcPr>
          <w:p w14:paraId="25A4FD9B" w14:textId="3EFE405E" w:rsidR="00CF70DC" w:rsidRPr="00A847C1" w:rsidRDefault="00CF70DC" w:rsidP="002B2C54">
            <w:pPr>
              <w:pStyle w:val="TableTextRight"/>
              <w:rPr>
                <w:color w:val="000000"/>
                <w:szCs w:val="16"/>
              </w:rPr>
            </w:pPr>
            <w:r w:rsidRPr="00A847C1">
              <w:rPr>
                <w:szCs w:val="16"/>
              </w:rPr>
              <w:t>194,940,948</w:t>
            </w:r>
          </w:p>
        </w:tc>
        <w:tc>
          <w:tcPr>
            <w:tcW w:w="1560" w:type="dxa"/>
            <w:noWrap/>
          </w:tcPr>
          <w:p w14:paraId="45A1D6EF" w14:textId="77777777" w:rsidR="00CF70DC" w:rsidRPr="002B2C54" w:rsidRDefault="00CF70DC" w:rsidP="002B2C54">
            <w:pPr>
              <w:pStyle w:val="TableTextRight"/>
              <w:rPr>
                <w:b/>
                <w:bCs/>
                <w:color w:val="000000"/>
                <w:sz w:val="17"/>
                <w:szCs w:val="17"/>
              </w:rPr>
            </w:pPr>
            <w:r w:rsidRPr="002B2C54">
              <w:rPr>
                <w:b/>
                <w:bCs/>
                <w:color w:val="000000"/>
                <w:sz w:val="17"/>
                <w:szCs w:val="17"/>
              </w:rPr>
              <w:t xml:space="preserve">– </w:t>
            </w:r>
          </w:p>
        </w:tc>
        <w:tc>
          <w:tcPr>
            <w:tcW w:w="1134" w:type="dxa"/>
            <w:noWrap/>
          </w:tcPr>
          <w:p w14:paraId="6CBF6E6E" w14:textId="77777777" w:rsidR="00CF70DC" w:rsidRPr="002B2C54" w:rsidRDefault="00CF70DC" w:rsidP="002B2C54">
            <w:pPr>
              <w:pStyle w:val="TableTextRight"/>
              <w:rPr>
                <w:b/>
                <w:bCs/>
                <w:color w:val="000000"/>
                <w:sz w:val="17"/>
                <w:szCs w:val="17"/>
              </w:rPr>
            </w:pPr>
            <w:r w:rsidRPr="002B2C54">
              <w:rPr>
                <w:b/>
                <w:bCs/>
                <w:color w:val="000000"/>
                <w:sz w:val="17"/>
                <w:szCs w:val="17"/>
              </w:rPr>
              <w:t xml:space="preserve"> – </w:t>
            </w:r>
          </w:p>
        </w:tc>
      </w:tr>
      <w:tr w:rsidR="005E0F90" w:rsidRPr="00DF31C0" w14:paraId="1ADAE5EE" w14:textId="77777777" w:rsidTr="0006086F">
        <w:trPr>
          <w:trHeight w:val="20"/>
        </w:trPr>
        <w:tc>
          <w:tcPr>
            <w:tcW w:w="1985" w:type="dxa"/>
          </w:tcPr>
          <w:p w14:paraId="1C671602" w14:textId="77777777" w:rsidR="00433433" w:rsidRPr="00655325" w:rsidRDefault="00433433" w:rsidP="00625DAB">
            <w:pPr>
              <w:pStyle w:val="TableTextLeft"/>
            </w:pPr>
            <w:r w:rsidRPr="00655325">
              <w:t>Total special appropriations</w:t>
            </w:r>
          </w:p>
        </w:tc>
        <w:tc>
          <w:tcPr>
            <w:tcW w:w="425" w:type="dxa"/>
            <w:noWrap/>
            <w:vAlign w:val="center"/>
          </w:tcPr>
          <w:p w14:paraId="39C41668" w14:textId="77777777" w:rsidR="00433433" w:rsidRPr="002B2C54" w:rsidRDefault="00433433" w:rsidP="002B2C54">
            <w:pPr>
              <w:pStyle w:val="TableTextCentered"/>
              <w:rPr>
                <w:b/>
                <w:bCs/>
              </w:rPr>
            </w:pPr>
            <w:r w:rsidRPr="002B2C54">
              <w:rPr>
                <w:b/>
                <w:bCs/>
              </w:rPr>
              <w:t>C</w:t>
            </w:r>
          </w:p>
        </w:tc>
        <w:tc>
          <w:tcPr>
            <w:tcW w:w="1559" w:type="dxa"/>
            <w:noWrap/>
          </w:tcPr>
          <w:p w14:paraId="329C58CB" w14:textId="0C7482DE" w:rsidR="00433433" w:rsidRPr="00B536FE" w:rsidRDefault="00433433" w:rsidP="002B2C54">
            <w:pPr>
              <w:pStyle w:val="TableTextRight"/>
            </w:pPr>
            <w:r w:rsidRPr="00B536FE">
              <w:t>220,424,210</w:t>
            </w:r>
          </w:p>
        </w:tc>
        <w:tc>
          <w:tcPr>
            <w:tcW w:w="1134" w:type="dxa"/>
            <w:noWrap/>
          </w:tcPr>
          <w:p w14:paraId="33072263" w14:textId="6CCD32DF" w:rsidR="00433433" w:rsidRPr="00B536FE" w:rsidRDefault="00433433" w:rsidP="002B2C54">
            <w:pPr>
              <w:pStyle w:val="TableTextRight"/>
            </w:pPr>
            <w:r w:rsidRPr="00B536FE">
              <w:t>220,424,210</w:t>
            </w:r>
          </w:p>
        </w:tc>
        <w:tc>
          <w:tcPr>
            <w:tcW w:w="1560" w:type="dxa"/>
            <w:noWrap/>
          </w:tcPr>
          <w:p w14:paraId="33BF041C" w14:textId="77777777" w:rsidR="00433433" w:rsidRPr="00B536FE" w:rsidRDefault="00433433" w:rsidP="002B2C54">
            <w:pPr>
              <w:pStyle w:val="TableTextRight"/>
            </w:pPr>
            <w:r w:rsidRPr="00B536FE">
              <w:t xml:space="preserve">– </w:t>
            </w:r>
          </w:p>
        </w:tc>
        <w:tc>
          <w:tcPr>
            <w:tcW w:w="1134" w:type="dxa"/>
          </w:tcPr>
          <w:p w14:paraId="420D7F56" w14:textId="34BAD90A" w:rsidR="00433433" w:rsidRPr="00B536FE" w:rsidRDefault="00433433" w:rsidP="002B2C54">
            <w:pPr>
              <w:pStyle w:val="TableTextRight"/>
            </w:pPr>
            <w:r w:rsidRPr="00B536FE">
              <w:t>0</w:t>
            </w:r>
          </w:p>
        </w:tc>
      </w:tr>
      <w:tr w:rsidR="005E0F90" w:rsidRPr="00DF31C0" w14:paraId="73D9BE1F" w14:textId="77777777" w:rsidTr="0006086F">
        <w:trPr>
          <w:trHeight w:val="20"/>
        </w:trPr>
        <w:tc>
          <w:tcPr>
            <w:tcW w:w="1985" w:type="dxa"/>
          </w:tcPr>
          <w:p w14:paraId="5AB38D36" w14:textId="77777777" w:rsidR="00433433" w:rsidRPr="00A83FB3" w:rsidRDefault="00433433" w:rsidP="00625DAB">
            <w:pPr>
              <w:pStyle w:val="TableTextLeft"/>
              <w:rPr>
                <w:b/>
                <w:bCs/>
              </w:rPr>
            </w:pPr>
            <w:r w:rsidRPr="00A83FB3">
              <w:rPr>
                <w:b/>
                <w:bCs/>
              </w:rPr>
              <w:t>Total appropriations excluding special accounts (A + B + C)</w:t>
            </w:r>
          </w:p>
        </w:tc>
        <w:tc>
          <w:tcPr>
            <w:tcW w:w="425" w:type="dxa"/>
            <w:noWrap/>
            <w:vAlign w:val="center"/>
          </w:tcPr>
          <w:p w14:paraId="353D41D6" w14:textId="77777777" w:rsidR="00433433" w:rsidRPr="002B2C54" w:rsidRDefault="00433433" w:rsidP="002B2C54">
            <w:pPr>
              <w:pStyle w:val="TableTextCentered"/>
              <w:rPr>
                <w:rFonts w:eastAsia="Arial" w:cs="Times New Roman (Body CS)"/>
                <w:b/>
                <w:bCs/>
              </w:rPr>
            </w:pPr>
          </w:p>
        </w:tc>
        <w:tc>
          <w:tcPr>
            <w:tcW w:w="1559" w:type="dxa"/>
            <w:noWrap/>
          </w:tcPr>
          <w:p w14:paraId="0A1373D4" w14:textId="4A9E9493" w:rsidR="00433433" w:rsidRPr="002B2C54" w:rsidRDefault="00433433" w:rsidP="002B2C54">
            <w:pPr>
              <w:pStyle w:val="TableTextRight"/>
              <w:rPr>
                <w:b/>
                <w:bCs/>
              </w:rPr>
            </w:pPr>
            <w:r w:rsidRPr="002B2C54">
              <w:rPr>
                <w:b/>
                <w:bCs/>
              </w:rPr>
              <w:t>220,478,261</w:t>
            </w:r>
          </w:p>
        </w:tc>
        <w:tc>
          <w:tcPr>
            <w:tcW w:w="1134" w:type="dxa"/>
            <w:noWrap/>
          </w:tcPr>
          <w:p w14:paraId="274F51A0" w14:textId="40B6A83D" w:rsidR="00433433" w:rsidRPr="002B2C54" w:rsidRDefault="00433433" w:rsidP="002B2C54">
            <w:pPr>
              <w:pStyle w:val="TableTextRight"/>
              <w:rPr>
                <w:b/>
                <w:bCs/>
              </w:rPr>
            </w:pPr>
            <w:r w:rsidRPr="002B2C54">
              <w:rPr>
                <w:b/>
                <w:bCs/>
              </w:rPr>
              <w:t>220,441,814</w:t>
            </w:r>
          </w:p>
        </w:tc>
        <w:tc>
          <w:tcPr>
            <w:tcW w:w="1560" w:type="dxa"/>
            <w:noWrap/>
          </w:tcPr>
          <w:p w14:paraId="28FB3726" w14:textId="2D50D7FB" w:rsidR="00433433" w:rsidRPr="002B2C54" w:rsidRDefault="00433433" w:rsidP="002B2C54">
            <w:pPr>
              <w:pStyle w:val="TableTextRight"/>
              <w:rPr>
                <w:b/>
                <w:bCs/>
              </w:rPr>
            </w:pPr>
            <w:r w:rsidRPr="002B2C54">
              <w:rPr>
                <w:b/>
                <w:bCs/>
              </w:rPr>
              <w:t>0</w:t>
            </w:r>
          </w:p>
        </w:tc>
        <w:tc>
          <w:tcPr>
            <w:tcW w:w="1134" w:type="dxa"/>
            <w:noWrap/>
          </w:tcPr>
          <w:p w14:paraId="487F8658" w14:textId="5C5EF664" w:rsidR="00433433" w:rsidRPr="002B2C54" w:rsidRDefault="00433433" w:rsidP="002B2C54">
            <w:pPr>
              <w:pStyle w:val="TableTextRight"/>
              <w:rPr>
                <w:b/>
                <w:bCs/>
              </w:rPr>
            </w:pPr>
            <w:r w:rsidRPr="002B2C54">
              <w:rPr>
                <w:b/>
                <w:bCs/>
              </w:rPr>
              <w:t>36,447</w:t>
            </w:r>
          </w:p>
        </w:tc>
      </w:tr>
      <w:tr w:rsidR="005E0F90" w:rsidRPr="00DF31C0" w14:paraId="08C31302" w14:textId="77777777" w:rsidTr="0006086F">
        <w:trPr>
          <w:trHeight w:val="20"/>
        </w:trPr>
        <w:tc>
          <w:tcPr>
            <w:tcW w:w="1985" w:type="dxa"/>
          </w:tcPr>
          <w:p w14:paraId="5D5E6DDC" w14:textId="77777777" w:rsidR="00EE1918" w:rsidRPr="00DF31C0" w:rsidRDefault="00EE1918" w:rsidP="00EE1918">
            <w:pPr>
              <w:spacing w:before="20" w:after="20" w:line="240" w:lineRule="auto"/>
              <w:rPr>
                <w:color w:val="000000"/>
                <w:sz w:val="17"/>
                <w:szCs w:val="17"/>
                <w:lang w:eastAsia="en-AU"/>
              </w:rPr>
            </w:pPr>
            <w:r w:rsidRPr="00DF31C0">
              <w:rPr>
                <w:color w:val="000000"/>
                <w:sz w:val="17"/>
                <w:szCs w:val="17"/>
                <w:lang w:eastAsia="en-AU"/>
              </w:rPr>
              <w:t>Debt Retirement Reserve Trust</w:t>
            </w:r>
          </w:p>
        </w:tc>
        <w:tc>
          <w:tcPr>
            <w:tcW w:w="425" w:type="dxa"/>
            <w:noWrap/>
          </w:tcPr>
          <w:p w14:paraId="0AA98404" w14:textId="77777777" w:rsidR="00EE1918" w:rsidRPr="00DF31C0" w:rsidRDefault="00EE1918" w:rsidP="00EE1918">
            <w:pPr>
              <w:keepLines/>
              <w:spacing w:after="40" w:line="240" w:lineRule="auto"/>
              <w:rPr>
                <w:b/>
                <w:color w:val="000000"/>
                <w:sz w:val="17"/>
                <w:szCs w:val="17"/>
                <w:lang w:eastAsia="en-AU"/>
              </w:rPr>
            </w:pPr>
          </w:p>
        </w:tc>
        <w:tc>
          <w:tcPr>
            <w:tcW w:w="1559" w:type="dxa"/>
            <w:noWrap/>
          </w:tcPr>
          <w:p w14:paraId="243A40EE" w14:textId="00506F42" w:rsidR="00EE1918" w:rsidRPr="00E0077E" w:rsidRDefault="00EE1918" w:rsidP="00E0077E">
            <w:pPr>
              <w:pStyle w:val="TableTextRight"/>
            </w:pPr>
            <w:r w:rsidRPr="00962AC7">
              <w:t>178</w:t>
            </w:r>
          </w:p>
        </w:tc>
        <w:tc>
          <w:tcPr>
            <w:tcW w:w="1134" w:type="dxa"/>
            <w:noWrap/>
          </w:tcPr>
          <w:p w14:paraId="69D9BC21" w14:textId="0BFF3C30" w:rsidR="00EE1918" w:rsidRPr="00E0077E" w:rsidRDefault="00EE1918" w:rsidP="00E0077E">
            <w:pPr>
              <w:pStyle w:val="TableTextRight"/>
            </w:pPr>
            <w:r w:rsidRPr="00962AC7">
              <w:t>–</w:t>
            </w:r>
          </w:p>
        </w:tc>
        <w:tc>
          <w:tcPr>
            <w:tcW w:w="1560" w:type="dxa"/>
            <w:noWrap/>
          </w:tcPr>
          <w:p w14:paraId="61133DBD" w14:textId="59B4C631" w:rsidR="00EE1918" w:rsidRPr="00E0077E" w:rsidRDefault="00EE1918" w:rsidP="00E0077E">
            <w:pPr>
              <w:pStyle w:val="TableTextRight"/>
            </w:pPr>
            <w:r w:rsidRPr="00962AC7">
              <w:t>–</w:t>
            </w:r>
          </w:p>
        </w:tc>
        <w:tc>
          <w:tcPr>
            <w:tcW w:w="1134" w:type="dxa"/>
            <w:noWrap/>
          </w:tcPr>
          <w:p w14:paraId="3A347040" w14:textId="4776BD5D" w:rsidR="00EE1918" w:rsidRPr="00E0077E" w:rsidRDefault="00EE1918" w:rsidP="00E0077E">
            <w:pPr>
              <w:pStyle w:val="TableTextRight"/>
            </w:pPr>
            <w:r w:rsidRPr="00962AC7">
              <w:t xml:space="preserve"> 178 </w:t>
            </w:r>
          </w:p>
        </w:tc>
      </w:tr>
      <w:tr w:rsidR="005E0F90" w:rsidRPr="00DF31C0" w14:paraId="46029CD0" w14:textId="77777777" w:rsidTr="0006086F">
        <w:trPr>
          <w:trHeight w:val="20"/>
        </w:trPr>
        <w:tc>
          <w:tcPr>
            <w:tcW w:w="1985" w:type="dxa"/>
          </w:tcPr>
          <w:p w14:paraId="3EBCD957" w14:textId="07242DF4" w:rsidR="00EE1918" w:rsidRPr="00DF31C0" w:rsidRDefault="00EE1918" w:rsidP="00625DAB">
            <w:pPr>
              <w:pStyle w:val="TableTextLeft"/>
            </w:pPr>
            <w:r w:rsidRPr="00DF31C0">
              <w:t>Structured Finance Support Fund</w:t>
            </w:r>
            <w:r w:rsidRPr="00B840B0">
              <w:rPr>
                <w:vertAlign w:val="superscript"/>
              </w:rPr>
              <w:t>(d)</w:t>
            </w:r>
          </w:p>
        </w:tc>
        <w:tc>
          <w:tcPr>
            <w:tcW w:w="425" w:type="dxa"/>
            <w:noWrap/>
          </w:tcPr>
          <w:p w14:paraId="6DEABF7C" w14:textId="77777777" w:rsidR="00EE1918" w:rsidRPr="005E0F90" w:rsidRDefault="00EE1918" w:rsidP="005E0F90">
            <w:pPr>
              <w:pStyle w:val="TableTextCentered"/>
              <w:rPr>
                <w:b/>
                <w:bCs/>
              </w:rPr>
            </w:pPr>
          </w:p>
        </w:tc>
        <w:tc>
          <w:tcPr>
            <w:tcW w:w="1559" w:type="dxa"/>
            <w:noWrap/>
          </w:tcPr>
          <w:p w14:paraId="61C0F2ED" w14:textId="3BA6DA8B" w:rsidR="00EE1918" w:rsidRPr="005E0F90" w:rsidRDefault="00EE1918" w:rsidP="005E0F90">
            <w:pPr>
              <w:pStyle w:val="TableTextRight"/>
            </w:pPr>
            <w:r w:rsidRPr="005E0F90">
              <w:t>15,134,604</w:t>
            </w:r>
          </w:p>
        </w:tc>
        <w:tc>
          <w:tcPr>
            <w:tcW w:w="1134" w:type="dxa"/>
            <w:noWrap/>
          </w:tcPr>
          <w:p w14:paraId="42346A1B" w14:textId="0B1ADB65" w:rsidR="00EE1918" w:rsidRPr="005E0F90" w:rsidRDefault="00EE1918" w:rsidP="005E0F90">
            <w:pPr>
              <w:pStyle w:val="TableTextRight"/>
            </w:pPr>
            <w:r w:rsidRPr="005E0F90">
              <w:t xml:space="preserve"> 3 </w:t>
            </w:r>
          </w:p>
        </w:tc>
        <w:tc>
          <w:tcPr>
            <w:tcW w:w="1560" w:type="dxa"/>
            <w:noWrap/>
          </w:tcPr>
          <w:p w14:paraId="6FD758E2" w14:textId="1203AF8D" w:rsidR="00EE1918" w:rsidRPr="005E0F90" w:rsidRDefault="00EE1918" w:rsidP="005E0F90">
            <w:pPr>
              <w:pStyle w:val="TableTextRight"/>
            </w:pPr>
            <w:r w:rsidRPr="005E0F90">
              <w:t>–</w:t>
            </w:r>
          </w:p>
        </w:tc>
        <w:tc>
          <w:tcPr>
            <w:tcW w:w="1134" w:type="dxa"/>
            <w:noWrap/>
          </w:tcPr>
          <w:p w14:paraId="3379D674" w14:textId="314B7FD0" w:rsidR="00EE1918" w:rsidRPr="005E0F90" w:rsidRDefault="00EE1918" w:rsidP="005E0F90">
            <w:pPr>
              <w:pStyle w:val="TableTextRight"/>
            </w:pPr>
            <w:r w:rsidRPr="005E0F90">
              <w:t xml:space="preserve"> 15,134,601 </w:t>
            </w:r>
          </w:p>
        </w:tc>
      </w:tr>
      <w:tr w:rsidR="005E0F90" w:rsidRPr="00DF31C0" w14:paraId="6C917F25" w14:textId="77777777" w:rsidTr="0006086F">
        <w:trPr>
          <w:trHeight w:val="20"/>
        </w:trPr>
        <w:tc>
          <w:tcPr>
            <w:tcW w:w="1985" w:type="dxa"/>
          </w:tcPr>
          <w:p w14:paraId="7A7719C4" w14:textId="327279C2" w:rsidR="00EE1918" w:rsidRPr="00DF31C0" w:rsidRDefault="00EE1918" w:rsidP="00625DAB">
            <w:pPr>
              <w:pStyle w:val="TableTextLeft"/>
            </w:pPr>
            <w:r w:rsidRPr="00DF31C0">
              <w:t>Australian Business Securitisation Fund</w:t>
            </w:r>
            <w:r w:rsidRPr="00B840B0">
              <w:rPr>
                <w:vertAlign w:val="superscript"/>
              </w:rPr>
              <w:t>(e)</w:t>
            </w:r>
          </w:p>
        </w:tc>
        <w:tc>
          <w:tcPr>
            <w:tcW w:w="425" w:type="dxa"/>
            <w:noWrap/>
          </w:tcPr>
          <w:p w14:paraId="4624656B" w14:textId="77777777" w:rsidR="00EE1918" w:rsidRPr="005E0F90" w:rsidRDefault="00EE1918" w:rsidP="005E0F90">
            <w:pPr>
              <w:pStyle w:val="TableTextCentered"/>
              <w:rPr>
                <w:b/>
                <w:bCs/>
              </w:rPr>
            </w:pPr>
          </w:p>
        </w:tc>
        <w:tc>
          <w:tcPr>
            <w:tcW w:w="1559" w:type="dxa"/>
            <w:noWrap/>
          </w:tcPr>
          <w:p w14:paraId="7D53A564" w14:textId="205F5D74" w:rsidR="00EE1918" w:rsidRPr="005E0F90" w:rsidRDefault="00EE1918" w:rsidP="005E0F90">
            <w:pPr>
              <w:pStyle w:val="TableTextRight"/>
            </w:pPr>
            <w:r w:rsidRPr="005E0F90">
              <w:t>2,022,947</w:t>
            </w:r>
          </w:p>
        </w:tc>
        <w:tc>
          <w:tcPr>
            <w:tcW w:w="1134" w:type="dxa"/>
            <w:noWrap/>
          </w:tcPr>
          <w:p w14:paraId="0CFCE046" w14:textId="0590E19E" w:rsidR="00EE1918" w:rsidRPr="005E0F90" w:rsidRDefault="00EE1918" w:rsidP="005E0F90">
            <w:pPr>
              <w:pStyle w:val="TableTextRight"/>
            </w:pPr>
            <w:r w:rsidRPr="005E0F90">
              <w:t xml:space="preserve"> 189,295 </w:t>
            </w:r>
          </w:p>
        </w:tc>
        <w:tc>
          <w:tcPr>
            <w:tcW w:w="1560" w:type="dxa"/>
            <w:noWrap/>
          </w:tcPr>
          <w:p w14:paraId="5C34831E" w14:textId="6CB5D087" w:rsidR="00EE1918" w:rsidRPr="005E0F90" w:rsidRDefault="00EE1918" w:rsidP="005E0F90">
            <w:pPr>
              <w:pStyle w:val="TableTextRight"/>
            </w:pPr>
            <w:r w:rsidRPr="005E0F90">
              <w:t>–</w:t>
            </w:r>
          </w:p>
        </w:tc>
        <w:tc>
          <w:tcPr>
            <w:tcW w:w="1134" w:type="dxa"/>
            <w:noWrap/>
          </w:tcPr>
          <w:p w14:paraId="6596FDBF" w14:textId="38731F09" w:rsidR="00EE1918" w:rsidRPr="005E0F90" w:rsidRDefault="00EE1918" w:rsidP="005E0F90">
            <w:pPr>
              <w:pStyle w:val="TableTextRight"/>
            </w:pPr>
            <w:r w:rsidRPr="005E0F90">
              <w:t xml:space="preserve"> 1,833,652 </w:t>
            </w:r>
          </w:p>
        </w:tc>
      </w:tr>
      <w:tr w:rsidR="005E0F90" w:rsidRPr="00DF31C0" w14:paraId="33CFDE7C" w14:textId="77777777" w:rsidTr="0006086F">
        <w:trPr>
          <w:trHeight w:val="20"/>
        </w:trPr>
        <w:tc>
          <w:tcPr>
            <w:tcW w:w="1985" w:type="dxa"/>
          </w:tcPr>
          <w:p w14:paraId="24C7AAD3" w14:textId="578B1E65" w:rsidR="005E0F90" w:rsidRPr="00EF1CE1" w:rsidRDefault="001906B5" w:rsidP="00625DAB">
            <w:pPr>
              <w:pStyle w:val="TableTextLeft"/>
            </w:pPr>
            <w:r w:rsidRPr="00EF1CE1">
              <w:t>Total special accounts</w:t>
            </w:r>
          </w:p>
        </w:tc>
        <w:tc>
          <w:tcPr>
            <w:tcW w:w="425" w:type="dxa"/>
            <w:noWrap/>
          </w:tcPr>
          <w:p w14:paraId="1AF12836" w14:textId="77777777" w:rsidR="005E0F90" w:rsidRPr="0053723C" w:rsidRDefault="005E0F90" w:rsidP="005E0F90">
            <w:pPr>
              <w:pStyle w:val="TableTextCentered"/>
              <w:rPr>
                <w:rFonts w:eastAsia="Arial" w:cs="Times New Roman (Body CS)"/>
                <w:b/>
                <w:bCs/>
              </w:rPr>
            </w:pPr>
            <w:r w:rsidRPr="0053723C">
              <w:rPr>
                <w:rFonts w:eastAsia="Arial" w:cs="Times New Roman (Body CS)"/>
                <w:b/>
                <w:bCs/>
              </w:rPr>
              <w:t>D</w:t>
            </w:r>
          </w:p>
        </w:tc>
        <w:tc>
          <w:tcPr>
            <w:tcW w:w="1559" w:type="dxa"/>
            <w:noWrap/>
          </w:tcPr>
          <w:p w14:paraId="30A06501" w14:textId="2A6896E8" w:rsidR="005E0F90" w:rsidRPr="00EF1CE1" w:rsidRDefault="005E0F90" w:rsidP="005E0F90">
            <w:pPr>
              <w:pStyle w:val="TableTextRight"/>
            </w:pPr>
            <w:r w:rsidRPr="00EF1CE1">
              <w:t>17,157,729</w:t>
            </w:r>
          </w:p>
        </w:tc>
        <w:tc>
          <w:tcPr>
            <w:tcW w:w="1134" w:type="dxa"/>
            <w:noWrap/>
          </w:tcPr>
          <w:p w14:paraId="144F927C" w14:textId="09721E99" w:rsidR="005E0F90" w:rsidRPr="00EF1CE1" w:rsidRDefault="005E0F90" w:rsidP="005E0F90">
            <w:pPr>
              <w:pStyle w:val="TableTextRight"/>
            </w:pPr>
            <w:r w:rsidRPr="00EF1CE1">
              <w:t>189,298</w:t>
            </w:r>
          </w:p>
        </w:tc>
        <w:tc>
          <w:tcPr>
            <w:tcW w:w="1560" w:type="dxa"/>
            <w:noWrap/>
          </w:tcPr>
          <w:p w14:paraId="4BB35E96" w14:textId="25854377" w:rsidR="005E0F90" w:rsidRPr="00EF1CE1" w:rsidRDefault="005E0F90" w:rsidP="005E0F90">
            <w:pPr>
              <w:pStyle w:val="TableTextRight"/>
            </w:pPr>
            <w:r w:rsidRPr="00EF1CE1">
              <w:t>0</w:t>
            </w:r>
          </w:p>
        </w:tc>
        <w:tc>
          <w:tcPr>
            <w:tcW w:w="1134" w:type="dxa"/>
            <w:noWrap/>
          </w:tcPr>
          <w:p w14:paraId="3B407B88" w14:textId="0F451820" w:rsidR="005E0F90" w:rsidRPr="005E0F90" w:rsidRDefault="005E0F90" w:rsidP="005E0F90">
            <w:pPr>
              <w:pStyle w:val="TableTextRight"/>
            </w:pPr>
          </w:p>
        </w:tc>
      </w:tr>
      <w:tr w:rsidR="005E0F90" w:rsidRPr="00DF31C0" w14:paraId="712AC8A5" w14:textId="77777777" w:rsidTr="0006086F">
        <w:trPr>
          <w:trHeight w:val="20"/>
        </w:trPr>
        <w:tc>
          <w:tcPr>
            <w:tcW w:w="1985" w:type="dxa"/>
          </w:tcPr>
          <w:p w14:paraId="4896F8DD" w14:textId="3A9CB64F" w:rsidR="005E0F90" w:rsidRPr="00DF31C0" w:rsidRDefault="002D7C67" w:rsidP="00625DAB">
            <w:pPr>
              <w:pStyle w:val="TableTextLeft"/>
            </w:pPr>
            <w:r w:rsidRPr="002D7C67">
              <w:rPr>
                <w:b/>
              </w:rPr>
              <w:t xml:space="preserve">Total net resourcing and payments for the AOFM </w:t>
            </w:r>
            <w:r w:rsidRPr="002D7C67">
              <w:rPr>
                <w:b/>
              </w:rPr>
              <w:br/>
              <w:t>(A + B + C + D)</w:t>
            </w:r>
          </w:p>
        </w:tc>
        <w:tc>
          <w:tcPr>
            <w:tcW w:w="425" w:type="dxa"/>
            <w:noWrap/>
          </w:tcPr>
          <w:p w14:paraId="62D60A81" w14:textId="77777777" w:rsidR="005E0F90" w:rsidRPr="005E0F90" w:rsidRDefault="005E0F90" w:rsidP="005E0F90">
            <w:pPr>
              <w:pStyle w:val="TableTextCentered"/>
              <w:rPr>
                <w:rFonts w:eastAsia="Arial" w:cs="Times New Roman (Body CS)"/>
                <w:b/>
                <w:bCs/>
              </w:rPr>
            </w:pPr>
          </w:p>
        </w:tc>
        <w:tc>
          <w:tcPr>
            <w:tcW w:w="1559" w:type="dxa"/>
            <w:noWrap/>
          </w:tcPr>
          <w:p w14:paraId="485DD6FF" w14:textId="499D3C25" w:rsidR="005E0F90" w:rsidRPr="005E0F90" w:rsidRDefault="005E0F90" w:rsidP="005E0F90">
            <w:pPr>
              <w:pStyle w:val="TableTextRight"/>
              <w:rPr>
                <w:b/>
                <w:bCs/>
              </w:rPr>
            </w:pPr>
            <w:r w:rsidRPr="005E0F90">
              <w:rPr>
                <w:b/>
                <w:bCs/>
              </w:rPr>
              <w:t>237,635,990</w:t>
            </w:r>
          </w:p>
        </w:tc>
        <w:tc>
          <w:tcPr>
            <w:tcW w:w="1134" w:type="dxa"/>
            <w:noWrap/>
          </w:tcPr>
          <w:p w14:paraId="530DD033" w14:textId="4FBF1DCC" w:rsidR="005E0F90" w:rsidRPr="005E0F90" w:rsidRDefault="005E0F90" w:rsidP="005E0F90">
            <w:pPr>
              <w:pStyle w:val="TableTextRight"/>
              <w:rPr>
                <w:b/>
                <w:bCs/>
              </w:rPr>
            </w:pPr>
            <w:r w:rsidRPr="005E0F90">
              <w:rPr>
                <w:b/>
                <w:bCs/>
              </w:rPr>
              <w:t>220,631,112</w:t>
            </w:r>
          </w:p>
        </w:tc>
        <w:tc>
          <w:tcPr>
            <w:tcW w:w="1560" w:type="dxa"/>
            <w:noWrap/>
          </w:tcPr>
          <w:p w14:paraId="53F90D04" w14:textId="78A84111" w:rsidR="005E0F90" w:rsidRPr="005E0F90" w:rsidRDefault="005E0F90" w:rsidP="005E0F90">
            <w:pPr>
              <w:pStyle w:val="TableTextRight"/>
              <w:rPr>
                <w:b/>
                <w:bCs/>
              </w:rPr>
            </w:pPr>
            <w:r w:rsidRPr="005E0F90">
              <w:rPr>
                <w:b/>
                <w:bCs/>
              </w:rPr>
              <w:t>0</w:t>
            </w:r>
          </w:p>
        </w:tc>
        <w:tc>
          <w:tcPr>
            <w:tcW w:w="1134" w:type="dxa"/>
            <w:noWrap/>
          </w:tcPr>
          <w:p w14:paraId="14754027" w14:textId="32489E0B" w:rsidR="005E0F90" w:rsidRPr="005E0F90" w:rsidRDefault="005E0F90" w:rsidP="005E0F90">
            <w:pPr>
              <w:pStyle w:val="TableTextRight"/>
              <w:rPr>
                <w:b/>
                <w:bCs/>
              </w:rPr>
            </w:pPr>
            <w:r w:rsidRPr="005E0F90">
              <w:rPr>
                <w:b/>
                <w:bCs/>
              </w:rPr>
              <w:t>17,004,878</w:t>
            </w:r>
          </w:p>
        </w:tc>
      </w:tr>
    </w:tbl>
    <w:p w14:paraId="704C6F05" w14:textId="1CD3E64A" w:rsidR="000208E2" w:rsidRPr="00511B71" w:rsidRDefault="000208E2" w:rsidP="006D2EDF">
      <w:pPr>
        <w:pStyle w:val="ChartorTableNoteAlpha"/>
        <w:numPr>
          <w:ilvl w:val="0"/>
          <w:numId w:val="55"/>
        </w:numPr>
      </w:pPr>
      <w:r w:rsidRPr="00511B71">
        <w:t xml:space="preserve">Actual available appropriation comprises Ordinary Annual Services of the Government </w:t>
      </w:r>
      <w:r w:rsidR="00EE1918" w:rsidRPr="00511B71">
        <w:t>–</w:t>
      </w:r>
      <w:r w:rsidRPr="00511B71">
        <w:t xml:space="preserve"> Appropriation Act (No. 1) </w:t>
      </w:r>
      <w:r w:rsidR="00EE1918" w:rsidRPr="00511B71">
        <w:t>o</w:t>
      </w:r>
      <w:r w:rsidRPr="00511B71">
        <w:t xml:space="preserve">perating plus carried forward appropriation balances as </w:t>
      </w:r>
      <w:proofErr w:type="gramStart"/>
      <w:r w:rsidRPr="00511B71">
        <w:t>at</w:t>
      </w:r>
      <w:proofErr w:type="gramEnd"/>
      <w:r w:rsidRPr="00511B71">
        <w:t xml:space="preserve"> 1 July 2024.</w:t>
      </w:r>
    </w:p>
    <w:p w14:paraId="3F4BFEDD" w14:textId="5C768359" w:rsidR="000208E2" w:rsidRPr="006B2FDC" w:rsidRDefault="000208E2" w:rsidP="006D2EDF">
      <w:pPr>
        <w:pStyle w:val="ChartorTableNoteAlpha"/>
        <w:numPr>
          <w:ilvl w:val="0"/>
          <w:numId w:val="38"/>
        </w:numPr>
      </w:pPr>
      <w:r w:rsidRPr="0071591D">
        <w:t xml:space="preserve">Includes capital budget appropriation </w:t>
      </w:r>
      <w:r w:rsidRPr="001F10B3">
        <w:rPr>
          <w:i/>
        </w:rPr>
        <w:t xml:space="preserve">Ordinary Annual Services of the Government </w:t>
      </w:r>
      <w:r w:rsidR="00EE1918" w:rsidRPr="001F10B3">
        <w:rPr>
          <w:i/>
          <w:iCs/>
        </w:rPr>
        <w:t>–</w:t>
      </w:r>
      <w:r w:rsidRPr="001F10B3">
        <w:rPr>
          <w:i/>
        </w:rPr>
        <w:t xml:space="preserve"> Appropriation Act (No. 1)</w:t>
      </w:r>
      <w:r w:rsidRPr="0071591D">
        <w:t xml:space="preserve"> DCB for 202</w:t>
      </w:r>
      <w:r>
        <w:t>4</w:t>
      </w:r>
      <w:r w:rsidR="00B84FF2">
        <w:noBreakHyphen/>
      </w:r>
      <w:r>
        <w:t>25</w:t>
      </w:r>
      <w:r w:rsidRPr="0071591D">
        <w:t xml:space="preserve"> of $0.</w:t>
      </w:r>
      <w:r>
        <w:t>405</w:t>
      </w:r>
      <w:r w:rsidRPr="0071591D">
        <w:t xml:space="preserve"> million</w:t>
      </w:r>
      <w:r w:rsidRPr="006B2FDC">
        <w:t>.</w:t>
      </w:r>
    </w:p>
    <w:p w14:paraId="617D3B6D" w14:textId="0ED1E759" w:rsidR="000208E2" w:rsidRPr="006B2FDC" w:rsidRDefault="000208E2" w:rsidP="001F10B3">
      <w:pPr>
        <w:pStyle w:val="ChartorTableNoteAlpha"/>
      </w:pPr>
      <w:r w:rsidRPr="006B2FDC">
        <w:t xml:space="preserve">Receipts received under section 74 of </w:t>
      </w:r>
      <w:r w:rsidRPr="00B840B0">
        <w:t>the</w:t>
      </w:r>
      <w:r w:rsidRPr="006B2FDC">
        <w:t xml:space="preserve"> Public Governance, Performance and Accountability Act 2013.</w:t>
      </w:r>
    </w:p>
    <w:p w14:paraId="1C5DA7F4" w14:textId="032C2474" w:rsidR="000208E2" w:rsidRPr="006B2FDC" w:rsidRDefault="00EE1918" w:rsidP="001F10B3">
      <w:pPr>
        <w:pStyle w:val="ChartorTableNoteAlpha"/>
      </w:pPr>
      <w:r>
        <w:t xml:space="preserve">The </w:t>
      </w:r>
      <w:r w:rsidR="000208E2" w:rsidRPr="006B2FDC">
        <w:t>Structured Finance Support Fund Special Account was established in March 2020. The special account received statutory funding of $15 billion on 25 March 2020.</w:t>
      </w:r>
    </w:p>
    <w:p w14:paraId="50010FEF" w14:textId="0466E35B" w:rsidR="005E0F90" w:rsidRDefault="00EE1918" w:rsidP="001F10B3">
      <w:pPr>
        <w:pStyle w:val="ChartorTableNoteAlpha"/>
      </w:pPr>
      <w:r>
        <w:t xml:space="preserve">The </w:t>
      </w:r>
      <w:r w:rsidR="000208E2" w:rsidRPr="00DA3530">
        <w:t>Australian Business Securitisation Fund Special Account was established in April 2019</w:t>
      </w:r>
      <w:r w:rsidR="00F45A4D">
        <w:t xml:space="preserve"> and received $</w:t>
      </w:r>
      <w:r>
        <w:t>2 </w:t>
      </w:r>
      <w:r w:rsidR="00F45A4D">
        <w:t xml:space="preserve">billion of funding </w:t>
      </w:r>
      <w:r w:rsidR="00BB50DF">
        <w:t>over 5 years.</w:t>
      </w:r>
      <w:r w:rsidR="000208E2">
        <w:t xml:space="preserve"> </w:t>
      </w:r>
    </w:p>
    <w:p w14:paraId="7A2CCC8F" w14:textId="77777777" w:rsidR="005E0F90" w:rsidRDefault="005E0F90" w:rsidP="00A917D4">
      <w:pPr>
        <w:rPr>
          <w:rFonts w:eastAsia="Times New Roman" w:cs="Times New Roman"/>
          <w:color w:val="000000"/>
          <w:spacing w:val="-2"/>
          <w:sz w:val="16"/>
          <w:lang w:eastAsia="en-AU"/>
        </w:rPr>
      </w:pPr>
      <w:r>
        <w:br w:type="page"/>
      </w:r>
    </w:p>
    <w:p w14:paraId="14DD69B1" w14:textId="3807FA5A" w:rsidR="002E3358" w:rsidRPr="00A917D4" w:rsidRDefault="00A917D4" w:rsidP="00592520">
      <w:pPr>
        <w:pStyle w:val="Heading1-alpha"/>
      </w:pPr>
      <w:bookmarkStart w:id="1531" w:name="_Toc207792921"/>
      <w:bookmarkStart w:id="1532" w:name="_Toc207793960"/>
      <w:bookmarkStart w:id="1533" w:name="_Toc207795658"/>
      <w:bookmarkStart w:id="1534" w:name="_Toc207796117"/>
      <w:bookmarkStart w:id="1535" w:name="_Toc207796965"/>
      <w:bookmarkStart w:id="1536" w:name="_Toc207797308"/>
      <w:bookmarkStart w:id="1537" w:name="_Toc207800267"/>
      <w:bookmarkStart w:id="1538" w:name="_Toc207810845"/>
      <w:bookmarkStart w:id="1539" w:name="_Toc208913983"/>
      <w:bookmarkStart w:id="1540" w:name="_Toc208914124"/>
      <w:bookmarkStart w:id="1541" w:name="_Toc209424521"/>
      <w:bookmarkStart w:id="1542" w:name="_Toc209424601"/>
      <w:r w:rsidRPr="00A917D4">
        <w:lastRenderedPageBreak/>
        <w:t>Australian public service net zero 2030</w:t>
      </w:r>
      <w:bookmarkStart w:id="1543" w:name="_Toc144813607"/>
      <w:bookmarkStart w:id="1544" w:name="_Toc145684563"/>
      <w:bookmarkStart w:id="1545" w:name="_Toc145685163"/>
      <w:bookmarkStart w:id="1546" w:name="_Toc145686116"/>
      <w:bookmarkStart w:id="1547" w:name="_Toc145686315"/>
      <w:bookmarkStart w:id="1548" w:name="_Toc145686514"/>
      <w:bookmarkStart w:id="1549" w:name="_Toc145686815"/>
      <w:bookmarkStart w:id="1550" w:name="_Toc173327348"/>
      <w:bookmarkStart w:id="1551" w:name="_Toc173327801"/>
      <w:r w:rsidRPr="00A917D4">
        <w:t xml:space="preserve"> Greenhouse Gas Emissions Inventory</w:t>
      </w:r>
      <w:bookmarkEnd w:id="1531"/>
      <w:bookmarkEnd w:id="1532"/>
      <w:bookmarkEnd w:id="1533"/>
      <w:bookmarkEnd w:id="1534"/>
      <w:bookmarkEnd w:id="1535"/>
      <w:bookmarkEnd w:id="1536"/>
      <w:bookmarkEnd w:id="1537"/>
      <w:bookmarkEnd w:id="1538"/>
      <w:bookmarkEnd w:id="1539"/>
      <w:bookmarkEnd w:id="1540"/>
      <w:bookmarkEnd w:id="1543"/>
      <w:bookmarkEnd w:id="1544"/>
      <w:bookmarkEnd w:id="1545"/>
      <w:bookmarkEnd w:id="1546"/>
      <w:bookmarkEnd w:id="1547"/>
      <w:bookmarkEnd w:id="1548"/>
      <w:bookmarkEnd w:id="1549"/>
      <w:bookmarkEnd w:id="1550"/>
      <w:bookmarkEnd w:id="1551"/>
      <w:bookmarkEnd w:id="1541"/>
      <w:bookmarkEnd w:id="1542"/>
    </w:p>
    <w:p w14:paraId="26AF75B6" w14:textId="2D1B81E8" w:rsidR="003D5C6E" w:rsidRPr="003D5C6E" w:rsidRDefault="003D5C6E" w:rsidP="00246911">
      <w:pPr>
        <w:spacing w:line="264" w:lineRule="auto"/>
      </w:pPr>
      <w:bookmarkStart w:id="1552" w:name="_Toc170206689"/>
      <w:bookmarkStart w:id="1553" w:name="_Toc170206974"/>
      <w:bookmarkStart w:id="1554" w:name="_Toc170207111"/>
      <w:r w:rsidRPr="003D5C6E">
        <w:t xml:space="preserve">As part of the Net Zero in Government Operations Strategy, and the reporting requirements under section 516A of the </w:t>
      </w:r>
      <w:r w:rsidRPr="00653752">
        <w:rPr>
          <w:i/>
        </w:rPr>
        <w:t>Environment Protection and Biodiversity Conservation Act 1999</w:t>
      </w:r>
      <w:r w:rsidRPr="003D5C6E">
        <w:t>, non</w:t>
      </w:r>
      <w:r w:rsidR="00B84FF2">
        <w:noBreakHyphen/>
      </w:r>
      <w:r w:rsidRPr="003D5C6E">
        <w:t>corporate Commonwealth entities are required to report on their operational greenhouse gas emissions.</w:t>
      </w:r>
    </w:p>
    <w:p w14:paraId="3443842F" w14:textId="7FA295E4" w:rsidR="003D5C6E" w:rsidRPr="003D5C6E" w:rsidRDefault="003D5C6E" w:rsidP="00246911">
      <w:pPr>
        <w:spacing w:line="264" w:lineRule="auto"/>
      </w:pPr>
      <w:r w:rsidRPr="003D5C6E">
        <w:t xml:space="preserve">The tables </w:t>
      </w:r>
      <w:r w:rsidR="00162E08">
        <w:t xml:space="preserve">below </w:t>
      </w:r>
      <w:r w:rsidRPr="003D5C6E">
        <w:t>present</w:t>
      </w:r>
      <w:r w:rsidR="00162E08">
        <w:t xml:space="preserve"> the</w:t>
      </w:r>
      <w:r w:rsidRPr="003D5C6E">
        <w:t xml:space="preserve"> greenhouse gas emissions </w:t>
      </w:r>
      <w:r w:rsidR="00162E08">
        <w:t xml:space="preserve">for the Australian Office of Financial Management (AOFM) </w:t>
      </w:r>
      <w:r w:rsidRPr="003D5C6E">
        <w:t xml:space="preserve">over the 2024–25 financial year. The greenhouse gas emissions reported are calculated </w:t>
      </w:r>
      <w:proofErr w:type="gramStart"/>
      <w:r w:rsidRPr="003D5C6E">
        <w:t>on the basis of</w:t>
      </w:r>
      <w:proofErr w:type="gramEnd"/>
      <w:r w:rsidRPr="003D5C6E">
        <w:t xml:space="preserve"> </w:t>
      </w:r>
      <w:r w:rsidR="00162E08">
        <w:t>c</w:t>
      </w:r>
      <w:r w:rsidR="00162E08" w:rsidRPr="003D5C6E">
        <w:t xml:space="preserve">arbon </w:t>
      </w:r>
      <w:r w:rsidR="00162E08">
        <w:t>d</w:t>
      </w:r>
      <w:r w:rsidR="00162E08" w:rsidRPr="003D5C6E">
        <w:t xml:space="preserve">ioxide </w:t>
      </w:r>
      <w:r w:rsidR="00162E08">
        <w:t>e</w:t>
      </w:r>
      <w:r w:rsidRPr="003D5C6E">
        <w:t>quivalent (CO</w:t>
      </w:r>
      <w:r w:rsidRPr="00D1684D">
        <w:rPr>
          <w:vertAlign w:val="subscript"/>
        </w:rPr>
        <w:t>2</w:t>
      </w:r>
      <w:r w:rsidR="00B84FF2">
        <w:noBreakHyphen/>
      </w:r>
      <w:r w:rsidRPr="003D5C6E">
        <w:t>e) and in line with the</w:t>
      </w:r>
      <w:r w:rsidR="00162E08" w:rsidRPr="003D5C6E">
        <w:t xml:space="preserve"> </w:t>
      </w:r>
      <w:r w:rsidRPr="003D5C6E">
        <w:t xml:space="preserve">Emissions Reporting Framework. This is consistent with a </w:t>
      </w:r>
      <w:r w:rsidR="00162E08">
        <w:t>w</w:t>
      </w:r>
      <w:r w:rsidR="00162E08" w:rsidRPr="003D5C6E">
        <w:t>hole</w:t>
      </w:r>
      <w:r w:rsidR="00B84FF2">
        <w:noBreakHyphen/>
      </w:r>
      <w:r w:rsidRPr="003D5C6E">
        <w:t>of</w:t>
      </w:r>
      <w:r w:rsidR="00B84FF2">
        <w:noBreakHyphen/>
      </w:r>
      <w:r w:rsidR="00162E08">
        <w:t>g</w:t>
      </w:r>
      <w:r w:rsidRPr="003D5C6E">
        <w:t xml:space="preserve">overnment approach, outlined in the Net Zero in Government Operations Strategy and </w:t>
      </w:r>
      <w:r w:rsidR="00162E08">
        <w:t xml:space="preserve">in </w:t>
      </w:r>
      <w:r w:rsidRPr="003D5C6E">
        <w:t>Commonwealth Climate Disclosure requirements.</w:t>
      </w:r>
    </w:p>
    <w:p w14:paraId="1D32DA57" w14:textId="65547F6A" w:rsidR="003D5C6E" w:rsidRPr="003E4251" w:rsidRDefault="003D5C6E" w:rsidP="00F61C80">
      <w:pPr>
        <w:pStyle w:val="TableMainHeading"/>
      </w:pPr>
      <w:r w:rsidRPr="00344191">
        <w:t xml:space="preserve">Table </w:t>
      </w:r>
      <w:r w:rsidR="00EF7B0F">
        <w:t>3</w:t>
      </w:r>
      <w:r w:rsidR="00291985">
        <w:t>1</w:t>
      </w:r>
      <w:r w:rsidRPr="003E4251">
        <w:t>: 2024</w:t>
      </w:r>
      <w:r w:rsidR="00162E08">
        <w:t>–</w:t>
      </w:r>
      <w:r w:rsidRPr="003E4251">
        <w:t xml:space="preserve">25 </w:t>
      </w:r>
      <w:r w:rsidR="00162E08">
        <w:t>g</w:t>
      </w:r>
      <w:r w:rsidR="00162E08" w:rsidRPr="003E4251">
        <w:t xml:space="preserve">reenhouse </w:t>
      </w:r>
      <w:r w:rsidRPr="003E4251">
        <w:t xml:space="preserve">gas emissions inventory </w:t>
      </w:r>
      <w:r w:rsidR="00162E08">
        <w:t>–</w:t>
      </w:r>
      <w:r w:rsidRPr="003E4251">
        <w:t xml:space="preserve"> location</w:t>
      </w:r>
      <w:r w:rsidR="00B84FF2">
        <w:noBreakHyphen/>
      </w:r>
      <w:r w:rsidRPr="003E4251">
        <w:t>based method</w:t>
      </w:r>
    </w:p>
    <w:tbl>
      <w:tblPr>
        <w:tblStyle w:val="AOFMTablemain"/>
        <w:tblW w:w="5000" w:type="pct"/>
        <w:tblLook w:val="04A0" w:firstRow="1" w:lastRow="0" w:firstColumn="1" w:lastColumn="0" w:noHBand="0" w:noVBand="1"/>
      </w:tblPr>
      <w:tblGrid>
        <w:gridCol w:w="3262"/>
        <w:gridCol w:w="1314"/>
        <w:gridCol w:w="1043"/>
        <w:gridCol w:w="1064"/>
        <w:gridCol w:w="1028"/>
      </w:tblGrid>
      <w:tr w:rsidR="006C235E" w:rsidRPr="00D50F4B" w14:paraId="22249A1C" w14:textId="77777777" w:rsidTr="00246911">
        <w:trPr>
          <w:cnfStyle w:val="100000000000" w:firstRow="1" w:lastRow="0" w:firstColumn="0" w:lastColumn="0" w:oddVBand="0" w:evenVBand="0" w:oddHBand="0" w:evenHBand="0" w:firstRowFirstColumn="0" w:firstRowLastColumn="0" w:lastRowFirstColumn="0" w:lastRowLastColumn="0"/>
          <w:trHeight w:val="270"/>
        </w:trPr>
        <w:tc>
          <w:tcPr>
            <w:tcW w:w="3402" w:type="dxa"/>
            <w:tcMar>
              <w:top w:w="17" w:type="dxa"/>
              <w:bottom w:w="17" w:type="dxa"/>
            </w:tcMar>
            <w:vAlign w:val="bottom"/>
          </w:tcPr>
          <w:p w14:paraId="42EEF839" w14:textId="79A144A6" w:rsidR="003D5C6E" w:rsidRPr="00A917D4" w:rsidRDefault="003D5C6E" w:rsidP="00A917D4">
            <w:pPr>
              <w:pStyle w:val="TableColumnHeadingLeft"/>
            </w:pPr>
            <w:bookmarkStart w:id="1555" w:name="_Hlk203468326"/>
            <w:r w:rsidRPr="00A917D4">
              <w:t xml:space="preserve">Emissions </w:t>
            </w:r>
            <w:r w:rsidR="0063038C" w:rsidRPr="00A917D4">
              <w:t>source</w:t>
            </w:r>
          </w:p>
        </w:tc>
        <w:tc>
          <w:tcPr>
            <w:tcW w:w="1350" w:type="dxa"/>
            <w:tcMar>
              <w:top w:w="17" w:type="dxa"/>
              <w:bottom w:w="17" w:type="dxa"/>
            </w:tcMar>
          </w:tcPr>
          <w:p w14:paraId="64B57A85" w14:textId="6AACC994" w:rsidR="003D5C6E" w:rsidRPr="00A917D4" w:rsidRDefault="003D5C6E" w:rsidP="00A917D4">
            <w:pPr>
              <w:pStyle w:val="TableColumnHeadingRight"/>
            </w:pPr>
            <w:r w:rsidRPr="00A917D4">
              <w:t>Scope 1</w:t>
            </w:r>
            <w:r w:rsidR="0063038C" w:rsidRPr="00A917D4">
              <w:br/>
            </w:r>
            <w:r w:rsidRPr="00A917D4">
              <w:t xml:space="preserve"> </w:t>
            </w:r>
            <w:r w:rsidR="0063038C" w:rsidRPr="00A917D4">
              <w:t>(</w:t>
            </w:r>
            <w:r w:rsidRPr="00A917D4">
              <w:t>t CO2</w:t>
            </w:r>
            <w:r w:rsidR="00B84FF2" w:rsidRPr="00A917D4">
              <w:noBreakHyphen/>
            </w:r>
            <w:r w:rsidRPr="00A917D4">
              <w:t>e</w:t>
            </w:r>
            <w:r w:rsidR="0063038C" w:rsidRPr="00A917D4">
              <w:t>)</w:t>
            </w:r>
          </w:p>
        </w:tc>
        <w:tc>
          <w:tcPr>
            <w:tcW w:w="1059" w:type="dxa"/>
            <w:tcMar>
              <w:top w:w="17" w:type="dxa"/>
              <w:bottom w:w="17" w:type="dxa"/>
            </w:tcMar>
          </w:tcPr>
          <w:p w14:paraId="212A3C06" w14:textId="779C7270" w:rsidR="003D5C6E" w:rsidRPr="00A917D4" w:rsidRDefault="003D5C6E" w:rsidP="00A917D4">
            <w:pPr>
              <w:pStyle w:val="TableColumnHeadingRight"/>
            </w:pPr>
            <w:r w:rsidRPr="00A917D4">
              <w:t xml:space="preserve">Scope 2 </w:t>
            </w:r>
            <w:r w:rsidR="0063038C" w:rsidRPr="00A917D4">
              <w:br/>
              <w:t>(</w:t>
            </w:r>
            <w:r w:rsidRPr="00A917D4">
              <w:t>t CO2</w:t>
            </w:r>
            <w:r w:rsidR="00B84FF2" w:rsidRPr="00A917D4">
              <w:noBreakHyphen/>
            </w:r>
            <w:r w:rsidRPr="00A917D4">
              <w:t>e</w:t>
            </w:r>
            <w:r w:rsidR="0063038C" w:rsidRPr="00A917D4">
              <w:t>)</w:t>
            </w:r>
          </w:p>
        </w:tc>
        <w:tc>
          <w:tcPr>
            <w:tcW w:w="1082" w:type="dxa"/>
            <w:tcMar>
              <w:top w:w="17" w:type="dxa"/>
              <w:bottom w:w="17" w:type="dxa"/>
            </w:tcMar>
          </w:tcPr>
          <w:p w14:paraId="6C4D87BF" w14:textId="55E75D93" w:rsidR="003D5C6E" w:rsidRPr="00A917D4" w:rsidRDefault="003D5C6E" w:rsidP="00A917D4">
            <w:pPr>
              <w:pStyle w:val="TableColumnHeadingRight"/>
            </w:pPr>
            <w:r w:rsidRPr="00A917D4">
              <w:t xml:space="preserve">Scope 3 </w:t>
            </w:r>
            <w:r w:rsidR="0063038C" w:rsidRPr="00A917D4">
              <w:br/>
              <w:t>(</w:t>
            </w:r>
            <w:r w:rsidRPr="00A917D4">
              <w:t>t CO2</w:t>
            </w:r>
            <w:r w:rsidR="00B84FF2" w:rsidRPr="00A917D4">
              <w:noBreakHyphen/>
            </w:r>
            <w:r w:rsidRPr="00A917D4">
              <w:t>e</w:t>
            </w:r>
            <w:r w:rsidR="0063038C" w:rsidRPr="00A917D4">
              <w:t>)</w:t>
            </w:r>
          </w:p>
        </w:tc>
        <w:tc>
          <w:tcPr>
            <w:tcW w:w="1043" w:type="dxa"/>
            <w:tcMar>
              <w:top w:w="17" w:type="dxa"/>
              <w:bottom w:w="17" w:type="dxa"/>
            </w:tcMar>
          </w:tcPr>
          <w:p w14:paraId="755D94DB" w14:textId="4BBAA433" w:rsidR="003D5C6E" w:rsidRPr="00A917D4" w:rsidRDefault="003D5C6E" w:rsidP="00A917D4">
            <w:pPr>
              <w:pStyle w:val="TableColumnHeadingRight"/>
            </w:pPr>
            <w:r w:rsidRPr="00A917D4">
              <w:t xml:space="preserve">Total </w:t>
            </w:r>
            <w:r w:rsidR="0063038C" w:rsidRPr="00A917D4">
              <w:br/>
              <w:t>(</w:t>
            </w:r>
            <w:r w:rsidRPr="00A917D4">
              <w:t>t CO2</w:t>
            </w:r>
            <w:r w:rsidR="00B84FF2" w:rsidRPr="00A917D4">
              <w:noBreakHyphen/>
            </w:r>
            <w:r w:rsidRPr="00A917D4">
              <w:t>e</w:t>
            </w:r>
            <w:r w:rsidR="0063038C" w:rsidRPr="00A917D4">
              <w:t>)</w:t>
            </w:r>
          </w:p>
        </w:tc>
      </w:tr>
      <w:tr w:rsidR="00162E08" w:rsidRPr="00D50F4B" w14:paraId="187CE428" w14:textId="77777777" w:rsidTr="00246911">
        <w:trPr>
          <w:trHeight w:val="234"/>
        </w:trPr>
        <w:tc>
          <w:tcPr>
            <w:tcW w:w="3402" w:type="dxa"/>
            <w:tcMar>
              <w:top w:w="17" w:type="dxa"/>
              <w:bottom w:w="17" w:type="dxa"/>
            </w:tcMar>
          </w:tcPr>
          <w:p w14:paraId="7138E415" w14:textId="6381BF20" w:rsidR="00162E08" w:rsidRPr="00A917D4" w:rsidRDefault="00162E08" w:rsidP="00625DAB">
            <w:pPr>
              <w:pStyle w:val="TableTextLeft"/>
            </w:pPr>
            <w:r w:rsidRPr="00A917D4">
              <w:t>Electricity</w:t>
            </w:r>
            <w:r w:rsidRPr="00A917D4">
              <w:rPr>
                <w:rStyle w:val="FootnoteReference"/>
              </w:rPr>
              <w:t>(a)</w:t>
            </w:r>
          </w:p>
        </w:tc>
        <w:tc>
          <w:tcPr>
            <w:tcW w:w="1350" w:type="dxa"/>
            <w:tcMar>
              <w:top w:w="17" w:type="dxa"/>
              <w:bottom w:w="17" w:type="dxa"/>
            </w:tcMar>
          </w:tcPr>
          <w:p w14:paraId="2E92F783" w14:textId="77777777" w:rsidR="00162E08" w:rsidRPr="00A917D4" w:rsidRDefault="00162E08" w:rsidP="00A917D4">
            <w:pPr>
              <w:pStyle w:val="TableTextRight"/>
            </w:pPr>
            <w:r w:rsidRPr="00A917D4">
              <w:t>N/A</w:t>
            </w:r>
          </w:p>
        </w:tc>
        <w:tc>
          <w:tcPr>
            <w:tcW w:w="1059" w:type="dxa"/>
            <w:tcMar>
              <w:top w:w="17" w:type="dxa"/>
              <w:bottom w:w="17" w:type="dxa"/>
            </w:tcMar>
          </w:tcPr>
          <w:p w14:paraId="572E160F" w14:textId="038E15BB" w:rsidR="00162E08" w:rsidRPr="00A917D4" w:rsidRDefault="00162E08" w:rsidP="00A917D4">
            <w:pPr>
              <w:pStyle w:val="TableTextRight"/>
            </w:pPr>
            <w:r w:rsidRPr="00A917D4">
              <w:t>–</w:t>
            </w:r>
          </w:p>
        </w:tc>
        <w:tc>
          <w:tcPr>
            <w:tcW w:w="1082" w:type="dxa"/>
            <w:tcMar>
              <w:top w:w="17" w:type="dxa"/>
              <w:bottom w:w="17" w:type="dxa"/>
            </w:tcMar>
          </w:tcPr>
          <w:p w14:paraId="1E112381" w14:textId="7CE45802" w:rsidR="00162E08" w:rsidRPr="00A917D4" w:rsidRDefault="00162E08" w:rsidP="00A917D4">
            <w:pPr>
              <w:pStyle w:val="TableTextRight"/>
            </w:pPr>
            <w:r w:rsidRPr="00A917D4">
              <w:t>–</w:t>
            </w:r>
          </w:p>
        </w:tc>
        <w:tc>
          <w:tcPr>
            <w:tcW w:w="1043" w:type="dxa"/>
            <w:tcMar>
              <w:top w:w="17" w:type="dxa"/>
              <w:bottom w:w="17" w:type="dxa"/>
            </w:tcMar>
          </w:tcPr>
          <w:p w14:paraId="128BCE7A" w14:textId="5F1143F4" w:rsidR="00162E08" w:rsidRPr="00A917D4" w:rsidRDefault="00162E08" w:rsidP="00A917D4">
            <w:pPr>
              <w:pStyle w:val="TableTextRight"/>
            </w:pPr>
            <w:r w:rsidRPr="00A917D4">
              <w:t>–</w:t>
            </w:r>
          </w:p>
        </w:tc>
      </w:tr>
      <w:tr w:rsidR="006C235E" w:rsidRPr="00D50F4B" w14:paraId="48EEB52C" w14:textId="77777777" w:rsidTr="00246911">
        <w:trPr>
          <w:cnfStyle w:val="000000010000" w:firstRow="0" w:lastRow="0" w:firstColumn="0" w:lastColumn="0" w:oddVBand="0" w:evenVBand="0" w:oddHBand="0" w:evenHBand="1" w:firstRowFirstColumn="0" w:firstRowLastColumn="0" w:lastRowFirstColumn="0" w:lastRowLastColumn="0"/>
          <w:trHeight w:val="25"/>
        </w:trPr>
        <w:tc>
          <w:tcPr>
            <w:tcW w:w="3402" w:type="dxa"/>
            <w:tcMar>
              <w:top w:w="17" w:type="dxa"/>
              <w:bottom w:w="17" w:type="dxa"/>
            </w:tcMar>
          </w:tcPr>
          <w:p w14:paraId="43503942" w14:textId="4557079C" w:rsidR="00162E08" w:rsidRPr="00A917D4" w:rsidRDefault="00162E08" w:rsidP="00625DAB">
            <w:pPr>
              <w:pStyle w:val="TableTextLeft"/>
            </w:pPr>
            <w:r w:rsidRPr="00A917D4">
              <w:t>Natural gas</w:t>
            </w:r>
            <w:r w:rsidRPr="00A917D4">
              <w:rPr>
                <w:rStyle w:val="FootnoteReference"/>
              </w:rPr>
              <w:t>(b)</w:t>
            </w:r>
          </w:p>
        </w:tc>
        <w:tc>
          <w:tcPr>
            <w:tcW w:w="1350" w:type="dxa"/>
            <w:tcMar>
              <w:top w:w="17" w:type="dxa"/>
              <w:bottom w:w="17" w:type="dxa"/>
            </w:tcMar>
          </w:tcPr>
          <w:p w14:paraId="77B17642" w14:textId="36CBD64C" w:rsidR="00162E08" w:rsidRPr="00A917D4" w:rsidRDefault="00162E08" w:rsidP="00A917D4">
            <w:pPr>
              <w:pStyle w:val="TableTextRight"/>
            </w:pPr>
            <w:r w:rsidRPr="00A917D4">
              <w:t>–</w:t>
            </w:r>
          </w:p>
        </w:tc>
        <w:tc>
          <w:tcPr>
            <w:tcW w:w="1059" w:type="dxa"/>
            <w:tcMar>
              <w:top w:w="17" w:type="dxa"/>
              <w:bottom w:w="17" w:type="dxa"/>
            </w:tcMar>
          </w:tcPr>
          <w:p w14:paraId="6E12C7A5" w14:textId="77777777" w:rsidR="00162E08" w:rsidRPr="00A917D4" w:rsidRDefault="00162E08" w:rsidP="00A917D4">
            <w:pPr>
              <w:pStyle w:val="TableTextRight"/>
            </w:pPr>
            <w:r w:rsidRPr="00A917D4">
              <w:t>N/A</w:t>
            </w:r>
          </w:p>
        </w:tc>
        <w:tc>
          <w:tcPr>
            <w:tcW w:w="1082" w:type="dxa"/>
            <w:tcMar>
              <w:top w:w="17" w:type="dxa"/>
              <w:bottom w:w="17" w:type="dxa"/>
            </w:tcMar>
          </w:tcPr>
          <w:p w14:paraId="618206F1" w14:textId="44E8E74B" w:rsidR="00162E08" w:rsidRPr="00A917D4" w:rsidRDefault="00162E08" w:rsidP="00A917D4">
            <w:pPr>
              <w:pStyle w:val="TableTextRight"/>
            </w:pPr>
            <w:r w:rsidRPr="00A917D4">
              <w:t>–</w:t>
            </w:r>
          </w:p>
        </w:tc>
        <w:tc>
          <w:tcPr>
            <w:tcW w:w="1043" w:type="dxa"/>
            <w:tcMar>
              <w:top w:w="17" w:type="dxa"/>
              <w:bottom w:w="17" w:type="dxa"/>
            </w:tcMar>
          </w:tcPr>
          <w:p w14:paraId="54512B15" w14:textId="35FDFF3D" w:rsidR="00162E08" w:rsidRPr="00A917D4" w:rsidRDefault="00162E08" w:rsidP="00A917D4">
            <w:pPr>
              <w:pStyle w:val="TableTextRight"/>
            </w:pPr>
            <w:r w:rsidRPr="00A917D4">
              <w:t>–</w:t>
            </w:r>
          </w:p>
        </w:tc>
      </w:tr>
      <w:tr w:rsidR="00162E08" w:rsidRPr="00D50F4B" w14:paraId="4DC970C4" w14:textId="77777777" w:rsidTr="00246911">
        <w:trPr>
          <w:trHeight w:val="25"/>
        </w:trPr>
        <w:tc>
          <w:tcPr>
            <w:tcW w:w="3402" w:type="dxa"/>
            <w:tcMar>
              <w:top w:w="17" w:type="dxa"/>
              <w:bottom w:w="17" w:type="dxa"/>
            </w:tcMar>
          </w:tcPr>
          <w:p w14:paraId="08A92C15" w14:textId="6C359C93" w:rsidR="00162E08" w:rsidRPr="00A917D4" w:rsidRDefault="00162E08" w:rsidP="00625DAB">
            <w:pPr>
              <w:pStyle w:val="TableTextLeft"/>
            </w:pPr>
            <w:r w:rsidRPr="00A917D4">
              <w:t>Solid waste</w:t>
            </w:r>
            <w:r w:rsidRPr="00A917D4">
              <w:rPr>
                <w:rStyle w:val="FootnoteReference"/>
              </w:rPr>
              <w:t>(c)</w:t>
            </w:r>
          </w:p>
        </w:tc>
        <w:tc>
          <w:tcPr>
            <w:tcW w:w="1350" w:type="dxa"/>
            <w:tcMar>
              <w:top w:w="17" w:type="dxa"/>
              <w:bottom w:w="17" w:type="dxa"/>
            </w:tcMar>
          </w:tcPr>
          <w:p w14:paraId="5D0CE5F6" w14:textId="77777777" w:rsidR="00162E08" w:rsidRPr="00A917D4" w:rsidRDefault="00162E08" w:rsidP="00A917D4">
            <w:pPr>
              <w:pStyle w:val="TableTextRight"/>
            </w:pPr>
            <w:r w:rsidRPr="00A917D4">
              <w:t>N/A</w:t>
            </w:r>
          </w:p>
        </w:tc>
        <w:tc>
          <w:tcPr>
            <w:tcW w:w="1059" w:type="dxa"/>
            <w:tcMar>
              <w:top w:w="17" w:type="dxa"/>
              <w:bottom w:w="17" w:type="dxa"/>
            </w:tcMar>
          </w:tcPr>
          <w:p w14:paraId="52DF0162" w14:textId="77777777" w:rsidR="00162E08" w:rsidRPr="00A917D4" w:rsidRDefault="00162E08" w:rsidP="00A917D4">
            <w:pPr>
              <w:pStyle w:val="TableTextRight"/>
            </w:pPr>
            <w:r w:rsidRPr="00A917D4">
              <w:t>N/A</w:t>
            </w:r>
          </w:p>
        </w:tc>
        <w:tc>
          <w:tcPr>
            <w:tcW w:w="1082" w:type="dxa"/>
            <w:tcMar>
              <w:top w:w="17" w:type="dxa"/>
              <w:bottom w:w="17" w:type="dxa"/>
            </w:tcMar>
          </w:tcPr>
          <w:p w14:paraId="5044DF79" w14:textId="5FC4B64D" w:rsidR="00162E08" w:rsidRPr="00A917D4" w:rsidRDefault="00162E08" w:rsidP="00A917D4">
            <w:pPr>
              <w:pStyle w:val="TableTextRight"/>
            </w:pPr>
            <w:r w:rsidRPr="00A917D4">
              <w:t>–</w:t>
            </w:r>
          </w:p>
        </w:tc>
        <w:tc>
          <w:tcPr>
            <w:tcW w:w="1043" w:type="dxa"/>
            <w:tcMar>
              <w:top w:w="17" w:type="dxa"/>
              <w:bottom w:w="17" w:type="dxa"/>
            </w:tcMar>
          </w:tcPr>
          <w:p w14:paraId="7D3DFABF" w14:textId="18928E67" w:rsidR="00162E08" w:rsidRPr="00A917D4" w:rsidRDefault="00162E08" w:rsidP="00A917D4">
            <w:pPr>
              <w:pStyle w:val="TableTextRight"/>
            </w:pPr>
            <w:r w:rsidRPr="00A917D4">
              <w:t>–</w:t>
            </w:r>
          </w:p>
        </w:tc>
      </w:tr>
      <w:tr w:rsidR="006C235E" w:rsidRPr="00D50F4B" w14:paraId="7E588E4A" w14:textId="77777777" w:rsidTr="00246911">
        <w:trPr>
          <w:cnfStyle w:val="000000010000" w:firstRow="0" w:lastRow="0" w:firstColumn="0" w:lastColumn="0" w:oddVBand="0" w:evenVBand="0" w:oddHBand="0" w:evenHBand="1" w:firstRowFirstColumn="0" w:firstRowLastColumn="0" w:lastRowFirstColumn="0" w:lastRowLastColumn="0"/>
          <w:trHeight w:val="25"/>
        </w:trPr>
        <w:tc>
          <w:tcPr>
            <w:tcW w:w="3402" w:type="dxa"/>
            <w:tcMar>
              <w:top w:w="17" w:type="dxa"/>
              <w:bottom w:w="17" w:type="dxa"/>
            </w:tcMar>
          </w:tcPr>
          <w:p w14:paraId="43F7E0F3" w14:textId="496DC482" w:rsidR="00162E08" w:rsidRPr="00A917D4" w:rsidRDefault="00162E08" w:rsidP="00625DAB">
            <w:pPr>
              <w:pStyle w:val="TableTextLeft"/>
            </w:pPr>
            <w:bookmarkStart w:id="1556" w:name="_Hlk203468799"/>
            <w:r w:rsidRPr="00A917D4">
              <w:t>Refrigerants</w:t>
            </w:r>
            <w:r w:rsidRPr="00A917D4">
              <w:rPr>
                <w:rStyle w:val="FootnoteReference"/>
              </w:rPr>
              <w:t>(d)</w:t>
            </w:r>
          </w:p>
        </w:tc>
        <w:tc>
          <w:tcPr>
            <w:tcW w:w="1350" w:type="dxa"/>
            <w:tcMar>
              <w:top w:w="17" w:type="dxa"/>
              <w:bottom w:w="17" w:type="dxa"/>
            </w:tcMar>
          </w:tcPr>
          <w:p w14:paraId="177DAAA3" w14:textId="131886D2" w:rsidR="00162E08" w:rsidRPr="00A917D4" w:rsidRDefault="00162E08" w:rsidP="00A917D4">
            <w:pPr>
              <w:pStyle w:val="TableTextRight"/>
            </w:pPr>
            <w:r w:rsidRPr="00A917D4">
              <w:t>–</w:t>
            </w:r>
          </w:p>
        </w:tc>
        <w:tc>
          <w:tcPr>
            <w:tcW w:w="1059" w:type="dxa"/>
            <w:tcMar>
              <w:top w:w="17" w:type="dxa"/>
              <w:bottom w:w="17" w:type="dxa"/>
            </w:tcMar>
          </w:tcPr>
          <w:p w14:paraId="4B07F952" w14:textId="77777777" w:rsidR="00162E08" w:rsidRPr="00A917D4" w:rsidRDefault="00162E08" w:rsidP="00A917D4">
            <w:pPr>
              <w:pStyle w:val="TableTextRight"/>
            </w:pPr>
            <w:r w:rsidRPr="00A917D4">
              <w:t>N/A</w:t>
            </w:r>
          </w:p>
        </w:tc>
        <w:tc>
          <w:tcPr>
            <w:tcW w:w="1082" w:type="dxa"/>
            <w:tcMar>
              <w:top w:w="17" w:type="dxa"/>
              <w:bottom w:w="17" w:type="dxa"/>
            </w:tcMar>
          </w:tcPr>
          <w:p w14:paraId="0BF48AEB" w14:textId="77777777" w:rsidR="00162E08" w:rsidRPr="00A917D4" w:rsidRDefault="00162E08" w:rsidP="00A917D4">
            <w:pPr>
              <w:pStyle w:val="TableTextRight"/>
            </w:pPr>
            <w:r w:rsidRPr="00A917D4">
              <w:t>N/A</w:t>
            </w:r>
          </w:p>
        </w:tc>
        <w:tc>
          <w:tcPr>
            <w:tcW w:w="1043" w:type="dxa"/>
            <w:tcMar>
              <w:top w:w="17" w:type="dxa"/>
              <w:bottom w:w="17" w:type="dxa"/>
            </w:tcMar>
          </w:tcPr>
          <w:p w14:paraId="3F8221D4" w14:textId="2EF8E6BB" w:rsidR="00162E08" w:rsidRPr="00A917D4" w:rsidRDefault="00162E08" w:rsidP="00A917D4">
            <w:pPr>
              <w:pStyle w:val="TableTextRight"/>
            </w:pPr>
            <w:r w:rsidRPr="00A917D4">
              <w:t>–</w:t>
            </w:r>
          </w:p>
        </w:tc>
      </w:tr>
      <w:bookmarkEnd w:id="1556"/>
      <w:tr w:rsidR="00162E08" w:rsidRPr="00D50F4B" w14:paraId="7EDB0BE9" w14:textId="77777777" w:rsidTr="00246911">
        <w:trPr>
          <w:trHeight w:val="25"/>
        </w:trPr>
        <w:tc>
          <w:tcPr>
            <w:tcW w:w="3402" w:type="dxa"/>
            <w:tcMar>
              <w:top w:w="17" w:type="dxa"/>
              <w:bottom w:w="17" w:type="dxa"/>
            </w:tcMar>
          </w:tcPr>
          <w:p w14:paraId="2657A9A4" w14:textId="4DFCB645" w:rsidR="00162E08" w:rsidRPr="00A917D4" w:rsidRDefault="00162E08" w:rsidP="00625DAB">
            <w:pPr>
              <w:pStyle w:val="TableTextLeft"/>
            </w:pPr>
            <w:r w:rsidRPr="00A917D4">
              <w:t>Fleet and other vehicles</w:t>
            </w:r>
            <w:r w:rsidRPr="00A917D4">
              <w:rPr>
                <w:rStyle w:val="FootnoteReference"/>
              </w:rPr>
              <w:t>(e)</w:t>
            </w:r>
          </w:p>
        </w:tc>
        <w:tc>
          <w:tcPr>
            <w:tcW w:w="1350" w:type="dxa"/>
            <w:tcMar>
              <w:top w:w="17" w:type="dxa"/>
              <w:bottom w:w="17" w:type="dxa"/>
            </w:tcMar>
          </w:tcPr>
          <w:p w14:paraId="0C13BCB1" w14:textId="72E9671B" w:rsidR="00162E08" w:rsidRPr="00A917D4" w:rsidRDefault="00162E08" w:rsidP="00A917D4">
            <w:pPr>
              <w:pStyle w:val="TableTextRight"/>
            </w:pPr>
            <w:r w:rsidRPr="00A917D4">
              <w:t>–</w:t>
            </w:r>
          </w:p>
        </w:tc>
        <w:tc>
          <w:tcPr>
            <w:tcW w:w="1059" w:type="dxa"/>
            <w:tcMar>
              <w:top w:w="17" w:type="dxa"/>
              <w:bottom w:w="17" w:type="dxa"/>
            </w:tcMar>
          </w:tcPr>
          <w:p w14:paraId="6C3A8A0C" w14:textId="77777777" w:rsidR="00162E08" w:rsidRPr="00A917D4" w:rsidRDefault="00162E08" w:rsidP="00A917D4">
            <w:pPr>
              <w:pStyle w:val="TableTextRight"/>
            </w:pPr>
            <w:r w:rsidRPr="00A917D4">
              <w:t>N/A</w:t>
            </w:r>
          </w:p>
        </w:tc>
        <w:tc>
          <w:tcPr>
            <w:tcW w:w="1082" w:type="dxa"/>
            <w:tcMar>
              <w:top w:w="17" w:type="dxa"/>
              <w:bottom w:w="17" w:type="dxa"/>
            </w:tcMar>
          </w:tcPr>
          <w:p w14:paraId="1CCECD99" w14:textId="7F25622D" w:rsidR="00162E08" w:rsidRPr="00A917D4" w:rsidRDefault="00162E08" w:rsidP="00A917D4">
            <w:pPr>
              <w:pStyle w:val="TableTextRight"/>
            </w:pPr>
            <w:r w:rsidRPr="00A917D4">
              <w:t>–</w:t>
            </w:r>
          </w:p>
        </w:tc>
        <w:tc>
          <w:tcPr>
            <w:tcW w:w="1043" w:type="dxa"/>
            <w:tcMar>
              <w:top w:w="17" w:type="dxa"/>
              <w:bottom w:w="17" w:type="dxa"/>
            </w:tcMar>
          </w:tcPr>
          <w:p w14:paraId="44B214F6" w14:textId="583463CA" w:rsidR="00162E08" w:rsidRPr="00A917D4" w:rsidRDefault="00162E08" w:rsidP="00A917D4">
            <w:pPr>
              <w:pStyle w:val="TableTextRight"/>
            </w:pPr>
            <w:r w:rsidRPr="00A917D4">
              <w:t>–</w:t>
            </w:r>
          </w:p>
        </w:tc>
      </w:tr>
      <w:tr w:rsidR="006C235E" w:rsidRPr="00D50F4B" w14:paraId="778DDA62" w14:textId="77777777" w:rsidTr="00246911">
        <w:trPr>
          <w:cnfStyle w:val="000000010000" w:firstRow="0" w:lastRow="0" w:firstColumn="0" w:lastColumn="0" w:oddVBand="0" w:evenVBand="0" w:oddHBand="0" w:evenHBand="1" w:firstRowFirstColumn="0" w:firstRowLastColumn="0" w:lastRowFirstColumn="0" w:lastRowLastColumn="0"/>
          <w:trHeight w:val="25"/>
        </w:trPr>
        <w:tc>
          <w:tcPr>
            <w:tcW w:w="3402" w:type="dxa"/>
            <w:tcMar>
              <w:top w:w="17" w:type="dxa"/>
              <w:bottom w:w="17" w:type="dxa"/>
            </w:tcMar>
          </w:tcPr>
          <w:p w14:paraId="3464F516" w14:textId="77777777" w:rsidR="00162E08" w:rsidRPr="00A917D4" w:rsidRDefault="00162E08" w:rsidP="00625DAB">
            <w:pPr>
              <w:pStyle w:val="TableTextLeft"/>
            </w:pPr>
            <w:r w:rsidRPr="00A917D4">
              <w:t>Domestic commercial flights</w:t>
            </w:r>
          </w:p>
        </w:tc>
        <w:tc>
          <w:tcPr>
            <w:tcW w:w="1350" w:type="dxa"/>
            <w:tcMar>
              <w:top w:w="17" w:type="dxa"/>
              <w:bottom w:w="17" w:type="dxa"/>
            </w:tcMar>
          </w:tcPr>
          <w:p w14:paraId="201B282F" w14:textId="6CE51791" w:rsidR="00162E08" w:rsidRPr="00A917D4" w:rsidRDefault="00162E08" w:rsidP="00A917D4">
            <w:pPr>
              <w:pStyle w:val="TableTextRight"/>
            </w:pPr>
            <w:r w:rsidRPr="00A917D4">
              <w:t>–</w:t>
            </w:r>
          </w:p>
        </w:tc>
        <w:tc>
          <w:tcPr>
            <w:tcW w:w="1059" w:type="dxa"/>
            <w:tcMar>
              <w:top w:w="17" w:type="dxa"/>
              <w:bottom w:w="17" w:type="dxa"/>
            </w:tcMar>
          </w:tcPr>
          <w:p w14:paraId="4CE148B9" w14:textId="77777777" w:rsidR="00162E08" w:rsidRPr="00A917D4" w:rsidRDefault="00162E08" w:rsidP="00A917D4">
            <w:pPr>
              <w:pStyle w:val="TableTextRight"/>
            </w:pPr>
            <w:r w:rsidRPr="00A917D4">
              <w:t>N/A</w:t>
            </w:r>
          </w:p>
        </w:tc>
        <w:tc>
          <w:tcPr>
            <w:tcW w:w="1082" w:type="dxa"/>
            <w:tcMar>
              <w:top w:w="17" w:type="dxa"/>
              <w:bottom w:w="17" w:type="dxa"/>
            </w:tcMar>
          </w:tcPr>
          <w:p w14:paraId="79AFBD24" w14:textId="331B5B2C" w:rsidR="00162E08" w:rsidRPr="00A917D4" w:rsidRDefault="00162E08" w:rsidP="00A917D4">
            <w:pPr>
              <w:pStyle w:val="TableTextRight"/>
            </w:pPr>
            <w:r w:rsidRPr="00A917D4">
              <w:t xml:space="preserve">13.12 </w:t>
            </w:r>
          </w:p>
        </w:tc>
        <w:tc>
          <w:tcPr>
            <w:tcW w:w="1043" w:type="dxa"/>
            <w:tcMar>
              <w:top w:w="17" w:type="dxa"/>
              <w:bottom w:w="17" w:type="dxa"/>
            </w:tcMar>
          </w:tcPr>
          <w:p w14:paraId="65F80968" w14:textId="51317F36" w:rsidR="00162E08" w:rsidRPr="00A917D4" w:rsidRDefault="00162E08" w:rsidP="00A917D4">
            <w:pPr>
              <w:pStyle w:val="TableTextRight"/>
            </w:pPr>
            <w:r w:rsidRPr="00A917D4">
              <w:t>13.12</w:t>
            </w:r>
          </w:p>
        </w:tc>
      </w:tr>
      <w:tr w:rsidR="00162E08" w:rsidRPr="00D50F4B" w14:paraId="6421D85B" w14:textId="77777777" w:rsidTr="00246911">
        <w:trPr>
          <w:trHeight w:val="25"/>
        </w:trPr>
        <w:tc>
          <w:tcPr>
            <w:tcW w:w="3402" w:type="dxa"/>
            <w:tcMar>
              <w:top w:w="17" w:type="dxa"/>
              <w:bottom w:w="17" w:type="dxa"/>
            </w:tcMar>
          </w:tcPr>
          <w:p w14:paraId="17FFC842" w14:textId="2BC6180D" w:rsidR="00162E08" w:rsidRPr="00A917D4" w:rsidRDefault="00162E08" w:rsidP="00625DAB">
            <w:pPr>
              <w:pStyle w:val="TableTextLeft"/>
            </w:pPr>
            <w:r w:rsidRPr="00A917D4">
              <w:t>Domestic hire car</w:t>
            </w:r>
            <w:r w:rsidRPr="00A917D4">
              <w:rPr>
                <w:rStyle w:val="FootnoteReference"/>
              </w:rPr>
              <w:t>(f)</w:t>
            </w:r>
          </w:p>
        </w:tc>
        <w:tc>
          <w:tcPr>
            <w:tcW w:w="1350" w:type="dxa"/>
            <w:tcMar>
              <w:top w:w="17" w:type="dxa"/>
              <w:bottom w:w="17" w:type="dxa"/>
            </w:tcMar>
          </w:tcPr>
          <w:p w14:paraId="4AB239C2" w14:textId="77777777" w:rsidR="00162E08" w:rsidRPr="00A917D4" w:rsidRDefault="00162E08" w:rsidP="00A917D4">
            <w:pPr>
              <w:pStyle w:val="TableTextRight"/>
            </w:pPr>
            <w:r w:rsidRPr="00A917D4">
              <w:t>N/A</w:t>
            </w:r>
          </w:p>
        </w:tc>
        <w:tc>
          <w:tcPr>
            <w:tcW w:w="1059" w:type="dxa"/>
            <w:tcMar>
              <w:top w:w="17" w:type="dxa"/>
              <w:bottom w:w="17" w:type="dxa"/>
            </w:tcMar>
          </w:tcPr>
          <w:p w14:paraId="325EA0A4" w14:textId="77777777" w:rsidR="00162E08" w:rsidRPr="00A917D4" w:rsidRDefault="00162E08" w:rsidP="00A917D4">
            <w:pPr>
              <w:pStyle w:val="TableTextRight"/>
            </w:pPr>
            <w:r w:rsidRPr="00A917D4">
              <w:t>N/A</w:t>
            </w:r>
          </w:p>
        </w:tc>
        <w:tc>
          <w:tcPr>
            <w:tcW w:w="1082" w:type="dxa"/>
            <w:tcMar>
              <w:top w:w="17" w:type="dxa"/>
              <w:bottom w:w="17" w:type="dxa"/>
            </w:tcMar>
          </w:tcPr>
          <w:p w14:paraId="73459342" w14:textId="699586A8" w:rsidR="00162E08" w:rsidRPr="00A917D4" w:rsidRDefault="00162E08" w:rsidP="00A917D4">
            <w:pPr>
              <w:pStyle w:val="TableTextRight"/>
            </w:pPr>
            <w:r w:rsidRPr="00A917D4">
              <w:t>–</w:t>
            </w:r>
          </w:p>
        </w:tc>
        <w:tc>
          <w:tcPr>
            <w:tcW w:w="1043" w:type="dxa"/>
            <w:tcMar>
              <w:top w:w="17" w:type="dxa"/>
              <w:bottom w:w="17" w:type="dxa"/>
            </w:tcMar>
          </w:tcPr>
          <w:p w14:paraId="4F2F4974" w14:textId="285BD65D" w:rsidR="00162E08" w:rsidRPr="00A917D4" w:rsidRDefault="00162E08" w:rsidP="00A917D4">
            <w:pPr>
              <w:pStyle w:val="TableTextRight"/>
            </w:pPr>
            <w:r w:rsidRPr="00A917D4">
              <w:t>–</w:t>
            </w:r>
          </w:p>
        </w:tc>
      </w:tr>
      <w:tr w:rsidR="006C235E" w:rsidRPr="00D50F4B" w14:paraId="46D48AAB" w14:textId="77777777" w:rsidTr="00246911">
        <w:trPr>
          <w:cnfStyle w:val="000000010000" w:firstRow="0" w:lastRow="0" w:firstColumn="0" w:lastColumn="0" w:oddVBand="0" w:evenVBand="0" w:oddHBand="0" w:evenHBand="1" w:firstRowFirstColumn="0" w:firstRowLastColumn="0" w:lastRowFirstColumn="0" w:lastRowLastColumn="0"/>
          <w:trHeight w:val="25"/>
        </w:trPr>
        <w:tc>
          <w:tcPr>
            <w:tcW w:w="3402" w:type="dxa"/>
            <w:tcMar>
              <w:top w:w="17" w:type="dxa"/>
              <w:bottom w:w="17" w:type="dxa"/>
            </w:tcMar>
          </w:tcPr>
          <w:p w14:paraId="01760683" w14:textId="77777777" w:rsidR="003D5C6E" w:rsidRPr="00A917D4" w:rsidRDefault="003D5C6E" w:rsidP="00625DAB">
            <w:pPr>
              <w:pStyle w:val="TableTextLeft"/>
            </w:pPr>
            <w:r w:rsidRPr="00A917D4">
              <w:t>Domestic travel accommodation</w:t>
            </w:r>
          </w:p>
        </w:tc>
        <w:tc>
          <w:tcPr>
            <w:tcW w:w="1350" w:type="dxa"/>
            <w:tcMar>
              <w:top w:w="17" w:type="dxa"/>
              <w:bottom w:w="17" w:type="dxa"/>
            </w:tcMar>
          </w:tcPr>
          <w:p w14:paraId="27E46ED6" w14:textId="77777777" w:rsidR="003D5C6E" w:rsidRPr="00A917D4" w:rsidRDefault="003D5C6E" w:rsidP="00A917D4">
            <w:pPr>
              <w:pStyle w:val="TableTextRight"/>
            </w:pPr>
            <w:r w:rsidRPr="00A917D4">
              <w:t>N/A</w:t>
            </w:r>
          </w:p>
        </w:tc>
        <w:tc>
          <w:tcPr>
            <w:tcW w:w="1059" w:type="dxa"/>
            <w:tcMar>
              <w:top w:w="17" w:type="dxa"/>
              <w:bottom w:w="17" w:type="dxa"/>
            </w:tcMar>
          </w:tcPr>
          <w:p w14:paraId="017CD7C5" w14:textId="77777777" w:rsidR="003D5C6E" w:rsidRPr="00A917D4" w:rsidRDefault="003D5C6E" w:rsidP="00A917D4">
            <w:pPr>
              <w:pStyle w:val="TableTextRight"/>
            </w:pPr>
            <w:r w:rsidRPr="00A917D4">
              <w:t>N/A</w:t>
            </w:r>
          </w:p>
        </w:tc>
        <w:tc>
          <w:tcPr>
            <w:tcW w:w="1082" w:type="dxa"/>
            <w:tcMar>
              <w:top w:w="17" w:type="dxa"/>
              <w:bottom w:w="17" w:type="dxa"/>
            </w:tcMar>
          </w:tcPr>
          <w:p w14:paraId="2D6E5F3F" w14:textId="72EA1F78" w:rsidR="003D5C6E" w:rsidRPr="00A917D4" w:rsidRDefault="001F77CF" w:rsidP="00A917D4">
            <w:pPr>
              <w:pStyle w:val="TableTextRight"/>
            </w:pPr>
            <w:r w:rsidRPr="00A917D4">
              <w:t>4.47</w:t>
            </w:r>
          </w:p>
        </w:tc>
        <w:tc>
          <w:tcPr>
            <w:tcW w:w="1043" w:type="dxa"/>
            <w:tcMar>
              <w:top w:w="17" w:type="dxa"/>
              <w:bottom w:w="17" w:type="dxa"/>
            </w:tcMar>
          </w:tcPr>
          <w:p w14:paraId="7E48B855" w14:textId="1AC62B2B" w:rsidR="003D5C6E" w:rsidRPr="00A917D4" w:rsidRDefault="001F77CF" w:rsidP="00A917D4">
            <w:pPr>
              <w:pStyle w:val="TableTextRight"/>
            </w:pPr>
            <w:r w:rsidRPr="00A917D4">
              <w:t>4.47</w:t>
            </w:r>
          </w:p>
        </w:tc>
      </w:tr>
      <w:tr w:rsidR="00162E08" w:rsidRPr="00D50F4B" w14:paraId="2B5B51D4" w14:textId="77777777" w:rsidTr="00246911">
        <w:trPr>
          <w:trHeight w:val="270"/>
        </w:trPr>
        <w:tc>
          <w:tcPr>
            <w:tcW w:w="3402" w:type="dxa"/>
            <w:tcMar>
              <w:top w:w="17" w:type="dxa"/>
              <w:bottom w:w="17" w:type="dxa"/>
            </w:tcMar>
          </w:tcPr>
          <w:p w14:paraId="62D88A46" w14:textId="663B86DF" w:rsidR="00162E08" w:rsidRPr="00A917D4" w:rsidRDefault="00162E08" w:rsidP="00625DAB">
            <w:pPr>
              <w:pStyle w:val="TableTextLeft"/>
            </w:pPr>
            <w:r w:rsidRPr="00A917D4">
              <w:t>Other energy</w:t>
            </w:r>
            <w:r w:rsidRPr="00A917D4">
              <w:rPr>
                <w:rStyle w:val="FootnoteReference"/>
              </w:rPr>
              <w:t>(g)</w:t>
            </w:r>
          </w:p>
        </w:tc>
        <w:tc>
          <w:tcPr>
            <w:tcW w:w="1350" w:type="dxa"/>
            <w:tcMar>
              <w:top w:w="17" w:type="dxa"/>
              <w:bottom w:w="17" w:type="dxa"/>
            </w:tcMar>
          </w:tcPr>
          <w:p w14:paraId="283D9C90" w14:textId="1C5F42A2" w:rsidR="00162E08" w:rsidRPr="00A917D4" w:rsidRDefault="00162E08" w:rsidP="00A917D4">
            <w:pPr>
              <w:pStyle w:val="TableTextRight"/>
            </w:pPr>
            <w:r w:rsidRPr="00A917D4">
              <w:t>–</w:t>
            </w:r>
          </w:p>
        </w:tc>
        <w:tc>
          <w:tcPr>
            <w:tcW w:w="1059" w:type="dxa"/>
            <w:tcMar>
              <w:top w:w="17" w:type="dxa"/>
              <w:bottom w:w="17" w:type="dxa"/>
            </w:tcMar>
          </w:tcPr>
          <w:p w14:paraId="5EAC00D3" w14:textId="77777777" w:rsidR="00162E08" w:rsidRPr="00A917D4" w:rsidRDefault="00162E08" w:rsidP="00A917D4">
            <w:pPr>
              <w:pStyle w:val="TableTextRight"/>
            </w:pPr>
            <w:r w:rsidRPr="00A917D4">
              <w:t>N/A</w:t>
            </w:r>
          </w:p>
        </w:tc>
        <w:tc>
          <w:tcPr>
            <w:tcW w:w="1082" w:type="dxa"/>
            <w:tcMar>
              <w:top w:w="17" w:type="dxa"/>
              <w:bottom w:w="17" w:type="dxa"/>
            </w:tcMar>
          </w:tcPr>
          <w:p w14:paraId="07A8878E" w14:textId="14B21818" w:rsidR="00162E08" w:rsidRPr="00A917D4" w:rsidRDefault="00162E08" w:rsidP="00A917D4">
            <w:pPr>
              <w:pStyle w:val="TableTextRight"/>
            </w:pPr>
            <w:r w:rsidRPr="00A917D4">
              <w:t>–</w:t>
            </w:r>
          </w:p>
        </w:tc>
        <w:tc>
          <w:tcPr>
            <w:tcW w:w="1043" w:type="dxa"/>
            <w:tcMar>
              <w:top w:w="17" w:type="dxa"/>
              <w:bottom w:w="17" w:type="dxa"/>
            </w:tcMar>
          </w:tcPr>
          <w:p w14:paraId="67651173" w14:textId="0F530698" w:rsidR="00162E08" w:rsidRPr="00A917D4" w:rsidRDefault="00162E08" w:rsidP="00A917D4">
            <w:pPr>
              <w:pStyle w:val="TableTextRight"/>
            </w:pPr>
            <w:r w:rsidRPr="00A917D4">
              <w:t>–</w:t>
            </w:r>
          </w:p>
        </w:tc>
      </w:tr>
      <w:tr w:rsidR="006C235E" w:rsidRPr="00D50F4B" w14:paraId="19ADB313" w14:textId="77777777" w:rsidTr="00246911">
        <w:trPr>
          <w:cnfStyle w:val="000000010000" w:firstRow="0" w:lastRow="0" w:firstColumn="0" w:lastColumn="0" w:oddVBand="0" w:evenVBand="0" w:oddHBand="0" w:evenHBand="1" w:firstRowFirstColumn="0" w:firstRowLastColumn="0" w:lastRowFirstColumn="0" w:lastRowLastColumn="0"/>
          <w:trHeight w:val="25"/>
        </w:trPr>
        <w:tc>
          <w:tcPr>
            <w:tcW w:w="3402" w:type="dxa"/>
            <w:tcMar>
              <w:top w:w="17" w:type="dxa"/>
              <w:bottom w:w="17" w:type="dxa"/>
            </w:tcMar>
          </w:tcPr>
          <w:p w14:paraId="695EFED1" w14:textId="77777777" w:rsidR="00162E08" w:rsidRPr="0089610F" w:rsidRDefault="00162E08" w:rsidP="00625DAB">
            <w:pPr>
              <w:pStyle w:val="TableTextLeft"/>
              <w:rPr>
                <w:b/>
                <w:bCs/>
              </w:rPr>
            </w:pPr>
            <w:r w:rsidRPr="0089610F">
              <w:rPr>
                <w:b/>
                <w:bCs/>
              </w:rPr>
              <w:t>Total</w:t>
            </w:r>
          </w:p>
        </w:tc>
        <w:tc>
          <w:tcPr>
            <w:tcW w:w="1350" w:type="dxa"/>
            <w:tcMar>
              <w:top w:w="17" w:type="dxa"/>
              <w:bottom w:w="17" w:type="dxa"/>
            </w:tcMar>
          </w:tcPr>
          <w:p w14:paraId="7C6278BB" w14:textId="7F30BFB2" w:rsidR="00162E08" w:rsidRPr="00A917D4" w:rsidRDefault="00162E08" w:rsidP="00A917D4">
            <w:pPr>
              <w:pStyle w:val="TableTextRight"/>
              <w:rPr>
                <w:b/>
                <w:bCs/>
              </w:rPr>
            </w:pPr>
            <w:r w:rsidRPr="00A917D4">
              <w:rPr>
                <w:b/>
                <w:bCs/>
              </w:rPr>
              <w:t>–</w:t>
            </w:r>
          </w:p>
        </w:tc>
        <w:tc>
          <w:tcPr>
            <w:tcW w:w="1059" w:type="dxa"/>
            <w:tcMar>
              <w:top w:w="17" w:type="dxa"/>
              <w:bottom w:w="17" w:type="dxa"/>
            </w:tcMar>
          </w:tcPr>
          <w:p w14:paraId="68BE91D8" w14:textId="0C36FEA3" w:rsidR="00162E08" w:rsidRPr="00A917D4" w:rsidRDefault="00162E08" w:rsidP="00A917D4">
            <w:pPr>
              <w:pStyle w:val="TableTextRight"/>
              <w:rPr>
                <w:b/>
                <w:bCs/>
              </w:rPr>
            </w:pPr>
            <w:r w:rsidRPr="00A917D4">
              <w:rPr>
                <w:b/>
                <w:bCs/>
              </w:rPr>
              <w:t>–</w:t>
            </w:r>
          </w:p>
        </w:tc>
        <w:tc>
          <w:tcPr>
            <w:tcW w:w="1082" w:type="dxa"/>
            <w:tcMar>
              <w:top w:w="17" w:type="dxa"/>
              <w:bottom w:w="17" w:type="dxa"/>
            </w:tcMar>
          </w:tcPr>
          <w:p w14:paraId="71EE0BAB" w14:textId="3F72CBBD" w:rsidR="00162E08" w:rsidRPr="00A917D4" w:rsidRDefault="00162E08" w:rsidP="00A917D4">
            <w:pPr>
              <w:pStyle w:val="TableTextRight"/>
              <w:rPr>
                <w:b/>
                <w:bCs/>
              </w:rPr>
            </w:pPr>
            <w:r w:rsidRPr="00A917D4">
              <w:rPr>
                <w:b/>
                <w:bCs/>
              </w:rPr>
              <w:t>17.58</w:t>
            </w:r>
          </w:p>
        </w:tc>
        <w:tc>
          <w:tcPr>
            <w:tcW w:w="1043" w:type="dxa"/>
            <w:tcMar>
              <w:top w:w="17" w:type="dxa"/>
              <w:bottom w:w="17" w:type="dxa"/>
            </w:tcMar>
          </w:tcPr>
          <w:p w14:paraId="54429728" w14:textId="31FEF790" w:rsidR="00162E08" w:rsidRPr="00A917D4" w:rsidRDefault="00162E08" w:rsidP="00A917D4">
            <w:pPr>
              <w:pStyle w:val="TableTextRight"/>
              <w:rPr>
                <w:b/>
                <w:bCs/>
              </w:rPr>
            </w:pPr>
            <w:r w:rsidRPr="00A917D4">
              <w:rPr>
                <w:b/>
                <w:bCs/>
              </w:rPr>
              <w:t>17.58</w:t>
            </w:r>
          </w:p>
        </w:tc>
      </w:tr>
    </w:tbl>
    <w:bookmarkEnd w:id="1555"/>
    <w:p w14:paraId="4AA4939C" w14:textId="281D5655" w:rsidR="002E13B6" w:rsidRPr="004B423B" w:rsidRDefault="003D5C6E" w:rsidP="006D2EDF">
      <w:pPr>
        <w:pStyle w:val="ChartorTableNoteAlpha"/>
        <w:numPr>
          <w:ilvl w:val="0"/>
          <w:numId w:val="53"/>
        </w:numPr>
        <w:spacing w:before="20" w:after="20"/>
        <w:ind w:left="357" w:hanging="357"/>
      </w:pPr>
      <w:r w:rsidRPr="004B423B">
        <w:t>The AOFM is wholly located within tenancies managed by</w:t>
      </w:r>
      <w:r w:rsidR="00FD3EE7" w:rsidRPr="004B423B">
        <w:t xml:space="preserve"> </w:t>
      </w:r>
      <w:r w:rsidRPr="004B423B">
        <w:t>Treasury. The AOFM</w:t>
      </w:r>
      <w:r w:rsidR="00B84FF2" w:rsidRPr="004B423B">
        <w:t>’</w:t>
      </w:r>
      <w:r w:rsidRPr="004B423B">
        <w:t>s electricity emissions and emissions from the transmission and distribution of electricity are recorded as part of Treasury emissions figures and appear in the Treasury 2024</w:t>
      </w:r>
      <w:r w:rsidR="00FD3EE7" w:rsidRPr="004B423B">
        <w:t>–</w:t>
      </w:r>
      <w:r w:rsidRPr="004B423B">
        <w:t>25 Annual Report.</w:t>
      </w:r>
    </w:p>
    <w:p w14:paraId="0E061C2F" w14:textId="704B1D85" w:rsidR="002E13B6" w:rsidRPr="004B423B" w:rsidRDefault="003D5C6E" w:rsidP="006D2EDF">
      <w:pPr>
        <w:pStyle w:val="ChartorTableNoteAlpha"/>
        <w:numPr>
          <w:ilvl w:val="0"/>
          <w:numId w:val="53"/>
        </w:numPr>
        <w:spacing w:before="20" w:after="20"/>
        <w:ind w:left="357" w:hanging="357"/>
      </w:pPr>
      <w:r w:rsidRPr="004B423B">
        <w:t>The AOFM</w:t>
      </w:r>
      <w:r w:rsidR="00B84FF2" w:rsidRPr="004B423B">
        <w:t>’</w:t>
      </w:r>
      <w:r w:rsidRPr="004B423B">
        <w:t>s natural gas emissions are recorded as part of Treasury</w:t>
      </w:r>
      <w:r w:rsidR="00B84FF2" w:rsidRPr="004B423B">
        <w:t>’</w:t>
      </w:r>
      <w:r w:rsidRPr="004B423B">
        <w:t>s emissions figures and appear in the Treasury 2024</w:t>
      </w:r>
      <w:r w:rsidR="000F29EF" w:rsidRPr="004B423B">
        <w:t>–</w:t>
      </w:r>
      <w:r w:rsidRPr="004B423B">
        <w:t>25 Annual Report.</w:t>
      </w:r>
    </w:p>
    <w:p w14:paraId="0FA40AD1" w14:textId="2803F52E" w:rsidR="002E13B6" w:rsidRPr="004B423B" w:rsidRDefault="003D5C6E" w:rsidP="006D2EDF">
      <w:pPr>
        <w:pStyle w:val="ChartorTableNoteAlpha"/>
        <w:numPr>
          <w:ilvl w:val="0"/>
          <w:numId w:val="53"/>
        </w:numPr>
        <w:spacing w:before="20" w:after="20"/>
        <w:ind w:left="357" w:hanging="357"/>
      </w:pPr>
      <w:r w:rsidRPr="004B423B">
        <w:t>The AOFM</w:t>
      </w:r>
      <w:r w:rsidR="00B84FF2" w:rsidRPr="004B423B">
        <w:t>’</w:t>
      </w:r>
      <w:r w:rsidRPr="004B423B">
        <w:t>s solid waste emissions are recorded as part of Treasury</w:t>
      </w:r>
      <w:r w:rsidR="00B84FF2" w:rsidRPr="004B423B">
        <w:t>’</w:t>
      </w:r>
      <w:r w:rsidRPr="004B423B">
        <w:t>s emissions figures and appear in the Treasury 2024</w:t>
      </w:r>
      <w:r w:rsidR="00BA1F12" w:rsidRPr="004B423B">
        <w:t>–</w:t>
      </w:r>
      <w:r w:rsidRPr="004B423B">
        <w:t>25 Annual Report.</w:t>
      </w:r>
    </w:p>
    <w:p w14:paraId="523C62E3" w14:textId="7B4CA652" w:rsidR="002E13B6" w:rsidRPr="004B423B" w:rsidRDefault="003D5C6E" w:rsidP="006D2EDF">
      <w:pPr>
        <w:pStyle w:val="ChartorTableNoteAlpha"/>
        <w:numPr>
          <w:ilvl w:val="0"/>
          <w:numId w:val="53"/>
        </w:numPr>
        <w:spacing w:before="20" w:after="20"/>
        <w:ind w:left="357" w:hanging="357"/>
      </w:pPr>
      <w:r w:rsidRPr="004B423B">
        <w:t>Optional for 2024</w:t>
      </w:r>
      <w:r w:rsidR="00BA1F12" w:rsidRPr="004B423B">
        <w:t>–</w:t>
      </w:r>
      <w:r w:rsidRPr="004B423B">
        <w:t xml:space="preserve">25. Not reported. See </w:t>
      </w:r>
      <w:hyperlink r:id="rId117" w:history="1">
        <w:r w:rsidRPr="001F10B3">
          <w:rPr>
            <w:rStyle w:val="Hyperlink"/>
            <w:color w:val="000000"/>
            <w:sz w:val="16"/>
            <w:u w:val="none"/>
          </w:rPr>
          <w:t>Emissions Reporting Framework</w:t>
        </w:r>
      </w:hyperlink>
      <w:r w:rsidRPr="004B423B">
        <w:t xml:space="preserve"> for more details.</w:t>
      </w:r>
    </w:p>
    <w:p w14:paraId="307A57B5" w14:textId="77777777" w:rsidR="002E13B6" w:rsidRPr="004B423B" w:rsidRDefault="003D5C6E" w:rsidP="006D2EDF">
      <w:pPr>
        <w:pStyle w:val="ChartorTableNoteAlpha"/>
        <w:numPr>
          <w:ilvl w:val="0"/>
          <w:numId w:val="53"/>
        </w:numPr>
        <w:spacing w:before="20" w:after="20"/>
        <w:ind w:left="357" w:hanging="357"/>
      </w:pPr>
      <w:r w:rsidRPr="004B423B">
        <w:t>The AOFM does not own or control fleet vehicles.</w:t>
      </w:r>
    </w:p>
    <w:p w14:paraId="49C4BF3D" w14:textId="1FF9CE2E" w:rsidR="002E13B6" w:rsidRPr="004B423B" w:rsidRDefault="003D5C6E" w:rsidP="006D2EDF">
      <w:pPr>
        <w:pStyle w:val="ChartorTableNoteAlpha"/>
        <w:numPr>
          <w:ilvl w:val="0"/>
          <w:numId w:val="53"/>
        </w:numPr>
        <w:spacing w:before="20" w:after="20"/>
        <w:ind w:left="357" w:hanging="357"/>
      </w:pPr>
      <w:r w:rsidRPr="004B423B">
        <w:t>None were used in 2024</w:t>
      </w:r>
      <w:r w:rsidR="00BA1F12" w:rsidRPr="004B423B">
        <w:t>–</w:t>
      </w:r>
      <w:r w:rsidRPr="004B423B">
        <w:t>25.</w:t>
      </w:r>
    </w:p>
    <w:p w14:paraId="1F3423FB" w14:textId="25B4BD76" w:rsidR="003D5C6E" w:rsidRPr="004B423B" w:rsidRDefault="003D5C6E" w:rsidP="006D2EDF">
      <w:pPr>
        <w:pStyle w:val="ChartorTableNoteAlpha"/>
        <w:numPr>
          <w:ilvl w:val="0"/>
          <w:numId w:val="53"/>
        </w:numPr>
        <w:spacing w:before="20" w:after="20"/>
        <w:ind w:left="357" w:hanging="357"/>
      </w:pPr>
      <w:r w:rsidRPr="004B423B">
        <w:t>The AOFM has measured the emissions from international travel undertaken during 2024</w:t>
      </w:r>
      <w:r w:rsidR="00BA1F12" w:rsidRPr="004B423B">
        <w:t>–</w:t>
      </w:r>
      <w:r w:rsidRPr="004B423B">
        <w:t>25. These figures do not form part of the net zero reporting requirements for the 2024</w:t>
      </w:r>
      <w:r w:rsidR="00BA1F12" w:rsidRPr="004B423B">
        <w:t>–</w:t>
      </w:r>
      <w:r w:rsidRPr="004B423B">
        <w:t xml:space="preserve">25 financial year and accordingly are not included in the above table. The Scope 3 emissions from international travel for </w:t>
      </w:r>
      <w:r w:rsidR="005B28CC">
        <w:br/>
      </w:r>
      <w:r w:rsidRPr="004B423B">
        <w:t>2024</w:t>
      </w:r>
      <w:r w:rsidR="0019375E" w:rsidRPr="004B423B">
        <w:t>–</w:t>
      </w:r>
      <w:r w:rsidRPr="004B423B">
        <w:t xml:space="preserve">25 </w:t>
      </w:r>
      <w:proofErr w:type="gramStart"/>
      <w:r w:rsidR="0019375E" w:rsidRPr="004B423B">
        <w:t>were</w:t>
      </w:r>
      <w:proofErr w:type="gramEnd"/>
      <w:r w:rsidR="0019375E" w:rsidRPr="004B423B">
        <w:t xml:space="preserve"> </w:t>
      </w:r>
      <w:r w:rsidR="00A275C1" w:rsidRPr="004B423B">
        <w:t xml:space="preserve">189.88 </w:t>
      </w:r>
      <w:r w:rsidRPr="004B423B">
        <w:t>t CO2</w:t>
      </w:r>
      <w:r w:rsidR="00B84FF2" w:rsidRPr="004B423B">
        <w:noBreakHyphen/>
      </w:r>
      <w:r w:rsidRPr="004B423B">
        <w:t xml:space="preserve">e, including supply chain emission sources. </w:t>
      </w:r>
    </w:p>
    <w:p w14:paraId="2E55202A" w14:textId="52AF52A2" w:rsidR="003D5C6E" w:rsidRPr="00DF31C0" w:rsidRDefault="006C2437" w:rsidP="0061234F">
      <w:r w:rsidRPr="00DF31C0">
        <w:lastRenderedPageBreak/>
        <w:t xml:space="preserve">Visit the </w:t>
      </w:r>
      <w:r w:rsidR="001F0E7C" w:rsidRPr="00DF31C0">
        <w:t>Department of Finance</w:t>
      </w:r>
      <w:r w:rsidR="0019375E">
        <w:t xml:space="preserve"> </w:t>
      </w:r>
      <w:r w:rsidR="001F0E7C" w:rsidRPr="00DF31C0">
        <w:t>website f</w:t>
      </w:r>
      <w:r w:rsidR="003D5C6E" w:rsidRPr="00DF31C0">
        <w:t xml:space="preserve">or more information on </w:t>
      </w:r>
      <w:hyperlink r:id="rId118" w:history="1">
        <w:r w:rsidR="0019375E" w:rsidRPr="00C976CB">
          <w:rPr>
            <w:rStyle w:val="Hyperlink"/>
          </w:rPr>
          <w:t>APS Net Zero</w:t>
        </w:r>
      </w:hyperlink>
      <w:r w:rsidR="00246911">
        <w:t>.</w:t>
      </w:r>
      <w:r w:rsidR="00C976CB">
        <w:rPr>
          <w:rStyle w:val="FootnoteReference"/>
        </w:rPr>
        <w:footnoteReference w:id="17"/>
      </w:r>
    </w:p>
    <w:p w14:paraId="12BFA5C8" w14:textId="727DCDC4" w:rsidR="003D5C6E" w:rsidRPr="003E4251" w:rsidRDefault="003D5C6E" w:rsidP="00F61C80">
      <w:pPr>
        <w:pStyle w:val="TableMainHeading"/>
      </w:pPr>
      <w:r w:rsidRPr="007E7C11">
        <w:t xml:space="preserve">Table </w:t>
      </w:r>
      <w:r w:rsidR="003F261D" w:rsidRPr="00F61C80">
        <w:t>3</w:t>
      </w:r>
      <w:r w:rsidR="001A0A3A">
        <w:t>2</w:t>
      </w:r>
      <w:r w:rsidRPr="007E7C11">
        <w:t>:</w:t>
      </w:r>
      <w:r w:rsidRPr="003E4251">
        <w:t xml:space="preserve"> 2024</w:t>
      </w:r>
      <w:r w:rsidR="007307B0">
        <w:t>–</w:t>
      </w:r>
      <w:r w:rsidRPr="003E4251">
        <w:t>25 electricity greenhouse gas emissions</w:t>
      </w:r>
      <w:r w:rsidRPr="007E7C11">
        <w:rPr>
          <w:vertAlign w:val="superscript"/>
        </w:rPr>
        <w:t>(a)</w:t>
      </w:r>
    </w:p>
    <w:tbl>
      <w:tblPr>
        <w:tblStyle w:val="AOFMTablemain"/>
        <w:tblW w:w="5000" w:type="pct"/>
        <w:tblLook w:val="04A0" w:firstRow="1" w:lastRow="0" w:firstColumn="1" w:lastColumn="0" w:noHBand="0" w:noVBand="1"/>
      </w:tblPr>
      <w:tblGrid>
        <w:gridCol w:w="3390"/>
        <w:gridCol w:w="1075"/>
        <w:gridCol w:w="1076"/>
        <w:gridCol w:w="1075"/>
        <w:gridCol w:w="1095"/>
      </w:tblGrid>
      <w:tr w:rsidR="006C235E" w:rsidRPr="00DD0DEC" w14:paraId="2ACCD720" w14:textId="77777777" w:rsidTr="00D020C7">
        <w:trPr>
          <w:cnfStyle w:val="100000000000" w:firstRow="1" w:lastRow="0" w:firstColumn="0" w:lastColumn="0" w:oddVBand="0" w:evenVBand="0" w:oddHBand="0" w:evenHBand="0" w:firstRowFirstColumn="0" w:firstRowLastColumn="0" w:lastRowFirstColumn="0" w:lastRowLastColumn="0"/>
          <w:trHeight w:val="246"/>
        </w:trPr>
        <w:tc>
          <w:tcPr>
            <w:tcW w:w="3390" w:type="dxa"/>
            <w:vAlign w:val="bottom"/>
          </w:tcPr>
          <w:p w14:paraId="5D4797D0" w14:textId="77777777" w:rsidR="003D5C6E" w:rsidRPr="00344191" w:rsidRDefault="003D5C6E" w:rsidP="00700B1D">
            <w:pPr>
              <w:pStyle w:val="TableColumnHeadingLeft"/>
              <w:rPr>
                <w:b w:val="0"/>
              </w:rPr>
            </w:pPr>
            <w:r w:rsidRPr="00344191">
              <w:t xml:space="preserve">Electricity </w:t>
            </w:r>
            <w:r w:rsidRPr="00700B1D">
              <w:t>emissions</w:t>
            </w:r>
          </w:p>
        </w:tc>
        <w:tc>
          <w:tcPr>
            <w:tcW w:w="1075" w:type="dxa"/>
          </w:tcPr>
          <w:p w14:paraId="5A5BB611" w14:textId="77777777" w:rsidR="006342E2" w:rsidRPr="00700B1D" w:rsidRDefault="003D5C6E" w:rsidP="00700B1D">
            <w:pPr>
              <w:pStyle w:val="TableColumnHeadingRight"/>
            </w:pPr>
            <w:r w:rsidRPr="00700B1D">
              <w:t xml:space="preserve">Scope 2 </w:t>
            </w:r>
          </w:p>
          <w:p w14:paraId="1E97DC35" w14:textId="377A5794" w:rsidR="003D5C6E" w:rsidRPr="00700B1D" w:rsidRDefault="007307B0" w:rsidP="00700B1D">
            <w:pPr>
              <w:pStyle w:val="TableColumnHeadingRight"/>
            </w:pPr>
            <w:r w:rsidRPr="00700B1D">
              <w:t>(</w:t>
            </w:r>
            <w:r w:rsidR="003D5C6E" w:rsidRPr="00700B1D">
              <w:t>t CO2</w:t>
            </w:r>
            <w:r w:rsidR="00B84FF2" w:rsidRPr="00700B1D">
              <w:noBreakHyphen/>
            </w:r>
            <w:r w:rsidR="003D5C6E" w:rsidRPr="00700B1D">
              <w:t>e</w:t>
            </w:r>
            <w:r w:rsidRPr="00700B1D">
              <w:t>)</w:t>
            </w:r>
          </w:p>
        </w:tc>
        <w:tc>
          <w:tcPr>
            <w:tcW w:w="1076" w:type="dxa"/>
          </w:tcPr>
          <w:p w14:paraId="42E7A855" w14:textId="74422534" w:rsidR="003D5C6E" w:rsidRPr="00700B1D" w:rsidRDefault="003D5C6E" w:rsidP="00700B1D">
            <w:pPr>
              <w:pStyle w:val="TableColumnHeadingRight"/>
            </w:pPr>
            <w:r w:rsidRPr="00700B1D">
              <w:t xml:space="preserve">Scope 3 </w:t>
            </w:r>
            <w:r w:rsidR="007307B0" w:rsidRPr="00700B1D">
              <w:br/>
              <w:t>(</w:t>
            </w:r>
            <w:r w:rsidRPr="00700B1D">
              <w:t>t CO2</w:t>
            </w:r>
            <w:r w:rsidR="00B84FF2" w:rsidRPr="00700B1D">
              <w:noBreakHyphen/>
            </w:r>
            <w:r w:rsidRPr="00700B1D">
              <w:t>e</w:t>
            </w:r>
            <w:r w:rsidR="007307B0" w:rsidRPr="00700B1D">
              <w:t>)</w:t>
            </w:r>
          </w:p>
        </w:tc>
        <w:tc>
          <w:tcPr>
            <w:tcW w:w="1075" w:type="dxa"/>
          </w:tcPr>
          <w:p w14:paraId="4C319EDE" w14:textId="3C3A61EB" w:rsidR="003D5C6E" w:rsidRPr="00700B1D" w:rsidRDefault="003D5C6E" w:rsidP="00700B1D">
            <w:pPr>
              <w:pStyle w:val="TableColumnHeadingRight"/>
            </w:pPr>
            <w:r w:rsidRPr="00700B1D">
              <w:t xml:space="preserve">Total </w:t>
            </w:r>
            <w:r w:rsidR="007307B0" w:rsidRPr="00700B1D">
              <w:br/>
              <w:t>(</w:t>
            </w:r>
            <w:r w:rsidRPr="00700B1D">
              <w:t>t CO2</w:t>
            </w:r>
            <w:r w:rsidR="00B84FF2" w:rsidRPr="00700B1D">
              <w:noBreakHyphen/>
            </w:r>
            <w:r w:rsidRPr="00700B1D">
              <w:t>e</w:t>
            </w:r>
            <w:r w:rsidR="007307B0" w:rsidRPr="00700B1D">
              <w:t>)</w:t>
            </w:r>
          </w:p>
        </w:tc>
        <w:tc>
          <w:tcPr>
            <w:tcW w:w="1095" w:type="dxa"/>
          </w:tcPr>
          <w:p w14:paraId="26A88A42" w14:textId="5F882E7D" w:rsidR="003D5C6E" w:rsidRPr="00700B1D" w:rsidRDefault="003D5C6E" w:rsidP="00700B1D">
            <w:pPr>
              <w:pStyle w:val="TableColumnHeadingRight"/>
            </w:pPr>
            <w:r w:rsidRPr="00700B1D">
              <w:t xml:space="preserve">Electricity </w:t>
            </w:r>
            <w:r w:rsidR="007307B0" w:rsidRPr="00700B1D">
              <w:t>(</w:t>
            </w:r>
            <w:r w:rsidRPr="00700B1D">
              <w:t>kWh</w:t>
            </w:r>
            <w:r w:rsidR="007307B0" w:rsidRPr="00700B1D">
              <w:t>)</w:t>
            </w:r>
          </w:p>
        </w:tc>
      </w:tr>
      <w:tr w:rsidR="00027468" w:rsidRPr="00DD0DEC" w14:paraId="5DDCB8D1" w14:textId="77777777" w:rsidTr="00D020C7">
        <w:trPr>
          <w:trHeight w:val="188"/>
        </w:trPr>
        <w:tc>
          <w:tcPr>
            <w:tcW w:w="3390" w:type="dxa"/>
          </w:tcPr>
          <w:p w14:paraId="0F65B59A" w14:textId="62084DD4" w:rsidR="007307B0" w:rsidRPr="00700B1D" w:rsidRDefault="007307B0" w:rsidP="00625DAB">
            <w:pPr>
              <w:pStyle w:val="TableTextLeft"/>
            </w:pPr>
            <w:r w:rsidRPr="00700B1D">
              <w:t>Location</w:t>
            </w:r>
            <w:r w:rsidR="00B84FF2" w:rsidRPr="00700B1D">
              <w:noBreakHyphen/>
            </w:r>
            <w:r w:rsidRPr="00700B1D">
              <w:t xml:space="preserve">based electricity emissions </w:t>
            </w:r>
          </w:p>
        </w:tc>
        <w:tc>
          <w:tcPr>
            <w:tcW w:w="1075" w:type="dxa"/>
          </w:tcPr>
          <w:p w14:paraId="4BF499A7" w14:textId="024758CB" w:rsidR="007307B0" w:rsidRPr="00700B1D" w:rsidRDefault="007307B0" w:rsidP="00700B1D">
            <w:pPr>
              <w:pStyle w:val="TableTextRight"/>
            </w:pPr>
            <w:r w:rsidRPr="00700B1D">
              <w:t>–</w:t>
            </w:r>
          </w:p>
        </w:tc>
        <w:tc>
          <w:tcPr>
            <w:tcW w:w="1076" w:type="dxa"/>
          </w:tcPr>
          <w:p w14:paraId="01B78B2A" w14:textId="06261EDE" w:rsidR="007307B0" w:rsidRPr="00700B1D" w:rsidRDefault="007307B0" w:rsidP="00700B1D">
            <w:pPr>
              <w:pStyle w:val="TableTextRight"/>
            </w:pPr>
            <w:r w:rsidRPr="00700B1D">
              <w:t>–</w:t>
            </w:r>
          </w:p>
        </w:tc>
        <w:tc>
          <w:tcPr>
            <w:tcW w:w="1075" w:type="dxa"/>
          </w:tcPr>
          <w:p w14:paraId="79628885" w14:textId="7F7AEA30" w:rsidR="007307B0" w:rsidRPr="00700B1D" w:rsidRDefault="007307B0" w:rsidP="00700B1D">
            <w:pPr>
              <w:pStyle w:val="TableTextRight"/>
            </w:pPr>
            <w:r w:rsidRPr="00700B1D">
              <w:t>–</w:t>
            </w:r>
          </w:p>
        </w:tc>
        <w:tc>
          <w:tcPr>
            <w:tcW w:w="1095" w:type="dxa"/>
          </w:tcPr>
          <w:p w14:paraId="541C5459" w14:textId="29772579" w:rsidR="007307B0" w:rsidRPr="00700B1D" w:rsidRDefault="007307B0" w:rsidP="00700B1D">
            <w:pPr>
              <w:pStyle w:val="TableTextRight"/>
            </w:pPr>
            <w:r w:rsidRPr="00700B1D">
              <w:t>–</w:t>
            </w:r>
          </w:p>
        </w:tc>
      </w:tr>
      <w:tr w:rsidR="00843643" w:rsidRPr="00DD0DEC" w14:paraId="70A3FBDB" w14:textId="77777777" w:rsidTr="00D020C7">
        <w:trPr>
          <w:cnfStyle w:val="000000010000" w:firstRow="0" w:lastRow="0" w:firstColumn="0" w:lastColumn="0" w:oddVBand="0" w:evenVBand="0" w:oddHBand="0" w:evenHBand="1" w:firstRowFirstColumn="0" w:firstRowLastColumn="0" w:lastRowFirstColumn="0" w:lastRowLastColumn="0"/>
          <w:trHeight w:val="152"/>
        </w:trPr>
        <w:tc>
          <w:tcPr>
            <w:tcW w:w="3390" w:type="dxa"/>
          </w:tcPr>
          <w:p w14:paraId="770424A4" w14:textId="29003E08" w:rsidR="007307B0" w:rsidRPr="00700B1D" w:rsidRDefault="007307B0" w:rsidP="00625DAB">
            <w:pPr>
              <w:pStyle w:val="TableTextLeft"/>
            </w:pPr>
            <w:r w:rsidRPr="00700B1D">
              <w:t>Market</w:t>
            </w:r>
            <w:r w:rsidR="00B84FF2" w:rsidRPr="00700B1D">
              <w:noBreakHyphen/>
            </w:r>
            <w:r w:rsidRPr="00700B1D">
              <w:t xml:space="preserve">based electricity emissions </w:t>
            </w:r>
          </w:p>
        </w:tc>
        <w:tc>
          <w:tcPr>
            <w:tcW w:w="1075" w:type="dxa"/>
          </w:tcPr>
          <w:p w14:paraId="74FE8D1A" w14:textId="5AE548D4" w:rsidR="007307B0" w:rsidRPr="00700B1D" w:rsidRDefault="007307B0" w:rsidP="00700B1D">
            <w:pPr>
              <w:pStyle w:val="TableTextRight"/>
            </w:pPr>
            <w:r w:rsidRPr="00700B1D">
              <w:t>–</w:t>
            </w:r>
          </w:p>
        </w:tc>
        <w:tc>
          <w:tcPr>
            <w:tcW w:w="1076" w:type="dxa"/>
          </w:tcPr>
          <w:p w14:paraId="64782371" w14:textId="2927DDDC" w:rsidR="007307B0" w:rsidRPr="00700B1D" w:rsidRDefault="007307B0" w:rsidP="00700B1D">
            <w:pPr>
              <w:pStyle w:val="TableTextRight"/>
            </w:pPr>
            <w:r w:rsidRPr="00700B1D">
              <w:t>–</w:t>
            </w:r>
          </w:p>
        </w:tc>
        <w:tc>
          <w:tcPr>
            <w:tcW w:w="1075" w:type="dxa"/>
          </w:tcPr>
          <w:p w14:paraId="6FF48FC6" w14:textId="79770986" w:rsidR="007307B0" w:rsidRPr="00700B1D" w:rsidRDefault="007307B0" w:rsidP="00700B1D">
            <w:pPr>
              <w:pStyle w:val="TableTextRight"/>
            </w:pPr>
            <w:r w:rsidRPr="00700B1D">
              <w:t>–</w:t>
            </w:r>
          </w:p>
        </w:tc>
        <w:tc>
          <w:tcPr>
            <w:tcW w:w="1095" w:type="dxa"/>
          </w:tcPr>
          <w:p w14:paraId="143C8416" w14:textId="66B55A41" w:rsidR="007307B0" w:rsidRPr="00700B1D" w:rsidRDefault="007307B0" w:rsidP="00700B1D">
            <w:pPr>
              <w:pStyle w:val="TableTextRight"/>
            </w:pPr>
            <w:r w:rsidRPr="00700B1D">
              <w:t>–</w:t>
            </w:r>
          </w:p>
        </w:tc>
      </w:tr>
      <w:tr w:rsidR="00D020C7" w:rsidRPr="00DD0DEC" w14:paraId="65550F00" w14:textId="0B90C54A" w:rsidTr="00D020C7">
        <w:trPr>
          <w:trHeight w:val="270"/>
        </w:trPr>
        <w:tc>
          <w:tcPr>
            <w:tcW w:w="3390" w:type="dxa"/>
          </w:tcPr>
          <w:p w14:paraId="5E0205C8" w14:textId="38DBEC9C" w:rsidR="00D020C7" w:rsidRPr="00700B1D" w:rsidRDefault="00D020C7" w:rsidP="00D020C7">
            <w:pPr>
              <w:pStyle w:val="TableTextLeft"/>
            </w:pPr>
            <w:r w:rsidRPr="00700B1D">
              <w:t>Total renewable electricity consumed</w:t>
            </w:r>
          </w:p>
        </w:tc>
        <w:tc>
          <w:tcPr>
            <w:tcW w:w="1075" w:type="dxa"/>
          </w:tcPr>
          <w:p w14:paraId="0EA4A200" w14:textId="550E5368" w:rsidR="00D020C7" w:rsidRPr="00700B1D" w:rsidRDefault="00D020C7" w:rsidP="00D020C7">
            <w:pPr>
              <w:pStyle w:val="TableTextRight"/>
              <w:rPr>
                <w:b/>
                <w:bCs/>
              </w:rPr>
            </w:pPr>
            <w:r w:rsidRPr="00700B1D">
              <w:t>–</w:t>
            </w:r>
          </w:p>
        </w:tc>
        <w:tc>
          <w:tcPr>
            <w:tcW w:w="1076" w:type="dxa"/>
          </w:tcPr>
          <w:p w14:paraId="5CE79365" w14:textId="21A2A828" w:rsidR="00D020C7" w:rsidRPr="00700B1D" w:rsidRDefault="00D020C7" w:rsidP="00D020C7">
            <w:pPr>
              <w:pStyle w:val="TableTextRight"/>
              <w:rPr>
                <w:b/>
                <w:bCs/>
              </w:rPr>
            </w:pPr>
            <w:r w:rsidRPr="00700B1D">
              <w:t>–</w:t>
            </w:r>
          </w:p>
        </w:tc>
        <w:tc>
          <w:tcPr>
            <w:tcW w:w="1075" w:type="dxa"/>
          </w:tcPr>
          <w:p w14:paraId="3B0E68C7" w14:textId="7819C52B" w:rsidR="00D020C7" w:rsidRPr="00700B1D" w:rsidRDefault="00D020C7" w:rsidP="00D020C7">
            <w:pPr>
              <w:pStyle w:val="TableTextRight"/>
              <w:rPr>
                <w:b/>
                <w:bCs/>
              </w:rPr>
            </w:pPr>
            <w:r w:rsidRPr="00700B1D">
              <w:t>–</w:t>
            </w:r>
          </w:p>
        </w:tc>
        <w:tc>
          <w:tcPr>
            <w:tcW w:w="1095" w:type="dxa"/>
          </w:tcPr>
          <w:p w14:paraId="32D66107" w14:textId="24E6B7DA" w:rsidR="00D020C7" w:rsidRPr="00700B1D" w:rsidRDefault="00832E42" w:rsidP="00D020C7">
            <w:pPr>
              <w:pStyle w:val="TableTextRight"/>
              <w:rPr>
                <w:b/>
                <w:bCs/>
              </w:rPr>
            </w:pPr>
            <w:r w:rsidRPr="00700B1D">
              <w:t>–</w:t>
            </w:r>
          </w:p>
        </w:tc>
      </w:tr>
      <w:tr w:rsidR="00D020C7" w:rsidRPr="00DD0DEC" w14:paraId="71C0F2CD" w14:textId="77777777" w:rsidTr="00D020C7">
        <w:trPr>
          <w:cnfStyle w:val="000000010000" w:firstRow="0" w:lastRow="0" w:firstColumn="0" w:lastColumn="0" w:oddVBand="0" w:evenVBand="0" w:oddHBand="0" w:evenHBand="1" w:firstRowFirstColumn="0" w:firstRowLastColumn="0" w:lastRowFirstColumn="0" w:lastRowLastColumn="0"/>
          <w:trHeight w:val="270"/>
        </w:trPr>
        <w:tc>
          <w:tcPr>
            <w:tcW w:w="3390" w:type="dxa"/>
          </w:tcPr>
          <w:p w14:paraId="0B2D5B74" w14:textId="56546420" w:rsidR="00D020C7" w:rsidRPr="00700B1D" w:rsidRDefault="00D020C7" w:rsidP="00D020C7">
            <w:pPr>
              <w:pStyle w:val="TableTextLeft"/>
            </w:pPr>
            <w:r w:rsidRPr="00700B1D">
              <w:t>Renewable power percentage</w:t>
            </w:r>
          </w:p>
        </w:tc>
        <w:tc>
          <w:tcPr>
            <w:tcW w:w="1075" w:type="dxa"/>
          </w:tcPr>
          <w:p w14:paraId="661A2C8F" w14:textId="77777777" w:rsidR="00D020C7" w:rsidRPr="002E13B6" w:rsidRDefault="00D020C7" w:rsidP="00D020C7">
            <w:pPr>
              <w:pStyle w:val="TableTextRight"/>
            </w:pPr>
            <w:r w:rsidRPr="002E13B6">
              <w:t>N/A</w:t>
            </w:r>
          </w:p>
        </w:tc>
        <w:tc>
          <w:tcPr>
            <w:tcW w:w="1076" w:type="dxa"/>
          </w:tcPr>
          <w:p w14:paraId="152C455D" w14:textId="77777777" w:rsidR="00D020C7" w:rsidRPr="002E13B6" w:rsidRDefault="00D020C7" w:rsidP="00D020C7">
            <w:pPr>
              <w:pStyle w:val="TableTextRight"/>
            </w:pPr>
            <w:r w:rsidRPr="002E13B6">
              <w:t>N/A</w:t>
            </w:r>
          </w:p>
        </w:tc>
        <w:tc>
          <w:tcPr>
            <w:tcW w:w="1075" w:type="dxa"/>
          </w:tcPr>
          <w:p w14:paraId="5E6DCB56" w14:textId="77777777" w:rsidR="00D020C7" w:rsidRPr="002E13B6" w:rsidRDefault="00D020C7" w:rsidP="00D020C7">
            <w:pPr>
              <w:pStyle w:val="TableTextRight"/>
            </w:pPr>
            <w:r w:rsidRPr="002E13B6">
              <w:t>N/A</w:t>
            </w:r>
          </w:p>
        </w:tc>
        <w:tc>
          <w:tcPr>
            <w:tcW w:w="1095" w:type="dxa"/>
          </w:tcPr>
          <w:p w14:paraId="351E982E" w14:textId="7E920AC5" w:rsidR="00D020C7" w:rsidRPr="002E13B6" w:rsidRDefault="00D020C7" w:rsidP="00D020C7">
            <w:pPr>
              <w:pStyle w:val="TableTextRight"/>
            </w:pPr>
            <w:r w:rsidRPr="002E13B6">
              <w:t>–</w:t>
            </w:r>
          </w:p>
        </w:tc>
      </w:tr>
      <w:tr w:rsidR="00D020C7" w:rsidRPr="00DD0DEC" w14:paraId="79340429" w14:textId="77777777" w:rsidTr="00D020C7">
        <w:trPr>
          <w:trHeight w:val="270"/>
        </w:trPr>
        <w:tc>
          <w:tcPr>
            <w:tcW w:w="3390" w:type="dxa"/>
          </w:tcPr>
          <w:p w14:paraId="122F975D" w14:textId="43B41E07" w:rsidR="00D020C7" w:rsidRPr="00700B1D" w:rsidRDefault="00D020C7" w:rsidP="00D020C7">
            <w:pPr>
              <w:pStyle w:val="TableTextLeft"/>
            </w:pPr>
            <w:r w:rsidRPr="00700B1D">
              <w:t>Jurisdictional renewable power percentage</w:t>
            </w:r>
          </w:p>
        </w:tc>
        <w:tc>
          <w:tcPr>
            <w:tcW w:w="1075" w:type="dxa"/>
          </w:tcPr>
          <w:p w14:paraId="46CE8C0C" w14:textId="77777777" w:rsidR="00D020C7" w:rsidRPr="002E13B6" w:rsidRDefault="00D020C7" w:rsidP="00D020C7">
            <w:pPr>
              <w:pStyle w:val="TableTextRight"/>
            </w:pPr>
            <w:r w:rsidRPr="002E13B6">
              <w:t>N/A</w:t>
            </w:r>
          </w:p>
        </w:tc>
        <w:tc>
          <w:tcPr>
            <w:tcW w:w="1076" w:type="dxa"/>
          </w:tcPr>
          <w:p w14:paraId="7CDF8A36" w14:textId="77777777" w:rsidR="00D020C7" w:rsidRPr="002E13B6" w:rsidRDefault="00D020C7" w:rsidP="00D020C7">
            <w:pPr>
              <w:pStyle w:val="TableTextRight"/>
            </w:pPr>
            <w:r w:rsidRPr="002E13B6">
              <w:t>N/A</w:t>
            </w:r>
          </w:p>
        </w:tc>
        <w:tc>
          <w:tcPr>
            <w:tcW w:w="1075" w:type="dxa"/>
          </w:tcPr>
          <w:p w14:paraId="26C6425D" w14:textId="77777777" w:rsidR="00D020C7" w:rsidRPr="002E13B6" w:rsidRDefault="00D020C7" w:rsidP="00D020C7">
            <w:pPr>
              <w:pStyle w:val="TableTextRight"/>
            </w:pPr>
            <w:r w:rsidRPr="002E13B6">
              <w:t>N/A</w:t>
            </w:r>
          </w:p>
        </w:tc>
        <w:tc>
          <w:tcPr>
            <w:tcW w:w="1095" w:type="dxa"/>
          </w:tcPr>
          <w:p w14:paraId="1EECB04C" w14:textId="6FF0D31F" w:rsidR="00D020C7" w:rsidRPr="002E13B6" w:rsidRDefault="00D020C7" w:rsidP="00D020C7">
            <w:pPr>
              <w:pStyle w:val="TableTextRight"/>
            </w:pPr>
            <w:r w:rsidRPr="002E13B6">
              <w:t>–</w:t>
            </w:r>
          </w:p>
        </w:tc>
      </w:tr>
      <w:tr w:rsidR="00D020C7" w:rsidRPr="00DD0DEC" w14:paraId="448F2ABD" w14:textId="77777777" w:rsidTr="00D020C7">
        <w:trPr>
          <w:cnfStyle w:val="000000010000" w:firstRow="0" w:lastRow="0" w:firstColumn="0" w:lastColumn="0" w:oddVBand="0" w:evenVBand="0" w:oddHBand="0" w:evenHBand="1" w:firstRowFirstColumn="0" w:firstRowLastColumn="0" w:lastRowFirstColumn="0" w:lastRowLastColumn="0"/>
          <w:trHeight w:val="270"/>
        </w:trPr>
        <w:tc>
          <w:tcPr>
            <w:tcW w:w="3390" w:type="dxa"/>
          </w:tcPr>
          <w:p w14:paraId="5B908DB5" w14:textId="04E051A3" w:rsidR="00D020C7" w:rsidRPr="00700B1D" w:rsidRDefault="00D020C7" w:rsidP="00D020C7">
            <w:pPr>
              <w:pStyle w:val="TableTextLeft"/>
            </w:pPr>
            <w:r w:rsidRPr="00700B1D">
              <w:t>Green power</w:t>
            </w:r>
          </w:p>
        </w:tc>
        <w:tc>
          <w:tcPr>
            <w:tcW w:w="1075" w:type="dxa"/>
          </w:tcPr>
          <w:p w14:paraId="5399397C" w14:textId="77777777" w:rsidR="00D020C7" w:rsidRPr="002E13B6" w:rsidRDefault="00D020C7" w:rsidP="00D020C7">
            <w:pPr>
              <w:pStyle w:val="TableTextRight"/>
            </w:pPr>
            <w:r w:rsidRPr="002E13B6">
              <w:t>N/A</w:t>
            </w:r>
          </w:p>
        </w:tc>
        <w:tc>
          <w:tcPr>
            <w:tcW w:w="1076" w:type="dxa"/>
          </w:tcPr>
          <w:p w14:paraId="383F36FE" w14:textId="77777777" w:rsidR="00D020C7" w:rsidRPr="002E13B6" w:rsidRDefault="00D020C7" w:rsidP="00D020C7">
            <w:pPr>
              <w:pStyle w:val="TableTextRight"/>
            </w:pPr>
            <w:r w:rsidRPr="002E13B6">
              <w:t>N/A</w:t>
            </w:r>
          </w:p>
        </w:tc>
        <w:tc>
          <w:tcPr>
            <w:tcW w:w="1075" w:type="dxa"/>
          </w:tcPr>
          <w:p w14:paraId="6C2D8C28" w14:textId="77777777" w:rsidR="00D020C7" w:rsidRPr="002E13B6" w:rsidRDefault="00D020C7" w:rsidP="00D020C7">
            <w:pPr>
              <w:pStyle w:val="TableTextRight"/>
            </w:pPr>
            <w:r w:rsidRPr="002E13B6">
              <w:t>N/A</w:t>
            </w:r>
          </w:p>
        </w:tc>
        <w:tc>
          <w:tcPr>
            <w:tcW w:w="1095" w:type="dxa"/>
          </w:tcPr>
          <w:p w14:paraId="2A66CB3A" w14:textId="2CA899FB" w:rsidR="00D020C7" w:rsidRPr="002E13B6" w:rsidRDefault="00D020C7" w:rsidP="00D020C7">
            <w:pPr>
              <w:pStyle w:val="TableTextRight"/>
            </w:pPr>
            <w:r w:rsidRPr="002E13B6">
              <w:t>–</w:t>
            </w:r>
          </w:p>
        </w:tc>
      </w:tr>
      <w:tr w:rsidR="00D020C7" w:rsidRPr="00DD0DEC" w14:paraId="5A334FBE" w14:textId="77777777" w:rsidTr="00D020C7">
        <w:trPr>
          <w:trHeight w:val="270"/>
        </w:trPr>
        <w:tc>
          <w:tcPr>
            <w:tcW w:w="3390" w:type="dxa"/>
          </w:tcPr>
          <w:p w14:paraId="4367771E" w14:textId="21A72D3D" w:rsidR="00D020C7" w:rsidRPr="00700B1D" w:rsidRDefault="00D020C7" w:rsidP="00D020C7">
            <w:pPr>
              <w:pStyle w:val="TableTextLeft"/>
            </w:pPr>
            <w:r w:rsidRPr="00700B1D">
              <w:t>Large</w:t>
            </w:r>
            <w:r w:rsidRPr="00700B1D">
              <w:noBreakHyphen/>
              <w:t>scale generation certificates</w:t>
            </w:r>
          </w:p>
        </w:tc>
        <w:tc>
          <w:tcPr>
            <w:tcW w:w="1075" w:type="dxa"/>
          </w:tcPr>
          <w:p w14:paraId="7351874C" w14:textId="77777777" w:rsidR="00D020C7" w:rsidRPr="002E13B6" w:rsidRDefault="00D020C7" w:rsidP="00D020C7">
            <w:pPr>
              <w:pStyle w:val="TableTextRight"/>
            </w:pPr>
            <w:r w:rsidRPr="002E13B6">
              <w:t>N/A</w:t>
            </w:r>
          </w:p>
        </w:tc>
        <w:tc>
          <w:tcPr>
            <w:tcW w:w="1076" w:type="dxa"/>
          </w:tcPr>
          <w:p w14:paraId="19C060CE" w14:textId="77777777" w:rsidR="00D020C7" w:rsidRPr="002E13B6" w:rsidRDefault="00D020C7" w:rsidP="00D020C7">
            <w:pPr>
              <w:pStyle w:val="TableTextRight"/>
            </w:pPr>
            <w:r w:rsidRPr="002E13B6">
              <w:t>N/A</w:t>
            </w:r>
          </w:p>
        </w:tc>
        <w:tc>
          <w:tcPr>
            <w:tcW w:w="1075" w:type="dxa"/>
          </w:tcPr>
          <w:p w14:paraId="044E6B6C" w14:textId="77777777" w:rsidR="00D020C7" w:rsidRPr="002E13B6" w:rsidRDefault="00D020C7" w:rsidP="00D020C7">
            <w:pPr>
              <w:pStyle w:val="TableTextRight"/>
            </w:pPr>
            <w:r w:rsidRPr="002E13B6">
              <w:t>N/A</w:t>
            </w:r>
          </w:p>
        </w:tc>
        <w:tc>
          <w:tcPr>
            <w:tcW w:w="1095" w:type="dxa"/>
          </w:tcPr>
          <w:p w14:paraId="4F7BC4A2" w14:textId="5B27FBC3" w:rsidR="00D020C7" w:rsidRPr="002E13B6" w:rsidRDefault="00D020C7" w:rsidP="00D020C7">
            <w:pPr>
              <w:pStyle w:val="TableTextRight"/>
            </w:pPr>
            <w:r w:rsidRPr="002E13B6">
              <w:t>–</w:t>
            </w:r>
          </w:p>
        </w:tc>
      </w:tr>
      <w:tr w:rsidR="00D020C7" w:rsidRPr="00DD0DEC" w14:paraId="0393A349" w14:textId="77777777" w:rsidTr="00D020C7">
        <w:trPr>
          <w:cnfStyle w:val="000000010000" w:firstRow="0" w:lastRow="0" w:firstColumn="0" w:lastColumn="0" w:oddVBand="0" w:evenVBand="0" w:oddHBand="0" w:evenHBand="1" w:firstRowFirstColumn="0" w:firstRowLastColumn="0" w:lastRowFirstColumn="0" w:lastRowLastColumn="0"/>
          <w:trHeight w:val="270"/>
        </w:trPr>
        <w:tc>
          <w:tcPr>
            <w:tcW w:w="3390" w:type="dxa"/>
          </w:tcPr>
          <w:p w14:paraId="7D872481" w14:textId="11F4AC22" w:rsidR="00D020C7" w:rsidRPr="00700B1D" w:rsidRDefault="00D020C7" w:rsidP="00D020C7">
            <w:pPr>
              <w:pStyle w:val="TableTextLeft"/>
            </w:pPr>
            <w:r w:rsidRPr="00700B1D">
              <w:t>Behind</w:t>
            </w:r>
            <w:r w:rsidRPr="00700B1D">
              <w:noBreakHyphen/>
              <w:t>the</w:t>
            </w:r>
            <w:r w:rsidRPr="00700B1D">
              <w:noBreakHyphen/>
              <w:t>meter solar</w:t>
            </w:r>
          </w:p>
        </w:tc>
        <w:tc>
          <w:tcPr>
            <w:tcW w:w="1075" w:type="dxa"/>
          </w:tcPr>
          <w:p w14:paraId="44906C10" w14:textId="77777777" w:rsidR="00D020C7" w:rsidRPr="002E13B6" w:rsidRDefault="00D020C7" w:rsidP="00D020C7">
            <w:pPr>
              <w:pStyle w:val="TableTextRight"/>
            </w:pPr>
            <w:r w:rsidRPr="002E13B6">
              <w:t>N/A</w:t>
            </w:r>
          </w:p>
        </w:tc>
        <w:tc>
          <w:tcPr>
            <w:tcW w:w="1076" w:type="dxa"/>
          </w:tcPr>
          <w:p w14:paraId="738E7DBF" w14:textId="77777777" w:rsidR="00D020C7" w:rsidRPr="002E13B6" w:rsidRDefault="00D020C7" w:rsidP="00D020C7">
            <w:pPr>
              <w:pStyle w:val="TableTextRight"/>
            </w:pPr>
            <w:r w:rsidRPr="002E13B6">
              <w:t>N/A</w:t>
            </w:r>
          </w:p>
        </w:tc>
        <w:tc>
          <w:tcPr>
            <w:tcW w:w="1075" w:type="dxa"/>
          </w:tcPr>
          <w:p w14:paraId="3C7B03B8" w14:textId="77777777" w:rsidR="00D020C7" w:rsidRPr="002E13B6" w:rsidRDefault="00D020C7" w:rsidP="00D020C7">
            <w:pPr>
              <w:pStyle w:val="TableTextRight"/>
            </w:pPr>
            <w:r w:rsidRPr="002E13B6">
              <w:t>N/A</w:t>
            </w:r>
          </w:p>
        </w:tc>
        <w:tc>
          <w:tcPr>
            <w:tcW w:w="1095" w:type="dxa"/>
          </w:tcPr>
          <w:p w14:paraId="564A8315" w14:textId="4C9C2BB7" w:rsidR="00D020C7" w:rsidRPr="002E13B6" w:rsidRDefault="00D020C7" w:rsidP="00D020C7">
            <w:pPr>
              <w:pStyle w:val="TableTextRight"/>
            </w:pPr>
            <w:r w:rsidRPr="002E13B6">
              <w:t>–</w:t>
            </w:r>
          </w:p>
        </w:tc>
      </w:tr>
      <w:tr w:rsidR="00D020C7" w:rsidRPr="00DD0DEC" w14:paraId="72B29460" w14:textId="77777777" w:rsidTr="00D020C7">
        <w:trPr>
          <w:trHeight w:val="270"/>
        </w:trPr>
        <w:tc>
          <w:tcPr>
            <w:tcW w:w="3390" w:type="dxa"/>
          </w:tcPr>
          <w:p w14:paraId="51EBD526" w14:textId="77777777" w:rsidR="00D020C7" w:rsidRPr="002E13B6" w:rsidRDefault="00D020C7" w:rsidP="00D020C7">
            <w:pPr>
              <w:pStyle w:val="TableTextLeft"/>
              <w:rPr>
                <w:color w:val="FFFFFF" w:themeColor="background1"/>
              </w:rPr>
            </w:pPr>
            <w:r w:rsidRPr="002E13B6">
              <w:t>Total renewable electricity produced</w:t>
            </w:r>
          </w:p>
        </w:tc>
        <w:tc>
          <w:tcPr>
            <w:tcW w:w="1075" w:type="dxa"/>
          </w:tcPr>
          <w:p w14:paraId="5F5D0465" w14:textId="3A3F1D9B" w:rsidR="00D020C7" w:rsidRPr="002E13B6" w:rsidRDefault="00D020C7" w:rsidP="00D020C7">
            <w:pPr>
              <w:pStyle w:val="TableTextRight"/>
              <w:rPr>
                <w:b/>
                <w:color w:val="FFFFFF" w:themeColor="background1"/>
              </w:rPr>
            </w:pPr>
            <w:r w:rsidRPr="00700B1D">
              <w:t>–</w:t>
            </w:r>
          </w:p>
        </w:tc>
        <w:tc>
          <w:tcPr>
            <w:tcW w:w="1076" w:type="dxa"/>
          </w:tcPr>
          <w:p w14:paraId="0E7E7E9F" w14:textId="225FA11F" w:rsidR="00D020C7" w:rsidRPr="002E13B6" w:rsidRDefault="00D020C7" w:rsidP="00D020C7">
            <w:pPr>
              <w:pStyle w:val="TableTextRight"/>
              <w:rPr>
                <w:b/>
                <w:color w:val="FFFFFF" w:themeColor="background1"/>
              </w:rPr>
            </w:pPr>
            <w:r w:rsidRPr="00700B1D">
              <w:t>–</w:t>
            </w:r>
          </w:p>
        </w:tc>
        <w:tc>
          <w:tcPr>
            <w:tcW w:w="1075" w:type="dxa"/>
          </w:tcPr>
          <w:p w14:paraId="25CC4AC4" w14:textId="49B4E59F" w:rsidR="00D020C7" w:rsidRPr="002E13B6" w:rsidRDefault="00D020C7" w:rsidP="00D020C7">
            <w:pPr>
              <w:pStyle w:val="TableTextRight"/>
              <w:rPr>
                <w:b/>
                <w:color w:val="FFFFFF" w:themeColor="background1"/>
              </w:rPr>
            </w:pPr>
            <w:r w:rsidRPr="00700B1D">
              <w:t>–</w:t>
            </w:r>
          </w:p>
        </w:tc>
        <w:tc>
          <w:tcPr>
            <w:tcW w:w="1095" w:type="dxa"/>
          </w:tcPr>
          <w:p w14:paraId="295D131A" w14:textId="4FC8126C" w:rsidR="00D020C7" w:rsidRPr="002E13B6" w:rsidRDefault="00D020C7" w:rsidP="00D020C7">
            <w:pPr>
              <w:pStyle w:val="TableTextRight"/>
              <w:rPr>
                <w:b/>
                <w:color w:val="FFFFFF" w:themeColor="background1"/>
              </w:rPr>
            </w:pPr>
            <w:r w:rsidRPr="002E13B6">
              <w:t>–</w:t>
            </w:r>
          </w:p>
        </w:tc>
      </w:tr>
      <w:tr w:rsidR="00D020C7" w:rsidRPr="00DD0DEC" w14:paraId="348F07D4" w14:textId="77777777" w:rsidTr="00D020C7">
        <w:trPr>
          <w:cnfStyle w:val="000000010000" w:firstRow="0" w:lastRow="0" w:firstColumn="0" w:lastColumn="0" w:oddVBand="0" w:evenVBand="0" w:oddHBand="0" w:evenHBand="1" w:firstRowFirstColumn="0" w:firstRowLastColumn="0" w:lastRowFirstColumn="0" w:lastRowLastColumn="0"/>
          <w:trHeight w:val="270"/>
        </w:trPr>
        <w:tc>
          <w:tcPr>
            <w:tcW w:w="3390" w:type="dxa"/>
          </w:tcPr>
          <w:p w14:paraId="47F30F1A" w14:textId="2640D1A7" w:rsidR="00D020C7" w:rsidRPr="002E13B6" w:rsidRDefault="00D020C7" w:rsidP="00D020C7">
            <w:pPr>
              <w:pStyle w:val="TableTextLeft"/>
            </w:pPr>
            <w:r w:rsidRPr="002E13B6">
              <w:t>Large</w:t>
            </w:r>
            <w:r>
              <w:noBreakHyphen/>
            </w:r>
            <w:r w:rsidRPr="002E13B6">
              <w:t>scale generation certificates</w:t>
            </w:r>
          </w:p>
        </w:tc>
        <w:tc>
          <w:tcPr>
            <w:tcW w:w="1075" w:type="dxa"/>
          </w:tcPr>
          <w:p w14:paraId="52972565" w14:textId="77777777" w:rsidR="00D020C7" w:rsidRPr="002E13B6" w:rsidRDefault="00D020C7" w:rsidP="00D020C7">
            <w:pPr>
              <w:pStyle w:val="TableTextRight"/>
            </w:pPr>
            <w:r w:rsidRPr="002E13B6">
              <w:t>N/A</w:t>
            </w:r>
          </w:p>
        </w:tc>
        <w:tc>
          <w:tcPr>
            <w:tcW w:w="1076" w:type="dxa"/>
          </w:tcPr>
          <w:p w14:paraId="0B828270" w14:textId="77777777" w:rsidR="00D020C7" w:rsidRPr="002E13B6" w:rsidRDefault="00D020C7" w:rsidP="00D020C7">
            <w:pPr>
              <w:pStyle w:val="TableTextRight"/>
            </w:pPr>
            <w:r w:rsidRPr="002E13B6">
              <w:t>N/A</w:t>
            </w:r>
          </w:p>
        </w:tc>
        <w:tc>
          <w:tcPr>
            <w:tcW w:w="1075" w:type="dxa"/>
          </w:tcPr>
          <w:p w14:paraId="28D2C7FF" w14:textId="77777777" w:rsidR="00D020C7" w:rsidRPr="002E13B6" w:rsidRDefault="00D020C7" w:rsidP="00D020C7">
            <w:pPr>
              <w:pStyle w:val="TableTextRight"/>
            </w:pPr>
            <w:r w:rsidRPr="002E13B6">
              <w:t>N/A</w:t>
            </w:r>
          </w:p>
        </w:tc>
        <w:tc>
          <w:tcPr>
            <w:tcW w:w="1095" w:type="dxa"/>
          </w:tcPr>
          <w:p w14:paraId="394F5C27" w14:textId="1E45FA87" w:rsidR="00D020C7" w:rsidRPr="002E13B6" w:rsidRDefault="00D020C7" w:rsidP="00D020C7">
            <w:pPr>
              <w:pStyle w:val="TableTextRight"/>
            </w:pPr>
            <w:r w:rsidRPr="002E13B6">
              <w:t>–</w:t>
            </w:r>
          </w:p>
        </w:tc>
      </w:tr>
      <w:tr w:rsidR="00D020C7" w:rsidRPr="00DD0DEC" w14:paraId="7886B8EC" w14:textId="77777777" w:rsidTr="00D020C7">
        <w:trPr>
          <w:trHeight w:val="270"/>
        </w:trPr>
        <w:tc>
          <w:tcPr>
            <w:tcW w:w="3390" w:type="dxa"/>
          </w:tcPr>
          <w:p w14:paraId="6E2C2AAD" w14:textId="5D632D13" w:rsidR="00D020C7" w:rsidRPr="002E13B6" w:rsidRDefault="00D020C7" w:rsidP="00D020C7">
            <w:pPr>
              <w:pStyle w:val="TableTextLeft"/>
            </w:pPr>
            <w:r w:rsidRPr="002E13B6">
              <w:t>Behind</w:t>
            </w:r>
            <w:r>
              <w:noBreakHyphen/>
            </w:r>
            <w:r w:rsidRPr="002E13B6">
              <w:t>the</w:t>
            </w:r>
            <w:r>
              <w:noBreakHyphen/>
            </w:r>
            <w:r w:rsidRPr="002E13B6">
              <w:t>meter solar</w:t>
            </w:r>
          </w:p>
        </w:tc>
        <w:tc>
          <w:tcPr>
            <w:tcW w:w="1075" w:type="dxa"/>
          </w:tcPr>
          <w:p w14:paraId="2F6E26CF" w14:textId="77777777" w:rsidR="00D020C7" w:rsidRPr="002E13B6" w:rsidRDefault="00D020C7" w:rsidP="00D020C7">
            <w:pPr>
              <w:pStyle w:val="TableTextRight"/>
            </w:pPr>
            <w:r w:rsidRPr="002E13B6">
              <w:t>N/A</w:t>
            </w:r>
          </w:p>
        </w:tc>
        <w:tc>
          <w:tcPr>
            <w:tcW w:w="1076" w:type="dxa"/>
          </w:tcPr>
          <w:p w14:paraId="2FD3A5B2" w14:textId="77777777" w:rsidR="00D020C7" w:rsidRPr="002E13B6" w:rsidRDefault="00D020C7" w:rsidP="00D020C7">
            <w:pPr>
              <w:pStyle w:val="TableTextRight"/>
            </w:pPr>
            <w:r w:rsidRPr="002E13B6">
              <w:t>N/A</w:t>
            </w:r>
          </w:p>
        </w:tc>
        <w:tc>
          <w:tcPr>
            <w:tcW w:w="1075" w:type="dxa"/>
          </w:tcPr>
          <w:p w14:paraId="658876FA" w14:textId="77777777" w:rsidR="00D020C7" w:rsidRPr="002E13B6" w:rsidRDefault="00D020C7" w:rsidP="00D020C7">
            <w:pPr>
              <w:pStyle w:val="TableTextRight"/>
            </w:pPr>
            <w:r w:rsidRPr="002E13B6">
              <w:t>N/A</w:t>
            </w:r>
          </w:p>
        </w:tc>
        <w:tc>
          <w:tcPr>
            <w:tcW w:w="1095" w:type="dxa"/>
          </w:tcPr>
          <w:p w14:paraId="3F494271" w14:textId="08A56F97" w:rsidR="00D020C7" w:rsidRPr="002E13B6" w:rsidRDefault="00D020C7" w:rsidP="00D020C7">
            <w:pPr>
              <w:pStyle w:val="TableTextRight"/>
            </w:pPr>
            <w:r w:rsidRPr="002E13B6">
              <w:t>–</w:t>
            </w:r>
          </w:p>
        </w:tc>
      </w:tr>
      <w:tr w:rsidR="00D020C7" w:rsidRPr="00DD0DEC" w14:paraId="74A25356" w14:textId="77777777" w:rsidTr="00D020C7">
        <w:trPr>
          <w:cnfStyle w:val="000000010000" w:firstRow="0" w:lastRow="0" w:firstColumn="0" w:lastColumn="0" w:oddVBand="0" w:evenVBand="0" w:oddHBand="0" w:evenHBand="1" w:firstRowFirstColumn="0" w:firstRowLastColumn="0" w:lastRowFirstColumn="0" w:lastRowLastColumn="0"/>
          <w:trHeight w:val="270"/>
        </w:trPr>
        <w:tc>
          <w:tcPr>
            <w:tcW w:w="3390" w:type="dxa"/>
          </w:tcPr>
          <w:p w14:paraId="637127B3" w14:textId="77777777" w:rsidR="00D020C7" w:rsidRPr="0089610F" w:rsidRDefault="00D020C7" w:rsidP="00D020C7">
            <w:pPr>
              <w:pStyle w:val="TableTextLeft"/>
              <w:rPr>
                <w:b/>
                <w:bCs/>
              </w:rPr>
            </w:pPr>
            <w:r w:rsidRPr="0089610F">
              <w:rPr>
                <w:b/>
                <w:bCs/>
              </w:rPr>
              <w:t>Total</w:t>
            </w:r>
          </w:p>
        </w:tc>
        <w:tc>
          <w:tcPr>
            <w:tcW w:w="1075" w:type="dxa"/>
          </w:tcPr>
          <w:p w14:paraId="070CE283" w14:textId="57B730A4" w:rsidR="00D020C7" w:rsidRPr="00700B1D" w:rsidRDefault="00D020C7" w:rsidP="00D020C7">
            <w:pPr>
              <w:pStyle w:val="TableTextRight"/>
              <w:rPr>
                <w:b/>
                <w:bCs/>
              </w:rPr>
            </w:pPr>
            <w:r w:rsidRPr="00700B1D">
              <w:t>–</w:t>
            </w:r>
          </w:p>
        </w:tc>
        <w:tc>
          <w:tcPr>
            <w:tcW w:w="1076" w:type="dxa"/>
          </w:tcPr>
          <w:p w14:paraId="145A5EF6" w14:textId="29D1E30A" w:rsidR="00D020C7" w:rsidRPr="00700B1D" w:rsidRDefault="00D020C7" w:rsidP="00D020C7">
            <w:pPr>
              <w:pStyle w:val="TableTextRight"/>
              <w:rPr>
                <w:b/>
                <w:bCs/>
              </w:rPr>
            </w:pPr>
            <w:r w:rsidRPr="00700B1D">
              <w:t>–</w:t>
            </w:r>
          </w:p>
        </w:tc>
        <w:tc>
          <w:tcPr>
            <w:tcW w:w="1075" w:type="dxa"/>
          </w:tcPr>
          <w:p w14:paraId="69F9ACA7" w14:textId="73FFB9D7" w:rsidR="00D020C7" w:rsidRPr="00700B1D" w:rsidRDefault="00D020C7" w:rsidP="00D020C7">
            <w:pPr>
              <w:pStyle w:val="TableTextRight"/>
              <w:rPr>
                <w:b/>
                <w:bCs/>
              </w:rPr>
            </w:pPr>
            <w:r w:rsidRPr="00700B1D">
              <w:t>–</w:t>
            </w:r>
          </w:p>
        </w:tc>
        <w:tc>
          <w:tcPr>
            <w:tcW w:w="1095" w:type="dxa"/>
          </w:tcPr>
          <w:p w14:paraId="2A615FBB" w14:textId="4227F6AB" w:rsidR="00D020C7" w:rsidRPr="00700B1D" w:rsidRDefault="00832E42" w:rsidP="00D020C7">
            <w:pPr>
              <w:pStyle w:val="TableTextRight"/>
              <w:rPr>
                <w:b/>
                <w:bCs/>
              </w:rPr>
            </w:pPr>
            <w:r w:rsidRPr="00700B1D">
              <w:t>–</w:t>
            </w:r>
          </w:p>
        </w:tc>
      </w:tr>
    </w:tbl>
    <w:p w14:paraId="1F5112DC" w14:textId="4B887D5A" w:rsidR="003D5C6E" w:rsidRPr="00362E02" w:rsidRDefault="00836AD6" w:rsidP="006D2EDF">
      <w:pPr>
        <w:pStyle w:val="ChartorTableNoteAlpha"/>
        <w:numPr>
          <w:ilvl w:val="0"/>
          <w:numId w:val="54"/>
        </w:numPr>
        <w:rPr>
          <w:rStyle w:val="Strong"/>
          <w:b w:val="0"/>
          <w:bCs w:val="0"/>
        </w:rPr>
      </w:pPr>
      <w:r w:rsidRPr="00362E02">
        <w:t xml:space="preserve">The AOFM is wholly located within tenancies managed by Treasury. </w:t>
      </w:r>
      <w:r w:rsidR="003D5C6E" w:rsidRPr="00362E02">
        <w:t xml:space="preserve">Electricity emissions, total renewable electricity </w:t>
      </w:r>
      <w:proofErr w:type="gramStart"/>
      <w:r w:rsidR="003D5C6E" w:rsidRPr="00362E02">
        <w:t>consumed</w:t>
      </w:r>
      <w:proofErr w:type="gramEnd"/>
      <w:r w:rsidR="003D5C6E" w:rsidRPr="00362E02">
        <w:t xml:space="preserve"> and total renewable electricity produced are</w:t>
      </w:r>
      <w:r w:rsidR="00C76CE3" w:rsidRPr="00362E02">
        <w:t xml:space="preserve"> unable to be separated and are</w:t>
      </w:r>
      <w:r w:rsidR="003D5C6E" w:rsidRPr="00362E02">
        <w:t xml:space="preserve"> included in the Department of Treasury</w:t>
      </w:r>
      <w:r w:rsidR="00B84FF2" w:rsidRPr="00362E02">
        <w:t>’</w:t>
      </w:r>
      <w:r w:rsidR="003D5C6E" w:rsidRPr="00362E02">
        <w:t>s emissions reporting tables. See the 2024</w:t>
      </w:r>
      <w:r w:rsidR="007307B0" w:rsidRPr="00362E02">
        <w:t>–</w:t>
      </w:r>
      <w:r w:rsidR="003D5C6E" w:rsidRPr="00362E02">
        <w:t>25 Treasury Annual Report for further details.</w:t>
      </w:r>
    </w:p>
    <w:p w14:paraId="325DB1A6" w14:textId="77777777" w:rsidR="00224009" w:rsidRDefault="00224009" w:rsidP="00700B1D">
      <w:pPr>
        <w:pStyle w:val="Heading2"/>
      </w:pPr>
      <w:bookmarkStart w:id="1557" w:name="_Toc205474341"/>
      <w:bookmarkStart w:id="1558" w:name="_Toc207792922"/>
      <w:bookmarkStart w:id="1559" w:name="_Toc207793961"/>
      <w:bookmarkStart w:id="1560" w:name="_Toc207796118"/>
      <w:bookmarkStart w:id="1561" w:name="_Toc207796966"/>
      <w:bookmarkStart w:id="1562" w:name="_Toc207800268"/>
      <w:bookmarkStart w:id="1563" w:name="_Toc207810846"/>
      <w:r>
        <w:br w:type="page"/>
      </w:r>
    </w:p>
    <w:p w14:paraId="7B3E20C8" w14:textId="58398986" w:rsidR="003D5C6E" w:rsidRPr="00700B1D" w:rsidRDefault="00235D9D" w:rsidP="00700B1D">
      <w:pPr>
        <w:pStyle w:val="Heading2"/>
      </w:pPr>
      <w:bookmarkStart w:id="1564" w:name="_Toc208914125"/>
      <w:bookmarkStart w:id="1565" w:name="_Toc209424522"/>
      <w:r w:rsidRPr="00700B1D">
        <w:lastRenderedPageBreak/>
        <w:t xml:space="preserve">Progress towards the </w:t>
      </w:r>
      <w:r w:rsidR="00E04B43" w:rsidRPr="00700B1D">
        <w:t>APS</w:t>
      </w:r>
      <w:r w:rsidRPr="00700B1D">
        <w:t xml:space="preserve"> </w:t>
      </w:r>
      <w:r w:rsidR="00E04B43" w:rsidRPr="00700B1D">
        <w:t>N</w:t>
      </w:r>
      <w:r w:rsidRPr="00700B1D">
        <w:t xml:space="preserve">et </w:t>
      </w:r>
      <w:r w:rsidR="00E04B43" w:rsidRPr="00700B1D">
        <w:t>Z</w:t>
      </w:r>
      <w:r w:rsidRPr="00700B1D">
        <w:t>ero 2030 target</w:t>
      </w:r>
      <w:bookmarkEnd w:id="1557"/>
      <w:bookmarkEnd w:id="1558"/>
      <w:bookmarkEnd w:id="1559"/>
      <w:bookmarkEnd w:id="1560"/>
      <w:bookmarkEnd w:id="1561"/>
      <w:bookmarkEnd w:id="1562"/>
      <w:bookmarkEnd w:id="1563"/>
      <w:bookmarkEnd w:id="1564"/>
      <w:bookmarkEnd w:id="1565"/>
    </w:p>
    <w:p w14:paraId="0A8398FD" w14:textId="13854920" w:rsidR="00351E94" w:rsidRPr="00EF77D2" w:rsidRDefault="00351E94" w:rsidP="00700B1D">
      <w:pPr>
        <w:pStyle w:val="TableMainHeading"/>
      </w:pPr>
      <w:r w:rsidRPr="0063560E">
        <w:t xml:space="preserve">Table </w:t>
      </w:r>
      <w:r w:rsidR="004B2DFC" w:rsidRPr="0063560E">
        <w:t>3</w:t>
      </w:r>
      <w:r w:rsidR="001A0A3A">
        <w:t>3</w:t>
      </w:r>
      <w:r w:rsidRPr="0063560E">
        <w:t>:</w:t>
      </w:r>
      <w:r w:rsidR="00E85020">
        <w:t xml:space="preserve"> </w:t>
      </w:r>
      <w:r w:rsidR="00775A8B" w:rsidRPr="00700B1D">
        <w:t>Progress</w:t>
      </w:r>
      <w:r w:rsidR="00775A8B">
        <w:t xml:space="preserve"> </w:t>
      </w:r>
      <w:r w:rsidR="00E04B43">
        <w:t>towards</w:t>
      </w:r>
      <w:r w:rsidR="00EF77D2">
        <w:t xml:space="preserve"> the</w:t>
      </w:r>
      <w:r w:rsidR="00E04B43">
        <w:t xml:space="preserve"> </w:t>
      </w:r>
      <w:r w:rsidR="00775A8B" w:rsidRPr="00A96215">
        <w:rPr>
          <w:sz w:val="18"/>
        </w:rPr>
        <w:t>APS Net Zero 2030 target</w:t>
      </w:r>
    </w:p>
    <w:tbl>
      <w:tblPr>
        <w:tblStyle w:val="AOFMTablemain"/>
        <w:tblW w:w="5000" w:type="pct"/>
        <w:tblLayout w:type="fixed"/>
        <w:tblLook w:val="0420" w:firstRow="1" w:lastRow="0" w:firstColumn="0" w:lastColumn="0" w:noHBand="0" w:noVBand="1"/>
      </w:tblPr>
      <w:tblGrid>
        <w:gridCol w:w="2308"/>
        <w:gridCol w:w="1665"/>
        <w:gridCol w:w="1869"/>
        <w:gridCol w:w="1869"/>
      </w:tblGrid>
      <w:tr w:rsidR="0086383C" w:rsidRPr="002D75AB" w14:paraId="4F1214A9" w14:textId="77777777" w:rsidTr="003A4D91">
        <w:trPr>
          <w:cnfStyle w:val="100000000000" w:firstRow="1" w:lastRow="0" w:firstColumn="0" w:lastColumn="0" w:oddVBand="0" w:evenVBand="0" w:oddHBand="0" w:evenHBand="0" w:firstRowFirstColumn="0" w:firstRowLastColumn="0" w:lastRowFirstColumn="0" w:lastRowLastColumn="0"/>
          <w:trHeight w:val="419"/>
        </w:trPr>
        <w:tc>
          <w:tcPr>
            <w:tcW w:w="2410" w:type="dxa"/>
          </w:tcPr>
          <w:p w14:paraId="197C881D" w14:textId="77777777" w:rsidR="003D5C6E" w:rsidRPr="003A4D91" w:rsidRDefault="003D5C6E" w:rsidP="003A4D91">
            <w:pPr>
              <w:pStyle w:val="TableColumnHeadingLeft"/>
            </w:pPr>
            <w:r w:rsidRPr="003A4D91">
              <w:t xml:space="preserve">APS Net Zero 2030 target emission sources </w:t>
            </w:r>
          </w:p>
        </w:tc>
        <w:tc>
          <w:tcPr>
            <w:tcW w:w="0" w:type="dxa"/>
          </w:tcPr>
          <w:p w14:paraId="597E8E89" w14:textId="3A539C6B" w:rsidR="003D5C6E" w:rsidRPr="003A4D91" w:rsidRDefault="003D5C6E" w:rsidP="003A4D91">
            <w:pPr>
              <w:pStyle w:val="TableColumnHeadingRight"/>
            </w:pPr>
            <w:r w:rsidRPr="003A4D91">
              <w:t>202</w:t>
            </w:r>
            <w:r w:rsidR="00836AD6" w:rsidRPr="003A4D91">
              <w:t>3</w:t>
            </w:r>
            <w:r w:rsidR="0000542B" w:rsidRPr="003A4D91">
              <w:t>–</w:t>
            </w:r>
            <w:r w:rsidRPr="003A4D91">
              <w:t>2</w:t>
            </w:r>
            <w:r w:rsidR="00836AD6" w:rsidRPr="003A4D91">
              <w:t>4</w:t>
            </w:r>
            <w:r w:rsidRPr="003A4D91">
              <w:t>*</w:t>
            </w:r>
          </w:p>
          <w:p w14:paraId="672EFAFA" w14:textId="62B0C613" w:rsidR="003D5C6E" w:rsidRPr="003A4D91" w:rsidRDefault="003D5C6E" w:rsidP="003A4D91">
            <w:pPr>
              <w:pStyle w:val="TableColumnHeadingRight"/>
            </w:pPr>
            <w:r w:rsidRPr="003A4D91">
              <w:t>t CO2</w:t>
            </w:r>
            <w:r w:rsidR="00B84FF2" w:rsidRPr="003A4D91">
              <w:noBreakHyphen/>
            </w:r>
            <w:r w:rsidRPr="003A4D91">
              <w:t>e</w:t>
            </w:r>
          </w:p>
        </w:tc>
        <w:tc>
          <w:tcPr>
            <w:tcW w:w="0" w:type="dxa"/>
          </w:tcPr>
          <w:p w14:paraId="105F4787" w14:textId="34A4984D" w:rsidR="003D5C6E" w:rsidRPr="003A4D91" w:rsidRDefault="003D5C6E" w:rsidP="003A4D91">
            <w:pPr>
              <w:pStyle w:val="TableColumnHeadingRight"/>
            </w:pPr>
            <w:r w:rsidRPr="003A4D91">
              <w:t>202</w:t>
            </w:r>
            <w:r w:rsidR="00836AD6" w:rsidRPr="003A4D91">
              <w:t>4</w:t>
            </w:r>
            <w:r w:rsidR="0000542B" w:rsidRPr="003A4D91">
              <w:t>–</w:t>
            </w:r>
            <w:r w:rsidRPr="003A4D91">
              <w:t>2</w:t>
            </w:r>
            <w:r w:rsidR="00836AD6" w:rsidRPr="003A4D91">
              <w:t>5</w:t>
            </w:r>
            <w:r w:rsidRPr="003A4D91">
              <w:t>*</w:t>
            </w:r>
          </w:p>
          <w:p w14:paraId="3247BF70" w14:textId="7D25ABFC" w:rsidR="003D5C6E" w:rsidRPr="003A4D91" w:rsidRDefault="003D5C6E" w:rsidP="003A4D91">
            <w:pPr>
              <w:pStyle w:val="TableColumnHeadingRight"/>
            </w:pPr>
            <w:r w:rsidRPr="003A4D91">
              <w:t>t CO2</w:t>
            </w:r>
            <w:r w:rsidR="00B84FF2" w:rsidRPr="003A4D91">
              <w:noBreakHyphen/>
            </w:r>
            <w:r w:rsidRPr="003A4D91">
              <w:t>e</w:t>
            </w:r>
          </w:p>
        </w:tc>
        <w:tc>
          <w:tcPr>
            <w:tcW w:w="0" w:type="dxa"/>
          </w:tcPr>
          <w:p w14:paraId="05880AC7" w14:textId="29739D3D" w:rsidR="003D5C6E" w:rsidRPr="003A4D91" w:rsidRDefault="003D5C6E" w:rsidP="003A4D91">
            <w:pPr>
              <w:pStyle w:val="TableColumnHeadingRight"/>
            </w:pPr>
            <w:r w:rsidRPr="003A4D91">
              <w:t>Percentage change since 202</w:t>
            </w:r>
            <w:r w:rsidR="00836AD6" w:rsidRPr="003A4D91">
              <w:t>3</w:t>
            </w:r>
            <w:r w:rsidR="0000542B" w:rsidRPr="003A4D91">
              <w:t>–</w:t>
            </w:r>
            <w:r w:rsidRPr="003A4D91">
              <w:t>2</w:t>
            </w:r>
            <w:r w:rsidR="00836AD6" w:rsidRPr="003A4D91">
              <w:t>4</w:t>
            </w:r>
          </w:p>
        </w:tc>
      </w:tr>
      <w:tr w:rsidR="003D5C6E" w:rsidRPr="002D75AB" w14:paraId="556BAD1C" w14:textId="77777777" w:rsidTr="007A0DA6">
        <w:trPr>
          <w:trHeight w:val="218"/>
        </w:trPr>
        <w:tc>
          <w:tcPr>
            <w:tcW w:w="2410" w:type="dxa"/>
            <w:tcMar>
              <w:top w:w="57" w:type="dxa"/>
              <w:bottom w:w="57" w:type="dxa"/>
            </w:tcMar>
          </w:tcPr>
          <w:p w14:paraId="03AF8338" w14:textId="77777777" w:rsidR="003D5C6E" w:rsidRPr="003A4D91" w:rsidRDefault="003D5C6E" w:rsidP="00625DAB">
            <w:pPr>
              <w:pStyle w:val="TableTextLeft"/>
            </w:pPr>
            <w:r w:rsidRPr="003A4D91">
              <w:t>Total Scope 1</w:t>
            </w:r>
          </w:p>
        </w:tc>
        <w:tc>
          <w:tcPr>
            <w:tcW w:w="1736" w:type="dxa"/>
            <w:tcMar>
              <w:top w:w="57" w:type="dxa"/>
              <w:bottom w:w="57" w:type="dxa"/>
            </w:tcMar>
          </w:tcPr>
          <w:p w14:paraId="7F49BD6D" w14:textId="77777777" w:rsidR="003D5C6E" w:rsidRPr="003A4D91" w:rsidRDefault="003D5C6E" w:rsidP="003A4D91">
            <w:pPr>
              <w:pStyle w:val="TableTextRight"/>
              <w:rPr>
                <w:b/>
                <w:bCs/>
              </w:rPr>
            </w:pPr>
            <w:r w:rsidRPr="003A4D91">
              <w:rPr>
                <w:b/>
                <w:bCs/>
              </w:rPr>
              <w:t>_</w:t>
            </w:r>
          </w:p>
        </w:tc>
        <w:tc>
          <w:tcPr>
            <w:tcW w:w="1950" w:type="dxa"/>
            <w:tcMar>
              <w:top w:w="57" w:type="dxa"/>
              <w:bottom w:w="57" w:type="dxa"/>
            </w:tcMar>
          </w:tcPr>
          <w:p w14:paraId="4AF506BE" w14:textId="77777777" w:rsidR="003D5C6E" w:rsidRPr="003A4D91" w:rsidRDefault="003D5C6E" w:rsidP="003A4D91">
            <w:pPr>
              <w:pStyle w:val="TableTextRight"/>
              <w:rPr>
                <w:b/>
                <w:bCs/>
              </w:rPr>
            </w:pPr>
            <w:r w:rsidRPr="003A4D91">
              <w:rPr>
                <w:b/>
                <w:bCs/>
              </w:rPr>
              <w:t>_</w:t>
            </w:r>
          </w:p>
        </w:tc>
        <w:tc>
          <w:tcPr>
            <w:tcW w:w="1950" w:type="dxa"/>
            <w:tcMar>
              <w:top w:w="57" w:type="dxa"/>
              <w:bottom w:w="57" w:type="dxa"/>
            </w:tcMar>
          </w:tcPr>
          <w:p w14:paraId="35108283" w14:textId="77777777" w:rsidR="003D5C6E" w:rsidRPr="003A4D91" w:rsidRDefault="003D5C6E" w:rsidP="003A4D91">
            <w:pPr>
              <w:pStyle w:val="TableTextRight"/>
              <w:rPr>
                <w:b/>
                <w:bCs/>
              </w:rPr>
            </w:pPr>
            <w:r w:rsidRPr="003A4D91">
              <w:rPr>
                <w:b/>
                <w:bCs/>
              </w:rPr>
              <w:t>_</w:t>
            </w:r>
          </w:p>
        </w:tc>
      </w:tr>
      <w:tr w:rsidR="0086383C" w:rsidRPr="002D75AB" w14:paraId="65BCB139" w14:textId="77777777" w:rsidTr="007A0DA6">
        <w:trPr>
          <w:cnfStyle w:val="000000010000" w:firstRow="0" w:lastRow="0" w:firstColumn="0" w:lastColumn="0" w:oddVBand="0" w:evenVBand="0" w:oddHBand="0" w:evenHBand="1" w:firstRowFirstColumn="0" w:firstRowLastColumn="0" w:lastRowFirstColumn="0" w:lastRowLastColumn="0"/>
          <w:trHeight w:val="96"/>
        </w:trPr>
        <w:tc>
          <w:tcPr>
            <w:tcW w:w="2410" w:type="dxa"/>
            <w:tcMar>
              <w:top w:w="57" w:type="dxa"/>
              <w:bottom w:w="57" w:type="dxa"/>
            </w:tcMar>
          </w:tcPr>
          <w:p w14:paraId="1EDCFCFE" w14:textId="77777777" w:rsidR="003D5C6E" w:rsidRPr="00C80ED4" w:rsidRDefault="003D5C6E" w:rsidP="00625DAB">
            <w:pPr>
              <w:pStyle w:val="TableTextLeft"/>
              <w:rPr>
                <w:b/>
              </w:rPr>
            </w:pPr>
            <w:r w:rsidRPr="00C80ED4">
              <w:t>Natural gas</w:t>
            </w:r>
          </w:p>
        </w:tc>
        <w:tc>
          <w:tcPr>
            <w:tcW w:w="0" w:type="dxa"/>
            <w:tcMar>
              <w:top w:w="57" w:type="dxa"/>
              <w:bottom w:w="57" w:type="dxa"/>
            </w:tcMar>
          </w:tcPr>
          <w:p w14:paraId="1EE24C61" w14:textId="77777777" w:rsidR="003D5C6E" w:rsidRPr="00F61C80" w:rsidRDefault="003D5C6E" w:rsidP="003A4D91">
            <w:pPr>
              <w:pStyle w:val="TableTextRight"/>
            </w:pPr>
            <w:r w:rsidRPr="00F61C80">
              <w:t>_</w:t>
            </w:r>
          </w:p>
        </w:tc>
        <w:tc>
          <w:tcPr>
            <w:tcW w:w="0" w:type="dxa"/>
            <w:tcMar>
              <w:top w:w="57" w:type="dxa"/>
              <w:bottom w:w="57" w:type="dxa"/>
            </w:tcMar>
          </w:tcPr>
          <w:p w14:paraId="6A98F03D" w14:textId="77777777" w:rsidR="003D5C6E" w:rsidRPr="00F61C80" w:rsidRDefault="003D5C6E" w:rsidP="003A4D91">
            <w:pPr>
              <w:pStyle w:val="TableTextRight"/>
            </w:pPr>
            <w:r w:rsidRPr="00F61C80">
              <w:t>_</w:t>
            </w:r>
          </w:p>
        </w:tc>
        <w:tc>
          <w:tcPr>
            <w:tcW w:w="0" w:type="dxa"/>
            <w:tcMar>
              <w:top w:w="57" w:type="dxa"/>
              <w:bottom w:w="57" w:type="dxa"/>
            </w:tcMar>
          </w:tcPr>
          <w:p w14:paraId="08454D8C" w14:textId="77777777" w:rsidR="003D5C6E" w:rsidRPr="00F61C80" w:rsidRDefault="003D5C6E" w:rsidP="003A4D91">
            <w:pPr>
              <w:pStyle w:val="TableTextRight"/>
            </w:pPr>
            <w:r w:rsidRPr="00F61C80">
              <w:t>_</w:t>
            </w:r>
          </w:p>
        </w:tc>
      </w:tr>
      <w:tr w:rsidR="003D5C6E" w:rsidRPr="002D75AB" w14:paraId="7F148745" w14:textId="77777777" w:rsidTr="007A0DA6">
        <w:trPr>
          <w:trHeight w:val="25"/>
        </w:trPr>
        <w:tc>
          <w:tcPr>
            <w:tcW w:w="2410" w:type="dxa"/>
            <w:tcMar>
              <w:top w:w="57" w:type="dxa"/>
              <w:bottom w:w="57" w:type="dxa"/>
            </w:tcMar>
          </w:tcPr>
          <w:p w14:paraId="12E7CED9" w14:textId="77777777" w:rsidR="003D5C6E" w:rsidRPr="00C80ED4" w:rsidRDefault="003D5C6E" w:rsidP="00625DAB">
            <w:pPr>
              <w:pStyle w:val="TableTextLeft"/>
              <w:rPr>
                <w:b/>
              </w:rPr>
            </w:pPr>
            <w:r w:rsidRPr="00C80ED4">
              <w:t>Fleet and other vehicles</w:t>
            </w:r>
          </w:p>
        </w:tc>
        <w:tc>
          <w:tcPr>
            <w:tcW w:w="1736" w:type="dxa"/>
            <w:tcMar>
              <w:top w:w="57" w:type="dxa"/>
              <w:bottom w:w="57" w:type="dxa"/>
            </w:tcMar>
          </w:tcPr>
          <w:p w14:paraId="61F706F7" w14:textId="77777777" w:rsidR="003D5C6E" w:rsidRPr="00F61C80" w:rsidRDefault="003D5C6E" w:rsidP="003A4D91">
            <w:pPr>
              <w:pStyle w:val="TableTextRight"/>
            </w:pPr>
            <w:r w:rsidRPr="00F61C80">
              <w:t>_</w:t>
            </w:r>
          </w:p>
        </w:tc>
        <w:tc>
          <w:tcPr>
            <w:tcW w:w="1950" w:type="dxa"/>
            <w:tcMar>
              <w:top w:w="57" w:type="dxa"/>
              <w:bottom w:w="57" w:type="dxa"/>
            </w:tcMar>
          </w:tcPr>
          <w:p w14:paraId="5CD30B0B" w14:textId="77777777" w:rsidR="003D5C6E" w:rsidRPr="00F61C80" w:rsidRDefault="003D5C6E" w:rsidP="003A4D91">
            <w:pPr>
              <w:pStyle w:val="TableTextRight"/>
            </w:pPr>
            <w:r w:rsidRPr="00F61C80">
              <w:t>_</w:t>
            </w:r>
          </w:p>
        </w:tc>
        <w:tc>
          <w:tcPr>
            <w:tcW w:w="1950" w:type="dxa"/>
            <w:tcMar>
              <w:top w:w="57" w:type="dxa"/>
              <w:bottom w:w="57" w:type="dxa"/>
            </w:tcMar>
          </w:tcPr>
          <w:p w14:paraId="275B929E" w14:textId="77777777" w:rsidR="003D5C6E" w:rsidRPr="00F61C80" w:rsidRDefault="003D5C6E" w:rsidP="003A4D91">
            <w:pPr>
              <w:pStyle w:val="TableTextRight"/>
            </w:pPr>
            <w:r w:rsidRPr="00F61C80">
              <w:t>_</w:t>
            </w:r>
          </w:p>
        </w:tc>
      </w:tr>
      <w:tr w:rsidR="0086383C" w:rsidRPr="002D75AB" w14:paraId="38B0C420" w14:textId="77777777" w:rsidTr="007A0DA6">
        <w:trPr>
          <w:cnfStyle w:val="000000010000" w:firstRow="0" w:lastRow="0" w:firstColumn="0" w:lastColumn="0" w:oddVBand="0" w:evenVBand="0" w:oddHBand="0" w:evenHBand="1" w:firstRowFirstColumn="0" w:firstRowLastColumn="0" w:lastRowFirstColumn="0" w:lastRowLastColumn="0"/>
          <w:trHeight w:val="25"/>
        </w:trPr>
        <w:tc>
          <w:tcPr>
            <w:tcW w:w="2410" w:type="dxa"/>
            <w:tcMar>
              <w:top w:w="57" w:type="dxa"/>
              <w:bottom w:w="57" w:type="dxa"/>
            </w:tcMar>
          </w:tcPr>
          <w:p w14:paraId="51965408" w14:textId="77777777" w:rsidR="003D5C6E" w:rsidRPr="00C80ED4" w:rsidRDefault="003D5C6E" w:rsidP="00625DAB">
            <w:pPr>
              <w:pStyle w:val="TableTextLeft"/>
              <w:rPr>
                <w:b/>
              </w:rPr>
            </w:pPr>
            <w:r w:rsidRPr="00C80ED4">
              <w:t>Refrigerants</w:t>
            </w:r>
          </w:p>
        </w:tc>
        <w:tc>
          <w:tcPr>
            <w:tcW w:w="0" w:type="dxa"/>
            <w:tcMar>
              <w:top w:w="57" w:type="dxa"/>
              <w:bottom w:w="57" w:type="dxa"/>
            </w:tcMar>
          </w:tcPr>
          <w:p w14:paraId="0F229B63" w14:textId="77777777" w:rsidR="003D5C6E" w:rsidRPr="00F61C80" w:rsidRDefault="003D5C6E" w:rsidP="003A4D91">
            <w:pPr>
              <w:pStyle w:val="TableTextRight"/>
            </w:pPr>
            <w:r w:rsidRPr="00F61C80">
              <w:t>_</w:t>
            </w:r>
          </w:p>
        </w:tc>
        <w:tc>
          <w:tcPr>
            <w:tcW w:w="0" w:type="dxa"/>
            <w:tcMar>
              <w:top w:w="57" w:type="dxa"/>
              <w:bottom w:w="57" w:type="dxa"/>
            </w:tcMar>
          </w:tcPr>
          <w:p w14:paraId="3DAFEEB2" w14:textId="77777777" w:rsidR="003D5C6E" w:rsidRPr="00F61C80" w:rsidRDefault="003D5C6E" w:rsidP="003A4D91">
            <w:pPr>
              <w:pStyle w:val="TableTextRight"/>
            </w:pPr>
            <w:r w:rsidRPr="00F61C80">
              <w:t>_</w:t>
            </w:r>
          </w:p>
        </w:tc>
        <w:tc>
          <w:tcPr>
            <w:tcW w:w="0" w:type="dxa"/>
            <w:tcMar>
              <w:top w:w="57" w:type="dxa"/>
              <w:bottom w:w="57" w:type="dxa"/>
            </w:tcMar>
          </w:tcPr>
          <w:p w14:paraId="2164F251" w14:textId="77777777" w:rsidR="003D5C6E" w:rsidRPr="00F61C80" w:rsidRDefault="003D5C6E" w:rsidP="003A4D91">
            <w:pPr>
              <w:pStyle w:val="TableTextRight"/>
            </w:pPr>
            <w:r w:rsidRPr="00F61C80">
              <w:t>_</w:t>
            </w:r>
          </w:p>
        </w:tc>
      </w:tr>
      <w:tr w:rsidR="003D5C6E" w:rsidRPr="002D75AB" w14:paraId="13D76BD7" w14:textId="77777777" w:rsidTr="007A0DA6">
        <w:trPr>
          <w:trHeight w:val="129"/>
        </w:trPr>
        <w:tc>
          <w:tcPr>
            <w:tcW w:w="2410" w:type="dxa"/>
            <w:tcMar>
              <w:top w:w="57" w:type="dxa"/>
              <w:bottom w:w="57" w:type="dxa"/>
            </w:tcMar>
          </w:tcPr>
          <w:p w14:paraId="7060CA07" w14:textId="77777777" w:rsidR="003D5C6E" w:rsidRPr="00C80ED4" w:rsidRDefault="003D5C6E" w:rsidP="00625DAB">
            <w:pPr>
              <w:pStyle w:val="TableTextLeft"/>
              <w:rPr>
                <w:b/>
              </w:rPr>
            </w:pPr>
            <w:r w:rsidRPr="00C80ED4">
              <w:t>Other energy</w:t>
            </w:r>
          </w:p>
        </w:tc>
        <w:tc>
          <w:tcPr>
            <w:tcW w:w="1736" w:type="dxa"/>
            <w:tcMar>
              <w:top w:w="57" w:type="dxa"/>
              <w:bottom w:w="57" w:type="dxa"/>
            </w:tcMar>
          </w:tcPr>
          <w:p w14:paraId="4C33568B" w14:textId="77777777" w:rsidR="003D5C6E" w:rsidRPr="00F61C80" w:rsidRDefault="003D5C6E" w:rsidP="003A4D91">
            <w:pPr>
              <w:pStyle w:val="TableTextRight"/>
            </w:pPr>
            <w:r w:rsidRPr="00F61C80">
              <w:t>_</w:t>
            </w:r>
          </w:p>
        </w:tc>
        <w:tc>
          <w:tcPr>
            <w:tcW w:w="1950" w:type="dxa"/>
            <w:tcMar>
              <w:top w:w="57" w:type="dxa"/>
              <w:bottom w:w="57" w:type="dxa"/>
            </w:tcMar>
          </w:tcPr>
          <w:p w14:paraId="688BF0D4" w14:textId="77777777" w:rsidR="003D5C6E" w:rsidRPr="00F61C80" w:rsidRDefault="003D5C6E" w:rsidP="003A4D91">
            <w:pPr>
              <w:pStyle w:val="TableTextRight"/>
            </w:pPr>
            <w:r w:rsidRPr="00F61C80">
              <w:t>_</w:t>
            </w:r>
          </w:p>
        </w:tc>
        <w:tc>
          <w:tcPr>
            <w:tcW w:w="1950" w:type="dxa"/>
            <w:tcMar>
              <w:top w:w="57" w:type="dxa"/>
              <w:bottom w:w="57" w:type="dxa"/>
            </w:tcMar>
          </w:tcPr>
          <w:p w14:paraId="5BA2E927" w14:textId="77777777" w:rsidR="003D5C6E" w:rsidRPr="00F61C80" w:rsidRDefault="003D5C6E" w:rsidP="003A4D91">
            <w:pPr>
              <w:pStyle w:val="TableTextRight"/>
            </w:pPr>
            <w:r w:rsidRPr="00F61C80">
              <w:t>_</w:t>
            </w:r>
          </w:p>
        </w:tc>
      </w:tr>
      <w:tr w:rsidR="0086383C" w:rsidRPr="002D75AB" w14:paraId="2405A1D9" w14:textId="77777777" w:rsidTr="007A0DA6">
        <w:trPr>
          <w:cnfStyle w:val="000000010000" w:firstRow="0" w:lastRow="0" w:firstColumn="0" w:lastColumn="0" w:oddVBand="0" w:evenVBand="0" w:oddHBand="0" w:evenHBand="1" w:firstRowFirstColumn="0" w:firstRowLastColumn="0" w:lastRowFirstColumn="0" w:lastRowLastColumn="0"/>
          <w:trHeight w:val="148"/>
        </w:trPr>
        <w:tc>
          <w:tcPr>
            <w:tcW w:w="2410" w:type="dxa"/>
            <w:tcMar>
              <w:top w:w="57" w:type="dxa"/>
              <w:bottom w:w="57" w:type="dxa"/>
            </w:tcMar>
          </w:tcPr>
          <w:p w14:paraId="4A50D572" w14:textId="77777777" w:rsidR="003D5C6E" w:rsidRPr="003A4D91" w:rsidRDefault="003D5C6E" w:rsidP="00625DAB">
            <w:pPr>
              <w:pStyle w:val="TableTextLeft"/>
            </w:pPr>
            <w:r w:rsidRPr="003A4D91">
              <w:t>Total Scope 2</w:t>
            </w:r>
          </w:p>
        </w:tc>
        <w:tc>
          <w:tcPr>
            <w:tcW w:w="0" w:type="dxa"/>
            <w:tcMar>
              <w:top w:w="57" w:type="dxa"/>
              <w:bottom w:w="57" w:type="dxa"/>
            </w:tcMar>
          </w:tcPr>
          <w:p w14:paraId="1A19550D" w14:textId="77777777" w:rsidR="003D5C6E" w:rsidRPr="003A4D91" w:rsidRDefault="003D5C6E" w:rsidP="003A4D91">
            <w:pPr>
              <w:pStyle w:val="TableTextRight"/>
              <w:rPr>
                <w:b/>
                <w:bCs/>
              </w:rPr>
            </w:pPr>
            <w:r w:rsidRPr="003A4D91">
              <w:rPr>
                <w:b/>
                <w:bCs/>
              </w:rPr>
              <w:t>_</w:t>
            </w:r>
          </w:p>
        </w:tc>
        <w:tc>
          <w:tcPr>
            <w:tcW w:w="0" w:type="dxa"/>
            <w:tcMar>
              <w:top w:w="57" w:type="dxa"/>
              <w:bottom w:w="57" w:type="dxa"/>
            </w:tcMar>
          </w:tcPr>
          <w:p w14:paraId="58E09702" w14:textId="77777777" w:rsidR="003D5C6E" w:rsidRPr="003A4D91" w:rsidRDefault="003D5C6E" w:rsidP="003A4D91">
            <w:pPr>
              <w:pStyle w:val="TableTextRight"/>
              <w:rPr>
                <w:b/>
                <w:bCs/>
              </w:rPr>
            </w:pPr>
            <w:r w:rsidRPr="003A4D91">
              <w:rPr>
                <w:b/>
                <w:bCs/>
              </w:rPr>
              <w:t>_</w:t>
            </w:r>
          </w:p>
        </w:tc>
        <w:tc>
          <w:tcPr>
            <w:tcW w:w="0" w:type="dxa"/>
            <w:tcMar>
              <w:top w:w="57" w:type="dxa"/>
              <w:bottom w:w="57" w:type="dxa"/>
            </w:tcMar>
          </w:tcPr>
          <w:p w14:paraId="3B0E05E9" w14:textId="77777777" w:rsidR="003D5C6E" w:rsidRPr="003A4D91" w:rsidRDefault="003D5C6E" w:rsidP="003A4D91">
            <w:pPr>
              <w:pStyle w:val="TableTextRight"/>
              <w:rPr>
                <w:b/>
                <w:bCs/>
              </w:rPr>
            </w:pPr>
            <w:r w:rsidRPr="003A4D91">
              <w:rPr>
                <w:b/>
                <w:bCs/>
              </w:rPr>
              <w:t>_</w:t>
            </w:r>
          </w:p>
        </w:tc>
      </w:tr>
      <w:tr w:rsidR="003D5C6E" w:rsidRPr="002D75AB" w14:paraId="107F885E" w14:textId="77777777" w:rsidTr="007A0DA6">
        <w:trPr>
          <w:trHeight w:val="25"/>
        </w:trPr>
        <w:tc>
          <w:tcPr>
            <w:tcW w:w="2410" w:type="dxa"/>
            <w:tcMar>
              <w:top w:w="57" w:type="dxa"/>
              <w:bottom w:w="57" w:type="dxa"/>
            </w:tcMar>
          </w:tcPr>
          <w:p w14:paraId="071ED262" w14:textId="77777777" w:rsidR="003D5C6E" w:rsidRPr="00C80ED4" w:rsidRDefault="003D5C6E" w:rsidP="00625DAB">
            <w:pPr>
              <w:pStyle w:val="TableTextLeft"/>
              <w:rPr>
                <w:b/>
              </w:rPr>
            </w:pPr>
            <w:r w:rsidRPr="00C80ED4">
              <w:t xml:space="preserve">Electricity (market based) </w:t>
            </w:r>
          </w:p>
        </w:tc>
        <w:tc>
          <w:tcPr>
            <w:tcW w:w="1736" w:type="dxa"/>
            <w:tcMar>
              <w:top w:w="57" w:type="dxa"/>
              <w:bottom w:w="57" w:type="dxa"/>
            </w:tcMar>
          </w:tcPr>
          <w:p w14:paraId="4479B731" w14:textId="77777777" w:rsidR="003D5C6E" w:rsidRPr="00F61C80" w:rsidRDefault="003D5C6E" w:rsidP="003A4D91">
            <w:pPr>
              <w:pStyle w:val="TableTextRight"/>
            </w:pPr>
            <w:r w:rsidRPr="00F61C80">
              <w:t>_</w:t>
            </w:r>
          </w:p>
        </w:tc>
        <w:tc>
          <w:tcPr>
            <w:tcW w:w="1950" w:type="dxa"/>
            <w:tcMar>
              <w:top w:w="57" w:type="dxa"/>
              <w:bottom w:w="57" w:type="dxa"/>
            </w:tcMar>
          </w:tcPr>
          <w:p w14:paraId="0C75B87B" w14:textId="77777777" w:rsidR="003D5C6E" w:rsidRPr="00F61C80" w:rsidRDefault="003D5C6E" w:rsidP="003A4D91">
            <w:pPr>
              <w:pStyle w:val="TableTextRight"/>
            </w:pPr>
            <w:r w:rsidRPr="00F61C80">
              <w:t>_</w:t>
            </w:r>
          </w:p>
        </w:tc>
        <w:tc>
          <w:tcPr>
            <w:tcW w:w="1950" w:type="dxa"/>
            <w:tcMar>
              <w:top w:w="57" w:type="dxa"/>
              <w:bottom w:w="57" w:type="dxa"/>
            </w:tcMar>
          </w:tcPr>
          <w:p w14:paraId="1B330CD2" w14:textId="77777777" w:rsidR="003D5C6E" w:rsidRPr="00F61C80" w:rsidRDefault="003D5C6E" w:rsidP="003A4D91">
            <w:pPr>
              <w:pStyle w:val="TableTextRight"/>
            </w:pPr>
            <w:r w:rsidRPr="00F61C80">
              <w:t>_</w:t>
            </w:r>
          </w:p>
        </w:tc>
      </w:tr>
      <w:tr w:rsidR="0086383C" w:rsidRPr="002D75AB" w14:paraId="198AC3B7" w14:textId="77777777" w:rsidTr="007A0DA6">
        <w:trPr>
          <w:cnfStyle w:val="000000010000" w:firstRow="0" w:lastRow="0" w:firstColumn="0" w:lastColumn="0" w:oddVBand="0" w:evenVBand="0" w:oddHBand="0" w:evenHBand="1" w:firstRowFirstColumn="0" w:firstRowLastColumn="0" w:lastRowFirstColumn="0" w:lastRowLastColumn="0"/>
          <w:trHeight w:val="160"/>
        </w:trPr>
        <w:tc>
          <w:tcPr>
            <w:tcW w:w="2410" w:type="dxa"/>
            <w:tcMar>
              <w:top w:w="57" w:type="dxa"/>
              <w:bottom w:w="57" w:type="dxa"/>
            </w:tcMar>
          </w:tcPr>
          <w:p w14:paraId="079F3AD8" w14:textId="77777777" w:rsidR="003D5C6E" w:rsidRPr="0089610F" w:rsidRDefault="003D5C6E" w:rsidP="00625DAB">
            <w:pPr>
              <w:pStyle w:val="TableTextLeft"/>
              <w:rPr>
                <w:b/>
                <w:bCs/>
              </w:rPr>
            </w:pPr>
            <w:r w:rsidRPr="0089610F">
              <w:rPr>
                <w:b/>
                <w:bCs/>
              </w:rPr>
              <w:t>Total Scope 1 and Scope 2</w:t>
            </w:r>
          </w:p>
        </w:tc>
        <w:tc>
          <w:tcPr>
            <w:tcW w:w="0" w:type="dxa"/>
            <w:tcMar>
              <w:top w:w="57" w:type="dxa"/>
              <w:bottom w:w="57" w:type="dxa"/>
            </w:tcMar>
          </w:tcPr>
          <w:p w14:paraId="02A128E5" w14:textId="77777777" w:rsidR="003D5C6E" w:rsidRPr="0089610F" w:rsidRDefault="003D5C6E" w:rsidP="003A4D91">
            <w:pPr>
              <w:pStyle w:val="TableTextRight"/>
              <w:rPr>
                <w:b/>
                <w:bCs/>
              </w:rPr>
            </w:pPr>
            <w:r w:rsidRPr="0089610F">
              <w:rPr>
                <w:b/>
                <w:bCs/>
              </w:rPr>
              <w:t>_</w:t>
            </w:r>
          </w:p>
        </w:tc>
        <w:tc>
          <w:tcPr>
            <w:tcW w:w="0" w:type="dxa"/>
            <w:tcMar>
              <w:top w:w="57" w:type="dxa"/>
              <w:bottom w:w="57" w:type="dxa"/>
            </w:tcMar>
          </w:tcPr>
          <w:p w14:paraId="7BAA840C" w14:textId="77777777" w:rsidR="003D5C6E" w:rsidRPr="0089610F" w:rsidRDefault="003D5C6E" w:rsidP="003A4D91">
            <w:pPr>
              <w:pStyle w:val="TableTextRight"/>
              <w:rPr>
                <w:b/>
                <w:bCs/>
              </w:rPr>
            </w:pPr>
            <w:r w:rsidRPr="0089610F">
              <w:rPr>
                <w:b/>
                <w:bCs/>
              </w:rPr>
              <w:t>_</w:t>
            </w:r>
          </w:p>
        </w:tc>
        <w:tc>
          <w:tcPr>
            <w:tcW w:w="0" w:type="dxa"/>
            <w:tcMar>
              <w:top w:w="57" w:type="dxa"/>
              <w:bottom w:w="57" w:type="dxa"/>
            </w:tcMar>
          </w:tcPr>
          <w:p w14:paraId="5798BCAB" w14:textId="77777777" w:rsidR="003D5C6E" w:rsidRPr="0089610F" w:rsidRDefault="003D5C6E" w:rsidP="003A4D91">
            <w:pPr>
              <w:pStyle w:val="TableTextRight"/>
              <w:rPr>
                <w:b/>
                <w:bCs/>
              </w:rPr>
            </w:pPr>
            <w:r w:rsidRPr="0089610F">
              <w:rPr>
                <w:b/>
                <w:bCs/>
              </w:rPr>
              <w:t>_</w:t>
            </w:r>
          </w:p>
        </w:tc>
      </w:tr>
    </w:tbl>
    <w:p w14:paraId="7B8303EA" w14:textId="77777777" w:rsidR="003D5C6E" w:rsidRPr="003D5C6E" w:rsidRDefault="003D5C6E" w:rsidP="00700B1D">
      <w:pPr>
        <w:pStyle w:val="SingleReturn"/>
      </w:pPr>
    </w:p>
    <w:p w14:paraId="1412DDF7" w14:textId="77777777" w:rsidR="00771236" w:rsidRPr="003D5C6E" w:rsidRDefault="00771236" w:rsidP="00771236">
      <w:r w:rsidRPr="003D5C6E">
        <w:t>The AOFM is part of the APS Net Zero by 2030 target, as per the Net Zero in Government Operations Strategy.</w:t>
      </w:r>
    </w:p>
    <w:p w14:paraId="6C3A304D" w14:textId="7E871253" w:rsidR="003D5C6E" w:rsidRPr="003D5C6E" w:rsidRDefault="003D5C6E" w:rsidP="0061234F">
      <w:r w:rsidRPr="003D5C6E">
        <w:t>AOFM</w:t>
      </w:r>
      <w:r w:rsidR="00B84FF2">
        <w:t>’</w:t>
      </w:r>
      <w:r w:rsidRPr="003D5C6E">
        <w:t xml:space="preserve">s scope 1 and 2 emissions are included and aggregated in </w:t>
      </w:r>
      <w:r w:rsidR="00682B54">
        <w:t>t</w:t>
      </w:r>
      <w:r w:rsidR="00682B54" w:rsidRPr="003D5C6E">
        <w:t xml:space="preserve">he </w:t>
      </w:r>
      <w:r w:rsidRPr="003D5C6E">
        <w:t>Treasury</w:t>
      </w:r>
      <w:r w:rsidR="00B84FF2">
        <w:t>’</w:t>
      </w:r>
      <w:r w:rsidRPr="003D5C6E">
        <w:t xml:space="preserve">s emissions tables. AOFM reports only </w:t>
      </w:r>
      <w:r w:rsidR="00682B54">
        <w:t>S</w:t>
      </w:r>
      <w:r w:rsidRPr="003D5C6E">
        <w:t>cope 3 emissions</w:t>
      </w:r>
      <w:r w:rsidR="00682B54">
        <w:t xml:space="preserve">, which </w:t>
      </w:r>
      <w:r w:rsidRPr="003D5C6E">
        <w:t xml:space="preserve">are the most challenging to identify and measure. Currently, the APS Net Zero by 2030 target does not include </w:t>
      </w:r>
      <w:r w:rsidR="00682B54">
        <w:t>S</w:t>
      </w:r>
      <w:r w:rsidR="00682B54" w:rsidRPr="003D5C6E">
        <w:t xml:space="preserve">cope </w:t>
      </w:r>
      <w:r w:rsidRPr="003D5C6E">
        <w:t>3 emissions.</w:t>
      </w:r>
    </w:p>
    <w:p w14:paraId="532F8969" w14:textId="08EDB989" w:rsidR="003D5C6E" w:rsidRPr="003D5C6E" w:rsidRDefault="003D5C6E" w:rsidP="0061234F">
      <w:r w:rsidRPr="003D5C6E">
        <w:t xml:space="preserve">Our strategy to reduce emissions is set out in our publicly available </w:t>
      </w:r>
      <w:hyperlink r:id="rId119" w:history="1">
        <w:r w:rsidRPr="003D5C6E">
          <w:rPr>
            <w:rStyle w:val="Hyperlink"/>
          </w:rPr>
          <w:t>Emissions Reduction Plan</w:t>
        </w:r>
      </w:hyperlink>
      <w:r w:rsidR="00246911">
        <w:t>.</w:t>
      </w:r>
      <w:r w:rsidR="00E75004">
        <w:rPr>
          <w:rStyle w:val="FootnoteReference"/>
        </w:rPr>
        <w:footnoteReference w:id="18"/>
      </w:r>
      <w:r w:rsidR="00246911">
        <w:t xml:space="preserve"> </w:t>
      </w:r>
      <w:r w:rsidRPr="003D5C6E">
        <w:t xml:space="preserve">The AOFM relies on Treasury to undertake actions in relation to electricity and buildings on our behalf. This year we made progress in line with the </w:t>
      </w:r>
      <w:r w:rsidR="00771236">
        <w:t>E</w:t>
      </w:r>
      <w:r w:rsidR="00771236" w:rsidRPr="003D5C6E">
        <w:t xml:space="preserve">missions </w:t>
      </w:r>
      <w:r w:rsidR="00771236">
        <w:t>R</w:t>
      </w:r>
      <w:r w:rsidR="00771236" w:rsidRPr="003D5C6E">
        <w:t xml:space="preserve">eduction </w:t>
      </w:r>
      <w:r w:rsidR="00771236">
        <w:t>P</w:t>
      </w:r>
      <w:r w:rsidR="00771236" w:rsidRPr="003D5C6E">
        <w:t>lan</w:t>
      </w:r>
      <w:r w:rsidR="00771236">
        <w:t>,</w:t>
      </w:r>
      <w:r w:rsidRPr="003D5C6E">
        <w:t xml:space="preserve"> including</w:t>
      </w:r>
      <w:r w:rsidR="00771236">
        <w:t>:</w:t>
      </w:r>
      <w:r w:rsidRPr="003D5C6E">
        <w:t xml:space="preserve"> </w:t>
      </w:r>
    </w:p>
    <w:p w14:paraId="61B75450" w14:textId="041780A5" w:rsidR="003D5C6E" w:rsidRPr="003D5C6E" w:rsidRDefault="00771236" w:rsidP="00700B1D">
      <w:pPr>
        <w:pStyle w:val="Bullet"/>
      </w:pPr>
      <w:r w:rsidRPr="00700B1D">
        <w:t>updating</w:t>
      </w:r>
      <w:r w:rsidRPr="003D5C6E">
        <w:t xml:space="preserve"> </w:t>
      </w:r>
      <w:r w:rsidR="003D5C6E" w:rsidRPr="003D5C6E">
        <w:t xml:space="preserve">our </w:t>
      </w:r>
      <w:r>
        <w:t>t</w:t>
      </w:r>
      <w:r w:rsidRPr="003D5C6E">
        <w:t xml:space="preserve">ravel </w:t>
      </w:r>
      <w:r>
        <w:t>p</w:t>
      </w:r>
      <w:r w:rsidR="003D5C6E" w:rsidRPr="003D5C6E">
        <w:t>olicy to consider climate impacts</w:t>
      </w:r>
    </w:p>
    <w:p w14:paraId="512A72BA" w14:textId="13A7DCB3" w:rsidR="003D5C6E" w:rsidRPr="003D5C6E" w:rsidRDefault="00771236" w:rsidP="00700B1D">
      <w:pPr>
        <w:pStyle w:val="Bullet"/>
      </w:pPr>
      <w:r w:rsidRPr="00700B1D">
        <w:t>supporting</w:t>
      </w:r>
      <w:r w:rsidRPr="003D5C6E">
        <w:t xml:space="preserve"> </w:t>
      </w:r>
      <w:r w:rsidR="003D5C6E" w:rsidRPr="003D5C6E">
        <w:t>more staff to acquire electric vehicles through salary pack</w:t>
      </w:r>
      <w:r w:rsidR="007E7AFF">
        <w:t>ag</w:t>
      </w:r>
      <w:r w:rsidR="003D5C6E" w:rsidRPr="003D5C6E">
        <w:t xml:space="preserve">ing arrangements. </w:t>
      </w:r>
    </w:p>
    <w:p w14:paraId="64803876" w14:textId="77777777" w:rsidR="003D5C6E" w:rsidRDefault="003D5C6E" w:rsidP="0061234F">
      <w:pPr>
        <w:pStyle w:val="Bullet"/>
        <w:numPr>
          <w:ilvl w:val="0"/>
          <w:numId w:val="0"/>
        </w:numPr>
      </w:pPr>
      <w:r w:rsidRPr="003D5C6E">
        <w:t>These and other proposed actions in the Emissions Reduction Plan will support the APS Net Zero by 2030 target.</w:t>
      </w:r>
    </w:p>
    <w:p w14:paraId="67BC9657" w14:textId="77777777" w:rsidR="0081623E" w:rsidRDefault="0081623E" w:rsidP="0061234F">
      <w:pPr>
        <w:pStyle w:val="Bullet"/>
        <w:numPr>
          <w:ilvl w:val="0"/>
          <w:numId w:val="0"/>
        </w:numPr>
        <w:sectPr w:rsidR="0081623E" w:rsidSect="001E2AEB">
          <w:headerReference w:type="even" r:id="rId120"/>
          <w:headerReference w:type="default" r:id="rId121"/>
          <w:footerReference w:type="even" r:id="rId122"/>
          <w:footerReference w:type="default" r:id="rId123"/>
          <w:pgSz w:w="11907" w:h="16840" w:code="9"/>
          <w:pgMar w:top="2835" w:right="2098" w:bottom="2466" w:left="2098" w:header="1814" w:footer="1814" w:gutter="0"/>
          <w:cols w:space="708"/>
          <w:docGrid w:linePitch="360"/>
        </w:sectPr>
      </w:pPr>
    </w:p>
    <w:p w14:paraId="00B92858" w14:textId="555B4BCA" w:rsidR="00831FF7" w:rsidRPr="00782677" w:rsidRDefault="00831FF7" w:rsidP="00592520">
      <w:pPr>
        <w:pStyle w:val="Heading1-alpha"/>
      </w:pPr>
      <w:bookmarkStart w:id="1566" w:name="_Toc205474342"/>
      <w:bookmarkStart w:id="1567" w:name="_Toc207792923"/>
      <w:bookmarkStart w:id="1568" w:name="_Toc207793962"/>
      <w:bookmarkStart w:id="1569" w:name="_Toc207795659"/>
      <w:bookmarkStart w:id="1570" w:name="_Toc207796119"/>
      <w:bookmarkStart w:id="1571" w:name="_Toc207796967"/>
      <w:bookmarkStart w:id="1572" w:name="_Toc207797309"/>
      <w:bookmarkStart w:id="1573" w:name="_Toc207800269"/>
      <w:bookmarkStart w:id="1574" w:name="_Toc207810847"/>
      <w:bookmarkStart w:id="1575" w:name="_Toc208913984"/>
      <w:bookmarkStart w:id="1576" w:name="_Toc208914126"/>
      <w:bookmarkStart w:id="1577" w:name="_Toc209424523"/>
      <w:bookmarkStart w:id="1578" w:name="_Toc209424602"/>
      <w:r w:rsidRPr="00782677">
        <w:lastRenderedPageBreak/>
        <w:t>Appendix – 2024</w:t>
      </w:r>
      <w:r w:rsidR="002360DD">
        <w:t>–</w:t>
      </w:r>
      <w:r w:rsidRPr="00782677">
        <w:t>25 Commonwealth Climate Disclosure</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14:paraId="5A4D5B69" w14:textId="36697CBD" w:rsidR="00831FF7" w:rsidRDefault="00831FF7" w:rsidP="00831FF7">
      <w:pPr>
        <w:rPr>
          <w:rFonts w:ascii="Arial" w:hAnsi="Arial" w:cs="Arial"/>
        </w:rPr>
      </w:pPr>
      <w:r>
        <w:rPr>
          <w:rFonts w:ascii="Arial" w:hAnsi="Arial" w:cs="Arial"/>
        </w:rPr>
        <w:t xml:space="preserve">Commonwealth Climate Disclosure is the </w:t>
      </w:r>
      <w:r w:rsidR="00331A4D">
        <w:rPr>
          <w:rFonts w:ascii="Arial" w:hAnsi="Arial" w:cs="Arial"/>
        </w:rPr>
        <w:t xml:space="preserve">Australian </w:t>
      </w:r>
      <w:r>
        <w:rPr>
          <w:rFonts w:ascii="Arial" w:hAnsi="Arial" w:cs="Arial"/>
        </w:rPr>
        <w:t>Government</w:t>
      </w:r>
      <w:r w:rsidR="00B84FF2">
        <w:rPr>
          <w:rFonts w:ascii="Arial" w:hAnsi="Arial" w:cs="Arial"/>
        </w:rPr>
        <w:t>’</w:t>
      </w:r>
      <w:r>
        <w:rPr>
          <w:rFonts w:ascii="Arial" w:hAnsi="Arial" w:cs="Arial"/>
        </w:rPr>
        <w:t>s policy for Commonwealth entities to publicly disclose their exposure to climate risks and opportunities, as well as their actions to manage them, delivering transparent and consistent climate disclosures to the Australian public.</w:t>
      </w:r>
      <w:r w:rsidRPr="1021493C">
        <w:rPr>
          <w:rFonts w:ascii="Arial" w:hAnsi="Arial" w:cs="Arial"/>
        </w:rPr>
        <w:t xml:space="preserve"> </w:t>
      </w:r>
      <w:r w:rsidRPr="2F057C1C">
        <w:rPr>
          <w:rFonts w:ascii="Arial" w:hAnsi="Arial" w:cs="Arial"/>
        </w:rPr>
        <w:t xml:space="preserve">The </w:t>
      </w:r>
      <w:r w:rsidR="00331A4D" w:rsidRPr="00331A4D">
        <w:rPr>
          <w:rFonts w:ascii="Arial" w:hAnsi="Arial" w:cs="Arial"/>
        </w:rPr>
        <w:t xml:space="preserve">Australian Office of Financial Management </w:t>
      </w:r>
      <w:r w:rsidR="00331A4D">
        <w:rPr>
          <w:rFonts w:ascii="Arial" w:hAnsi="Arial" w:cs="Arial"/>
        </w:rPr>
        <w:t>(</w:t>
      </w:r>
      <w:r w:rsidRPr="2F057C1C">
        <w:rPr>
          <w:rFonts w:ascii="Arial" w:hAnsi="Arial" w:cs="Arial"/>
        </w:rPr>
        <w:t>AOFM</w:t>
      </w:r>
      <w:r w:rsidR="00331A4D">
        <w:rPr>
          <w:rFonts w:ascii="Arial" w:hAnsi="Arial" w:cs="Arial"/>
        </w:rPr>
        <w:t>)</w:t>
      </w:r>
      <w:r w:rsidRPr="2F057C1C">
        <w:rPr>
          <w:rFonts w:ascii="Arial" w:hAnsi="Arial" w:cs="Arial"/>
        </w:rPr>
        <w:t xml:space="preserve"> </w:t>
      </w:r>
      <w:r w:rsidR="00331A4D" w:rsidRPr="2F057C1C">
        <w:rPr>
          <w:rFonts w:ascii="Arial" w:hAnsi="Arial" w:cs="Arial"/>
        </w:rPr>
        <w:t>ha</w:t>
      </w:r>
      <w:r w:rsidR="00331A4D">
        <w:rPr>
          <w:rFonts w:ascii="Arial" w:hAnsi="Arial" w:cs="Arial"/>
        </w:rPr>
        <w:t>s</w:t>
      </w:r>
      <w:r w:rsidR="00331A4D" w:rsidRPr="2F057C1C">
        <w:rPr>
          <w:rFonts w:ascii="Arial" w:hAnsi="Arial" w:cs="Arial"/>
        </w:rPr>
        <w:t xml:space="preserve"> </w:t>
      </w:r>
      <w:r w:rsidRPr="2F057C1C">
        <w:rPr>
          <w:rFonts w:ascii="Arial" w:hAnsi="Arial" w:cs="Arial"/>
        </w:rPr>
        <w:t xml:space="preserve">assessed our climate risks and opportunities in accordance with the </w:t>
      </w:r>
      <w:hyperlink r:id="rId124" w:history="1">
        <w:r w:rsidRPr="2F057C1C">
          <w:rPr>
            <w:rStyle w:val="Hyperlink"/>
            <w:rFonts w:ascii="Arial" w:hAnsi="Arial" w:cs="Arial"/>
          </w:rPr>
          <w:t>Climate Risk and Opportunity Management Program</w:t>
        </w:r>
        <w:r w:rsidR="00A044F7">
          <w:rPr>
            <w:rStyle w:val="FootnoteReference"/>
            <w:rFonts w:cs="Arial"/>
            <w:color w:val="341E59" w:themeColor="accent1" w:themeShade="BF"/>
            <w:u w:val="single"/>
          </w:rPr>
          <w:footnoteReference w:id="19"/>
        </w:r>
        <w:r w:rsidRPr="2F057C1C">
          <w:rPr>
            <w:rStyle w:val="Hyperlink"/>
            <w:rFonts w:ascii="Arial" w:hAnsi="Arial" w:cs="Arial"/>
          </w:rPr>
          <w:t xml:space="preserve"> (CROMP)</w:t>
        </w:r>
      </w:hyperlink>
      <w:r w:rsidR="00331A4D">
        <w:t>,</w:t>
      </w:r>
      <w:r>
        <w:rPr>
          <w:rFonts w:ascii="Arial" w:hAnsi="Arial" w:cs="Arial"/>
        </w:rPr>
        <w:t xml:space="preserve"> and o</w:t>
      </w:r>
      <w:r w:rsidRPr="2ACE5C60">
        <w:rPr>
          <w:rFonts w:ascii="Arial" w:hAnsi="Arial" w:cs="Arial"/>
        </w:rPr>
        <w:t xml:space="preserve">ur climate disclosures have been prepared in accordance with the </w:t>
      </w:r>
      <w:hyperlink r:id="rId125" w:history="1">
        <w:r w:rsidRPr="2ACE5C60">
          <w:rPr>
            <w:rStyle w:val="Hyperlink"/>
            <w:rFonts w:ascii="Arial" w:hAnsi="Arial" w:cs="Arial"/>
          </w:rPr>
          <w:t>Year 1 Reporting Provisions</w:t>
        </w:r>
      </w:hyperlink>
      <w:r w:rsidR="00A044F7">
        <w:rPr>
          <w:rStyle w:val="FootnoteReference"/>
        </w:rPr>
        <w:footnoteReference w:id="20"/>
      </w:r>
      <w:r w:rsidRPr="2ACE5C60">
        <w:rPr>
          <w:rFonts w:ascii="Arial" w:hAnsi="Arial" w:cs="Arial"/>
        </w:rPr>
        <w:t xml:space="preserve"> for Tranche 1 entities. </w:t>
      </w:r>
    </w:p>
    <w:p w14:paraId="64B8A1C3" w14:textId="2CBAAD5C" w:rsidR="00831FF7" w:rsidRPr="007A0DA6" w:rsidRDefault="00831FF7" w:rsidP="007A0DA6">
      <w:pPr>
        <w:pStyle w:val="TableMainHeading"/>
      </w:pPr>
      <w:r w:rsidRPr="00D152A6">
        <w:t xml:space="preserve">Table </w:t>
      </w:r>
      <w:r w:rsidR="002D75AB">
        <w:t>3</w:t>
      </w:r>
      <w:r w:rsidR="00300C94">
        <w:t>4</w:t>
      </w:r>
      <w:r w:rsidRPr="00D152A6">
        <w:t xml:space="preserve">: </w:t>
      </w:r>
      <w:r>
        <w:t>AOFM</w:t>
      </w:r>
      <w:r w:rsidRPr="00D152A6">
        <w:t xml:space="preserve"> material climate</w:t>
      </w:r>
      <w:r w:rsidR="00B84FF2">
        <w:noBreakHyphen/>
      </w:r>
      <w:r w:rsidRPr="00D152A6">
        <w:t>related risks and opportunities</w:t>
      </w:r>
    </w:p>
    <w:tbl>
      <w:tblPr>
        <w:tblStyle w:val="AOFMTablemain"/>
        <w:tblW w:w="5000" w:type="pct"/>
        <w:tblLayout w:type="fixed"/>
        <w:tblLook w:val="04A0" w:firstRow="1" w:lastRow="0" w:firstColumn="1" w:lastColumn="0" w:noHBand="0" w:noVBand="1"/>
      </w:tblPr>
      <w:tblGrid>
        <w:gridCol w:w="4111"/>
        <w:gridCol w:w="1275"/>
        <w:gridCol w:w="1134"/>
        <w:gridCol w:w="1191"/>
      </w:tblGrid>
      <w:tr w:rsidR="007A0DA6" w:rsidRPr="000F24D5" w14:paraId="21B13CC8" w14:textId="77777777" w:rsidTr="007A0DA6">
        <w:trPr>
          <w:cnfStyle w:val="100000000000" w:firstRow="1" w:lastRow="0" w:firstColumn="0" w:lastColumn="0" w:oddVBand="0" w:evenVBand="0" w:oddHBand="0" w:evenHBand="0" w:firstRowFirstColumn="0" w:firstRowLastColumn="0" w:lastRowFirstColumn="0" w:lastRowLastColumn="0"/>
          <w:trHeight w:val="230"/>
          <w:tblHeader/>
        </w:trPr>
        <w:tc>
          <w:tcPr>
            <w:tcW w:w="2666" w:type="pct"/>
            <w:tcMar>
              <w:top w:w="57" w:type="dxa"/>
              <w:bottom w:w="57" w:type="dxa"/>
            </w:tcMar>
            <w:vAlign w:val="bottom"/>
          </w:tcPr>
          <w:p w14:paraId="1A229A3F" w14:textId="7E9959D7" w:rsidR="00831FF7" w:rsidRPr="000F24D5" w:rsidRDefault="00831FF7" w:rsidP="007A0DA6">
            <w:pPr>
              <w:pStyle w:val="TableColumnHeadingLeft"/>
            </w:pPr>
            <w:r w:rsidRPr="000F24D5">
              <w:t>Risk or Opportunity Statement</w:t>
            </w:r>
          </w:p>
        </w:tc>
        <w:tc>
          <w:tcPr>
            <w:tcW w:w="827" w:type="pct"/>
            <w:tcMar>
              <w:top w:w="57" w:type="dxa"/>
              <w:bottom w:w="57" w:type="dxa"/>
            </w:tcMar>
            <w:vAlign w:val="bottom"/>
          </w:tcPr>
          <w:p w14:paraId="3C8425A6" w14:textId="695BCB7F" w:rsidR="00831FF7" w:rsidRPr="000F24D5" w:rsidRDefault="00831FF7" w:rsidP="007A0DA6">
            <w:pPr>
              <w:pStyle w:val="TableColumnHeadingLeft"/>
            </w:pPr>
            <w:r w:rsidRPr="000F24D5">
              <w:t>Risk/ Opportunity</w:t>
            </w:r>
          </w:p>
        </w:tc>
        <w:tc>
          <w:tcPr>
            <w:tcW w:w="735" w:type="pct"/>
            <w:tcMar>
              <w:top w:w="57" w:type="dxa"/>
              <w:bottom w:w="57" w:type="dxa"/>
            </w:tcMar>
            <w:vAlign w:val="bottom"/>
          </w:tcPr>
          <w:p w14:paraId="34A52513" w14:textId="77777777" w:rsidR="00831FF7" w:rsidRPr="000F24D5" w:rsidRDefault="00831FF7" w:rsidP="007A0DA6">
            <w:pPr>
              <w:pStyle w:val="TableColumnHeadingLeft"/>
            </w:pPr>
            <w:r w:rsidRPr="000F24D5">
              <w:t>Timeframe</w:t>
            </w:r>
          </w:p>
        </w:tc>
        <w:tc>
          <w:tcPr>
            <w:tcW w:w="772" w:type="pct"/>
            <w:tcMar>
              <w:top w:w="57" w:type="dxa"/>
              <w:bottom w:w="57" w:type="dxa"/>
            </w:tcMar>
            <w:vAlign w:val="bottom"/>
          </w:tcPr>
          <w:p w14:paraId="3E8C2697" w14:textId="77777777" w:rsidR="00831FF7" w:rsidRPr="000F24D5" w:rsidRDefault="00831FF7" w:rsidP="007A0DA6">
            <w:pPr>
              <w:pStyle w:val="TableColumnHeadingLeft"/>
            </w:pPr>
            <w:r w:rsidRPr="000F24D5">
              <w:t>Risk type</w:t>
            </w:r>
          </w:p>
        </w:tc>
      </w:tr>
      <w:tr w:rsidR="007A0DA6" w:rsidRPr="000F24D5" w14:paraId="63576BAB" w14:textId="77777777" w:rsidTr="007A0DA6">
        <w:trPr>
          <w:trHeight w:val="547"/>
        </w:trPr>
        <w:tc>
          <w:tcPr>
            <w:tcW w:w="2666" w:type="pct"/>
            <w:tcMar>
              <w:top w:w="23" w:type="dxa"/>
              <w:bottom w:w="23" w:type="dxa"/>
            </w:tcMar>
          </w:tcPr>
          <w:p w14:paraId="27759AE7" w14:textId="50D612CD" w:rsidR="00831FF7" w:rsidRPr="003A4D91" w:rsidRDefault="00553BEF" w:rsidP="00625DAB">
            <w:pPr>
              <w:pStyle w:val="TableTextLeft"/>
            </w:pPr>
            <w:r w:rsidRPr="003A4D91">
              <w:t>The c</w:t>
            </w:r>
            <w:r w:rsidR="00831FF7" w:rsidRPr="003A4D91">
              <w:t>osts of transition and the physical impacts of climate change may increase the AOFM</w:t>
            </w:r>
            <w:r w:rsidR="00B84FF2" w:rsidRPr="003A4D91">
              <w:t>’</w:t>
            </w:r>
            <w:r w:rsidR="00831FF7" w:rsidRPr="003A4D91">
              <w:t>s funding task and could affect Australia</w:t>
            </w:r>
            <w:r w:rsidR="00B84FF2" w:rsidRPr="003A4D91">
              <w:t>’</w:t>
            </w:r>
            <w:r w:rsidR="00831FF7" w:rsidRPr="003A4D91">
              <w:t>s credit ratings and interest rates.</w:t>
            </w:r>
          </w:p>
        </w:tc>
        <w:tc>
          <w:tcPr>
            <w:tcW w:w="827" w:type="pct"/>
            <w:tcMar>
              <w:top w:w="23" w:type="dxa"/>
              <w:bottom w:w="23" w:type="dxa"/>
            </w:tcMar>
          </w:tcPr>
          <w:p w14:paraId="65C44604" w14:textId="77777777" w:rsidR="00831FF7" w:rsidRPr="003A4D91" w:rsidRDefault="00831FF7" w:rsidP="00625DAB">
            <w:pPr>
              <w:pStyle w:val="TableTextLeft"/>
            </w:pPr>
            <w:r w:rsidRPr="003A4D91">
              <w:t>Risk</w:t>
            </w:r>
          </w:p>
        </w:tc>
        <w:tc>
          <w:tcPr>
            <w:tcW w:w="735" w:type="pct"/>
            <w:tcMar>
              <w:top w:w="23" w:type="dxa"/>
              <w:bottom w:w="23" w:type="dxa"/>
            </w:tcMar>
          </w:tcPr>
          <w:p w14:paraId="35BEE6D6" w14:textId="6BAE8B9C" w:rsidR="00831FF7" w:rsidRPr="003A4D91" w:rsidRDefault="00831FF7" w:rsidP="00625DAB">
            <w:pPr>
              <w:pStyle w:val="TableTextLeft"/>
            </w:pPr>
            <w:r w:rsidRPr="003A4D91">
              <w:t>Long</w:t>
            </w:r>
            <w:r w:rsidR="00EB54ED" w:rsidRPr="003A4D91">
              <w:t xml:space="preserve"> term</w:t>
            </w:r>
          </w:p>
        </w:tc>
        <w:tc>
          <w:tcPr>
            <w:tcW w:w="772" w:type="pct"/>
            <w:tcMar>
              <w:top w:w="23" w:type="dxa"/>
              <w:bottom w:w="23" w:type="dxa"/>
            </w:tcMar>
          </w:tcPr>
          <w:p w14:paraId="77AA8258" w14:textId="2CFDC1EC" w:rsidR="00831FF7" w:rsidRPr="003A4D91" w:rsidRDefault="00831FF7" w:rsidP="00625DAB">
            <w:pPr>
              <w:pStyle w:val="TableTextLeft"/>
            </w:pPr>
            <w:r w:rsidRPr="003A4D91">
              <w:t>Physical/</w:t>
            </w:r>
            <w:r w:rsidR="00EB54ED" w:rsidRPr="003A4D91">
              <w:br/>
            </w:r>
            <w:r w:rsidRPr="003A4D91">
              <w:t>Transition</w:t>
            </w:r>
          </w:p>
        </w:tc>
      </w:tr>
      <w:tr w:rsidR="007A0DA6" w:rsidRPr="000F24D5" w14:paraId="0BC7A13E" w14:textId="77777777" w:rsidTr="007A0DA6">
        <w:trPr>
          <w:cnfStyle w:val="000000010000" w:firstRow="0" w:lastRow="0" w:firstColumn="0" w:lastColumn="0" w:oddVBand="0" w:evenVBand="0" w:oddHBand="0" w:evenHBand="1" w:firstRowFirstColumn="0" w:firstRowLastColumn="0" w:lastRowFirstColumn="0" w:lastRowLastColumn="0"/>
          <w:trHeight w:val="547"/>
        </w:trPr>
        <w:tc>
          <w:tcPr>
            <w:tcW w:w="2666" w:type="pct"/>
            <w:tcMar>
              <w:top w:w="23" w:type="dxa"/>
              <w:bottom w:w="23" w:type="dxa"/>
            </w:tcMar>
          </w:tcPr>
          <w:p w14:paraId="2BCA6925" w14:textId="5172E27E" w:rsidR="00831FF7" w:rsidRPr="003A4D91" w:rsidRDefault="00331A4D" w:rsidP="00625DAB">
            <w:pPr>
              <w:pStyle w:val="TableTextLeft"/>
            </w:pPr>
            <w:r w:rsidRPr="003A4D91">
              <w:t xml:space="preserve">The </w:t>
            </w:r>
            <w:r w:rsidR="00831FF7" w:rsidRPr="003A4D91">
              <w:t>AOFM retain</w:t>
            </w:r>
            <w:r w:rsidRPr="003A4D91">
              <w:t>s</w:t>
            </w:r>
            <w:r w:rsidR="00831FF7" w:rsidRPr="003A4D91">
              <w:t xml:space="preserve"> the confidence of the market in our ability to meet our purposes</w:t>
            </w:r>
            <w:r w:rsidRPr="003A4D91">
              <w:t>,</w:t>
            </w:r>
            <w:r w:rsidR="00831FF7" w:rsidRPr="003A4D91">
              <w:t xml:space="preserve"> despite increased uncertainty in global and domestic economic conditions caused by extreme weather events or changes in government policy.</w:t>
            </w:r>
          </w:p>
        </w:tc>
        <w:tc>
          <w:tcPr>
            <w:tcW w:w="827" w:type="pct"/>
            <w:tcMar>
              <w:top w:w="23" w:type="dxa"/>
              <w:bottom w:w="23" w:type="dxa"/>
            </w:tcMar>
          </w:tcPr>
          <w:p w14:paraId="0F308B1C" w14:textId="77777777" w:rsidR="00831FF7" w:rsidRPr="003A4D91" w:rsidRDefault="00831FF7" w:rsidP="00625DAB">
            <w:pPr>
              <w:pStyle w:val="TableTextLeft"/>
            </w:pPr>
            <w:r w:rsidRPr="003A4D91">
              <w:t>Risk</w:t>
            </w:r>
          </w:p>
        </w:tc>
        <w:tc>
          <w:tcPr>
            <w:tcW w:w="735" w:type="pct"/>
            <w:tcMar>
              <w:top w:w="23" w:type="dxa"/>
              <w:bottom w:w="23" w:type="dxa"/>
            </w:tcMar>
          </w:tcPr>
          <w:p w14:paraId="54555C68" w14:textId="1E0549C9" w:rsidR="00831FF7" w:rsidRPr="003A4D91" w:rsidRDefault="00831FF7" w:rsidP="00625DAB">
            <w:pPr>
              <w:pStyle w:val="TableTextLeft"/>
            </w:pPr>
            <w:r w:rsidRPr="003A4D91">
              <w:t>Short</w:t>
            </w:r>
            <w:r w:rsidR="00331A4D" w:rsidRPr="003A4D91">
              <w:t>–</w:t>
            </w:r>
            <w:r w:rsidR="00EB54ED" w:rsidRPr="003A4D91">
              <w:t>m</w:t>
            </w:r>
            <w:r w:rsidRPr="003A4D91">
              <w:t xml:space="preserve">edium </w:t>
            </w:r>
            <w:r w:rsidR="00EB54ED" w:rsidRPr="003A4D91">
              <w:t>term</w:t>
            </w:r>
          </w:p>
        </w:tc>
        <w:tc>
          <w:tcPr>
            <w:tcW w:w="772" w:type="pct"/>
            <w:tcMar>
              <w:top w:w="23" w:type="dxa"/>
              <w:bottom w:w="23" w:type="dxa"/>
            </w:tcMar>
          </w:tcPr>
          <w:p w14:paraId="69C6D433" w14:textId="4BEC6FB2" w:rsidR="00831FF7" w:rsidRPr="003A4D91" w:rsidRDefault="00831FF7" w:rsidP="00625DAB">
            <w:pPr>
              <w:pStyle w:val="TableTextLeft"/>
            </w:pPr>
            <w:r w:rsidRPr="003A4D91">
              <w:t>Physical/</w:t>
            </w:r>
            <w:r w:rsidR="00EB54ED" w:rsidRPr="003A4D91">
              <w:br/>
            </w:r>
            <w:r w:rsidRPr="003A4D91">
              <w:t>Transition</w:t>
            </w:r>
          </w:p>
        </w:tc>
      </w:tr>
      <w:tr w:rsidR="007A0DA6" w:rsidRPr="000F24D5" w14:paraId="47445B7B" w14:textId="77777777" w:rsidTr="007A0DA6">
        <w:trPr>
          <w:trHeight w:val="611"/>
        </w:trPr>
        <w:tc>
          <w:tcPr>
            <w:tcW w:w="2666" w:type="pct"/>
            <w:tcMar>
              <w:top w:w="23" w:type="dxa"/>
              <w:bottom w:w="23" w:type="dxa"/>
            </w:tcMar>
          </w:tcPr>
          <w:p w14:paraId="04816C8B" w14:textId="6228040B" w:rsidR="00831FF7" w:rsidRPr="003A4D91" w:rsidRDefault="00922DAB" w:rsidP="00625DAB">
            <w:pPr>
              <w:pStyle w:val="TableTextLeft"/>
            </w:pPr>
            <w:r w:rsidRPr="003A4D91">
              <w:t>The i</w:t>
            </w:r>
            <w:r w:rsidR="00831FF7" w:rsidRPr="003A4D91">
              <w:t>ncreased size of the Green Bond Program will assist in financing Australia</w:t>
            </w:r>
            <w:r w:rsidR="00B84FF2" w:rsidRPr="003A4D91">
              <w:t>’</w:t>
            </w:r>
            <w:r w:rsidR="00831FF7" w:rsidRPr="003A4D91">
              <w:t>s transition to a net</w:t>
            </w:r>
            <w:r w:rsidR="00B84FF2" w:rsidRPr="003A4D91">
              <w:noBreakHyphen/>
            </w:r>
            <w:r w:rsidR="00831FF7" w:rsidRPr="003A4D91">
              <w:t>zero emissions economy.</w:t>
            </w:r>
          </w:p>
        </w:tc>
        <w:tc>
          <w:tcPr>
            <w:tcW w:w="827" w:type="pct"/>
            <w:tcMar>
              <w:top w:w="23" w:type="dxa"/>
              <w:bottom w:w="23" w:type="dxa"/>
            </w:tcMar>
          </w:tcPr>
          <w:p w14:paraId="742DB9A1" w14:textId="77777777" w:rsidR="00831FF7" w:rsidRPr="003A4D91" w:rsidRDefault="00831FF7" w:rsidP="00625DAB">
            <w:pPr>
              <w:pStyle w:val="TableTextLeft"/>
            </w:pPr>
            <w:r w:rsidRPr="003A4D91">
              <w:t>Opportunity</w:t>
            </w:r>
          </w:p>
        </w:tc>
        <w:tc>
          <w:tcPr>
            <w:tcW w:w="735" w:type="pct"/>
            <w:tcMar>
              <w:top w:w="23" w:type="dxa"/>
              <w:bottom w:w="23" w:type="dxa"/>
            </w:tcMar>
          </w:tcPr>
          <w:p w14:paraId="19374AFB" w14:textId="4885EB09" w:rsidR="00831FF7" w:rsidRPr="003A4D91" w:rsidRDefault="00831FF7" w:rsidP="00625DAB">
            <w:pPr>
              <w:pStyle w:val="TableTextLeft"/>
            </w:pPr>
            <w:r w:rsidRPr="003A4D91">
              <w:t>Short</w:t>
            </w:r>
            <w:r w:rsidR="00922DAB" w:rsidRPr="003A4D91">
              <w:t>–</w:t>
            </w:r>
            <w:r w:rsidR="00EB54ED" w:rsidRPr="003A4D91">
              <w:t>m</w:t>
            </w:r>
            <w:r w:rsidRPr="003A4D91">
              <w:t>edium</w:t>
            </w:r>
            <w:r w:rsidR="00EB54ED" w:rsidRPr="003A4D91">
              <w:t xml:space="preserve"> term</w:t>
            </w:r>
          </w:p>
        </w:tc>
        <w:tc>
          <w:tcPr>
            <w:tcW w:w="772" w:type="pct"/>
            <w:tcMar>
              <w:top w:w="23" w:type="dxa"/>
              <w:bottom w:w="23" w:type="dxa"/>
            </w:tcMar>
          </w:tcPr>
          <w:p w14:paraId="79442B77" w14:textId="77777777" w:rsidR="00831FF7" w:rsidRPr="003A4D91" w:rsidRDefault="00831FF7" w:rsidP="00625DAB">
            <w:pPr>
              <w:pStyle w:val="TableTextLeft"/>
            </w:pPr>
            <w:r w:rsidRPr="003A4D91">
              <w:t>Transition</w:t>
            </w:r>
          </w:p>
        </w:tc>
      </w:tr>
      <w:tr w:rsidR="007A0DA6" w:rsidRPr="000F24D5" w14:paraId="4FEECA9B" w14:textId="77777777" w:rsidTr="007A0DA6">
        <w:trPr>
          <w:cnfStyle w:val="000000010000" w:firstRow="0" w:lastRow="0" w:firstColumn="0" w:lastColumn="0" w:oddVBand="0" w:evenVBand="0" w:oddHBand="0" w:evenHBand="1" w:firstRowFirstColumn="0" w:firstRowLastColumn="0" w:lastRowFirstColumn="0" w:lastRowLastColumn="0"/>
          <w:trHeight w:val="911"/>
        </w:trPr>
        <w:tc>
          <w:tcPr>
            <w:tcW w:w="2666" w:type="pct"/>
            <w:tcMar>
              <w:top w:w="23" w:type="dxa"/>
              <w:bottom w:w="23" w:type="dxa"/>
            </w:tcMar>
          </w:tcPr>
          <w:p w14:paraId="24766337" w14:textId="3C61124E" w:rsidR="00831FF7" w:rsidRPr="003A4D91" w:rsidRDefault="553B7193" w:rsidP="00625DAB">
            <w:pPr>
              <w:pStyle w:val="TableTextLeft"/>
            </w:pPr>
            <w:r w:rsidRPr="003A4D91">
              <w:t>Safe and reliable access to IT networks, systems, infrastructure and assets may be disrupted during a major business continuity event caused by extreme weather conditions, potentially impacting the effective functioning of the Australian Government Securities (AGS) market.</w:t>
            </w:r>
          </w:p>
        </w:tc>
        <w:tc>
          <w:tcPr>
            <w:tcW w:w="827" w:type="pct"/>
            <w:tcMar>
              <w:top w:w="23" w:type="dxa"/>
              <w:bottom w:w="23" w:type="dxa"/>
            </w:tcMar>
          </w:tcPr>
          <w:p w14:paraId="6CC8ED2D" w14:textId="77777777" w:rsidR="00831FF7" w:rsidRPr="003A4D91" w:rsidRDefault="00831FF7" w:rsidP="00625DAB">
            <w:pPr>
              <w:pStyle w:val="TableTextLeft"/>
            </w:pPr>
            <w:r w:rsidRPr="003A4D91">
              <w:t>Risk</w:t>
            </w:r>
          </w:p>
        </w:tc>
        <w:tc>
          <w:tcPr>
            <w:tcW w:w="735" w:type="pct"/>
            <w:tcMar>
              <w:top w:w="23" w:type="dxa"/>
              <w:bottom w:w="23" w:type="dxa"/>
            </w:tcMar>
          </w:tcPr>
          <w:p w14:paraId="733FBA07" w14:textId="54969D46" w:rsidR="00831FF7" w:rsidRPr="003A4D91" w:rsidRDefault="00831FF7" w:rsidP="00625DAB">
            <w:pPr>
              <w:pStyle w:val="TableTextLeft"/>
            </w:pPr>
            <w:r w:rsidRPr="003A4D91">
              <w:t>Short</w:t>
            </w:r>
            <w:r w:rsidR="00922DAB" w:rsidRPr="003A4D91">
              <w:t>–</w:t>
            </w:r>
            <w:r w:rsidR="00EB54ED" w:rsidRPr="003A4D91">
              <w:t>l</w:t>
            </w:r>
            <w:r w:rsidRPr="003A4D91">
              <w:t>ong</w:t>
            </w:r>
            <w:r w:rsidR="00EB54ED" w:rsidRPr="003A4D91">
              <w:t xml:space="preserve"> term</w:t>
            </w:r>
          </w:p>
        </w:tc>
        <w:tc>
          <w:tcPr>
            <w:tcW w:w="772" w:type="pct"/>
            <w:tcMar>
              <w:top w:w="23" w:type="dxa"/>
              <w:bottom w:w="23" w:type="dxa"/>
            </w:tcMar>
          </w:tcPr>
          <w:p w14:paraId="6ED080EC" w14:textId="77777777" w:rsidR="00831FF7" w:rsidRPr="003A4D91" w:rsidRDefault="00831FF7" w:rsidP="00625DAB">
            <w:pPr>
              <w:pStyle w:val="TableTextLeft"/>
            </w:pPr>
            <w:r w:rsidRPr="003A4D91">
              <w:t>Physical</w:t>
            </w:r>
          </w:p>
        </w:tc>
      </w:tr>
      <w:tr w:rsidR="007A0DA6" w:rsidRPr="000F24D5" w14:paraId="212D15B4" w14:textId="77777777" w:rsidTr="007A0DA6">
        <w:trPr>
          <w:trHeight w:val="457"/>
        </w:trPr>
        <w:tc>
          <w:tcPr>
            <w:tcW w:w="2666" w:type="pct"/>
            <w:tcMar>
              <w:top w:w="23" w:type="dxa"/>
              <w:bottom w:w="23" w:type="dxa"/>
            </w:tcMar>
          </w:tcPr>
          <w:p w14:paraId="16DF734E" w14:textId="26259CC8" w:rsidR="00831FF7" w:rsidRPr="009365BD" w:rsidRDefault="00886A98" w:rsidP="00625DAB">
            <w:pPr>
              <w:pStyle w:val="TableTextLeft"/>
            </w:pPr>
            <w:r w:rsidRPr="00886A98">
              <w:t>Improving the health and safety of staff will increase resilience to direct impacts of climate change, including extreme weather events and indirect impacts such as increased chronic and acute health effects.</w:t>
            </w:r>
          </w:p>
        </w:tc>
        <w:tc>
          <w:tcPr>
            <w:tcW w:w="827" w:type="pct"/>
            <w:tcMar>
              <w:top w:w="23" w:type="dxa"/>
              <w:bottom w:w="23" w:type="dxa"/>
            </w:tcMar>
          </w:tcPr>
          <w:p w14:paraId="15572665" w14:textId="77777777" w:rsidR="00831FF7" w:rsidRPr="009365BD" w:rsidRDefault="00831FF7" w:rsidP="00625DAB">
            <w:pPr>
              <w:pStyle w:val="TableTextLeft"/>
            </w:pPr>
            <w:r w:rsidRPr="009365BD">
              <w:t xml:space="preserve">Opportunity </w:t>
            </w:r>
          </w:p>
        </w:tc>
        <w:tc>
          <w:tcPr>
            <w:tcW w:w="735" w:type="pct"/>
            <w:tcMar>
              <w:top w:w="23" w:type="dxa"/>
              <w:bottom w:w="23" w:type="dxa"/>
            </w:tcMar>
          </w:tcPr>
          <w:p w14:paraId="4B68A6DD" w14:textId="311C5A93" w:rsidR="00831FF7" w:rsidRPr="009365BD" w:rsidRDefault="00831FF7" w:rsidP="00625DAB">
            <w:pPr>
              <w:pStyle w:val="TableTextLeft"/>
            </w:pPr>
            <w:r w:rsidRPr="009365BD">
              <w:t>Short</w:t>
            </w:r>
            <w:r w:rsidR="00EB54ED" w:rsidRPr="009365BD">
              <w:t>–l</w:t>
            </w:r>
            <w:r w:rsidRPr="009365BD">
              <w:t>ong</w:t>
            </w:r>
            <w:r w:rsidR="00EB54ED" w:rsidRPr="009365BD">
              <w:t xml:space="preserve"> term</w:t>
            </w:r>
          </w:p>
        </w:tc>
        <w:tc>
          <w:tcPr>
            <w:tcW w:w="772" w:type="pct"/>
            <w:tcMar>
              <w:top w:w="23" w:type="dxa"/>
              <w:bottom w:w="23" w:type="dxa"/>
            </w:tcMar>
          </w:tcPr>
          <w:p w14:paraId="08D652A4" w14:textId="77777777" w:rsidR="00831FF7" w:rsidRPr="009365BD" w:rsidRDefault="00831FF7" w:rsidP="00625DAB">
            <w:pPr>
              <w:pStyle w:val="TableTextLeft"/>
            </w:pPr>
            <w:r w:rsidRPr="009365BD">
              <w:t>Physical</w:t>
            </w:r>
          </w:p>
        </w:tc>
      </w:tr>
    </w:tbl>
    <w:p w14:paraId="5C4DEC16" w14:textId="5DA31521" w:rsidR="00831FF7" w:rsidRDefault="00831FF7" w:rsidP="0030065C">
      <w:r w:rsidRPr="2ACE5C60">
        <w:lastRenderedPageBreak/>
        <w:t xml:space="preserve">Under </w:t>
      </w:r>
      <w:r>
        <w:t xml:space="preserve">the Commonwealth Climate Disclosure </w:t>
      </w:r>
      <w:r w:rsidRPr="2ACE5C60">
        <w:t>guidance</w:t>
      </w:r>
      <w:r w:rsidR="007E7AFF">
        <w:t>,</w:t>
      </w:r>
      <w:r w:rsidRPr="2ACE5C60">
        <w:t xml:space="preserve"> we have disclosed meaningful information about our climate</w:t>
      </w:r>
      <w:r w:rsidR="00B84FF2">
        <w:noBreakHyphen/>
      </w:r>
      <w:r w:rsidRPr="2ACE5C60">
        <w:t>related risks and opportunities where they have, or may have, a significant impact on the AOFM as an organisation or our ability to deliver our mandate</w:t>
      </w:r>
      <w:r w:rsidR="00B84FF2">
        <w:t xml:space="preserve">. </w:t>
      </w:r>
    </w:p>
    <w:p w14:paraId="3466ED72" w14:textId="32D1BA91" w:rsidR="00831FF7" w:rsidRPr="00EE1764" w:rsidRDefault="00831FF7" w:rsidP="00831FF7">
      <w:pPr>
        <w:rPr>
          <w:rFonts w:ascii="Arial" w:hAnsi="Arial" w:cs="Arial"/>
        </w:rPr>
      </w:pPr>
      <w:r w:rsidRPr="22AC6905">
        <w:rPr>
          <w:rFonts w:ascii="Arial" w:hAnsi="Arial" w:cs="Arial"/>
        </w:rPr>
        <w:t>The scope of climate</w:t>
      </w:r>
      <w:r w:rsidR="00B84FF2">
        <w:rPr>
          <w:rFonts w:ascii="Arial" w:hAnsi="Arial" w:cs="Arial"/>
        </w:rPr>
        <w:noBreakHyphen/>
      </w:r>
      <w:r w:rsidRPr="22AC6905">
        <w:rPr>
          <w:rFonts w:ascii="Arial" w:hAnsi="Arial" w:cs="Arial"/>
        </w:rPr>
        <w:t>related risks and opportunities to be disclosed in future reporting periods may include climate risks and opportunities identified along the entity</w:t>
      </w:r>
      <w:r w:rsidR="00B84FF2">
        <w:rPr>
          <w:rFonts w:ascii="Arial" w:hAnsi="Arial" w:cs="Arial"/>
        </w:rPr>
        <w:t>’</w:t>
      </w:r>
      <w:r w:rsidRPr="22AC6905">
        <w:rPr>
          <w:rFonts w:ascii="Arial" w:hAnsi="Arial" w:cs="Arial"/>
        </w:rPr>
        <w:t>s public policy delivery chain, procurement</w:t>
      </w:r>
      <w:r w:rsidR="00B84FF2">
        <w:rPr>
          <w:rFonts w:ascii="Arial" w:hAnsi="Arial" w:cs="Arial"/>
        </w:rPr>
        <w:noBreakHyphen/>
      </w:r>
      <w:r w:rsidRPr="22AC6905">
        <w:rPr>
          <w:rFonts w:ascii="Arial" w:hAnsi="Arial" w:cs="Arial"/>
        </w:rPr>
        <w:t>related risks and opportunities, climate</w:t>
      </w:r>
      <w:r w:rsidR="00B84FF2">
        <w:rPr>
          <w:rFonts w:ascii="Arial" w:hAnsi="Arial" w:cs="Arial"/>
        </w:rPr>
        <w:noBreakHyphen/>
      </w:r>
      <w:r w:rsidRPr="22AC6905">
        <w:rPr>
          <w:rFonts w:ascii="Arial" w:hAnsi="Arial" w:cs="Arial"/>
        </w:rPr>
        <w:t xml:space="preserve">related scenario analysis, financial effects and other more complex disclosure requirements. </w:t>
      </w:r>
      <w:r w:rsidR="00CF0CE1">
        <w:rPr>
          <w:rFonts w:ascii="Arial" w:hAnsi="Arial" w:cs="Arial"/>
        </w:rPr>
        <w:t>Reporting currently excludes t</w:t>
      </w:r>
      <w:r w:rsidR="00CF0CE1" w:rsidRPr="22AC6905">
        <w:rPr>
          <w:rFonts w:ascii="Arial" w:hAnsi="Arial" w:cs="Arial"/>
        </w:rPr>
        <w:t xml:space="preserve">he </w:t>
      </w:r>
      <w:r w:rsidRPr="22AC6905">
        <w:rPr>
          <w:rFonts w:ascii="Arial" w:hAnsi="Arial" w:cs="Arial"/>
        </w:rPr>
        <w:t>disclosure of qualitative and quantitative information on administered accounts and financed emissions.</w:t>
      </w:r>
    </w:p>
    <w:p w14:paraId="6BB00601" w14:textId="79426EED" w:rsidR="00831FF7" w:rsidRPr="00D152A6" w:rsidRDefault="00831FF7" w:rsidP="008B4488">
      <w:pPr>
        <w:pStyle w:val="TableMainHeading"/>
      </w:pPr>
      <w:r w:rsidRPr="00D152A6">
        <w:t xml:space="preserve">Table </w:t>
      </w:r>
      <w:r w:rsidR="00414F2C">
        <w:t>3</w:t>
      </w:r>
      <w:r w:rsidR="00AC26A9">
        <w:t>5</w:t>
      </w:r>
      <w:r w:rsidRPr="00D152A6">
        <w:t xml:space="preserve">: </w:t>
      </w:r>
      <w:r>
        <w:t>AOFM</w:t>
      </w:r>
      <w:r w:rsidRPr="00D152A6">
        <w:t xml:space="preserve"> climate</w:t>
      </w:r>
      <w:r>
        <w:t xml:space="preserve"> disclosures</w:t>
      </w:r>
    </w:p>
    <w:tbl>
      <w:tblPr>
        <w:tblStyle w:val="AOFMTablemain"/>
        <w:tblW w:w="0" w:type="auto"/>
        <w:tblLook w:val="0420" w:firstRow="1" w:lastRow="0" w:firstColumn="0" w:lastColumn="0" w:noHBand="0" w:noVBand="1"/>
      </w:tblPr>
      <w:tblGrid>
        <w:gridCol w:w="1363"/>
        <w:gridCol w:w="1773"/>
        <w:gridCol w:w="4575"/>
      </w:tblGrid>
      <w:tr w:rsidR="00E15250" w:rsidRPr="00DF31C0" w14:paraId="29A72A88" w14:textId="77777777" w:rsidTr="007A0DA6">
        <w:trPr>
          <w:cnfStyle w:val="100000000000" w:firstRow="1" w:lastRow="0" w:firstColumn="0" w:lastColumn="0" w:oddVBand="0" w:evenVBand="0" w:oddHBand="0" w:evenHBand="0" w:firstRowFirstColumn="0" w:firstRowLastColumn="0" w:lastRowFirstColumn="0" w:lastRowLastColumn="0"/>
          <w:cantSplit/>
          <w:trHeight w:val="300"/>
          <w:tblHeader/>
        </w:trPr>
        <w:tc>
          <w:tcPr>
            <w:tcW w:w="0" w:type="auto"/>
            <w:vAlign w:val="bottom"/>
          </w:tcPr>
          <w:p w14:paraId="508C1AFD" w14:textId="16E6D911" w:rsidR="00DD16F1" w:rsidRPr="00CB5C19" w:rsidRDefault="00DD16F1" w:rsidP="009556C5">
            <w:pPr>
              <w:pStyle w:val="TableColumnHeadingLeft"/>
            </w:pPr>
            <w:r w:rsidRPr="00CB5C19">
              <w:t>Core Requirement</w:t>
            </w:r>
          </w:p>
        </w:tc>
        <w:tc>
          <w:tcPr>
            <w:tcW w:w="0" w:type="auto"/>
            <w:vAlign w:val="bottom"/>
          </w:tcPr>
          <w:p w14:paraId="29F431B4" w14:textId="3A8060D3" w:rsidR="00DD16F1" w:rsidRPr="00CB5C19" w:rsidRDefault="00DD16F1" w:rsidP="009556C5">
            <w:pPr>
              <w:pStyle w:val="TableColumnHeadingLeft"/>
            </w:pPr>
            <w:r w:rsidRPr="00CB5C19">
              <w:t>Overview</w:t>
            </w:r>
          </w:p>
        </w:tc>
        <w:tc>
          <w:tcPr>
            <w:tcW w:w="0" w:type="auto"/>
            <w:vAlign w:val="bottom"/>
          </w:tcPr>
          <w:p w14:paraId="18239F68" w14:textId="3B493BA3" w:rsidR="00DD16F1" w:rsidRPr="00CB5C19" w:rsidRDefault="00DD16F1" w:rsidP="009556C5">
            <w:pPr>
              <w:pStyle w:val="TableColumnHeadingLeft"/>
            </w:pPr>
            <w:r w:rsidRPr="00CB5C19">
              <w:t>Description</w:t>
            </w:r>
          </w:p>
        </w:tc>
      </w:tr>
      <w:tr w:rsidR="00831FF7" w:rsidRPr="00DF31C0" w14:paraId="14B92F93" w14:textId="77777777" w:rsidTr="007A0DA6">
        <w:trPr>
          <w:cantSplit/>
          <w:trHeight w:val="300"/>
        </w:trPr>
        <w:tc>
          <w:tcPr>
            <w:tcW w:w="0" w:type="auto"/>
          </w:tcPr>
          <w:p w14:paraId="76957E0F" w14:textId="77777777" w:rsidR="00831FF7" w:rsidRPr="00625DAB" w:rsidRDefault="00831FF7" w:rsidP="00625DAB">
            <w:pPr>
              <w:pStyle w:val="TableTextLeft"/>
            </w:pPr>
            <w:r w:rsidRPr="00625DAB">
              <w:t>G0</w:t>
            </w:r>
          </w:p>
        </w:tc>
        <w:tc>
          <w:tcPr>
            <w:tcW w:w="0" w:type="auto"/>
          </w:tcPr>
          <w:p w14:paraId="601201D4" w14:textId="77777777" w:rsidR="00831FF7" w:rsidRPr="00625DAB" w:rsidRDefault="00831FF7" w:rsidP="00625DAB">
            <w:pPr>
              <w:pStyle w:val="TableTextLeft"/>
            </w:pPr>
            <w:r w:rsidRPr="00625DAB">
              <w:t>Governance objective</w:t>
            </w:r>
          </w:p>
        </w:tc>
        <w:tc>
          <w:tcPr>
            <w:tcW w:w="0" w:type="auto"/>
          </w:tcPr>
          <w:p w14:paraId="2DDD0FF0" w14:textId="77777777" w:rsidR="00831FF7" w:rsidRPr="00625DAB" w:rsidRDefault="00831FF7" w:rsidP="00625DAB">
            <w:pPr>
              <w:pStyle w:val="TableTextLeft"/>
            </w:pPr>
            <w:r w:rsidRPr="00625DAB">
              <w:t>Achieved through G1</w:t>
            </w:r>
          </w:p>
        </w:tc>
      </w:tr>
      <w:tr w:rsidR="0086383C" w:rsidRPr="00DF31C0" w14:paraId="30CDFDAE"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1F62D586" w14:textId="77777777" w:rsidR="00831FF7" w:rsidRPr="00625DAB" w:rsidRDefault="00831FF7" w:rsidP="00625DAB">
            <w:pPr>
              <w:pStyle w:val="TableTextLeft"/>
            </w:pPr>
            <w:r w:rsidRPr="00625DAB">
              <w:t>G1(a)</w:t>
            </w:r>
          </w:p>
        </w:tc>
        <w:tc>
          <w:tcPr>
            <w:tcW w:w="0" w:type="auto"/>
          </w:tcPr>
          <w:p w14:paraId="2DA63538" w14:textId="15E56B46" w:rsidR="00831FF7" w:rsidRPr="00625DAB" w:rsidRDefault="00831FF7" w:rsidP="00625DAB">
            <w:pPr>
              <w:pStyle w:val="TableTextLeft"/>
            </w:pPr>
            <w:r w:rsidRPr="00625DAB">
              <w:t>Identify Accountable Authority</w:t>
            </w:r>
          </w:p>
        </w:tc>
        <w:tc>
          <w:tcPr>
            <w:tcW w:w="0" w:type="auto"/>
          </w:tcPr>
          <w:p w14:paraId="5C548061" w14:textId="1A128D82" w:rsidR="00831FF7" w:rsidRPr="00625DAB" w:rsidRDefault="00831FF7" w:rsidP="00625DAB">
            <w:pPr>
              <w:pStyle w:val="TableTextLeft"/>
            </w:pPr>
            <w:r w:rsidRPr="00625DAB">
              <w:t>The Chief Executive Officer (CEO) is the Accountable Authority</w:t>
            </w:r>
            <w:r w:rsidR="00343772" w:rsidRPr="00625DAB">
              <w:t xml:space="preserve"> </w:t>
            </w:r>
            <w:r w:rsidRPr="00625DAB">
              <w:t xml:space="preserve">of the AOFM under section 12 of the </w:t>
            </w:r>
            <w:r w:rsidR="00CF0CE1" w:rsidRPr="00625DAB">
              <w:t>Public, Governance, Performance and Accountability Act 2013 (</w:t>
            </w:r>
            <w:r w:rsidRPr="00625DAB">
              <w:t>PGPA Act</w:t>
            </w:r>
            <w:r w:rsidR="00CF0CE1" w:rsidRPr="00625DAB">
              <w:t>). S</w:t>
            </w:r>
            <w:r w:rsidRPr="00625DAB">
              <w:t xml:space="preserve">ee </w:t>
            </w:r>
            <w:r w:rsidR="00B84FF2" w:rsidRPr="00625DAB">
              <w:t>‘</w:t>
            </w:r>
            <w:r w:rsidRPr="00625DAB">
              <w:t xml:space="preserve">Organisational </w:t>
            </w:r>
            <w:r w:rsidR="00CF0CE1" w:rsidRPr="00625DAB">
              <w:t>s</w:t>
            </w:r>
            <w:r w:rsidRPr="00625DAB">
              <w:t>tructure</w:t>
            </w:r>
            <w:r w:rsidR="00B84FF2" w:rsidRPr="00625DAB">
              <w:t>’</w:t>
            </w:r>
            <w:r w:rsidRPr="00625DAB">
              <w:t xml:space="preserve"> </w:t>
            </w:r>
            <w:r w:rsidR="008E168B" w:rsidRPr="00625DAB">
              <w:t>in Part 1 of this</w:t>
            </w:r>
            <w:r w:rsidRPr="00625DAB">
              <w:t xml:space="preserve"> annual report.</w:t>
            </w:r>
          </w:p>
        </w:tc>
      </w:tr>
      <w:tr w:rsidR="00831FF7" w:rsidRPr="00DF31C0" w14:paraId="1020A64F" w14:textId="77777777" w:rsidTr="007A0DA6">
        <w:trPr>
          <w:cantSplit/>
          <w:trHeight w:val="300"/>
        </w:trPr>
        <w:tc>
          <w:tcPr>
            <w:tcW w:w="0" w:type="auto"/>
          </w:tcPr>
          <w:p w14:paraId="6989BA06" w14:textId="77777777" w:rsidR="00831FF7" w:rsidRPr="00625DAB" w:rsidRDefault="00831FF7" w:rsidP="00625DAB">
            <w:pPr>
              <w:pStyle w:val="TableTextLeft"/>
            </w:pPr>
            <w:r w:rsidRPr="00625DAB">
              <w:t>G1(a)</w:t>
            </w:r>
            <w:proofErr w:type="spellStart"/>
            <w:r w:rsidRPr="00625DAB">
              <w:t>i</w:t>
            </w:r>
            <w:proofErr w:type="spellEnd"/>
          </w:p>
        </w:tc>
        <w:tc>
          <w:tcPr>
            <w:tcW w:w="0" w:type="auto"/>
          </w:tcPr>
          <w:p w14:paraId="63B272C3" w14:textId="1B6EB0AD" w:rsidR="00831FF7" w:rsidRPr="00625DAB" w:rsidRDefault="00831FF7" w:rsidP="00625DAB">
            <w:pPr>
              <w:pStyle w:val="TableTextLeft"/>
            </w:pPr>
            <w:r w:rsidRPr="00625DAB">
              <w:t>Responsibilities of Accountable Authority</w:t>
            </w:r>
          </w:p>
        </w:tc>
        <w:tc>
          <w:tcPr>
            <w:tcW w:w="0" w:type="auto"/>
          </w:tcPr>
          <w:p w14:paraId="4C526605" w14:textId="214C9ABF" w:rsidR="00831FF7" w:rsidRPr="00625DAB" w:rsidRDefault="00831FF7" w:rsidP="00625DAB">
            <w:pPr>
              <w:pStyle w:val="TableTextLeft"/>
            </w:pPr>
            <w:r w:rsidRPr="00625DAB">
              <w:t>The CEO is ultimately accountable for the AOFM</w:t>
            </w:r>
            <w:r w:rsidR="00B84FF2" w:rsidRPr="00625DAB">
              <w:t>’</w:t>
            </w:r>
            <w:r w:rsidRPr="00625DAB">
              <w:t>s management of risk</w:t>
            </w:r>
            <w:r w:rsidR="00130BC1" w:rsidRPr="00625DAB">
              <w:t>,</w:t>
            </w:r>
            <w:r w:rsidRPr="00625DAB">
              <w:t xml:space="preserve"> including climate</w:t>
            </w:r>
            <w:r w:rsidR="00B84FF2" w:rsidRPr="00625DAB">
              <w:noBreakHyphen/>
            </w:r>
            <w:r w:rsidRPr="00625DAB">
              <w:t xml:space="preserve">related risks and opportunities. </w:t>
            </w:r>
            <w:r w:rsidR="00C57FAE" w:rsidRPr="00625DAB">
              <w:t xml:space="preserve">See </w:t>
            </w:r>
            <w:r w:rsidR="00B84FF2" w:rsidRPr="00625DAB">
              <w:t>‘</w:t>
            </w:r>
            <w:r w:rsidRPr="00625DAB">
              <w:t xml:space="preserve">Corporate </w:t>
            </w:r>
            <w:r w:rsidR="00D177DD" w:rsidRPr="00625DAB">
              <w:t>g</w:t>
            </w:r>
            <w:r w:rsidRPr="00625DAB">
              <w:t>overnance</w:t>
            </w:r>
            <w:r w:rsidR="00B84FF2" w:rsidRPr="00625DAB">
              <w:t>’</w:t>
            </w:r>
            <w:r w:rsidRPr="00625DAB">
              <w:t xml:space="preserve"> </w:t>
            </w:r>
            <w:r w:rsidR="00FF3AA8" w:rsidRPr="00625DAB">
              <w:t>in Part 3 of this annual report</w:t>
            </w:r>
            <w:r w:rsidRPr="00625DAB">
              <w:t>.</w:t>
            </w:r>
          </w:p>
        </w:tc>
      </w:tr>
      <w:tr w:rsidR="0086383C" w:rsidRPr="00DF31C0" w14:paraId="1A1144BF" w14:textId="77777777" w:rsidTr="007A0DA6">
        <w:trPr>
          <w:cnfStyle w:val="000000010000" w:firstRow="0" w:lastRow="0" w:firstColumn="0" w:lastColumn="0" w:oddVBand="0" w:evenVBand="0" w:oddHBand="0" w:evenHBand="1" w:firstRowFirstColumn="0" w:firstRowLastColumn="0" w:lastRowFirstColumn="0" w:lastRowLastColumn="0"/>
          <w:cantSplit/>
          <w:trHeight w:val="613"/>
        </w:trPr>
        <w:tc>
          <w:tcPr>
            <w:tcW w:w="0" w:type="auto"/>
          </w:tcPr>
          <w:p w14:paraId="4F98EC08" w14:textId="77777777" w:rsidR="00831FF7" w:rsidRPr="00625DAB" w:rsidRDefault="00831FF7" w:rsidP="00625DAB">
            <w:pPr>
              <w:pStyle w:val="TableTextLeft"/>
            </w:pPr>
            <w:r w:rsidRPr="00625DAB">
              <w:t>G1(a)ii</w:t>
            </w:r>
          </w:p>
        </w:tc>
        <w:tc>
          <w:tcPr>
            <w:tcW w:w="0" w:type="auto"/>
          </w:tcPr>
          <w:p w14:paraId="38A3C5C0" w14:textId="671BDC76" w:rsidR="00831FF7" w:rsidRPr="00625DAB" w:rsidRDefault="00831FF7" w:rsidP="00625DAB">
            <w:pPr>
              <w:pStyle w:val="TableTextLeft"/>
            </w:pPr>
            <w:r w:rsidRPr="00625DAB">
              <w:t xml:space="preserve">Skills and </w:t>
            </w:r>
            <w:r w:rsidR="00130BC1" w:rsidRPr="00625DAB">
              <w:t>competencies</w:t>
            </w:r>
          </w:p>
        </w:tc>
        <w:tc>
          <w:tcPr>
            <w:tcW w:w="0" w:type="auto"/>
          </w:tcPr>
          <w:p w14:paraId="7DE61E3A" w14:textId="3D08419C" w:rsidR="00831FF7" w:rsidRPr="00625DAB" w:rsidRDefault="00831FF7" w:rsidP="00625DAB">
            <w:pPr>
              <w:pStyle w:val="TableTextLeft"/>
            </w:pPr>
            <w:r w:rsidRPr="00625DAB">
              <w:t>The CEO reviews and approves the AOFM Corporate Plan</w:t>
            </w:r>
            <w:r w:rsidR="00130BC1" w:rsidRPr="00625DAB">
              <w:t>,</w:t>
            </w:r>
            <w:r w:rsidRPr="00625DAB">
              <w:t xml:space="preserve"> which includes approaches to enhance human capital, </w:t>
            </w:r>
            <w:r w:rsidR="00C57FAE" w:rsidRPr="00625DAB">
              <w:t xml:space="preserve">and </w:t>
            </w:r>
            <w:r w:rsidRPr="00625DAB">
              <w:t>organisational and people capability.</w:t>
            </w:r>
          </w:p>
          <w:p w14:paraId="4BB5D74B" w14:textId="231E54A0" w:rsidR="00831FF7" w:rsidRPr="00625DAB" w:rsidRDefault="00831FF7" w:rsidP="00625DAB">
            <w:pPr>
              <w:pStyle w:val="TableTextLeft"/>
            </w:pPr>
            <w:r w:rsidRPr="00625DAB">
              <w:t xml:space="preserve">The Enterprise Risk and Assurance team </w:t>
            </w:r>
            <w:r w:rsidR="00130BC1" w:rsidRPr="00625DAB">
              <w:t xml:space="preserve">has </w:t>
            </w:r>
            <w:r w:rsidRPr="00625DAB">
              <w:t xml:space="preserve">completed CROMP training and </w:t>
            </w:r>
            <w:r w:rsidR="00130BC1" w:rsidRPr="00625DAB">
              <w:t xml:space="preserve">is </w:t>
            </w:r>
            <w:r w:rsidRPr="00625DAB">
              <w:t>actively engaged in the CROMP community of practice. We encourage all staff to complete CROMP training modules</w:t>
            </w:r>
            <w:r w:rsidR="00C57FAE" w:rsidRPr="00625DAB">
              <w:t>,</w:t>
            </w:r>
            <w:r w:rsidRPr="00625DAB">
              <w:t xml:space="preserve"> and </w:t>
            </w:r>
            <w:r w:rsidR="00C57FAE" w:rsidRPr="00625DAB">
              <w:t xml:space="preserve">we </w:t>
            </w:r>
            <w:r w:rsidRPr="00625DAB">
              <w:t xml:space="preserve">provide tailored training and workshops for the AOFM in applying the CROMP in our context. We also encourage participation in the Net Zero in Government Operations </w:t>
            </w:r>
            <w:proofErr w:type="spellStart"/>
            <w:r w:rsidRPr="00625DAB">
              <w:t>GovTEAMS</w:t>
            </w:r>
            <w:proofErr w:type="spellEnd"/>
            <w:r w:rsidRPr="00625DAB">
              <w:t xml:space="preserve"> community.</w:t>
            </w:r>
            <w:r w:rsidR="0002592A" w:rsidRPr="00625DAB">
              <w:t xml:space="preserve"> </w:t>
            </w:r>
            <w:r w:rsidRPr="00625DAB">
              <w:t>The Chief Risk and Assurance Officer (CRAO) provides reporting to the CEO, Executive Leadership and the Audit and Risk Committee (ARC) on AOFM</w:t>
            </w:r>
            <w:r w:rsidR="00B84FF2" w:rsidRPr="00625DAB">
              <w:t>’</w:t>
            </w:r>
            <w:r w:rsidRPr="00625DAB">
              <w:t xml:space="preserve">s risk maturity roadmap. See </w:t>
            </w:r>
            <w:r w:rsidR="00B84FF2" w:rsidRPr="00625DAB">
              <w:t>‘</w:t>
            </w:r>
            <w:r w:rsidRPr="00625DAB">
              <w:t xml:space="preserve">Corporate </w:t>
            </w:r>
            <w:r w:rsidR="00D177DD" w:rsidRPr="00625DAB">
              <w:t>g</w:t>
            </w:r>
            <w:r w:rsidRPr="00625DAB">
              <w:t>overnance</w:t>
            </w:r>
            <w:r w:rsidR="00B84FF2" w:rsidRPr="00625DAB">
              <w:t>’</w:t>
            </w:r>
            <w:r w:rsidRPr="00625DAB">
              <w:t xml:space="preserve"> and </w:t>
            </w:r>
            <w:r w:rsidR="00B84FF2" w:rsidRPr="00625DAB">
              <w:t>‘</w:t>
            </w:r>
            <w:r w:rsidRPr="00625DAB">
              <w:t xml:space="preserve">Our </w:t>
            </w:r>
            <w:r w:rsidR="00D177DD" w:rsidRPr="00625DAB">
              <w:t>p</w:t>
            </w:r>
            <w:r w:rsidRPr="00625DAB">
              <w:t>eople</w:t>
            </w:r>
            <w:r w:rsidR="00B84FF2" w:rsidRPr="00625DAB">
              <w:t>’</w:t>
            </w:r>
            <w:r w:rsidRPr="00625DAB">
              <w:t xml:space="preserve"> </w:t>
            </w:r>
            <w:r w:rsidR="00716415" w:rsidRPr="00625DAB">
              <w:t xml:space="preserve">in Part 3 of </w:t>
            </w:r>
            <w:r w:rsidRPr="00625DAB">
              <w:t>th</w:t>
            </w:r>
            <w:r w:rsidR="00716415" w:rsidRPr="00625DAB">
              <w:t>is</w:t>
            </w:r>
            <w:r w:rsidRPr="00625DAB">
              <w:t xml:space="preserve"> annual report.</w:t>
            </w:r>
          </w:p>
        </w:tc>
      </w:tr>
      <w:tr w:rsidR="00831FF7" w:rsidRPr="00DF31C0" w14:paraId="1CF2AE79" w14:textId="77777777" w:rsidTr="007A0DA6">
        <w:trPr>
          <w:cantSplit/>
          <w:trHeight w:val="300"/>
        </w:trPr>
        <w:tc>
          <w:tcPr>
            <w:tcW w:w="0" w:type="auto"/>
          </w:tcPr>
          <w:p w14:paraId="238715DA" w14:textId="77777777" w:rsidR="00831FF7" w:rsidRPr="00223FA5" w:rsidRDefault="00831FF7" w:rsidP="00625DAB">
            <w:pPr>
              <w:pStyle w:val="TableTextLeft"/>
            </w:pPr>
            <w:r w:rsidRPr="00223FA5">
              <w:t>G1(a)iii</w:t>
            </w:r>
          </w:p>
        </w:tc>
        <w:tc>
          <w:tcPr>
            <w:tcW w:w="0" w:type="auto"/>
          </w:tcPr>
          <w:p w14:paraId="105E0418" w14:textId="69F44DD8" w:rsidR="00831FF7" w:rsidRPr="00223FA5" w:rsidRDefault="00831FF7" w:rsidP="00625DAB">
            <w:pPr>
              <w:pStyle w:val="TableTextLeft"/>
            </w:pPr>
            <w:r w:rsidRPr="00223FA5">
              <w:t xml:space="preserve">Informing </w:t>
            </w:r>
            <w:r w:rsidR="00343772">
              <w:t>a</w:t>
            </w:r>
            <w:r w:rsidR="00130BC1" w:rsidRPr="00223FA5">
              <w:t xml:space="preserve">ccountable </w:t>
            </w:r>
            <w:r w:rsidR="00343772">
              <w:t>a</w:t>
            </w:r>
            <w:r w:rsidR="00130BC1" w:rsidRPr="00223FA5">
              <w:t>uthority</w:t>
            </w:r>
          </w:p>
        </w:tc>
        <w:tc>
          <w:tcPr>
            <w:tcW w:w="0" w:type="auto"/>
          </w:tcPr>
          <w:p w14:paraId="01CFD388" w14:textId="7048F5EC" w:rsidR="00831FF7" w:rsidRPr="00223FA5" w:rsidRDefault="00831FF7" w:rsidP="00625DAB">
            <w:pPr>
              <w:pStyle w:val="TableTextLeft"/>
            </w:pPr>
            <w:r w:rsidRPr="00223FA5">
              <w:t>The AOFM business units undertake quarterly risk reviews</w:t>
            </w:r>
            <w:r w:rsidR="00130BC1">
              <w:t>,</w:t>
            </w:r>
            <w:r w:rsidRPr="00223FA5">
              <w:t xml:space="preserve"> which include a review of climate risks and opportunities. The outcomes are synthesised and analysed by the Enterprise Risk and Assurance Team and are discussed at the Executive Leadership Group meetings. These are then reported to the CEO and the ARC quarterly.</w:t>
            </w:r>
          </w:p>
        </w:tc>
      </w:tr>
      <w:tr w:rsidR="0086383C" w:rsidRPr="00DF31C0" w14:paraId="56AD433A"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251C15ED" w14:textId="77777777" w:rsidR="00831FF7" w:rsidRPr="00223FA5" w:rsidRDefault="00831FF7" w:rsidP="00625DAB">
            <w:pPr>
              <w:pStyle w:val="TableTextLeft"/>
            </w:pPr>
            <w:r w:rsidRPr="00223FA5">
              <w:lastRenderedPageBreak/>
              <w:t>G1(a)iv</w:t>
            </w:r>
          </w:p>
        </w:tc>
        <w:tc>
          <w:tcPr>
            <w:tcW w:w="0" w:type="auto"/>
          </w:tcPr>
          <w:p w14:paraId="4181F7E5" w14:textId="76CC8AFF" w:rsidR="00831FF7" w:rsidRPr="00223FA5" w:rsidRDefault="00831FF7" w:rsidP="00625DAB">
            <w:pPr>
              <w:pStyle w:val="TableTextLeft"/>
            </w:pPr>
            <w:r w:rsidRPr="00223FA5">
              <w:t xml:space="preserve">Strategy and </w:t>
            </w:r>
            <w:r w:rsidR="00130BC1">
              <w:t>r</w:t>
            </w:r>
            <w:r w:rsidR="00130BC1" w:rsidRPr="00223FA5">
              <w:t xml:space="preserve">isk </w:t>
            </w:r>
            <w:r w:rsidR="00130BC1">
              <w:t>m</w:t>
            </w:r>
            <w:r w:rsidR="00130BC1" w:rsidRPr="00223FA5">
              <w:t>anagement</w:t>
            </w:r>
          </w:p>
        </w:tc>
        <w:tc>
          <w:tcPr>
            <w:tcW w:w="0" w:type="auto"/>
          </w:tcPr>
          <w:p w14:paraId="320FDB04" w14:textId="440BDA28" w:rsidR="00831FF7" w:rsidRPr="00223FA5" w:rsidRDefault="00831FF7" w:rsidP="00625DAB">
            <w:pPr>
              <w:pStyle w:val="TableTextLeft"/>
            </w:pPr>
            <w:r w:rsidRPr="00223FA5">
              <w:t>AOFM</w:t>
            </w:r>
            <w:r w:rsidR="00B84FF2">
              <w:t>’</w:t>
            </w:r>
            <w:r w:rsidRPr="00223FA5">
              <w:t xml:space="preserve">s climate governance is underpinned by our Enterprise Risk Management Framework, established in accordance with the CROMP, Commonwealth Risk Management Policy (2023) and the </w:t>
            </w:r>
            <w:r w:rsidRPr="00EF46D2">
              <w:rPr>
                <w:i/>
              </w:rPr>
              <w:t>Public, Governance, Performance and Accountability Act 2013</w:t>
            </w:r>
            <w:r w:rsidRPr="00223FA5">
              <w:t xml:space="preserve"> (PGPA Act). The CEO establishes and maintains internal systems for oversight and management of risk</w:t>
            </w:r>
            <w:r w:rsidR="00130BC1">
              <w:t>,</w:t>
            </w:r>
            <w:r w:rsidRPr="00223FA5">
              <w:t xml:space="preserve"> including climate</w:t>
            </w:r>
            <w:r w:rsidR="00B84FF2">
              <w:noBreakHyphen/>
            </w:r>
            <w:r w:rsidR="00130BC1" w:rsidRPr="00223FA5">
              <w:t>relate</w:t>
            </w:r>
            <w:r w:rsidR="00130BC1">
              <w:t>d</w:t>
            </w:r>
            <w:r w:rsidR="00130BC1" w:rsidRPr="00223FA5">
              <w:t xml:space="preserve"> </w:t>
            </w:r>
            <w:r w:rsidRPr="00223FA5">
              <w:t xml:space="preserve">risks. </w:t>
            </w:r>
          </w:p>
          <w:p w14:paraId="25520597" w14:textId="6CAA0DAA" w:rsidR="00831FF7" w:rsidRPr="00223FA5" w:rsidRDefault="00831FF7" w:rsidP="00625DAB">
            <w:pPr>
              <w:pStyle w:val="TableTextLeft"/>
            </w:pPr>
            <w:r w:rsidRPr="00223FA5">
              <w:t>The CEO oversees the agency</w:t>
            </w:r>
            <w:r w:rsidR="00B84FF2">
              <w:t>’</w:t>
            </w:r>
            <w:r w:rsidRPr="00223FA5">
              <w:t>s strategy and risk management processes</w:t>
            </w:r>
            <w:r w:rsidR="00130BC1">
              <w:t>,</w:t>
            </w:r>
            <w:r w:rsidRPr="00223FA5">
              <w:t xml:space="preserve"> including making decisions in relation to </w:t>
            </w:r>
            <w:r w:rsidR="00130BC1" w:rsidRPr="00223FA5">
              <w:t>climate</w:t>
            </w:r>
            <w:r w:rsidR="00B84FF2">
              <w:noBreakHyphen/>
            </w:r>
            <w:r w:rsidRPr="00223FA5">
              <w:t>related risks and opportunities, overseeing the setting of targets, reviewing the Emissions Reduction Plan and reviewing our Emissions Reporting results in the Annual Report.</w:t>
            </w:r>
            <w:r w:rsidR="00130BC1">
              <w:t xml:space="preserve"> </w:t>
            </w:r>
            <w:r w:rsidRPr="00223FA5">
              <w:t>We have integrated climate risks across a range of internal policies this year</w:t>
            </w:r>
            <w:r w:rsidR="00130BC1">
              <w:t>,</w:t>
            </w:r>
            <w:r w:rsidRPr="00223FA5">
              <w:t xml:space="preserve"> relating to travel and accommodation</w:t>
            </w:r>
            <w:r w:rsidR="00130BC1">
              <w:t>,</w:t>
            </w:r>
            <w:r w:rsidRPr="00223FA5">
              <w:t xml:space="preserve"> and are currently updating our procurement policy and guidelines to ensure climate risks and opportunities are considered in funding decisions. </w:t>
            </w:r>
            <w:r w:rsidR="00130BC1">
              <w:t xml:space="preserve">See </w:t>
            </w:r>
            <w:r w:rsidR="00B84FF2">
              <w:t>‘</w:t>
            </w:r>
            <w:r w:rsidRPr="00223FA5">
              <w:t xml:space="preserve">Risk </w:t>
            </w:r>
            <w:r w:rsidR="00AB264D">
              <w:t>m</w:t>
            </w:r>
            <w:r w:rsidR="00AB264D" w:rsidRPr="00223FA5">
              <w:t>anagement</w:t>
            </w:r>
            <w:r w:rsidR="00B84FF2">
              <w:t>’</w:t>
            </w:r>
            <w:r w:rsidR="00D177DD">
              <w:t xml:space="preserve"> </w:t>
            </w:r>
            <w:r w:rsidR="0095378D">
              <w:t>in Part 3 of this</w:t>
            </w:r>
            <w:r w:rsidR="005A6FB5">
              <w:t xml:space="preserve"> </w:t>
            </w:r>
            <w:r w:rsidRPr="00223FA5">
              <w:t xml:space="preserve">annual report. </w:t>
            </w:r>
          </w:p>
        </w:tc>
      </w:tr>
      <w:tr w:rsidR="00831FF7" w:rsidRPr="00DF31C0" w14:paraId="2F84A853" w14:textId="77777777" w:rsidTr="007A0DA6">
        <w:trPr>
          <w:cantSplit/>
          <w:trHeight w:val="300"/>
        </w:trPr>
        <w:tc>
          <w:tcPr>
            <w:tcW w:w="0" w:type="auto"/>
          </w:tcPr>
          <w:p w14:paraId="4FF8EBF3" w14:textId="77777777" w:rsidR="00831FF7" w:rsidRPr="00223FA5" w:rsidRDefault="00831FF7" w:rsidP="00625DAB">
            <w:pPr>
              <w:pStyle w:val="TableTextLeft"/>
            </w:pPr>
            <w:r w:rsidRPr="00223FA5">
              <w:t>G1(a)v</w:t>
            </w:r>
          </w:p>
        </w:tc>
        <w:tc>
          <w:tcPr>
            <w:tcW w:w="0" w:type="auto"/>
          </w:tcPr>
          <w:p w14:paraId="1B80A7FD" w14:textId="34CC8836" w:rsidR="00831FF7" w:rsidRPr="00223FA5" w:rsidRDefault="00831FF7" w:rsidP="00625DAB">
            <w:pPr>
              <w:pStyle w:val="TableTextLeft"/>
            </w:pPr>
            <w:r w:rsidRPr="00223FA5">
              <w:t xml:space="preserve">Setting </w:t>
            </w:r>
            <w:r w:rsidR="00130BC1">
              <w:t>t</w:t>
            </w:r>
            <w:r w:rsidR="00130BC1" w:rsidRPr="00223FA5">
              <w:t>argets</w:t>
            </w:r>
          </w:p>
        </w:tc>
        <w:tc>
          <w:tcPr>
            <w:tcW w:w="0" w:type="auto"/>
          </w:tcPr>
          <w:p w14:paraId="31B95F2A" w14:textId="6FDF47A0" w:rsidR="00831FF7" w:rsidRPr="00223FA5" w:rsidRDefault="00831FF7" w:rsidP="00625DAB">
            <w:pPr>
              <w:pStyle w:val="TableTextLeft"/>
              <w:rPr>
                <w:szCs w:val="18"/>
              </w:rPr>
            </w:pPr>
            <w:r w:rsidRPr="008E7104">
              <w:t xml:space="preserve">The </w:t>
            </w:r>
            <w:hyperlink r:id="rId126" w:history="1">
              <w:r w:rsidRPr="00F61C80">
                <w:rPr>
                  <w:rStyle w:val="Hyperlink"/>
                  <w:rFonts w:eastAsia="Arial" w:cstheme="minorHAnsi"/>
                  <w:kern w:val="2"/>
                  <w:sz w:val="16"/>
                  <w:szCs w:val="16"/>
                  <w14:ligatures w14:val="standardContextual"/>
                </w:rPr>
                <w:t xml:space="preserve">AOFM </w:t>
              </w:r>
              <w:r w:rsidRPr="00F61C80">
                <w:rPr>
                  <w:rStyle w:val="Hyperlink"/>
                  <w:rFonts w:eastAsia="Arial" w:cstheme="minorHAnsi"/>
                  <w:sz w:val="16"/>
                  <w:szCs w:val="16"/>
                </w:rPr>
                <w:t>Emissions Reduction Plan</w:t>
              </w:r>
            </w:hyperlink>
            <w:r w:rsidRPr="008E7104">
              <w:rPr>
                <w:rFonts w:cstheme="minorHAnsi"/>
              </w:rPr>
              <w:t xml:space="preserve"> (ERP</w:t>
            </w:r>
            <w:r w:rsidRPr="008E7104">
              <w:t>) outlines our interim and 2030 climate</w:t>
            </w:r>
            <w:r w:rsidR="00B84FF2">
              <w:noBreakHyphen/>
            </w:r>
            <w:r w:rsidRPr="008E7104">
              <w:t>related targets.</w:t>
            </w:r>
            <w:r w:rsidRPr="00223FA5">
              <w:rPr>
                <w:szCs w:val="18"/>
              </w:rPr>
              <w:t xml:space="preserve"> </w:t>
            </w:r>
            <w:r w:rsidR="003E5AAF">
              <w:rPr>
                <w:szCs w:val="18"/>
              </w:rPr>
              <w:t>We monitor and report progress</w:t>
            </w:r>
            <w:r w:rsidRPr="00223FA5">
              <w:rPr>
                <w:szCs w:val="18"/>
              </w:rPr>
              <w:t xml:space="preserve"> to our CEO through our annual reporting process</w:t>
            </w:r>
            <w:r w:rsidR="00130BC1">
              <w:rPr>
                <w:szCs w:val="18"/>
              </w:rPr>
              <w:t xml:space="preserve"> and</w:t>
            </w:r>
            <w:r w:rsidR="00130BC1" w:rsidRPr="00223FA5">
              <w:rPr>
                <w:szCs w:val="18"/>
              </w:rPr>
              <w:t xml:space="preserve"> </w:t>
            </w:r>
            <w:r w:rsidRPr="00223FA5">
              <w:rPr>
                <w:szCs w:val="18"/>
              </w:rPr>
              <w:t>annual update of our ERP</w:t>
            </w:r>
            <w:r w:rsidR="00130BC1">
              <w:rPr>
                <w:szCs w:val="18"/>
              </w:rPr>
              <w:t>,</w:t>
            </w:r>
            <w:r w:rsidRPr="00223FA5">
              <w:rPr>
                <w:szCs w:val="18"/>
              </w:rPr>
              <w:t xml:space="preserve"> and as needed through our quarterly ARC meetings.</w:t>
            </w:r>
          </w:p>
        </w:tc>
      </w:tr>
      <w:tr w:rsidR="0086383C" w:rsidRPr="00DF31C0" w14:paraId="7F154589"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0F3A385F" w14:textId="77777777" w:rsidR="00831FF7" w:rsidRPr="00223FA5" w:rsidRDefault="00831FF7" w:rsidP="00625DAB">
            <w:pPr>
              <w:pStyle w:val="TableTextLeft"/>
            </w:pPr>
            <w:r w:rsidRPr="00223FA5">
              <w:t>G1(a)vi</w:t>
            </w:r>
          </w:p>
        </w:tc>
        <w:tc>
          <w:tcPr>
            <w:tcW w:w="0" w:type="auto"/>
          </w:tcPr>
          <w:p w14:paraId="47913B2D" w14:textId="532A8ED2" w:rsidR="00831FF7" w:rsidRPr="00223FA5" w:rsidRDefault="00831FF7" w:rsidP="00625DAB">
            <w:pPr>
              <w:pStyle w:val="TableTextLeft"/>
            </w:pPr>
            <w:r w:rsidRPr="00223FA5">
              <w:t xml:space="preserve">Risk </w:t>
            </w:r>
            <w:r w:rsidR="00130BC1">
              <w:t>o</w:t>
            </w:r>
            <w:r w:rsidR="00130BC1" w:rsidRPr="00223FA5">
              <w:t>versight</w:t>
            </w:r>
          </w:p>
        </w:tc>
        <w:tc>
          <w:tcPr>
            <w:tcW w:w="0" w:type="auto"/>
          </w:tcPr>
          <w:p w14:paraId="2997FCB3" w14:textId="547877DF" w:rsidR="00831FF7" w:rsidRPr="00223FA5" w:rsidRDefault="00831FF7" w:rsidP="00625DAB">
            <w:pPr>
              <w:pStyle w:val="TableTextLeft"/>
            </w:pPr>
            <w:r w:rsidRPr="00223FA5">
              <w:t>The CEO is accountable for the AOFM</w:t>
            </w:r>
            <w:r w:rsidR="00B84FF2">
              <w:t>’</w:t>
            </w:r>
            <w:r w:rsidRPr="00223FA5">
              <w:t>s system of risk oversight and management. The CEO approves the AOFM</w:t>
            </w:r>
            <w:r w:rsidR="00B84FF2">
              <w:t>’</w:t>
            </w:r>
            <w:r w:rsidRPr="00223FA5">
              <w:t>s Enterprise Risk Management Framework</w:t>
            </w:r>
            <w:r w:rsidR="00130BC1">
              <w:t>,</w:t>
            </w:r>
            <w:r w:rsidRPr="00223FA5">
              <w:t xml:space="preserve"> which includes monitoring of climate risks and opportunities</w:t>
            </w:r>
            <w:r w:rsidR="00130BC1">
              <w:t>,</w:t>
            </w:r>
            <w:r w:rsidRPr="00223FA5">
              <w:t xml:space="preserve"> including their controls and actions</w:t>
            </w:r>
            <w:r w:rsidR="00130BC1">
              <w:t>;</w:t>
            </w:r>
            <w:r w:rsidRPr="00223FA5">
              <w:t xml:space="preserve"> as well as the Financial Risk Management Strategy</w:t>
            </w:r>
            <w:r w:rsidR="00130BC1">
              <w:t>,</w:t>
            </w:r>
            <w:r w:rsidRPr="00223FA5">
              <w:t xml:space="preserve"> which sets out how the AOFM manages financial risks related to debt management and cash management. </w:t>
            </w:r>
          </w:p>
          <w:p w14:paraId="46C62037" w14:textId="319357EA" w:rsidR="00831FF7" w:rsidRPr="00223FA5" w:rsidRDefault="00831FF7" w:rsidP="00625DAB">
            <w:pPr>
              <w:pStyle w:val="TableTextLeft"/>
            </w:pPr>
            <w:r w:rsidRPr="00223FA5">
              <w:t>The CRAO provides monthly reporting of incidents and issues to the CEO and the Executive Leadership Group</w:t>
            </w:r>
            <w:r w:rsidR="00130BC1">
              <w:t xml:space="preserve"> (ELG)</w:t>
            </w:r>
            <w:r w:rsidRPr="00223FA5">
              <w:t xml:space="preserve">. Quarterly risk reports are provided to the CEO, the </w:t>
            </w:r>
            <w:r w:rsidR="00130BC1">
              <w:t>ELG</w:t>
            </w:r>
            <w:r w:rsidRPr="00223FA5">
              <w:t xml:space="preserve"> and the ARC. </w:t>
            </w:r>
          </w:p>
          <w:p w14:paraId="39CEB8DF" w14:textId="6481BFFF" w:rsidR="00831FF7" w:rsidRPr="00223FA5" w:rsidRDefault="00831FF7" w:rsidP="00625DAB">
            <w:pPr>
              <w:pStyle w:val="TableTextLeft"/>
            </w:pPr>
            <w:r w:rsidRPr="00223FA5">
              <w:t>The ARC provides independent advice to the CEO on the appropriateness of AOFM</w:t>
            </w:r>
            <w:r w:rsidR="00B84FF2">
              <w:t>’</w:t>
            </w:r>
            <w:r w:rsidRPr="00223FA5">
              <w:t>s risk management arrangements. For 2025</w:t>
            </w:r>
            <w:r w:rsidR="00130BC1">
              <w:t>–</w:t>
            </w:r>
            <w:r w:rsidRPr="00223FA5">
              <w:t>26, the ARC will include climate</w:t>
            </w:r>
            <w:r w:rsidR="00B84FF2">
              <w:noBreakHyphen/>
            </w:r>
            <w:r w:rsidRPr="00223FA5">
              <w:t>related risks as part of its overall assessment and advice.</w:t>
            </w:r>
          </w:p>
          <w:p w14:paraId="4A970326" w14:textId="52FB26EB" w:rsidR="00831FF7" w:rsidRPr="00223FA5" w:rsidRDefault="00130BC1" w:rsidP="00625DAB">
            <w:pPr>
              <w:pStyle w:val="TableTextLeft"/>
            </w:pPr>
            <w:r>
              <w:t xml:space="preserve">See </w:t>
            </w:r>
            <w:r w:rsidR="00B84FF2">
              <w:t>‘</w:t>
            </w:r>
            <w:r w:rsidR="00831FF7" w:rsidRPr="00223FA5">
              <w:t>Australian Public Service Net Zero 2030 Greenhouse Gas Emissions Inventory</w:t>
            </w:r>
            <w:r w:rsidR="00B84FF2">
              <w:t>’</w:t>
            </w:r>
            <w:r w:rsidR="00831FF7" w:rsidRPr="00223FA5">
              <w:t xml:space="preserve"> </w:t>
            </w:r>
            <w:r w:rsidR="003A2525">
              <w:t>in Part 3 of this</w:t>
            </w:r>
            <w:r w:rsidR="00831FF7" w:rsidRPr="00223FA5">
              <w:t xml:space="preserve"> annual report. </w:t>
            </w:r>
          </w:p>
          <w:p w14:paraId="1E60B53A" w14:textId="1543B5DA" w:rsidR="00831FF7" w:rsidRPr="00223FA5" w:rsidRDefault="00130BC1" w:rsidP="00625DAB">
            <w:pPr>
              <w:pStyle w:val="TableTextLeft"/>
            </w:pPr>
            <w:r>
              <w:t xml:space="preserve">See also </w:t>
            </w:r>
            <w:r w:rsidR="00B84FF2">
              <w:t>‘</w:t>
            </w:r>
            <w:r w:rsidR="00831FF7" w:rsidRPr="00223FA5">
              <w:t xml:space="preserve">Corporate </w:t>
            </w:r>
            <w:r w:rsidR="003E5AAF">
              <w:t>g</w:t>
            </w:r>
            <w:r w:rsidR="003E5AAF" w:rsidRPr="00223FA5">
              <w:t>overnance</w:t>
            </w:r>
            <w:r w:rsidR="00B84FF2">
              <w:t>’</w:t>
            </w:r>
            <w:r w:rsidR="003E5AAF" w:rsidRPr="00223FA5">
              <w:t xml:space="preserve"> </w:t>
            </w:r>
            <w:r w:rsidR="00E204E1">
              <w:t xml:space="preserve">in Part 3 of this annual </w:t>
            </w:r>
            <w:r w:rsidR="008F7E47">
              <w:t>report</w:t>
            </w:r>
            <w:r w:rsidR="00831FF7" w:rsidRPr="00223FA5">
              <w:t xml:space="preserve">. </w:t>
            </w:r>
          </w:p>
        </w:tc>
      </w:tr>
      <w:tr w:rsidR="00831FF7" w:rsidRPr="00DF31C0" w14:paraId="50CEDAC2" w14:textId="77777777" w:rsidTr="007A0DA6">
        <w:trPr>
          <w:cantSplit/>
          <w:trHeight w:val="300"/>
        </w:trPr>
        <w:tc>
          <w:tcPr>
            <w:tcW w:w="0" w:type="auto"/>
          </w:tcPr>
          <w:p w14:paraId="6E19A64E" w14:textId="77777777" w:rsidR="00831FF7" w:rsidRPr="00223FA5" w:rsidRDefault="00831FF7" w:rsidP="00625DAB">
            <w:pPr>
              <w:pStyle w:val="TableTextLeft"/>
            </w:pPr>
            <w:r w:rsidRPr="00223FA5">
              <w:t>G1(b)</w:t>
            </w:r>
          </w:p>
        </w:tc>
        <w:tc>
          <w:tcPr>
            <w:tcW w:w="0" w:type="auto"/>
          </w:tcPr>
          <w:p w14:paraId="690E032E" w14:textId="77777777" w:rsidR="00831FF7" w:rsidRPr="00223FA5" w:rsidRDefault="00831FF7" w:rsidP="00625DAB">
            <w:pPr>
              <w:pStyle w:val="TableTextLeft"/>
            </w:pPr>
            <w:r w:rsidRPr="00223FA5">
              <w:t>Controls and procedures</w:t>
            </w:r>
          </w:p>
        </w:tc>
        <w:tc>
          <w:tcPr>
            <w:tcW w:w="0" w:type="auto"/>
          </w:tcPr>
          <w:p w14:paraId="599CFDDC" w14:textId="116509EF" w:rsidR="00831FF7" w:rsidRPr="00223FA5" w:rsidRDefault="00831FF7" w:rsidP="00625DAB">
            <w:pPr>
              <w:pStyle w:val="TableTextLeft"/>
            </w:pPr>
            <w:r w:rsidRPr="00223FA5">
              <w:t>Climate</w:t>
            </w:r>
            <w:r w:rsidR="00B84FF2">
              <w:noBreakHyphen/>
            </w:r>
            <w:r w:rsidRPr="00223FA5">
              <w:t>related risks and opportunities are managed through existing AOFM policies and procedures.</w:t>
            </w:r>
          </w:p>
          <w:p w14:paraId="76C3CE50" w14:textId="7F7D6F86" w:rsidR="00831FF7" w:rsidRPr="00223FA5" w:rsidRDefault="00D177DD" w:rsidP="00625DAB">
            <w:pPr>
              <w:pStyle w:val="TableTextLeft"/>
            </w:pPr>
            <w:r>
              <w:t xml:space="preserve">See </w:t>
            </w:r>
            <w:r w:rsidR="00B84FF2">
              <w:t>‘</w:t>
            </w:r>
            <w:r w:rsidR="00831FF7" w:rsidRPr="00223FA5">
              <w:t xml:space="preserve">Risk </w:t>
            </w:r>
            <w:r>
              <w:t>m</w:t>
            </w:r>
            <w:r w:rsidR="00831FF7" w:rsidRPr="00223FA5">
              <w:t>anagement</w:t>
            </w:r>
            <w:r w:rsidR="00B84FF2">
              <w:t>’</w:t>
            </w:r>
            <w:r w:rsidR="00831FF7" w:rsidRPr="00223FA5">
              <w:t xml:space="preserve"> </w:t>
            </w:r>
            <w:r w:rsidR="0023068B">
              <w:t xml:space="preserve">in Part 3 </w:t>
            </w:r>
            <w:r w:rsidR="0010364E">
              <w:t>in this</w:t>
            </w:r>
            <w:r w:rsidR="00831FF7" w:rsidRPr="00223FA5">
              <w:t xml:space="preserve"> annual report. </w:t>
            </w:r>
          </w:p>
        </w:tc>
      </w:tr>
      <w:tr w:rsidR="0086383C" w:rsidRPr="00DF31C0" w14:paraId="3AC68079"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2AAB1C85" w14:textId="77777777" w:rsidR="00831FF7" w:rsidRPr="00223FA5" w:rsidRDefault="00831FF7" w:rsidP="00625DAB">
            <w:pPr>
              <w:pStyle w:val="TableTextLeft"/>
            </w:pPr>
            <w:r w:rsidRPr="00223FA5">
              <w:lastRenderedPageBreak/>
              <w:t>G2(a)</w:t>
            </w:r>
          </w:p>
        </w:tc>
        <w:tc>
          <w:tcPr>
            <w:tcW w:w="0" w:type="auto"/>
          </w:tcPr>
          <w:p w14:paraId="0171DE35" w14:textId="0D611B51" w:rsidR="00831FF7" w:rsidRPr="00223FA5" w:rsidRDefault="00831FF7" w:rsidP="00625DAB">
            <w:pPr>
              <w:pStyle w:val="TableTextLeft"/>
            </w:pPr>
            <w:r w:rsidRPr="00223FA5">
              <w:t xml:space="preserve">Regard to CROMP </w:t>
            </w:r>
            <w:r w:rsidR="00130BC1">
              <w:t>a</w:t>
            </w:r>
            <w:r w:rsidR="00130BC1" w:rsidRPr="00223FA5">
              <w:t xml:space="preserve">pproach </w:t>
            </w:r>
          </w:p>
        </w:tc>
        <w:tc>
          <w:tcPr>
            <w:tcW w:w="0" w:type="auto"/>
          </w:tcPr>
          <w:p w14:paraId="08663A19" w14:textId="47EC7C25" w:rsidR="00831FF7" w:rsidRPr="00223FA5" w:rsidRDefault="00831FF7" w:rsidP="00625DAB">
            <w:pPr>
              <w:pStyle w:val="TableTextLeft"/>
            </w:pPr>
            <w:r w:rsidRPr="00223FA5">
              <w:t xml:space="preserve">The AOFM </w:t>
            </w:r>
            <w:r w:rsidR="00130BC1">
              <w:t>has</w:t>
            </w:r>
            <w:r w:rsidR="00130BC1" w:rsidRPr="00223FA5">
              <w:t xml:space="preserve"> </w:t>
            </w:r>
            <w:r w:rsidRPr="00223FA5">
              <w:t>embedded climate risk in existing frameworks to ensure we align to the Australian Government</w:t>
            </w:r>
            <w:r w:rsidR="00B84FF2">
              <w:t>’</w:t>
            </w:r>
            <w:r w:rsidRPr="00223FA5">
              <w:t>s Approach to Climate Risk and Opportunity Management in the Public Sector 2024</w:t>
            </w:r>
            <w:r w:rsidR="00BA1F12" w:rsidRPr="00BA1F12">
              <w:t>–</w:t>
            </w:r>
            <w:r w:rsidRPr="00223FA5">
              <w:t xml:space="preserve">26. </w:t>
            </w:r>
          </w:p>
          <w:p w14:paraId="54CF9651" w14:textId="18CD04F3" w:rsidR="00831FF7" w:rsidRPr="00223FA5" w:rsidRDefault="0010364E" w:rsidP="00625DAB">
            <w:pPr>
              <w:pStyle w:val="TableTextLeft"/>
            </w:pPr>
            <w:r>
              <w:t xml:space="preserve">See </w:t>
            </w:r>
            <w:r w:rsidR="00B84FF2">
              <w:t>‘</w:t>
            </w:r>
            <w:r w:rsidRPr="00223FA5">
              <w:t xml:space="preserve">Risk </w:t>
            </w:r>
            <w:r>
              <w:t>m</w:t>
            </w:r>
            <w:r w:rsidRPr="00223FA5">
              <w:t>anagement</w:t>
            </w:r>
            <w:r w:rsidR="00B84FF2">
              <w:t>’</w:t>
            </w:r>
            <w:r w:rsidRPr="00223FA5">
              <w:t xml:space="preserve"> </w:t>
            </w:r>
            <w:r>
              <w:t>in Part 3 in this</w:t>
            </w:r>
            <w:r w:rsidRPr="00223FA5">
              <w:t xml:space="preserve"> annual report.</w:t>
            </w:r>
          </w:p>
        </w:tc>
      </w:tr>
      <w:tr w:rsidR="00831FF7" w:rsidRPr="00DF31C0" w14:paraId="70CACD54" w14:textId="77777777" w:rsidTr="007A0DA6">
        <w:trPr>
          <w:cantSplit/>
          <w:trHeight w:val="300"/>
        </w:trPr>
        <w:tc>
          <w:tcPr>
            <w:tcW w:w="0" w:type="auto"/>
          </w:tcPr>
          <w:p w14:paraId="6C3B786C" w14:textId="77777777" w:rsidR="00831FF7" w:rsidRPr="00223FA5" w:rsidRDefault="00831FF7" w:rsidP="00625DAB">
            <w:pPr>
              <w:pStyle w:val="TableTextLeft"/>
            </w:pPr>
            <w:r w:rsidRPr="00223FA5">
              <w:t>G2(b)</w:t>
            </w:r>
          </w:p>
        </w:tc>
        <w:tc>
          <w:tcPr>
            <w:tcW w:w="0" w:type="auto"/>
          </w:tcPr>
          <w:p w14:paraId="4087B89A" w14:textId="77777777" w:rsidR="00831FF7" w:rsidRPr="00223FA5" w:rsidRDefault="00831FF7" w:rsidP="00625DAB">
            <w:pPr>
              <w:pStyle w:val="TableTextLeft"/>
            </w:pPr>
            <w:r w:rsidRPr="00223FA5">
              <w:t>Alignment with other policies</w:t>
            </w:r>
          </w:p>
        </w:tc>
        <w:tc>
          <w:tcPr>
            <w:tcW w:w="0" w:type="auto"/>
          </w:tcPr>
          <w:p w14:paraId="31C1BF0B" w14:textId="60DDCA2C" w:rsidR="00831FF7" w:rsidRPr="00223FA5" w:rsidRDefault="00831FF7" w:rsidP="00625DAB">
            <w:pPr>
              <w:pStyle w:val="TableTextLeft"/>
              <w:rPr>
                <w:rFonts w:eastAsia="Arial" w:cs="Arial"/>
                <w:szCs w:val="18"/>
              </w:rPr>
            </w:pPr>
            <w:r w:rsidRPr="00223FA5">
              <w:rPr>
                <w:rFonts w:eastAsia="Arial" w:cs="Arial"/>
                <w:szCs w:val="18"/>
              </w:rPr>
              <w:t xml:space="preserve">AOFM </w:t>
            </w:r>
            <w:r w:rsidRPr="00223FA5">
              <w:rPr>
                <w:rFonts w:eastAsia="Arial" w:cstheme="minorHAnsi"/>
                <w:szCs w:val="18"/>
              </w:rPr>
              <w:t xml:space="preserve">aligns </w:t>
            </w:r>
            <w:r w:rsidRPr="008E7104">
              <w:rPr>
                <w:rFonts w:eastAsia="Arial" w:cstheme="minorHAnsi"/>
                <w:szCs w:val="16"/>
              </w:rPr>
              <w:t xml:space="preserve">with the </w:t>
            </w:r>
            <w:hyperlink r:id="rId127" w:history="1">
              <w:r w:rsidRPr="00F61C80">
                <w:rPr>
                  <w:rStyle w:val="Hyperlink"/>
                  <w:rFonts w:eastAsia="Arial" w:cstheme="minorHAnsi"/>
                  <w:kern w:val="2"/>
                  <w:sz w:val="16"/>
                  <w:szCs w:val="16"/>
                  <w14:ligatures w14:val="standardContextual"/>
                </w:rPr>
                <w:t>Net Zero in Government Operations Strategy</w:t>
              </w:r>
            </w:hyperlink>
            <w:r w:rsidRPr="008E7104">
              <w:rPr>
                <w:rFonts w:eastAsia="Arial" w:cstheme="minorHAnsi"/>
                <w:szCs w:val="16"/>
              </w:rPr>
              <w:t xml:space="preserve"> and Co</w:t>
            </w:r>
            <w:r w:rsidRPr="00223FA5">
              <w:rPr>
                <w:rFonts w:eastAsia="Arial" w:cstheme="minorHAnsi"/>
                <w:szCs w:val="18"/>
              </w:rPr>
              <w:t>mmonwealth</w:t>
            </w:r>
            <w:r w:rsidRPr="00223FA5">
              <w:rPr>
                <w:rFonts w:eastAsia="Arial" w:cs="Arial"/>
                <w:szCs w:val="18"/>
              </w:rPr>
              <w:t xml:space="preserve"> Risk Management Policy. </w:t>
            </w:r>
          </w:p>
        </w:tc>
      </w:tr>
      <w:tr w:rsidR="0086383C" w:rsidRPr="00DF31C0" w14:paraId="2CF0908D"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2F340288" w14:textId="77777777" w:rsidR="00831FF7" w:rsidRPr="00223FA5" w:rsidRDefault="00831FF7" w:rsidP="00625DAB">
            <w:pPr>
              <w:pStyle w:val="TableTextLeft"/>
            </w:pPr>
            <w:r w:rsidRPr="00223FA5">
              <w:t>S0</w:t>
            </w:r>
          </w:p>
        </w:tc>
        <w:tc>
          <w:tcPr>
            <w:tcW w:w="0" w:type="auto"/>
          </w:tcPr>
          <w:p w14:paraId="7951EE59" w14:textId="77777777" w:rsidR="00831FF7" w:rsidRPr="00223FA5" w:rsidRDefault="00831FF7" w:rsidP="00625DAB">
            <w:pPr>
              <w:pStyle w:val="TableTextLeft"/>
            </w:pPr>
            <w:r w:rsidRPr="00223FA5">
              <w:t>Strategy objective</w:t>
            </w:r>
          </w:p>
        </w:tc>
        <w:tc>
          <w:tcPr>
            <w:tcW w:w="0" w:type="auto"/>
          </w:tcPr>
          <w:p w14:paraId="5731CF75" w14:textId="77777777" w:rsidR="00831FF7" w:rsidRPr="00223FA5" w:rsidRDefault="00831FF7" w:rsidP="00625DAB">
            <w:pPr>
              <w:pStyle w:val="TableTextLeft"/>
            </w:pPr>
            <w:r w:rsidRPr="00223FA5">
              <w:t>Achieved through S1</w:t>
            </w:r>
          </w:p>
        </w:tc>
      </w:tr>
      <w:tr w:rsidR="00831FF7" w:rsidRPr="00DF31C0" w14:paraId="0B9ECBEE" w14:textId="77777777" w:rsidTr="007A0DA6">
        <w:trPr>
          <w:cantSplit/>
          <w:trHeight w:val="300"/>
        </w:trPr>
        <w:tc>
          <w:tcPr>
            <w:tcW w:w="0" w:type="auto"/>
          </w:tcPr>
          <w:p w14:paraId="23E62AEB" w14:textId="77777777" w:rsidR="00831FF7" w:rsidRPr="00223FA5" w:rsidRDefault="00831FF7" w:rsidP="00625DAB">
            <w:pPr>
              <w:pStyle w:val="TableTextLeft"/>
            </w:pPr>
            <w:r w:rsidRPr="00223FA5">
              <w:t>S1(a)</w:t>
            </w:r>
          </w:p>
        </w:tc>
        <w:tc>
          <w:tcPr>
            <w:tcW w:w="0" w:type="auto"/>
          </w:tcPr>
          <w:p w14:paraId="50094DF7" w14:textId="77777777" w:rsidR="00831FF7" w:rsidRPr="00223FA5" w:rsidRDefault="00831FF7" w:rsidP="00625DAB">
            <w:pPr>
              <w:pStyle w:val="TableTextLeft"/>
            </w:pPr>
            <w:r w:rsidRPr="00223FA5">
              <w:t>Material information on climate risks and opportunities</w:t>
            </w:r>
          </w:p>
        </w:tc>
        <w:tc>
          <w:tcPr>
            <w:tcW w:w="0" w:type="auto"/>
          </w:tcPr>
          <w:p w14:paraId="1000D958" w14:textId="6CC316F8" w:rsidR="00831FF7" w:rsidRPr="00223FA5" w:rsidRDefault="00831FF7" w:rsidP="00625DAB">
            <w:pPr>
              <w:pStyle w:val="TableTextLeft"/>
            </w:pPr>
            <w:r w:rsidRPr="00223FA5">
              <w:t>Achieved through S2</w:t>
            </w:r>
            <w:r w:rsidR="002C2722">
              <w:t>–</w:t>
            </w:r>
            <w:r w:rsidRPr="00223FA5">
              <w:t>3</w:t>
            </w:r>
          </w:p>
        </w:tc>
      </w:tr>
      <w:tr w:rsidR="0086383C" w:rsidRPr="00DF31C0" w14:paraId="2BB97DB5"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66021D76" w14:textId="77777777" w:rsidR="00831FF7" w:rsidRPr="00223FA5" w:rsidRDefault="00831FF7" w:rsidP="00625DAB">
            <w:pPr>
              <w:pStyle w:val="TableTextLeft"/>
            </w:pPr>
            <w:r w:rsidRPr="00223FA5">
              <w:t>S1(b)</w:t>
            </w:r>
          </w:p>
        </w:tc>
        <w:tc>
          <w:tcPr>
            <w:tcW w:w="0" w:type="auto"/>
          </w:tcPr>
          <w:p w14:paraId="7A3113F3" w14:textId="77777777" w:rsidR="00831FF7" w:rsidRPr="00223FA5" w:rsidRDefault="00831FF7" w:rsidP="00625DAB">
            <w:pPr>
              <w:pStyle w:val="TableTextLeft"/>
            </w:pPr>
            <w:r w:rsidRPr="00223FA5">
              <w:t>Operational model effects</w:t>
            </w:r>
          </w:p>
        </w:tc>
        <w:tc>
          <w:tcPr>
            <w:tcW w:w="0" w:type="auto"/>
          </w:tcPr>
          <w:p w14:paraId="47D75A8C" w14:textId="77777777" w:rsidR="00831FF7" w:rsidRPr="00223FA5" w:rsidRDefault="00831FF7" w:rsidP="00625DAB">
            <w:pPr>
              <w:pStyle w:val="TableTextLeft"/>
            </w:pPr>
            <w:r w:rsidRPr="00223FA5">
              <w:t>Achieved through S4</w:t>
            </w:r>
          </w:p>
        </w:tc>
      </w:tr>
      <w:tr w:rsidR="00831FF7" w:rsidRPr="00DF31C0" w14:paraId="5478578E" w14:textId="77777777" w:rsidTr="007A0DA6">
        <w:trPr>
          <w:cantSplit/>
          <w:trHeight w:val="300"/>
        </w:trPr>
        <w:tc>
          <w:tcPr>
            <w:tcW w:w="0" w:type="auto"/>
          </w:tcPr>
          <w:p w14:paraId="06186239" w14:textId="77777777" w:rsidR="00831FF7" w:rsidRPr="00223FA5" w:rsidRDefault="00831FF7" w:rsidP="00625DAB">
            <w:pPr>
              <w:pStyle w:val="TableTextLeft"/>
            </w:pPr>
            <w:r w:rsidRPr="00223FA5">
              <w:t>S2(a)</w:t>
            </w:r>
          </w:p>
        </w:tc>
        <w:tc>
          <w:tcPr>
            <w:tcW w:w="0" w:type="auto"/>
          </w:tcPr>
          <w:p w14:paraId="707CD389" w14:textId="77777777" w:rsidR="00831FF7" w:rsidRPr="00223FA5" w:rsidRDefault="00831FF7" w:rsidP="00625DAB">
            <w:pPr>
              <w:pStyle w:val="TableTextLeft"/>
            </w:pPr>
            <w:r w:rsidRPr="00223FA5">
              <w:t>Progressive implementation schedule</w:t>
            </w:r>
          </w:p>
        </w:tc>
        <w:tc>
          <w:tcPr>
            <w:tcW w:w="0" w:type="auto"/>
          </w:tcPr>
          <w:p w14:paraId="7FCC1CC3" w14:textId="186EFCF3" w:rsidR="00831FF7" w:rsidRPr="00223FA5" w:rsidRDefault="00831FF7" w:rsidP="00625DAB">
            <w:pPr>
              <w:pStyle w:val="TableTextLeft"/>
            </w:pPr>
            <w:r w:rsidRPr="00223FA5">
              <w:t>In year 1, the scope covers our entity</w:t>
            </w:r>
            <w:r w:rsidR="00B84FF2">
              <w:t>’</w:t>
            </w:r>
            <w:r w:rsidRPr="00223FA5">
              <w:t>s organisational risks and opportunities.</w:t>
            </w:r>
          </w:p>
        </w:tc>
      </w:tr>
      <w:tr w:rsidR="0086383C" w:rsidRPr="00DF31C0" w14:paraId="105B1B77"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27C3C006" w14:textId="77777777" w:rsidR="00831FF7" w:rsidRPr="00223FA5" w:rsidRDefault="00831FF7" w:rsidP="00625DAB">
            <w:pPr>
              <w:pStyle w:val="TableTextLeft"/>
            </w:pPr>
            <w:r w:rsidRPr="00223FA5">
              <w:t>S2(b)</w:t>
            </w:r>
          </w:p>
        </w:tc>
        <w:tc>
          <w:tcPr>
            <w:tcW w:w="0" w:type="auto"/>
          </w:tcPr>
          <w:p w14:paraId="1BAA6D10" w14:textId="77777777" w:rsidR="00831FF7" w:rsidRPr="00223FA5" w:rsidRDefault="00831FF7" w:rsidP="00625DAB">
            <w:pPr>
              <w:pStyle w:val="TableTextLeft"/>
            </w:pPr>
            <w:r w:rsidRPr="00223FA5">
              <w:t>Physical and transition risks</w:t>
            </w:r>
          </w:p>
        </w:tc>
        <w:tc>
          <w:tcPr>
            <w:tcW w:w="0" w:type="auto"/>
          </w:tcPr>
          <w:p w14:paraId="7426D234" w14:textId="25550BA4" w:rsidR="00831FF7" w:rsidRPr="00610C68" w:rsidRDefault="00831FF7" w:rsidP="00625DAB">
            <w:pPr>
              <w:pStyle w:val="TableTextLeft"/>
              <w:rPr>
                <w:rFonts w:eastAsia="Arial" w:cs="Arial"/>
              </w:rPr>
            </w:pPr>
            <w:r w:rsidRPr="00223FA5">
              <w:rPr>
                <w:rFonts w:eastAsia="Arial" w:cs="Arial"/>
                <w:szCs w:val="18"/>
              </w:rPr>
              <w:t xml:space="preserve">See Table </w:t>
            </w:r>
            <w:r w:rsidR="729ABD05">
              <w:t>3</w:t>
            </w:r>
            <w:r w:rsidR="00AC26A9">
              <w:t>4</w:t>
            </w:r>
            <w:r w:rsidR="729ABD05">
              <w:t>: AOFM material climate</w:t>
            </w:r>
            <w:r w:rsidR="00B84FF2">
              <w:noBreakHyphen/>
            </w:r>
            <w:r w:rsidR="729ABD05">
              <w:t>related risks and opportunities</w:t>
            </w:r>
            <w:r w:rsidR="007508DB">
              <w:rPr>
                <w:rFonts w:eastAsia="Arial" w:cs="Arial"/>
                <w:szCs w:val="18"/>
              </w:rPr>
              <w:t>,</w:t>
            </w:r>
            <w:r w:rsidRPr="00223FA5">
              <w:rPr>
                <w:rFonts w:eastAsia="Arial" w:cs="Arial"/>
                <w:szCs w:val="18"/>
              </w:rPr>
              <w:t xml:space="preserve"> in AOFM Climate Statement</w:t>
            </w:r>
            <w:r w:rsidR="008724B6">
              <w:rPr>
                <w:rFonts w:eastAsia="Arial" w:cs="Arial"/>
                <w:szCs w:val="18"/>
              </w:rPr>
              <w:t xml:space="preserve"> above</w:t>
            </w:r>
            <w:r w:rsidR="002C2722">
              <w:rPr>
                <w:rFonts w:eastAsia="Arial" w:cs="Arial"/>
                <w:szCs w:val="18"/>
              </w:rPr>
              <w:t>.</w:t>
            </w:r>
          </w:p>
        </w:tc>
      </w:tr>
      <w:tr w:rsidR="00831FF7" w:rsidRPr="00DF31C0" w14:paraId="4294B1A8" w14:textId="77777777" w:rsidTr="007A0DA6">
        <w:trPr>
          <w:cantSplit/>
          <w:trHeight w:val="300"/>
        </w:trPr>
        <w:tc>
          <w:tcPr>
            <w:tcW w:w="0" w:type="auto"/>
          </w:tcPr>
          <w:p w14:paraId="12396067" w14:textId="77777777" w:rsidR="00831FF7" w:rsidRPr="00223FA5" w:rsidRDefault="00831FF7" w:rsidP="00625DAB">
            <w:pPr>
              <w:pStyle w:val="TableTextLeft"/>
            </w:pPr>
            <w:r w:rsidRPr="00223FA5">
              <w:t>S2(c)</w:t>
            </w:r>
          </w:p>
        </w:tc>
        <w:tc>
          <w:tcPr>
            <w:tcW w:w="0" w:type="auto"/>
          </w:tcPr>
          <w:p w14:paraId="3E33FD6D" w14:textId="77777777" w:rsidR="00831FF7" w:rsidRPr="00223FA5" w:rsidRDefault="00831FF7" w:rsidP="00625DAB">
            <w:pPr>
              <w:pStyle w:val="TableTextLeft"/>
            </w:pPr>
            <w:r w:rsidRPr="00223FA5">
              <w:t>Time horizon specification</w:t>
            </w:r>
          </w:p>
        </w:tc>
        <w:tc>
          <w:tcPr>
            <w:tcW w:w="0" w:type="auto"/>
          </w:tcPr>
          <w:p w14:paraId="6B8E064D" w14:textId="6C566210" w:rsidR="00831FF7" w:rsidRPr="00223FA5" w:rsidRDefault="00831FF7" w:rsidP="00625DAB">
            <w:pPr>
              <w:pStyle w:val="TableTextLeft"/>
            </w:pPr>
            <w:r w:rsidRPr="00223FA5">
              <w:t>The relevant timeframes include short</w:t>
            </w:r>
            <w:r w:rsidR="00B84FF2">
              <w:noBreakHyphen/>
            </w:r>
            <w:r w:rsidRPr="00223FA5">
              <w:t>term (2030), mid</w:t>
            </w:r>
            <w:r w:rsidR="00B84FF2">
              <w:noBreakHyphen/>
            </w:r>
            <w:r w:rsidRPr="00223FA5">
              <w:t>term (2050) and long</w:t>
            </w:r>
            <w:r w:rsidR="00323B30">
              <w:t xml:space="preserve"> </w:t>
            </w:r>
            <w:r w:rsidRPr="00223FA5">
              <w:t>term (2090). The physical and transition drivers of AOFM</w:t>
            </w:r>
            <w:r w:rsidR="00B84FF2">
              <w:t>’</w:t>
            </w:r>
            <w:r w:rsidRPr="00223FA5">
              <w:t>s risks and opportunities are already having an impact on our organisation and will continue to do so over the short to long term.</w:t>
            </w:r>
          </w:p>
        </w:tc>
      </w:tr>
      <w:tr w:rsidR="0086383C" w:rsidRPr="00DF31C0" w14:paraId="654F9555"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5D705345" w14:textId="77777777" w:rsidR="00831FF7" w:rsidRPr="00223FA5" w:rsidRDefault="00831FF7" w:rsidP="00625DAB">
            <w:pPr>
              <w:pStyle w:val="TableTextLeft"/>
            </w:pPr>
            <w:r w:rsidRPr="00223FA5">
              <w:t>S2(d)</w:t>
            </w:r>
          </w:p>
        </w:tc>
        <w:tc>
          <w:tcPr>
            <w:tcW w:w="0" w:type="auto"/>
          </w:tcPr>
          <w:p w14:paraId="393764B8" w14:textId="77777777" w:rsidR="00831FF7" w:rsidRPr="00223FA5" w:rsidRDefault="00831FF7" w:rsidP="00625DAB">
            <w:pPr>
              <w:pStyle w:val="TableTextLeft"/>
            </w:pPr>
            <w:r w:rsidRPr="00223FA5">
              <w:t>Time horizon definition</w:t>
            </w:r>
          </w:p>
        </w:tc>
        <w:tc>
          <w:tcPr>
            <w:tcW w:w="0" w:type="auto"/>
          </w:tcPr>
          <w:p w14:paraId="1D1FBAD7" w14:textId="2B44931A" w:rsidR="00831FF7" w:rsidRPr="00223FA5" w:rsidRDefault="00831FF7" w:rsidP="00625DAB">
            <w:pPr>
              <w:pStyle w:val="TableTextLeft"/>
              <w:rPr>
                <w:rFonts w:eastAsia="Arial" w:cs="Arial"/>
                <w:szCs w:val="18"/>
              </w:rPr>
            </w:pPr>
            <w:r w:rsidRPr="00223FA5">
              <w:rPr>
                <w:rFonts w:eastAsia="Arial" w:cs="Times New Roman"/>
                <w:szCs w:val="18"/>
              </w:rPr>
              <w:t xml:space="preserve">Time horizons align with the recommendations in the </w:t>
            </w:r>
            <w:hyperlink r:id="rId128" w:history="1">
              <w:r w:rsidRPr="001E2AEB">
                <w:rPr>
                  <w:rStyle w:val="Hyperlink"/>
                  <w:rFonts w:cstheme="minorHAnsi"/>
                  <w:kern w:val="2"/>
                  <w:sz w:val="16"/>
                  <w:szCs w:val="16"/>
                  <w14:ligatures w14:val="standardContextual"/>
                </w:rPr>
                <w:t>Climate Risk Management Guide: Organisation Application Guide</w:t>
              </w:r>
            </w:hyperlink>
            <w:r w:rsidR="008724B6">
              <w:rPr>
                <w:rStyle w:val="FootnoteReference"/>
              </w:rPr>
              <w:footnoteReference w:id="21"/>
            </w:r>
          </w:p>
        </w:tc>
      </w:tr>
      <w:tr w:rsidR="00831FF7" w:rsidRPr="00DF31C0" w14:paraId="7C0B7850" w14:textId="77777777" w:rsidTr="007A0DA6">
        <w:trPr>
          <w:cantSplit/>
          <w:trHeight w:val="300"/>
        </w:trPr>
        <w:tc>
          <w:tcPr>
            <w:tcW w:w="0" w:type="auto"/>
          </w:tcPr>
          <w:p w14:paraId="3920C5CE" w14:textId="77777777" w:rsidR="00831FF7" w:rsidRPr="00223FA5" w:rsidRDefault="00831FF7" w:rsidP="00625DAB">
            <w:pPr>
              <w:pStyle w:val="TableTextLeft"/>
            </w:pPr>
            <w:r w:rsidRPr="00223FA5">
              <w:t>S3(a)</w:t>
            </w:r>
          </w:p>
        </w:tc>
        <w:tc>
          <w:tcPr>
            <w:tcW w:w="0" w:type="auto"/>
          </w:tcPr>
          <w:p w14:paraId="39514734" w14:textId="77777777" w:rsidR="00831FF7" w:rsidRPr="00223FA5" w:rsidRDefault="00831FF7" w:rsidP="00625DAB">
            <w:pPr>
              <w:pStyle w:val="TableTextLeft"/>
            </w:pPr>
            <w:r w:rsidRPr="00223FA5">
              <w:t>Climate Risk and Opportunity Management Program or alternative methodology</w:t>
            </w:r>
          </w:p>
        </w:tc>
        <w:tc>
          <w:tcPr>
            <w:tcW w:w="0" w:type="auto"/>
          </w:tcPr>
          <w:p w14:paraId="7E2567C9" w14:textId="10ED1A77" w:rsidR="00831FF7" w:rsidRPr="00223FA5" w:rsidRDefault="00831FF7" w:rsidP="00625DAB">
            <w:pPr>
              <w:pStyle w:val="TableTextLeft"/>
            </w:pPr>
            <w:r w:rsidRPr="00223FA5">
              <w:t>In 2024</w:t>
            </w:r>
            <w:r w:rsidR="002C2722">
              <w:t>–</w:t>
            </w:r>
            <w:r w:rsidRPr="00223FA5">
              <w:t>25, the AOFM embedded climate risk and opportunity management into our existing enterprise risk management procedures and business planning to ensure that they incorporate concepts outlined in the CROMP. The 2025</w:t>
            </w:r>
            <w:r w:rsidR="002C2722">
              <w:t>–</w:t>
            </w:r>
            <w:r w:rsidRPr="00223FA5">
              <w:t xml:space="preserve">26 AOFM Corporate Plan now has specific reference to the CROMP and actions we will take to manage our climate risks and opportunities assessed through the CROMP. </w:t>
            </w:r>
          </w:p>
        </w:tc>
      </w:tr>
      <w:tr w:rsidR="0086383C" w:rsidRPr="00DF31C0" w14:paraId="041A6EF0"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5F137D49" w14:textId="77777777" w:rsidR="00831FF7" w:rsidRPr="00223FA5" w:rsidRDefault="00831FF7" w:rsidP="00625DAB">
            <w:pPr>
              <w:pStyle w:val="TableTextLeft"/>
            </w:pPr>
            <w:r w:rsidRPr="00223FA5">
              <w:lastRenderedPageBreak/>
              <w:t>S4(a)</w:t>
            </w:r>
          </w:p>
        </w:tc>
        <w:tc>
          <w:tcPr>
            <w:tcW w:w="0" w:type="auto"/>
          </w:tcPr>
          <w:p w14:paraId="09BA4CD6" w14:textId="77777777" w:rsidR="00831FF7" w:rsidRPr="00223FA5" w:rsidRDefault="00831FF7" w:rsidP="00625DAB">
            <w:pPr>
              <w:pStyle w:val="TableTextLeft"/>
            </w:pPr>
            <w:r w:rsidRPr="00223FA5">
              <w:t>Current and anticipated effects on operational model</w:t>
            </w:r>
          </w:p>
        </w:tc>
        <w:tc>
          <w:tcPr>
            <w:tcW w:w="0" w:type="auto"/>
          </w:tcPr>
          <w:p w14:paraId="4B22761F" w14:textId="167C1FCA" w:rsidR="00831FF7" w:rsidRPr="00223FA5" w:rsidRDefault="00831FF7" w:rsidP="00625DAB">
            <w:pPr>
              <w:pStyle w:val="TableTextLeft"/>
            </w:pPr>
            <w:r w:rsidRPr="00223FA5">
              <w:t>Current and anticipated effects of climate</w:t>
            </w:r>
            <w:r w:rsidR="00B84FF2">
              <w:noBreakHyphen/>
            </w:r>
            <w:r w:rsidRPr="00223FA5">
              <w:t>related risks predominantly include physical risks such as disruptions to business continuity procedures when conducting AGS market activities</w:t>
            </w:r>
            <w:r w:rsidR="00323B30">
              <w:t>,</w:t>
            </w:r>
            <w:r w:rsidRPr="00223FA5">
              <w:t xml:space="preserve"> and AOFM personnel health and safety. The AOFM will continue to work with Treasury to co</w:t>
            </w:r>
            <w:r w:rsidR="00B84FF2">
              <w:noBreakHyphen/>
            </w:r>
            <w:r w:rsidRPr="00223FA5">
              <w:t xml:space="preserve">manage the Australian Green Bonds Program to provide funds for eligible green projects as well as understand the impact that climate change will have on </w:t>
            </w:r>
            <w:r w:rsidR="002C2722">
              <w:t>g</w:t>
            </w:r>
            <w:r w:rsidR="002C2722" w:rsidRPr="00223FA5">
              <w:t xml:space="preserve">overnment </w:t>
            </w:r>
            <w:r w:rsidRPr="00223FA5">
              <w:t>funding needs and the liquidity of the AGS market.</w:t>
            </w:r>
          </w:p>
        </w:tc>
      </w:tr>
      <w:tr w:rsidR="00831FF7" w:rsidRPr="00DF31C0" w14:paraId="5F1800BF" w14:textId="77777777" w:rsidTr="007A0DA6">
        <w:trPr>
          <w:cantSplit/>
          <w:trHeight w:val="300"/>
        </w:trPr>
        <w:tc>
          <w:tcPr>
            <w:tcW w:w="0" w:type="auto"/>
          </w:tcPr>
          <w:p w14:paraId="051EA157" w14:textId="77777777" w:rsidR="00831FF7" w:rsidRPr="00223FA5" w:rsidRDefault="00831FF7" w:rsidP="00625DAB">
            <w:pPr>
              <w:pStyle w:val="TableTextLeft"/>
            </w:pPr>
            <w:r w:rsidRPr="00223FA5">
              <w:t>S4(b)</w:t>
            </w:r>
          </w:p>
        </w:tc>
        <w:tc>
          <w:tcPr>
            <w:tcW w:w="0" w:type="auto"/>
          </w:tcPr>
          <w:p w14:paraId="03204A45" w14:textId="77777777" w:rsidR="00831FF7" w:rsidRPr="00223FA5" w:rsidRDefault="00831FF7" w:rsidP="00625DAB">
            <w:pPr>
              <w:pStyle w:val="TableTextLeft"/>
            </w:pPr>
            <w:r w:rsidRPr="00223FA5">
              <w:t>Concentration of effects</w:t>
            </w:r>
          </w:p>
        </w:tc>
        <w:tc>
          <w:tcPr>
            <w:tcW w:w="0" w:type="auto"/>
          </w:tcPr>
          <w:p w14:paraId="08CDED5F" w14:textId="482A5EFD" w:rsidR="00831FF7" w:rsidRPr="00223FA5" w:rsidRDefault="00831FF7" w:rsidP="00625DAB">
            <w:pPr>
              <w:pStyle w:val="TableTextLeft"/>
            </w:pPr>
            <w:r w:rsidRPr="00223FA5">
              <w:t xml:space="preserve">The AOFM relies on </w:t>
            </w:r>
            <w:proofErr w:type="gramStart"/>
            <w:r w:rsidRPr="00223FA5">
              <w:t>a number of</w:t>
            </w:r>
            <w:proofErr w:type="gramEnd"/>
            <w:r w:rsidRPr="00223FA5">
              <w:t xml:space="preserve"> key suppliers and external market participants to deliver the funding needs of </w:t>
            </w:r>
            <w:r w:rsidR="002C2722">
              <w:t>g</w:t>
            </w:r>
            <w:r w:rsidR="002C2722" w:rsidRPr="00223FA5">
              <w:t>overnment</w:t>
            </w:r>
            <w:r w:rsidRPr="00223FA5">
              <w:t>. Climate</w:t>
            </w:r>
            <w:r w:rsidR="00B84FF2">
              <w:noBreakHyphen/>
            </w:r>
            <w:r w:rsidRPr="00223FA5">
              <w:t>related risks will predominantly affect AGS market activities though impacts on business continuity for the AOFM and our key suppliers in Canberra and Sydney.</w:t>
            </w:r>
          </w:p>
        </w:tc>
      </w:tr>
      <w:tr w:rsidR="0086383C" w:rsidRPr="00DF31C0" w14:paraId="6655222C"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36E188CD" w14:textId="77777777" w:rsidR="00831FF7" w:rsidRPr="00223FA5" w:rsidRDefault="00831FF7" w:rsidP="00625DAB">
            <w:pPr>
              <w:pStyle w:val="TableTextLeft"/>
            </w:pPr>
            <w:r w:rsidRPr="00223FA5">
              <w:t>R0</w:t>
            </w:r>
          </w:p>
        </w:tc>
        <w:tc>
          <w:tcPr>
            <w:tcW w:w="0" w:type="auto"/>
          </w:tcPr>
          <w:p w14:paraId="054A00D6" w14:textId="2FA92315" w:rsidR="00831FF7" w:rsidRPr="00223FA5" w:rsidRDefault="00831FF7" w:rsidP="00625DAB">
            <w:pPr>
              <w:pStyle w:val="TableTextLeft"/>
            </w:pPr>
            <w:r w:rsidRPr="00223FA5">
              <w:t xml:space="preserve">Risk </w:t>
            </w:r>
            <w:r w:rsidR="00323B30">
              <w:t>m</w:t>
            </w:r>
            <w:r w:rsidR="00323B30" w:rsidRPr="00223FA5">
              <w:t xml:space="preserve">anagement </w:t>
            </w:r>
            <w:r w:rsidRPr="00223FA5">
              <w:t>objective</w:t>
            </w:r>
          </w:p>
        </w:tc>
        <w:tc>
          <w:tcPr>
            <w:tcW w:w="0" w:type="auto"/>
          </w:tcPr>
          <w:p w14:paraId="030EB57D" w14:textId="77777777" w:rsidR="00831FF7" w:rsidRPr="00223FA5" w:rsidRDefault="00831FF7" w:rsidP="00625DAB">
            <w:pPr>
              <w:pStyle w:val="TableTextLeft"/>
            </w:pPr>
            <w:r w:rsidRPr="00223FA5">
              <w:t>Achieved through R1</w:t>
            </w:r>
          </w:p>
        </w:tc>
      </w:tr>
      <w:tr w:rsidR="00831FF7" w:rsidRPr="00DF31C0" w14:paraId="7A5EC26A" w14:textId="77777777" w:rsidTr="007A0DA6">
        <w:trPr>
          <w:cantSplit/>
          <w:trHeight w:val="300"/>
        </w:trPr>
        <w:tc>
          <w:tcPr>
            <w:tcW w:w="0" w:type="auto"/>
          </w:tcPr>
          <w:p w14:paraId="6B0CE0CE" w14:textId="77777777" w:rsidR="00831FF7" w:rsidRPr="00223FA5" w:rsidRDefault="00831FF7" w:rsidP="00625DAB">
            <w:pPr>
              <w:pStyle w:val="TableTextLeft"/>
            </w:pPr>
            <w:r w:rsidRPr="00223FA5">
              <w:t>R1(a)</w:t>
            </w:r>
            <w:proofErr w:type="spellStart"/>
            <w:r w:rsidRPr="00223FA5">
              <w:t>i</w:t>
            </w:r>
            <w:proofErr w:type="spellEnd"/>
          </w:p>
        </w:tc>
        <w:tc>
          <w:tcPr>
            <w:tcW w:w="0" w:type="auto"/>
          </w:tcPr>
          <w:p w14:paraId="6819221D" w14:textId="77777777" w:rsidR="00831FF7" w:rsidRPr="00223FA5" w:rsidRDefault="00831FF7" w:rsidP="00625DAB">
            <w:pPr>
              <w:pStyle w:val="TableTextLeft"/>
            </w:pPr>
            <w:r w:rsidRPr="00223FA5">
              <w:t>Risk assessment inputs and parameters</w:t>
            </w:r>
          </w:p>
        </w:tc>
        <w:tc>
          <w:tcPr>
            <w:tcW w:w="0" w:type="auto"/>
          </w:tcPr>
          <w:p w14:paraId="273EA64D" w14:textId="2967EF57" w:rsidR="00831FF7" w:rsidRPr="00223FA5" w:rsidRDefault="00831FF7" w:rsidP="00625DAB">
            <w:pPr>
              <w:pStyle w:val="TableTextLeft"/>
            </w:pPr>
            <w:r w:rsidRPr="00223FA5">
              <w:t>The AOFM climate</w:t>
            </w:r>
            <w:r w:rsidR="00B84FF2">
              <w:noBreakHyphen/>
            </w:r>
            <w:r w:rsidRPr="00223FA5">
              <w:t>related risks and opportunities cover the full scope of our operations. The AOFM uses the CROMP for key inputs into the climate drivers, emissions scenarios and timeframes for our climate risk assessments. We have built on the CROMP Organisation Application Guide Figure</w:t>
            </w:r>
            <w:r w:rsidR="006C030A">
              <w:t> </w:t>
            </w:r>
            <w:r w:rsidRPr="00223FA5">
              <w:t>6 and Figure</w:t>
            </w:r>
            <w:r w:rsidR="006C030A">
              <w:t> </w:t>
            </w:r>
            <w:r w:rsidRPr="00223FA5">
              <w:t xml:space="preserve">8 summaries of climate </w:t>
            </w:r>
            <w:r w:rsidRPr="00223FA5">
              <w:rPr>
                <w:rFonts w:cstheme="minorHAnsi"/>
              </w:rPr>
              <w:t xml:space="preserve">changes for Australia across multiple scenarios and timeframes by </w:t>
            </w:r>
            <w:r w:rsidRPr="009977A1">
              <w:rPr>
                <w:rFonts w:cstheme="minorHAnsi"/>
                <w:szCs w:val="16"/>
              </w:rPr>
              <w:t xml:space="preserve">using </w:t>
            </w:r>
            <w:hyperlink r:id="rId129" w:history="1">
              <w:r w:rsidRPr="00F61C80">
                <w:rPr>
                  <w:rStyle w:val="Hyperlink"/>
                  <w:rFonts w:eastAsia="Arial" w:cstheme="minorHAnsi"/>
                  <w:kern w:val="2"/>
                  <w:sz w:val="16"/>
                  <w:szCs w:val="16"/>
                  <w14:ligatures w14:val="standardContextual"/>
                </w:rPr>
                <w:t>Australia</w:t>
              </w:r>
              <w:r w:rsidR="00B84FF2">
                <w:rPr>
                  <w:rStyle w:val="Hyperlink"/>
                  <w:rFonts w:eastAsia="Arial" w:cstheme="minorHAnsi"/>
                  <w:kern w:val="2"/>
                  <w:sz w:val="16"/>
                  <w:szCs w:val="16"/>
                  <w14:ligatures w14:val="standardContextual"/>
                </w:rPr>
                <w:t>’</w:t>
              </w:r>
              <w:r w:rsidRPr="00F61C80">
                <w:rPr>
                  <w:rStyle w:val="Hyperlink"/>
                  <w:rFonts w:eastAsia="Arial" w:cstheme="minorHAnsi"/>
                  <w:kern w:val="2"/>
                  <w:sz w:val="16"/>
                  <w:szCs w:val="16"/>
                  <w14:ligatures w14:val="standardContextual"/>
                </w:rPr>
                <w:t>s Long</w:t>
              </w:r>
              <w:r w:rsidR="00B84FF2">
                <w:rPr>
                  <w:rStyle w:val="Hyperlink"/>
                  <w:rFonts w:eastAsia="Arial" w:cstheme="minorHAnsi"/>
                  <w:kern w:val="2"/>
                  <w:sz w:val="16"/>
                  <w:szCs w:val="16"/>
                  <w14:ligatures w14:val="standardContextual"/>
                </w:rPr>
                <w:noBreakHyphen/>
              </w:r>
              <w:r w:rsidRPr="00F61C80">
                <w:rPr>
                  <w:rStyle w:val="Hyperlink"/>
                  <w:rFonts w:eastAsia="Arial" w:cstheme="minorHAnsi"/>
                  <w:kern w:val="2"/>
                  <w:sz w:val="16"/>
                  <w:szCs w:val="16"/>
                  <w14:ligatures w14:val="standardContextual"/>
                </w:rPr>
                <w:t>Term Emissions Reduction Plan</w:t>
              </w:r>
              <w:r w:rsidRPr="00F61C80">
                <w:rPr>
                  <w:rStyle w:val="Hyperlink"/>
                  <w:rFonts w:eastAsia="Arial" w:cstheme="minorHAnsi"/>
                  <w:sz w:val="16"/>
                  <w:szCs w:val="16"/>
                </w:rPr>
                <w:t>: Modelling and Analysis</w:t>
              </w:r>
            </w:hyperlink>
            <w:r w:rsidR="00E43140" w:rsidRPr="009977A1">
              <w:rPr>
                <w:rStyle w:val="FootnoteReference"/>
                <w:szCs w:val="16"/>
              </w:rPr>
              <w:footnoteReference w:id="22"/>
            </w:r>
            <w:r w:rsidRPr="009977A1">
              <w:rPr>
                <w:rFonts w:cstheme="minorHAnsi"/>
                <w:szCs w:val="16"/>
              </w:rPr>
              <w:t xml:space="preserve"> to inform our debt and liquidity management strategies. This modelling specifically calls out a capital risk premium of between 100 and 150 basis points if Australia did not adopt a net zero by 2050 target. Other </w:t>
            </w:r>
            <w:hyperlink r:id="rId130" w:history="1">
              <w:r w:rsidRPr="00F61C80">
                <w:rPr>
                  <w:rStyle w:val="Hyperlink"/>
                  <w:rFonts w:eastAsia="Arial" w:cstheme="minorHAnsi"/>
                  <w:kern w:val="2"/>
                  <w:sz w:val="16"/>
                  <w:szCs w:val="16"/>
                  <w14:ligatures w14:val="standardContextual"/>
                </w:rPr>
                <w:t xml:space="preserve">data </w:t>
              </w:r>
              <w:r w:rsidRPr="00F61C80">
                <w:rPr>
                  <w:rStyle w:val="Hyperlink"/>
                  <w:rFonts w:eastAsia="Arial" w:cstheme="minorHAnsi"/>
                  <w:sz w:val="16"/>
                  <w:szCs w:val="16"/>
                </w:rPr>
                <w:t>providers</w:t>
              </w:r>
            </w:hyperlink>
            <w:r w:rsidR="005267B8" w:rsidRPr="009977A1">
              <w:rPr>
                <w:rStyle w:val="FootnoteReference"/>
                <w:szCs w:val="16"/>
              </w:rPr>
              <w:footnoteReference w:id="23"/>
            </w:r>
            <w:r w:rsidRPr="009977A1">
              <w:rPr>
                <w:rFonts w:cstheme="minorHAnsi"/>
                <w:szCs w:val="16"/>
              </w:rPr>
              <w:t xml:space="preserve"> suggest</w:t>
            </w:r>
            <w:r w:rsidRPr="00223FA5">
              <w:t xml:space="preserve"> that abatement costs could push Australia to higher default probability in some scenarios</w:t>
            </w:r>
            <w:r w:rsidR="002C2722">
              <w:t>;</w:t>
            </w:r>
            <w:r w:rsidRPr="00223FA5">
              <w:t xml:space="preserve"> however</w:t>
            </w:r>
            <w:r w:rsidR="002C2722">
              <w:t>,</w:t>
            </w:r>
            <w:r w:rsidRPr="00223FA5">
              <w:t xml:space="preserve"> forward</w:t>
            </w:r>
            <w:r w:rsidR="00B84FF2">
              <w:noBreakHyphen/>
            </w:r>
            <w:r w:rsidRPr="00223FA5">
              <w:t xml:space="preserve">looking assessments are subject to risks and uncertainties and </w:t>
            </w:r>
            <w:r w:rsidR="002C2722">
              <w:t xml:space="preserve">can </w:t>
            </w:r>
            <w:r w:rsidRPr="00223FA5">
              <w:t xml:space="preserve">be affected by various factors that may cause actual results to differ materially. </w:t>
            </w:r>
          </w:p>
          <w:p w14:paraId="297EA3CD" w14:textId="2297A910" w:rsidR="00831FF7" w:rsidRPr="00223FA5" w:rsidRDefault="007508DB" w:rsidP="00625DAB">
            <w:pPr>
              <w:pStyle w:val="TableTextLeft"/>
            </w:pPr>
            <w:r>
              <w:t xml:space="preserve">See </w:t>
            </w:r>
            <w:r w:rsidR="00B84FF2">
              <w:t>‘</w:t>
            </w:r>
            <w:r w:rsidR="00831FF7" w:rsidRPr="00223FA5">
              <w:t xml:space="preserve">Risk </w:t>
            </w:r>
            <w:r>
              <w:t>m</w:t>
            </w:r>
            <w:r w:rsidR="00831FF7" w:rsidRPr="00223FA5">
              <w:t>anagement</w:t>
            </w:r>
            <w:r w:rsidR="00B84FF2">
              <w:t>’</w:t>
            </w:r>
            <w:r w:rsidR="00831FF7" w:rsidRPr="00223FA5">
              <w:t xml:space="preserve"> </w:t>
            </w:r>
            <w:r w:rsidR="005A569E">
              <w:t>in Part 3 of this</w:t>
            </w:r>
            <w:r w:rsidR="00831FF7" w:rsidRPr="00223FA5">
              <w:t xml:space="preserve"> </w:t>
            </w:r>
            <w:r>
              <w:t>a</w:t>
            </w:r>
            <w:r w:rsidR="00831FF7" w:rsidRPr="00223FA5">
              <w:t xml:space="preserve">nnual </w:t>
            </w:r>
            <w:r>
              <w:t>r</w:t>
            </w:r>
            <w:r w:rsidR="00831FF7" w:rsidRPr="00223FA5">
              <w:t>eport.</w:t>
            </w:r>
          </w:p>
        </w:tc>
      </w:tr>
      <w:tr w:rsidR="0086383C" w:rsidRPr="00DF31C0" w14:paraId="692BA914"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20555FA2" w14:textId="77777777" w:rsidR="00831FF7" w:rsidRPr="00223FA5" w:rsidRDefault="00831FF7" w:rsidP="00625DAB">
            <w:pPr>
              <w:pStyle w:val="TableTextLeft"/>
            </w:pPr>
            <w:r w:rsidRPr="00223FA5">
              <w:lastRenderedPageBreak/>
              <w:t>R1(a)ii</w:t>
            </w:r>
          </w:p>
        </w:tc>
        <w:tc>
          <w:tcPr>
            <w:tcW w:w="0" w:type="auto"/>
          </w:tcPr>
          <w:p w14:paraId="06429EE6" w14:textId="77777777" w:rsidR="00831FF7" w:rsidRPr="00223FA5" w:rsidRDefault="00831FF7" w:rsidP="00625DAB">
            <w:pPr>
              <w:pStyle w:val="TableTextLeft"/>
            </w:pPr>
            <w:r w:rsidRPr="00223FA5">
              <w:t>Nature, likelihood and magnitude of effects</w:t>
            </w:r>
          </w:p>
        </w:tc>
        <w:tc>
          <w:tcPr>
            <w:tcW w:w="0" w:type="auto"/>
          </w:tcPr>
          <w:p w14:paraId="44D69740" w14:textId="76A6553A" w:rsidR="00831FF7" w:rsidRPr="00223FA5" w:rsidRDefault="00831FF7" w:rsidP="00625DAB">
            <w:pPr>
              <w:pStyle w:val="TableTextLeft"/>
            </w:pPr>
            <w:r w:rsidRPr="00223FA5">
              <w:t>The effects of our identified climate</w:t>
            </w:r>
            <w:r w:rsidR="00B84FF2">
              <w:noBreakHyphen/>
            </w:r>
            <w:r w:rsidRPr="00223FA5">
              <w:t>related risks were assessed using the likelihood and consequence evaluation criteria from our existing Enterprise Risk Management Framework</w:t>
            </w:r>
            <w:r w:rsidR="00B84FF2">
              <w:t xml:space="preserve">. </w:t>
            </w:r>
            <w:r w:rsidRPr="00223FA5">
              <w:t xml:space="preserve"> </w:t>
            </w:r>
          </w:p>
          <w:p w14:paraId="777546D7" w14:textId="09CC898A" w:rsidR="00831FF7" w:rsidRPr="00223FA5" w:rsidRDefault="00831FF7" w:rsidP="00625DAB">
            <w:pPr>
              <w:pStyle w:val="TableTextLeft"/>
              <w:rPr>
                <w:rFonts w:eastAsia="Arial"/>
              </w:rPr>
            </w:pPr>
            <w:r w:rsidRPr="00223FA5">
              <w:t>AOFM has not completed a separate climate risk and opportunity assessment but has embedded climate risks as part of existing procedures for 2024</w:t>
            </w:r>
            <w:r w:rsidR="002C2722">
              <w:t>–</w:t>
            </w:r>
            <w:r w:rsidRPr="00223FA5">
              <w:t>25. A separate formal climate risk and opportunity assessment is planned in the 2025</w:t>
            </w:r>
            <w:r w:rsidR="002C2722">
              <w:t>–</w:t>
            </w:r>
            <w:r w:rsidRPr="00223FA5">
              <w:t>26 financial year</w:t>
            </w:r>
            <w:r w:rsidR="002C2722">
              <w:t>,</w:t>
            </w:r>
            <w:r w:rsidRPr="00223FA5">
              <w:t xml:space="preserve"> including workshops for staff.</w:t>
            </w:r>
          </w:p>
        </w:tc>
      </w:tr>
      <w:tr w:rsidR="00831FF7" w:rsidRPr="00DF31C0" w14:paraId="5B7FFED8" w14:textId="77777777" w:rsidTr="007A0DA6">
        <w:trPr>
          <w:cantSplit/>
          <w:trHeight w:val="300"/>
        </w:trPr>
        <w:tc>
          <w:tcPr>
            <w:tcW w:w="0" w:type="auto"/>
          </w:tcPr>
          <w:p w14:paraId="4B025196" w14:textId="77777777" w:rsidR="00831FF7" w:rsidRPr="00223FA5" w:rsidRDefault="00831FF7" w:rsidP="00625DAB">
            <w:pPr>
              <w:pStyle w:val="TableTextLeft"/>
            </w:pPr>
            <w:r w:rsidRPr="00223FA5">
              <w:t>R1(a)iii</w:t>
            </w:r>
          </w:p>
        </w:tc>
        <w:tc>
          <w:tcPr>
            <w:tcW w:w="0" w:type="auto"/>
          </w:tcPr>
          <w:p w14:paraId="3300C1DB" w14:textId="0859730C" w:rsidR="00831FF7" w:rsidRPr="00223FA5" w:rsidRDefault="00831FF7" w:rsidP="00625DAB">
            <w:pPr>
              <w:pStyle w:val="TableTextLeft"/>
            </w:pPr>
            <w:r w:rsidRPr="00223FA5">
              <w:t>Prioritising climate</w:t>
            </w:r>
            <w:r w:rsidR="00B84FF2">
              <w:noBreakHyphen/>
            </w:r>
            <w:r w:rsidRPr="00223FA5">
              <w:t>related risks</w:t>
            </w:r>
          </w:p>
        </w:tc>
        <w:tc>
          <w:tcPr>
            <w:tcW w:w="0" w:type="auto"/>
          </w:tcPr>
          <w:p w14:paraId="3F19CAA5" w14:textId="7970884D" w:rsidR="00831FF7" w:rsidRPr="00223FA5" w:rsidRDefault="00831FF7" w:rsidP="00625DAB">
            <w:pPr>
              <w:pStyle w:val="TableTextLeft"/>
              <w:rPr>
                <w:rFonts w:eastAsia="Arial"/>
              </w:rPr>
            </w:pPr>
            <w:r w:rsidRPr="00223FA5">
              <w:t>All risks to our organisation, including climate</w:t>
            </w:r>
            <w:r w:rsidR="00B84FF2">
              <w:noBreakHyphen/>
            </w:r>
            <w:r w:rsidRPr="00223FA5">
              <w:t xml:space="preserve">related risks, were prioritised based on their residual risk rating against our Enterprise Risk Management </w:t>
            </w:r>
            <w:r w:rsidR="00323B30">
              <w:t>Framework</w:t>
            </w:r>
            <w:r w:rsidR="002C2722">
              <w:t>,</w:t>
            </w:r>
            <w:r w:rsidRPr="00223FA5">
              <w:t xml:space="preserve"> including our risk appetite and tolerances statements.</w:t>
            </w:r>
          </w:p>
        </w:tc>
      </w:tr>
      <w:tr w:rsidR="0086383C" w:rsidRPr="00DF31C0" w14:paraId="1996FED8"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58609BAE" w14:textId="77777777" w:rsidR="00831FF7" w:rsidRPr="00223FA5" w:rsidRDefault="00831FF7" w:rsidP="00625DAB">
            <w:pPr>
              <w:pStyle w:val="TableTextLeft"/>
            </w:pPr>
            <w:r w:rsidRPr="00223FA5">
              <w:t>R1(a)iv</w:t>
            </w:r>
          </w:p>
        </w:tc>
        <w:tc>
          <w:tcPr>
            <w:tcW w:w="0" w:type="auto"/>
          </w:tcPr>
          <w:p w14:paraId="0D413BAE" w14:textId="7D3F59E3" w:rsidR="00831FF7" w:rsidRPr="00223FA5" w:rsidRDefault="00831FF7" w:rsidP="00625DAB">
            <w:pPr>
              <w:pStyle w:val="TableTextLeft"/>
            </w:pPr>
            <w:r w:rsidRPr="00223FA5">
              <w:t>Managing climate</w:t>
            </w:r>
            <w:r w:rsidR="00B84FF2">
              <w:noBreakHyphen/>
            </w:r>
            <w:r w:rsidRPr="00223FA5">
              <w:t>related risks</w:t>
            </w:r>
          </w:p>
        </w:tc>
        <w:tc>
          <w:tcPr>
            <w:tcW w:w="0" w:type="auto"/>
          </w:tcPr>
          <w:p w14:paraId="1A9B310B" w14:textId="1A123EFE" w:rsidR="00831FF7" w:rsidRPr="00223FA5" w:rsidRDefault="00831FF7" w:rsidP="00625DAB">
            <w:pPr>
              <w:pStyle w:val="TableTextLeft"/>
            </w:pPr>
            <w:r w:rsidRPr="00223FA5">
              <w:t>Climate risks and opportunities are managed using AOFM</w:t>
            </w:r>
            <w:r w:rsidR="00B84FF2">
              <w:t>’</w:t>
            </w:r>
            <w:r w:rsidRPr="00223FA5">
              <w:t>s existing governance structure and risk processes, policies and guidance. The AOFM has a mature business continuity management plan that is reviewed and tested annually. This includes oversight and assurance of our key supplier</w:t>
            </w:r>
            <w:r w:rsidR="00B84FF2">
              <w:t>’</w:t>
            </w:r>
            <w:r w:rsidRPr="00223FA5">
              <w:t>s business continuity arrangements.</w:t>
            </w:r>
          </w:p>
          <w:p w14:paraId="4EB53AA1" w14:textId="77984EA0" w:rsidR="00831FF7" w:rsidRPr="00223FA5" w:rsidRDefault="00831FF7" w:rsidP="00625DAB">
            <w:pPr>
              <w:pStyle w:val="TableTextLeft"/>
            </w:pPr>
            <w:r w:rsidRPr="00223FA5">
              <w:t>The AOFM manages funding risk by avoiding concentration of debt maturities and by conducting its market activities in a way that supports a well</w:t>
            </w:r>
            <w:r w:rsidR="00B84FF2">
              <w:noBreakHyphen/>
            </w:r>
            <w:r w:rsidRPr="00223FA5">
              <w:t xml:space="preserve">functioning bond market. This </w:t>
            </w:r>
            <w:r w:rsidR="002C2722" w:rsidRPr="00223FA5">
              <w:t>increase</w:t>
            </w:r>
            <w:r w:rsidR="002C2722">
              <w:t>s</w:t>
            </w:r>
            <w:r w:rsidR="002C2722" w:rsidRPr="00223FA5">
              <w:t xml:space="preserve"> </w:t>
            </w:r>
            <w:r w:rsidRPr="00223FA5">
              <w:t>the resilience of the market and reduces the risk that the market is constrained by climate risk drivers.</w:t>
            </w:r>
          </w:p>
        </w:tc>
      </w:tr>
      <w:tr w:rsidR="00831FF7" w:rsidRPr="00DF31C0" w14:paraId="4871039C" w14:textId="77777777" w:rsidTr="007A0DA6">
        <w:trPr>
          <w:cantSplit/>
          <w:trHeight w:val="300"/>
        </w:trPr>
        <w:tc>
          <w:tcPr>
            <w:tcW w:w="0" w:type="auto"/>
          </w:tcPr>
          <w:p w14:paraId="50BB5B77" w14:textId="77777777" w:rsidR="00831FF7" w:rsidRPr="00223FA5" w:rsidRDefault="00831FF7" w:rsidP="00625DAB">
            <w:pPr>
              <w:pStyle w:val="TableTextLeft"/>
            </w:pPr>
            <w:r w:rsidRPr="00223FA5">
              <w:t>R1(a)v</w:t>
            </w:r>
          </w:p>
        </w:tc>
        <w:tc>
          <w:tcPr>
            <w:tcW w:w="0" w:type="auto"/>
          </w:tcPr>
          <w:p w14:paraId="3EB0CA82" w14:textId="7C9948BD" w:rsidR="00831FF7" w:rsidRPr="00223FA5" w:rsidRDefault="00831FF7" w:rsidP="00625DAB">
            <w:pPr>
              <w:pStyle w:val="TableTextLeft"/>
            </w:pPr>
            <w:r w:rsidRPr="00223FA5">
              <w:t>Monitoring climate</w:t>
            </w:r>
            <w:r w:rsidR="00B84FF2">
              <w:noBreakHyphen/>
            </w:r>
            <w:r w:rsidRPr="00223FA5">
              <w:t>related risks</w:t>
            </w:r>
          </w:p>
        </w:tc>
        <w:tc>
          <w:tcPr>
            <w:tcW w:w="0" w:type="auto"/>
          </w:tcPr>
          <w:p w14:paraId="1F55B4BF" w14:textId="3A56FD62" w:rsidR="00831FF7" w:rsidRPr="00223FA5" w:rsidRDefault="00831FF7" w:rsidP="00625DAB">
            <w:pPr>
              <w:pStyle w:val="TableTextLeft"/>
            </w:pPr>
            <w:r w:rsidRPr="00223FA5">
              <w:t>Climate risks and opportunities are monitored through the AOFM</w:t>
            </w:r>
            <w:r w:rsidR="00B84FF2">
              <w:t>’</w:t>
            </w:r>
            <w:r w:rsidRPr="00223FA5">
              <w:t xml:space="preserve">s existing risk monitoring and assurance processes. </w:t>
            </w:r>
            <w:r w:rsidR="002C2722" w:rsidRPr="00223FA5">
              <w:t>Enterprise</w:t>
            </w:r>
            <w:r w:rsidR="00B84FF2">
              <w:noBreakHyphen/>
            </w:r>
            <w:r w:rsidRPr="00223FA5">
              <w:t xml:space="preserve">level risks are monitored through key risk and control indicators and reported quarterly to executive leadership, the CEO and ARC. </w:t>
            </w:r>
          </w:p>
          <w:p w14:paraId="3603BCDC" w14:textId="55BADD03" w:rsidR="00831FF7" w:rsidRPr="00223FA5" w:rsidRDefault="00831FF7" w:rsidP="00625DAB">
            <w:pPr>
              <w:pStyle w:val="TableTextLeft"/>
            </w:pPr>
            <w:r w:rsidRPr="00223FA5">
              <w:t>The AOFM</w:t>
            </w:r>
            <w:r w:rsidR="00B84FF2">
              <w:t>’</w:t>
            </w:r>
            <w:r w:rsidRPr="00223FA5">
              <w:t>s system of risk management includes a second</w:t>
            </w:r>
            <w:r w:rsidR="00B84FF2">
              <w:noBreakHyphen/>
            </w:r>
            <w:r w:rsidRPr="00223FA5">
              <w:t>line assurance function that monitors controls and a third</w:t>
            </w:r>
            <w:r w:rsidR="00B84FF2">
              <w:noBreakHyphen/>
            </w:r>
            <w:r w:rsidRPr="00223FA5">
              <w:t>line internal audit function.</w:t>
            </w:r>
          </w:p>
        </w:tc>
      </w:tr>
      <w:tr w:rsidR="0086383C" w:rsidRPr="00DF31C0" w14:paraId="2041741F"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32A460A6" w14:textId="77777777" w:rsidR="00831FF7" w:rsidRPr="00223FA5" w:rsidRDefault="00831FF7" w:rsidP="00625DAB">
            <w:pPr>
              <w:pStyle w:val="TableTextLeft"/>
            </w:pPr>
            <w:r w:rsidRPr="00223FA5">
              <w:t>R1(a)vi</w:t>
            </w:r>
          </w:p>
        </w:tc>
        <w:tc>
          <w:tcPr>
            <w:tcW w:w="0" w:type="auto"/>
          </w:tcPr>
          <w:p w14:paraId="671C8623" w14:textId="77777777" w:rsidR="00831FF7" w:rsidRPr="00223FA5" w:rsidRDefault="00831FF7" w:rsidP="00625DAB">
            <w:pPr>
              <w:pStyle w:val="TableTextLeft"/>
            </w:pPr>
            <w:r w:rsidRPr="00223FA5">
              <w:t>Changes to risk management processes</w:t>
            </w:r>
          </w:p>
        </w:tc>
        <w:tc>
          <w:tcPr>
            <w:tcW w:w="0" w:type="auto"/>
          </w:tcPr>
          <w:p w14:paraId="4C52D1A5" w14:textId="3371E716" w:rsidR="00831FF7" w:rsidRPr="00223FA5" w:rsidRDefault="000E0467" w:rsidP="00625DAB">
            <w:pPr>
              <w:pStyle w:val="TableTextLeft"/>
            </w:pPr>
            <w:r>
              <w:t>Compared with</w:t>
            </w:r>
            <w:r w:rsidR="00831FF7" w:rsidRPr="00223FA5">
              <w:t xml:space="preserve"> the previous reporting period, AOFM has </w:t>
            </w:r>
            <w:r w:rsidR="00343772">
              <w:t xml:space="preserve">now </w:t>
            </w:r>
            <w:r w:rsidR="00831FF7" w:rsidRPr="00223FA5">
              <w:t xml:space="preserve">embedded CROMP concepts in our Enterprise Risk Management Framework and </w:t>
            </w:r>
            <w:r w:rsidR="00343772">
              <w:t xml:space="preserve">identifying </w:t>
            </w:r>
            <w:r w:rsidR="00831FF7" w:rsidRPr="00223FA5">
              <w:t>climate risks and opportunities as part of our quarterly risk review process.</w:t>
            </w:r>
          </w:p>
        </w:tc>
      </w:tr>
      <w:tr w:rsidR="00831FF7" w:rsidRPr="00DF31C0" w14:paraId="2D70BC9F" w14:textId="77777777" w:rsidTr="007A0DA6">
        <w:trPr>
          <w:cantSplit/>
          <w:trHeight w:val="300"/>
        </w:trPr>
        <w:tc>
          <w:tcPr>
            <w:tcW w:w="0" w:type="auto"/>
          </w:tcPr>
          <w:p w14:paraId="0A108030" w14:textId="77777777" w:rsidR="00831FF7" w:rsidRPr="00223FA5" w:rsidRDefault="00831FF7" w:rsidP="00625DAB">
            <w:pPr>
              <w:pStyle w:val="TableTextLeft"/>
            </w:pPr>
            <w:r w:rsidRPr="00223FA5">
              <w:t>R1(b)</w:t>
            </w:r>
          </w:p>
        </w:tc>
        <w:tc>
          <w:tcPr>
            <w:tcW w:w="0" w:type="auto"/>
          </w:tcPr>
          <w:p w14:paraId="36126A62" w14:textId="77777777" w:rsidR="00831FF7" w:rsidRPr="00223FA5" w:rsidRDefault="00831FF7" w:rsidP="00625DAB">
            <w:pPr>
              <w:pStyle w:val="TableTextLeft"/>
            </w:pPr>
            <w:r w:rsidRPr="00223FA5">
              <w:t>Risk management processes</w:t>
            </w:r>
          </w:p>
        </w:tc>
        <w:tc>
          <w:tcPr>
            <w:tcW w:w="0" w:type="auto"/>
          </w:tcPr>
          <w:p w14:paraId="7B880D3C" w14:textId="63895246" w:rsidR="00831FF7" w:rsidRPr="00223FA5" w:rsidRDefault="00343772" w:rsidP="00625DAB">
            <w:pPr>
              <w:pStyle w:val="TableTextLeft"/>
            </w:pPr>
            <w:r>
              <w:t>The AOFM manages c</w:t>
            </w:r>
            <w:r w:rsidR="00831FF7" w:rsidRPr="00223FA5">
              <w:t xml:space="preserve">limate risks and opportunities using </w:t>
            </w:r>
            <w:r>
              <w:t>our</w:t>
            </w:r>
            <w:r w:rsidRPr="00223FA5">
              <w:t xml:space="preserve"> </w:t>
            </w:r>
            <w:r w:rsidR="00831FF7" w:rsidRPr="00223FA5">
              <w:t>Enterprise Risk Management Framework</w:t>
            </w:r>
            <w:r w:rsidR="002C2722">
              <w:t>,</w:t>
            </w:r>
            <w:r w:rsidR="00831FF7" w:rsidRPr="00223FA5">
              <w:t xml:space="preserve"> which guides those actions taken in R1(a).</w:t>
            </w:r>
          </w:p>
        </w:tc>
      </w:tr>
      <w:tr w:rsidR="0086383C" w:rsidRPr="00DF31C0" w14:paraId="6AB26EC7"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5900E31F" w14:textId="77777777" w:rsidR="00831FF7" w:rsidRPr="00223FA5" w:rsidRDefault="00831FF7" w:rsidP="00625DAB">
            <w:pPr>
              <w:pStyle w:val="TableTextLeft"/>
            </w:pPr>
            <w:r w:rsidRPr="00223FA5">
              <w:t>R1(c)</w:t>
            </w:r>
          </w:p>
        </w:tc>
        <w:tc>
          <w:tcPr>
            <w:tcW w:w="0" w:type="auto"/>
          </w:tcPr>
          <w:p w14:paraId="1216016B" w14:textId="77777777" w:rsidR="00831FF7" w:rsidRPr="00223FA5" w:rsidRDefault="00831FF7" w:rsidP="00625DAB">
            <w:pPr>
              <w:pStyle w:val="TableTextLeft"/>
            </w:pPr>
            <w:r w:rsidRPr="00223FA5">
              <w:t>Integration of processes</w:t>
            </w:r>
          </w:p>
        </w:tc>
        <w:tc>
          <w:tcPr>
            <w:tcW w:w="0" w:type="auto"/>
          </w:tcPr>
          <w:p w14:paraId="71412196" w14:textId="13A2F54E" w:rsidR="00831FF7" w:rsidRPr="00223FA5" w:rsidRDefault="00831FF7" w:rsidP="00625DAB">
            <w:pPr>
              <w:pStyle w:val="TableTextLeft"/>
            </w:pPr>
            <w:r w:rsidRPr="00223FA5">
              <w:t>AOFM</w:t>
            </w:r>
            <w:r w:rsidR="00B84FF2">
              <w:t>’</w:t>
            </w:r>
            <w:r w:rsidRPr="00223FA5">
              <w:t>s Enterprise Risk Management Framework embeds concepts from the CROMP</w:t>
            </w:r>
            <w:r w:rsidR="002C2722">
              <w:t>,</w:t>
            </w:r>
            <w:r w:rsidRPr="00223FA5">
              <w:t xml:space="preserve"> and climate risk and opportunities are identified, assessed, prioritised, managed and monitored in an integrated way.</w:t>
            </w:r>
          </w:p>
        </w:tc>
      </w:tr>
      <w:tr w:rsidR="00831FF7" w:rsidRPr="00DF31C0" w14:paraId="74AC881B" w14:textId="77777777" w:rsidTr="007A0DA6">
        <w:trPr>
          <w:cantSplit/>
          <w:trHeight w:val="300"/>
        </w:trPr>
        <w:tc>
          <w:tcPr>
            <w:tcW w:w="0" w:type="auto"/>
          </w:tcPr>
          <w:p w14:paraId="5A50A8B9" w14:textId="77777777" w:rsidR="00831FF7" w:rsidRPr="00223FA5" w:rsidRDefault="00831FF7" w:rsidP="00625DAB">
            <w:pPr>
              <w:pStyle w:val="TableTextLeft"/>
            </w:pPr>
            <w:r w:rsidRPr="00223FA5">
              <w:lastRenderedPageBreak/>
              <w:t>R2</w:t>
            </w:r>
          </w:p>
        </w:tc>
        <w:tc>
          <w:tcPr>
            <w:tcW w:w="0" w:type="auto"/>
          </w:tcPr>
          <w:p w14:paraId="6365B8A4" w14:textId="77777777" w:rsidR="00831FF7" w:rsidRPr="00223FA5" w:rsidRDefault="00831FF7" w:rsidP="00625DAB">
            <w:pPr>
              <w:pStyle w:val="TableTextLeft"/>
            </w:pPr>
            <w:r w:rsidRPr="00223FA5">
              <w:t>CROMP</w:t>
            </w:r>
          </w:p>
        </w:tc>
        <w:tc>
          <w:tcPr>
            <w:tcW w:w="0" w:type="auto"/>
          </w:tcPr>
          <w:p w14:paraId="506959F2" w14:textId="7DBF7FF0" w:rsidR="00831FF7" w:rsidRPr="00223FA5" w:rsidRDefault="00343772" w:rsidP="00625DAB">
            <w:pPr>
              <w:pStyle w:val="TableTextLeft"/>
            </w:pPr>
            <w:r>
              <w:t>The AOFM manages c</w:t>
            </w:r>
            <w:r w:rsidR="00831FF7" w:rsidRPr="00223FA5">
              <w:t xml:space="preserve">limate risks and opportunities using </w:t>
            </w:r>
            <w:r>
              <w:t>our</w:t>
            </w:r>
            <w:r w:rsidRPr="00223FA5">
              <w:t xml:space="preserve"> </w:t>
            </w:r>
            <w:r w:rsidR="00831FF7" w:rsidRPr="00223FA5">
              <w:t>existing governance structure and risk processes, policies and guidance for 2024</w:t>
            </w:r>
            <w:r w:rsidR="002C2722">
              <w:t>–</w:t>
            </w:r>
            <w:r w:rsidR="00831FF7" w:rsidRPr="00223FA5">
              <w:t>25. The 2025</w:t>
            </w:r>
            <w:r w:rsidR="002C2722">
              <w:t>–</w:t>
            </w:r>
            <w:r w:rsidR="00831FF7" w:rsidRPr="00223FA5">
              <w:t xml:space="preserve">26 Enterprise Risk Management Framework and </w:t>
            </w:r>
            <w:r>
              <w:t>g</w:t>
            </w:r>
            <w:r w:rsidR="00831FF7" w:rsidRPr="00223FA5">
              <w:t>uidance incorporates CROMP.</w:t>
            </w:r>
          </w:p>
        </w:tc>
      </w:tr>
      <w:tr w:rsidR="0086383C" w:rsidRPr="00DF31C0" w14:paraId="633FD351"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19EE62EE" w14:textId="77777777" w:rsidR="00831FF7" w:rsidRPr="00223FA5" w:rsidRDefault="00831FF7" w:rsidP="00625DAB">
            <w:pPr>
              <w:pStyle w:val="TableTextLeft"/>
            </w:pPr>
            <w:r w:rsidRPr="00223FA5">
              <w:t>M0</w:t>
            </w:r>
          </w:p>
        </w:tc>
        <w:tc>
          <w:tcPr>
            <w:tcW w:w="0" w:type="auto"/>
          </w:tcPr>
          <w:p w14:paraId="69560652" w14:textId="77777777" w:rsidR="00831FF7" w:rsidRPr="00223FA5" w:rsidRDefault="00831FF7" w:rsidP="00625DAB">
            <w:pPr>
              <w:pStyle w:val="TableTextLeft"/>
            </w:pPr>
            <w:r w:rsidRPr="00223FA5">
              <w:t xml:space="preserve">Metrics and </w:t>
            </w:r>
            <w:proofErr w:type="gramStart"/>
            <w:r w:rsidRPr="00223FA5">
              <w:t>targets</w:t>
            </w:r>
            <w:proofErr w:type="gramEnd"/>
            <w:r w:rsidRPr="00223FA5">
              <w:t xml:space="preserve"> objective</w:t>
            </w:r>
          </w:p>
        </w:tc>
        <w:tc>
          <w:tcPr>
            <w:tcW w:w="0" w:type="auto"/>
          </w:tcPr>
          <w:p w14:paraId="243D6B08" w14:textId="77777777" w:rsidR="00831FF7" w:rsidRPr="00223FA5" w:rsidRDefault="00831FF7" w:rsidP="00625DAB">
            <w:pPr>
              <w:pStyle w:val="TableTextLeft"/>
            </w:pPr>
            <w:r w:rsidRPr="00223FA5">
              <w:t>Achieved through M1</w:t>
            </w:r>
          </w:p>
        </w:tc>
      </w:tr>
      <w:tr w:rsidR="00831FF7" w:rsidRPr="00DF31C0" w14:paraId="39424554" w14:textId="77777777" w:rsidTr="007A0DA6">
        <w:trPr>
          <w:cantSplit/>
          <w:trHeight w:val="300"/>
        </w:trPr>
        <w:tc>
          <w:tcPr>
            <w:tcW w:w="0" w:type="auto"/>
          </w:tcPr>
          <w:p w14:paraId="229ABA39" w14:textId="77777777" w:rsidR="00831FF7" w:rsidRPr="00223FA5" w:rsidRDefault="00831FF7" w:rsidP="00625DAB">
            <w:pPr>
              <w:pStyle w:val="TableTextLeft"/>
            </w:pPr>
            <w:r w:rsidRPr="00223FA5">
              <w:t>M1</w:t>
            </w:r>
          </w:p>
        </w:tc>
        <w:tc>
          <w:tcPr>
            <w:tcW w:w="0" w:type="auto"/>
          </w:tcPr>
          <w:p w14:paraId="24E6D07C" w14:textId="77777777" w:rsidR="00831FF7" w:rsidRPr="00223FA5" w:rsidRDefault="00831FF7" w:rsidP="00625DAB">
            <w:pPr>
              <w:pStyle w:val="TableTextLeft"/>
            </w:pPr>
            <w:r w:rsidRPr="00223FA5">
              <w:t>Information on greenhouse gases</w:t>
            </w:r>
          </w:p>
        </w:tc>
        <w:tc>
          <w:tcPr>
            <w:tcW w:w="0" w:type="auto"/>
          </w:tcPr>
          <w:p w14:paraId="45D8EC3B" w14:textId="77777777" w:rsidR="00831FF7" w:rsidRPr="00223FA5" w:rsidRDefault="00831FF7" w:rsidP="00625DAB">
            <w:pPr>
              <w:pStyle w:val="TableTextLeft"/>
            </w:pPr>
            <w:r w:rsidRPr="00223FA5">
              <w:t>b) Achieved through M3</w:t>
            </w:r>
          </w:p>
          <w:p w14:paraId="2DEB5C57" w14:textId="0AB5AB4F" w:rsidR="00831FF7" w:rsidRPr="00223FA5" w:rsidRDefault="00831FF7" w:rsidP="00625DAB">
            <w:pPr>
              <w:pStyle w:val="TableTextLeft"/>
            </w:pPr>
            <w:r w:rsidRPr="00223FA5">
              <w:t>c) Achieved through M5</w:t>
            </w:r>
            <w:r w:rsidR="002C2722">
              <w:t>–</w:t>
            </w:r>
            <w:r w:rsidRPr="00223FA5">
              <w:t>9</w:t>
            </w:r>
          </w:p>
        </w:tc>
      </w:tr>
      <w:tr w:rsidR="0086383C" w:rsidRPr="00DF31C0" w14:paraId="65DC75F4"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3E6A8B8C" w14:textId="77777777" w:rsidR="00831FF7" w:rsidRPr="00223FA5" w:rsidRDefault="00831FF7" w:rsidP="00625DAB">
            <w:pPr>
              <w:pStyle w:val="TableTextLeft"/>
            </w:pPr>
            <w:r w:rsidRPr="00223FA5">
              <w:t>M3</w:t>
            </w:r>
          </w:p>
        </w:tc>
        <w:tc>
          <w:tcPr>
            <w:tcW w:w="0" w:type="auto"/>
          </w:tcPr>
          <w:p w14:paraId="18784025" w14:textId="42D8DDF8" w:rsidR="00831FF7" w:rsidRPr="00223FA5" w:rsidRDefault="00831FF7" w:rsidP="00625DAB">
            <w:pPr>
              <w:pStyle w:val="TableTextLeft"/>
            </w:pPr>
            <w:r w:rsidRPr="00223FA5">
              <w:t>Climate</w:t>
            </w:r>
            <w:r w:rsidR="00B84FF2">
              <w:noBreakHyphen/>
            </w:r>
            <w:r w:rsidRPr="00223FA5">
              <w:t>related metrics</w:t>
            </w:r>
          </w:p>
        </w:tc>
        <w:tc>
          <w:tcPr>
            <w:tcW w:w="0" w:type="auto"/>
          </w:tcPr>
          <w:p w14:paraId="58418D74" w14:textId="16035772" w:rsidR="00831FF7" w:rsidRPr="00223FA5" w:rsidRDefault="00831FF7" w:rsidP="00625DAB">
            <w:pPr>
              <w:pStyle w:val="TableTextLeft"/>
              <w:rPr>
                <w:i/>
              </w:rPr>
            </w:pPr>
            <w:r w:rsidRPr="00223FA5">
              <w:t xml:space="preserve">See Table </w:t>
            </w:r>
            <w:r w:rsidR="00343772">
              <w:t>30</w:t>
            </w:r>
            <w:r w:rsidRPr="00223FA5">
              <w:t>;</w:t>
            </w:r>
            <w:r w:rsidRPr="00223FA5">
              <w:rPr>
                <w:kern w:val="2"/>
                <w14:ligatures w14:val="standardContextual"/>
              </w:rPr>
              <w:t xml:space="preserve"> </w:t>
            </w:r>
            <w:r w:rsidRPr="00223FA5">
              <w:t>Greenhouse gas emissions inventory – location</w:t>
            </w:r>
            <w:r w:rsidR="00B84FF2">
              <w:noBreakHyphen/>
            </w:r>
            <w:r w:rsidRPr="00223FA5">
              <w:t>based method, 2024</w:t>
            </w:r>
            <w:r w:rsidR="002C2722">
              <w:t>–</w:t>
            </w:r>
            <w:r w:rsidRPr="00223FA5">
              <w:t>25 (a). This summarises AOFM</w:t>
            </w:r>
            <w:r w:rsidR="00B84FF2">
              <w:t>’</w:t>
            </w:r>
            <w:r w:rsidRPr="00223FA5">
              <w:t>s emissions reporting for the period.</w:t>
            </w:r>
          </w:p>
        </w:tc>
      </w:tr>
      <w:tr w:rsidR="00831FF7" w:rsidRPr="00DF31C0" w14:paraId="3D6DE2F1" w14:textId="77777777" w:rsidTr="007A0DA6">
        <w:trPr>
          <w:cantSplit/>
          <w:trHeight w:val="300"/>
        </w:trPr>
        <w:tc>
          <w:tcPr>
            <w:tcW w:w="0" w:type="auto"/>
          </w:tcPr>
          <w:p w14:paraId="55A5F12C" w14:textId="77777777" w:rsidR="00831FF7" w:rsidRPr="00223FA5" w:rsidRDefault="00831FF7" w:rsidP="00625DAB">
            <w:pPr>
              <w:pStyle w:val="TableTextLeft"/>
            </w:pPr>
            <w:r w:rsidRPr="00223FA5">
              <w:t>M5</w:t>
            </w:r>
          </w:p>
        </w:tc>
        <w:tc>
          <w:tcPr>
            <w:tcW w:w="0" w:type="auto"/>
          </w:tcPr>
          <w:p w14:paraId="5A221587" w14:textId="77777777" w:rsidR="00831FF7" w:rsidRPr="00223FA5" w:rsidRDefault="00831FF7" w:rsidP="00625DAB">
            <w:pPr>
              <w:pStyle w:val="TableTextLeft"/>
            </w:pPr>
            <w:r w:rsidRPr="00223FA5">
              <w:t>Climate related targets</w:t>
            </w:r>
          </w:p>
        </w:tc>
        <w:tc>
          <w:tcPr>
            <w:tcW w:w="0" w:type="auto"/>
          </w:tcPr>
          <w:p w14:paraId="68A0AF23" w14:textId="5C81F238" w:rsidR="00831FF7" w:rsidRPr="001344A6" w:rsidRDefault="00831FF7" w:rsidP="00625DAB">
            <w:pPr>
              <w:pStyle w:val="TableTextLeft"/>
              <w:rPr>
                <w:rFonts w:eastAsia="Arial" w:cstheme="minorHAnsi"/>
                <w:szCs w:val="16"/>
              </w:rPr>
            </w:pPr>
            <w:r w:rsidRPr="001344A6">
              <w:rPr>
                <w:rFonts w:eastAsia="Arial" w:cs="Arial"/>
                <w:szCs w:val="16"/>
              </w:rPr>
              <w:t xml:space="preserve">As per </w:t>
            </w:r>
            <w:r w:rsidRPr="001344A6">
              <w:rPr>
                <w:rFonts w:eastAsia="Arial" w:cstheme="minorHAnsi"/>
                <w:szCs w:val="16"/>
              </w:rPr>
              <w:t xml:space="preserve">the </w:t>
            </w:r>
            <w:hyperlink r:id="rId131" w:history="1">
              <w:r w:rsidRPr="00F61C80">
                <w:rPr>
                  <w:rStyle w:val="Hyperlink"/>
                  <w:rFonts w:eastAsia="Arial" w:cstheme="minorHAnsi"/>
                  <w:color w:val="auto"/>
                  <w:sz w:val="16"/>
                  <w:szCs w:val="16"/>
                </w:rPr>
                <w:t>APS Net Zero 2030 Factsheet</w:t>
              </w:r>
            </w:hyperlink>
            <w:r w:rsidR="009746A8" w:rsidRPr="001344A6">
              <w:rPr>
                <w:rStyle w:val="FootnoteReference"/>
                <w:szCs w:val="16"/>
              </w:rPr>
              <w:footnoteReference w:id="24"/>
            </w:r>
            <w:r w:rsidRPr="001344A6">
              <w:rPr>
                <w:rFonts w:eastAsia="Arial" w:cstheme="minorHAnsi"/>
                <w:szCs w:val="16"/>
              </w:rPr>
              <w:t>.</w:t>
            </w:r>
          </w:p>
          <w:p w14:paraId="776BBC69" w14:textId="2200562E" w:rsidR="00831FF7" w:rsidRPr="001344A6" w:rsidRDefault="00831FF7" w:rsidP="00625DAB">
            <w:pPr>
              <w:pStyle w:val="TableTextLeft"/>
            </w:pPr>
            <w:r w:rsidRPr="001344A6">
              <w:t xml:space="preserve">As per </w:t>
            </w:r>
            <w:r w:rsidR="00343772" w:rsidRPr="001344A6">
              <w:t xml:space="preserve">the </w:t>
            </w:r>
            <w:r w:rsidRPr="001344A6">
              <w:t>AOFM Emissions Reduction Plan.</w:t>
            </w:r>
          </w:p>
          <w:p w14:paraId="7B27FB28" w14:textId="77777777" w:rsidR="00831FF7" w:rsidRPr="001344A6" w:rsidRDefault="00831FF7" w:rsidP="00625DAB">
            <w:pPr>
              <w:pStyle w:val="TableTextLeft"/>
            </w:pPr>
            <w:r w:rsidRPr="001344A6">
              <w:t xml:space="preserve">AOFM is part of the APS Net Zero by 2030 target as per the Net Zero in Government Operations Strategy. </w:t>
            </w:r>
          </w:p>
          <w:p w14:paraId="47DB26D7" w14:textId="7679A32D" w:rsidR="00831FF7" w:rsidRPr="001344A6" w:rsidRDefault="00831FF7" w:rsidP="00625DAB">
            <w:pPr>
              <w:pStyle w:val="TableTextLeft"/>
            </w:pPr>
            <w:r w:rsidRPr="001344A6">
              <w:t>Note</w:t>
            </w:r>
            <w:r w:rsidR="00343772" w:rsidRPr="001344A6">
              <w:t>:</w:t>
            </w:r>
            <w:r w:rsidRPr="001344A6">
              <w:t xml:space="preserve"> AOFM baseline emissions were already 0</w:t>
            </w:r>
            <w:r w:rsidR="00343772" w:rsidRPr="001344A6">
              <w:t>,</w:t>
            </w:r>
            <w:r w:rsidRPr="001344A6">
              <w:t xml:space="preserve"> as only Scope 3 emissions have been reported. Scope 3 emissions are currently not included in the APS Net Zero by 2030 target.</w:t>
            </w:r>
          </w:p>
        </w:tc>
      </w:tr>
      <w:tr w:rsidR="0086383C" w:rsidRPr="00DF31C0" w14:paraId="6500744D"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3BA8136A" w14:textId="77777777" w:rsidR="00831FF7" w:rsidRPr="00223FA5" w:rsidRDefault="00831FF7" w:rsidP="00625DAB">
            <w:pPr>
              <w:pStyle w:val="TableTextLeft"/>
            </w:pPr>
            <w:r w:rsidRPr="00223FA5">
              <w:t>M6</w:t>
            </w:r>
          </w:p>
        </w:tc>
        <w:tc>
          <w:tcPr>
            <w:tcW w:w="0" w:type="auto"/>
          </w:tcPr>
          <w:p w14:paraId="39FD9782" w14:textId="77777777" w:rsidR="00831FF7" w:rsidRPr="00223FA5" w:rsidRDefault="00831FF7" w:rsidP="00625DAB">
            <w:pPr>
              <w:pStyle w:val="TableTextLeft"/>
            </w:pPr>
            <w:r w:rsidRPr="00223FA5">
              <w:t>Approach to reviewing and monitoring targets</w:t>
            </w:r>
          </w:p>
        </w:tc>
        <w:tc>
          <w:tcPr>
            <w:tcW w:w="0" w:type="auto"/>
          </w:tcPr>
          <w:p w14:paraId="50AA3370" w14:textId="77777777" w:rsidR="00831FF7" w:rsidRPr="001344A6" w:rsidRDefault="00831FF7" w:rsidP="00625DAB">
            <w:pPr>
              <w:pStyle w:val="TableTextLeft"/>
              <w:rPr>
                <w:rFonts w:eastAsia="Arial" w:cstheme="minorHAnsi"/>
                <w:szCs w:val="16"/>
              </w:rPr>
            </w:pPr>
            <w:r w:rsidRPr="001344A6">
              <w:rPr>
                <w:rFonts w:eastAsia="Arial" w:cstheme="minorHAnsi"/>
                <w:szCs w:val="16"/>
              </w:rPr>
              <w:t xml:space="preserve">As per the </w:t>
            </w:r>
            <w:hyperlink r:id="rId132" w:history="1">
              <w:r w:rsidRPr="001877FE">
                <w:rPr>
                  <w:rStyle w:val="Hyperlink"/>
                  <w:rFonts w:eastAsia="Arial" w:cstheme="minorHAnsi"/>
                  <w:color w:val="auto"/>
                  <w:sz w:val="16"/>
                  <w:szCs w:val="16"/>
                </w:rPr>
                <w:t>APS Net Zero 2030 Factsheet</w:t>
              </w:r>
            </w:hyperlink>
            <w:r w:rsidRPr="001344A6">
              <w:rPr>
                <w:rFonts w:eastAsia="Arial" w:cstheme="minorHAnsi"/>
                <w:szCs w:val="16"/>
              </w:rPr>
              <w:t>.</w:t>
            </w:r>
          </w:p>
          <w:p w14:paraId="2C842808" w14:textId="6EDD2238" w:rsidR="00831FF7" w:rsidRPr="001344A6" w:rsidRDefault="00831FF7" w:rsidP="00625DAB">
            <w:pPr>
              <w:pStyle w:val="TableTextLeft"/>
            </w:pPr>
            <w:r w:rsidRPr="001344A6">
              <w:t xml:space="preserve">As per </w:t>
            </w:r>
            <w:r w:rsidR="00343772" w:rsidRPr="001344A6">
              <w:t xml:space="preserve">the </w:t>
            </w:r>
            <w:r w:rsidRPr="001344A6">
              <w:t>AOFM Emissions Reduction Plan</w:t>
            </w:r>
            <w:r w:rsidR="00343772" w:rsidRPr="001344A6">
              <w:t>.</w:t>
            </w:r>
          </w:p>
        </w:tc>
      </w:tr>
      <w:tr w:rsidR="00831FF7" w:rsidRPr="00DF31C0" w14:paraId="6FFCC356" w14:textId="77777777" w:rsidTr="007A0DA6">
        <w:trPr>
          <w:cantSplit/>
          <w:trHeight w:val="300"/>
        </w:trPr>
        <w:tc>
          <w:tcPr>
            <w:tcW w:w="0" w:type="auto"/>
          </w:tcPr>
          <w:p w14:paraId="5D7A8D0E" w14:textId="77777777" w:rsidR="00831FF7" w:rsidRPr="00223FA5" w:rsidRDefault="00831FF7" w:rsidP="00625DAB">
            <w:pPr>
              <w:pStyle w:val="TableTextLeft"/>
            </w:pPr>
            <w:r w:rsidRPr="00223FA5">
              <w:t>M8</w:t>
            </w:r>
          </w:p>
        </w:tc>
        <w:tc>
          <w:tcPr>
            <w:tcW w:w="0" w:type="auto"/>
          </w:tcPr>
          <w:p w14:paraId="41823F2F" w14:textId="77777777" w:rsidR="00831FF7" w:rsidRPr="00223FA5" w:rsidRDefault="00831FF7" w:rsidP="00625DAB">
            <w:pPr>
              <w:pStyle w:val="TableTextLeft"/>
            </w:pPr>
            <w:r w:rsidRPr="00223FA5">
              <w:t>Target scope</w:t>
            </w:r>
          </w:p>
        </w:tc>
        <w:tc>
          <w:tcPr>
            <w:tcW w:w="0" w:type="auto"/>
          </w:tcPr>
          <w:p w14:paraId="3CBEB389" w14:textId="77777777" w:rsidR="00831FF7" w:rsidRPr="001344A6" w:rsidRDefault="00831FF7" w:rsidP="00625DAB">
            <w:pPr>
              <w:pStyle w:val="TableTextLeft"/>
              <w:rPr>
                <w:rFonts w:eastAsia="Arial" w:cstheme="minorHAnsi"/>
                <w:szCs w:val="16"/>
              </w:rPr>
            </w:pPr>
            <w:r w:rsidRPr="001344A6">
              <w:rPr>
                <w:rFonts w:eastAsia="Arial" w:cstheme="minorHAnsi"/>
                <w:szCs w:val="16"/>
              </w:rPr>
              <w:t xml:space="preserve">As per the </w:t>
            </w:r>
            <w:hyperlink r:id="rId133" w:history="1">
              <w:r w:rsidRPr="001877FE">
                <w:rPr>
                  <w:rStyle w:val="Hyperlink"/>
                  <w:rFonts w:eastAsia="Arial" w:cstheme="minorHAnsi"/>
                  <w:color w:val="auto"/>
                  <w:sz w:val="16"/>
                  <w:szCs w:val="16"/>
                </w:rPr>
                <w:t>APS Net Zero 2030 Factsheet</w:t>
              </w:r>
            </w:hyperlink>
            <w:r w:rsidRPr="001344A6">
              <w:rPr>
                <w:rFonts w:eastAsia="Arial" w:cstheme="minorHAnsi"/>
                <w:szCs w:val="16"/>
              </w:rPr>
              <w:t>.</w:t>
            </w:r>
          </w:p>
          <w:p w14:paraId="7AFA50DA" w14:textId="14D77B86" w:rsidR="00831FF7" w:rsidRPr="001344A6" w:rsidRDefault="00831FF7" w:rsidP="00625DAB">
            <w:pPr>
              <w:pStyle w:val="TableTextLeft"/>
            </w:pPr>
            <w:r w:rsidRPr="001344A6">
              <w:t xml:space="preserve">As per </w:t>
            </w:r>
            <w:r w:rsidR="00343772" w:rsidRPr="001344A6">
              <w:t xml:space="preserve">the </w:t>
            </w:r>
            <w:r w:rsidRPr="001344A6">
              <w:t>AOFM Emissions Reduction Plan</w:t>
            </w:r>
            <w:r w:rsidR="00343772" w:rsidRPr="001344A6">
              <w:t>.</w:t>
            </w:r>
          </w:p>
        </w:tc>
      </w:tr>
      <w:tr w:rsidR="0086383C" w:rsidRPr="00DF31C0" w14:paraId="6D8D3616" w14:textId="77777777" w:rsidTr="007A0DA6">
        <w:trPr>
          <w:cnfStyle w:val="000000010000" w:firstRow="0" w:lastRow="0" w:firstColumn="0" w:lastColumn="0" w:oddVBand="0" w:evenVBand="0" w:oddHBand="0" w:evenHBand="1" w:firstRowFirstColumn="0" w:firstRowLastColumn="0" w:lastRowFirstColumn="0" w:lastRowLastColumn="0"/>
          <w:cantSplit/>
          <w:trHeight w:val="300"/>
        </w:trPr>
        <w:tc>
          <w:tcPr>
            <w:tcW w:w="0" w:type="auto"/>
          </w:tcPr>
          <w:p w14:paraId="4EDEBC18" w14:textId="77777777" w:rsidR="00831FF7" w:rsidRPr="00223FA5" w:rsidRDefault="00831FF7" w:rsidP="00625DAB">
            <w:pPr>
              <w:pStyle w:val="TableTextLeft"/>
            </w:pPr>
            <w:r w:rsidRPr="00223FA5">
              <w:t>M9</w:t>
            </w:r>
          </w:p>
        </w:tc>
        <w:tc>
          <w:tcPr>
            <w:tcW w:w="0" w:type="auto"/>
          </w:tcPr>
          <w:p w14:paraId="51E2B651" w14:textId="77777777" w:rsidR="00831FF7" w:rsidRPr="00223FA5" w:rsidRDefault="00831FF7" w:rsidP="00625DAB">
            <w:pPr>
              <w:pStyle w:val="TableTextLeft"/>
            </w:pPr>
            <w:r w:rsidRPr="00223FA5">
              <w:t>Voluntary and obligatory targets</w:t>
            </w:r>
          </w:p>
        </w:tc>
        <w:tc>
          <w:tcPr>
            <w:tcW w:w="0" w:type="auto"/>
          </w:tcPr>
          <w:p w14:paraId="017913DA" w14:textId="77777777" w:rsidR="00831FF7" w:rsidRPr="001344A6" w:rsidRDefault="00831FF7" w:rsidP="00625DAB">
            <w:pPr>
              <w:pStyle w:val="TableTextLeft"/>
              <w:rPr>
                <w:rFonts w:eastAsia="Arial" w:cstheme="minorHAnsi"/>
                <w:szCs w:val="16"/>
              </w:rPr>
            </w:pPr>
            <w:r w:rsidRPr="001344A6">
              <w:rPr>
                <w:rFonts w:eastAsia="Arial" w:cstheme="minorHAnsi"/>
                <w:szCs w:val="16"/>
              </w:rPr>
              <w:t xml:space="preserve">As per the </w:t>
            </w:r>
            <w:hyperlink r:id="rId134" w:history="1">
              <w:r w:rsidRPr="001877FE">
                <w:rPr>
                  <w:rStyle w:val="Hyperlink"/>
                  <w:rFonts w:eastAsia="Arial" w:cstheme="minorHAnsi"/>
                  <w:color w:val="auto"/>
                  <w:sz w:val="16"/>
                  <w:szCs w:val="16"/>
                </w:rPr>
                <w:t>APS Net Zero 2030 Factsheet</w:t>
              </w:r>
            </w:hyperlink>
            <w:r w:rsidRPr="001344A6">
              <w:rPr>
                <w:rFonts w:eastAsia="Arial" w:cstheme="minorHAnsi"/>
                <w:szCs w:val="16"/>
              </w:rPr>
              <w:t>.</w:t>
            </w:r>
          </w:p>
          <w:p w14:paraId="1CFB3E2E" w14:textId="7000E4D3" w:rsidR="00831FF7" w:rsidRPr="001344A6" w:rsidRDefault="00831FF7" w:rsidP="00625DAB">
            <w:pPr>
              <w:pStyle w:val="TableTextLeft"/>
            </w:pPr>
            <w:r w:rsidRPr="001344A6">
              <w:t xml:space="preserve">As per </w:t>
            </w:r>
            <w:r w:rsidR="00343772" w:rsidRPr="001344A6">
              <w:t xml:space="preserve">the </w:t>
            </w:r>
            <w:r w:rsidRPr="001344A6">
              <w:t>AOFM Emission Reduction Plan.</w:t>
            </w:r>
          </w:p>
        </w:tc>
      </w:tr>
    </w:tbl>
    <w:p w14:paraId="74C963A2" w14:textId="77777777" w:rsidR="006C030A" w:rsidRDefault="006C030A" w:rsidP="00831FF7">
      <w:pPr>
        <w:rPr>
          <w:rFonts w:ascii="Arial" w:hAnsi="Arial" w:cs="Arial"/>
        </w:rPr>
        <w:sectPr w:rsidR="006C030A" w:rsidSect="001E2AEB">
          <w:pgSz w:w="11907" w:h="16840" w:code="9"/>
          <w:pgMar w:top="2835" w:right="2098" w:bottom="2466" w:left="2098" w:header="1814" w:footer="1814" w:gutter="0"/>
          <w:cols w:space="708"/>
          <w:docGrid w:linePitch="360"/>
        </w:sectPr>
      </w:pPr>
    </w:p>
    <w:p w14:paraId="18FD4C99" w14:textId="5C553184" w:rsidR="000E7A4F" w:rsidRDefault="000E7A4F" w:rsidP="000E7A4F">
      <w:pPr>
        <w:pStyle w:val="PartTitle"/>
      </w:pPr>
      <w:bookmarkStart w:id="1579" w:name="_Toc209424524"/>
      <w:r w:rsidRPr="006534F5">
        <w:lastRenderedPageBreak/>
        <w:t>P</w:t>
      </w:r>
      <w:r w:rsidR="00D05422">
        <w:t>art</w:t>
      </w:r>
      <w:r w:rsidRPr="006534F5">
        <w:t xml:space="preserve"> </w:t>
      </w:r>
      <w:r w:rsidR="007A3792">
        <w:t>4</w:t>
      </w:r>
      <w:r w:rsidRPr="006534F5">
        <w:t xml:space="preserve">: </w:t>
      </w:r>
      <w:r w:rsidR="00D05422">
        <w:t>A</w:t>
      </w:r>
      <w:r>
        <w:t>nnual financial statements</w:t>
      </w:r>
      <w:bookmarkEnd w:id="1579"/>
    </w:p>
    <w:sdt>
      <w:sdtPr>
        <w:rPr>
          <w:rFonts w:eastAsiaTheme="minorHAnsi"/>
          <w:b w:val="0"/>
          <w:noProof w:val="0"/>
          <w:color w:val="000000" w:themeColor="text1"/>
          <w:sz w:val="20"/>
          <w:szCs w:val="20"/>
          <w:lang w:eastAsia="en-US"/>
        </w:rPr>
        <w:id w:val="1033074048"/>
        <w:docPartObj>
          <w:docPartGallery w:val="Table of Contents"/>
          <w:docPartUnique/>
        </w:docPartObj>
      </w:sdtPr>
      <w:sdtEndPr>
        <w:rPr>
          <w:bCs/>
        </w:rPr>
      </w:sdtEndPr>
      <w:sdtContent>
        <w:p w14:paraId="7B87660B" w14:textId="212255E3" w:rsidR="00266FB0" w:rsidRDefault="00266FB0" w:rsidP="00266FB0">
          <w:pPr>
            <w:pStyle w:val="TOC1"/>
            <w:rPr>
              <w:rFonts w:asciiTheme="minorHAnsi" w:hAnsiTheme="minorHAnsi" w:cstheme="minorBidi"/>
              <w:color w:val="auto"/>
              <w:kern w:val="2"/>
              <w:sz w:val="24"/>
              <w:szCs w:val="24"/>
              <w14:ligatures w14:val="standardContextual"/>
            </w:rPr>
          </w:pPr>
          <w:r>
            <w:fldChar w:fldCharType="begin"/>
          </w:r>
          <w:r>
            <w:instrText xml:space="preserve"> TOC \o "1-3" \h \z \u </w:instrText>
          </w:r>
          <w:r>
            <w:fldChar w:fldCharType="separate"/>
          </w:r>
          <w:hyperlink w:anchor="_Toc207796120" w:history="1">
            <w:r w:rsidRPr="0054681D">
              <w:rPr>
                <w:rStyle w:val="Hyperlink"/>
              </w:rPr>
              <w:t>Statement by the Chief Executive Officer and Chief Financial Officer</w:t>
            </w:r>
            <w:r>
              <w:rPr>
                <w:webHidden/>
              </w:rPr>
              <w:tab/>
            </w:r>
            <w:r>
              <w:rPr>
                <w:webHidden/>
              </w:rPr>
              <w:fldChar w:fldCharType="begin"/>
            </w:r>
            <w:r>
              <w:rPr>
                <w:webHidden/>
              </w:rPr>
              <w:instrText xml:space="preserve"> PAGEREF _Toc207796120 \h </w:instrText>
            </w:r>
            <w:r>
              <w:rPr>
                <w:webHidden/>
              </w:rPr>
            </w:r>
            <w:r>
              <w:rPr>
                <w:webHidden/>
              </w:rPr>
              <w:fldChar w:fldCharType="separate"/>
            </w:r>
            <w:r w:rsidR="00F60EAA">
              <w:rPr>
                <w:webHidden/>
              </w:rPr>
              <w:t>111</w:t>
            </w:r>
            <w:r>
              <w:rPr>
                <w:webHidden/>
              </w:rPr>
              <w:fldChar w:fldCharType="end"/>
            </w:r>
          </w:hyperlink>
        </w:p>
        <w:p w14:paraId="1462B3AD" w14:textId="33D7F267" w:rsidR="00266FB0" w:rsidRDefault="00266FB0">
          <w:pPr>
            <w:pStyle w:val="TOC1"/>
            <w:rPr>
              <w:rFonts w:asciiTheme="minorHAnsi" w:hAnsiTheme="minorHAnsi" w:cstheme="minorBidi"/>
              <w:b w:val="0"/>
              <w:color w:val="auto"/>
              <w:kern w:val="2"/>
              <w:sz w:val="24"/>
              <w:szCs w:val="24"/>
              <w14:ligatures w14:val="standardContextual"/>
            </w:rPr>
          </w:pPr>
          <w:hyperlink w:anchor="_Toc207796121" w:history="1">
            <w:r w:rsidRPr="0054681D">
              <w:rPr>
                <w:rStyle w:val="Hyperlink"/>
              </w:rPr>
              <w:t>Administered financial statements</w:t>
            </w:r>
            <w:r>
              <w:rPr>
                <w:webHidden/>
              </w:rPr>
              <w:tab/>
            </w:r>
            <w:r>
              <w:rPr>
                <w:webHidden/>
              </w:rPr>
              <w:fldChar w:fldCharType="begin"/>
            </w:r>
            <w:r>
              <w:rPr>
                <w:webHidden/>
              </w:rPr>
              <w:instrText xml:space="preserve"> PAGEREF _Toc207796121 \h </w:instrText>
            </w:r>
            <w:r>
              <w:rPr>
                <w:webHidden/>
              </w:rPr>
            </w:r>
            <w:r>
              <w:rPr>
                <w:webHidden/>
              </w:rPr>
              <w:fldChar w:fldCharType="separate"/>
            </w:r>
            <w:r w:rsidR="00F60EAA">
              <w:rPr>
                <w:webHidden/>
              </w:rPr>
              <w:t>112</w:t>
            </w:r>
            <w:r>
              <w:rPr>
                <w:webHidden/>
              </w:rPr>
              <w:fldChar w:fldCharType="end"/>
            </w:r>
          </w:hyperlink>
        </w:p>
        <w:p w14:paraId="7EE41EF9" w14:textId="55A6F0F4" w:rsidR="00266FB0" w:rsidRDefault="00266FB0">
          <w:pPr>
            <w:pStyle w:val="TOC1"/>
            <w:rPr>
              <w:rFonts w:asciiTheme="minorHAnsi" w:hAnsiTheme="minorHAnsi" w:cstheme="minorBidi"/>
              <w:b w:val="0"/>
              <w:color w:val="auto"/>
              <w:kern w:val="2"/>
              <w:sz w:val="24"/>
              <w:szCs w:val="24"/>
              <w14:ligatures w14:val="standardContextual"/>
            </w:rPr>
          </w:pPr>
          <w:hyperlink w:anchor="_Toc207796152" w:history="1">
            <w:r w:rsidRPr="0054681D">
              <w:rPr>
                <w:rStyle w:val="Hyperlink"/>
              </w:rPr>
              <w:t>Departmental financial statements</w:t>
            </w:r>
            <w:r>
              <w:rPr>
                <w:webHidden/>
              </w:rPr>
              <w:tab/>
            </w:r>
            <w:r>
              <w:rPr>
                <w:webHidden/>
              </w:rPr>
              <w:fldChar w:fldCharType="begin"/>
            </w:r>
            <w:r>
              <w:rPr>
                <w:webHidden/>
              </w:rPr>
              <w:instrText xml:space="preserve"> PAGEREF _Toc207796152 \h </w:instrText>
            </w:r>
            <w:r>
              <w:rPr>
                <w:webHidden/>
              </w:rPr>
            </w:r>
            <w:r>
              <w:rPr>
                <w:webHidden/>
              </w:rPr>
              <w:fldChar w:fldCharType="separate"/>
            </w:r>
            <w:r w:rsidR="00F60EAA">
              <w:rPr>
                <w:webHidden/>
              </w:rPr>
              <w:t>152</w:t>
            </w:r>
            <w:r>
              <w:rPr>
                <w:webHidden/>
              </w:rPr>
              <w:fldChar w:fldCharType="end"/>
            </w:r>
          </w:hyperlink>
        </w:p>
        <w:p w14:paraId="49944ED1" w14:textId="603C7BED" w:rsidR="00266FB0" w:rsidRDefault="00266FB0">
          <w:pPr>
            <w:pStyle w:val="TOC1"/>
            <w:rPr>
              <w:rFonts w:asciiTheme="minorHAnsi" w:hAnsiTheme="minorHAnsi" w:cstheme="minorBidi"/>
              <w:b w:val="0"/>
              <w:color w:val="auto"/>
              <w:kern w:val="2"/>
              <w:sz w:val="24"/>
              <w:szCs w:val="24"/>
              <w14:ligatures w14:val="standardContextual"/>
            </w:rPr>
          </w:pPr>
          <w:hyperlink w:anchor="_Toc207796157" w:history="1">
            <w:r w:rsidRPr="0054681D">
              <w:rPr>
                <w:rStyle w:val="Hyperlink"/>
              </w:rPr>
              <w:t>Financial performance</w:t>
            </w:r>
            <w:r>
              <w:rPr>
                <w:webHidden/>
              </w:rPr>
              <w:tab/>
            </w:r>
            <w:r>
              <w:rPr>
                <w:webHidden/>
              </w:rPr>
              <w:fldChar w:fldCharType="begin"/>
            </w:r>
            <w:r>
              <w:rPr>
                <w:webHidden/>
              </w:rPr>
              <w:instrText xml:space="preserve"> PAGEREF _Toc207796157 \h </w:instrText>
            </w:r>
            <w:r>
              <w:rPr>
                <w:webHidden/>
              </w:rPr>
            </w:r>
            <w:r>
              <w:rPr>
                <w:webHidden/>
              </w:rPr>
              <w:fldChar w:fldCharType="separate"/>
            </w:r>
            <w:r w:rsidR="00F60EAA">
              <w:rPr>
                <w:webHidden/>
              </w:rPr>
              <w:t>157</w:t>
            </w:r>
            <w:r>
              <w:rPr>
                <w:webHidden/>
              </w:rPr>
              <w:fldChar w:fldCharType="end"/>
            </w:r>
          </w:hyperlink>
        </w:p>
        <w:p w14:paraId="5464D7F9" w14:textId="24803477" w:rsidR="00266FB0" w:rsidRDefault="00266FB0">
          <w:pPr>
            <w:pStyle w:val="TOC1"/>
            <w:rPr>
              <w:rFonts w:asciiTheme="minorHAnsi" w:hAnsiTheme="minorHAnsi" w:cstheme="minorBidi"/>
              <w:b w:val="0"/>
              <w:color w:val="auto"/>
              <w:kern w:val="2"/>
              <w:sz w:val="24"/>
              <w:szCs w:val="24"/>
              <w14:ligatures w14:val="standardContextual"/>
            </w:rPr>
          </w:pPr>
          <w:hyperlink w:anchor="_Toc207796170" w:history="1">
            <w:r w:rsidRPr="0054681D">
              <w:rPr>
                <w:rStyle w:val="Hyperlink"/>
              </w:rPr>
              <w:t>Overview</w:t>
            </w:r>
            <w:r>
              <w:rPr>
                <w:webHidden/>
              </w:rPr>
              <w:tab/>
            </w:r>
            <w:r>
              <w:rPr>
                <w:webHidden/>
              </w:rPr>
              <w:fldChar w:fldCharType="begin"/>
            </w:r>
            <w:r>
              <w:rPr>
                <w:webHidden/>
              </w:rPr>
              <w:instrText xml:space="preserve"> PAGEREF _Toc207796170 \h </w:instrText>
            </w:r>
            <w:r>
              <w:rPr>
                <w:webHidden/>
              </w:rPr>
            </w:r>
            <w:r>
              <w:rPr>
                <w:webHidden/>
              </w:rPr>
              <w:fldChar w:fldCharType="separate"/>
            </w:r>
            <w:r w:rsidR="00F60EAA">
              <w:rPr>
                <w:webHidden/>
              </w:rPr>
              <w:t>173</w:t>
            </w:r>
            <w:r>
              <w:rPr>
                <w:webHidden/>
              </w:rPr>
              <w:fldChar w:fldCharType="end"/>
            </w:r>
          </w:hyperlink>
        </w:p>
        <w:p w14:paraId="0BCFBA4A" w14:textId="19BB3F13" w:rsidR="00266FB0" w:rsidRDefault="00266FB0">
          <w:pPr>
            <w:pStyle w:val="TOC1"/>
            <w:rPr>
              <w:rFonts w:asciiTheme="minorHAnsi" w:hAnsiTheme="minorHAnsi" w:cstheme="minorBidi"/>
              <w:b w:val="0"/>
              <w:color w:val="auto"/>
              <w:kern w:val="2"/>
              <w:sz w:val="24"/>
              <w:szCs w:val="24"/>
              <w14:ligatures w14:val="standardContextual"/>
            </w:rPr>
          </w:pPr>
          <w:hyperlink w:anchor="_Toc207796180" w:history="1">
            <w:r w:rsidRPr="0054681D">
              <w:rPr>
                <w:rStyle w:val="Hyperlink"/>
              </w:rPr>
              <w:t>ANAO audit opinion</w:t>
            </w:r>
            <w:r>
              <w:rPr>
                <w:webHidden/>
              </w:rPr>
              <w:tab/>
            </w:r>
            <w:r>
              <w:rPr>
                <w:webHidden/>
              </w:rPr>
              <w:fldChar w:fldCharType="begin"/>
            </w:r>
            <w:r>
              <w:rPr>
                <w:webHidden/>
              </w:rPr>
              <w:instrText xml:space="preserve"> PAGEREF _Toc207796180 \h </w:instrText>
            </w:r>
            <w:r>
              <w:rPr>
                <w:webHidden/>
              </w:rPr>
            </w:r>
            <w:r>
              <w:rPr>
                <w:webHidden/>
              </w:rPr>
              <w:fldChar w:fldCharType="separate"/>
            </w:r>
            <w:r w:rsidR="00F60EAA">
              <w:rPr>
                <w:webHidden/>
              </w:rPr>
              <w:t>179</w:t>
            </w:r>
            <w:r>
              <w:rPr>
                <w:webHidden/>
              </w:rPr>
              <w:fldChar w:fldCharType="end"/>
            </w:r>
          </w:hyperlink>
        </w:p>
        <w:p w14:paraId="49EC0036" w14:textId="71FC5A94" w:rsidR="00266FB0" w:rsidRDefault="00266FB0">
          <w:r>
            <w:rPr>
              <w:b/>
              <w:bCs/>
              <w:noProof/>
            </w:rPr>
            <w:fldChar w:fldCharType="end"/>
          </w:r>
        </w:p>
      </w:sdtContent>
    </w:sdt>
    <w:p w14:paraId="07DAA63D" w14:textId="77777777" w:rsidR="003F4403" w:rsidRDefault="003F4403">
      <w:pPr>
        <w:spacing w:after="0" w:line="240" w:lineRule="auto"/>
      </w:pPr>
    </w:p>
    <w:p w14:paraId="05DE64EC" w14:textId="77777777" w:rsidR="005675F8" w:rsidRDefault="005675F8">
      <w:pPr>
        <w:spacing w:after="0" w:line="240" w:lineRule="auto"/>
        <w:sectPr w:rsidR="005675F8" w:rsidSect="001E2AEB">
          <w:footerReference w:type="default" r:id="rId135"/>
          <w:headerReference w:type="first" r:id="rId136"/>
          <w:type w:val="oddPage"/>
          <w:pgSz w:w="11907" w:h="16840" w:code="9"/>
          <w:pgMar w:top="2835" w:right="2098" w:bottom="2466" w:left="2098" w:header="1814" w:footer="1814" w:gutter="0"/>
          <w:cols w:space="708"/>
          <w:docGrid w:linePitch="360"/>
        </w:sectPr>
      </w:pPr>
    </w:p>
    <w:p w14:paraId="3AEF5FD5" w14:textId="77777777" w:rsidR="00355274" w:rsidRPr="006534F5" w:rsidRDefault="00355274" w:rsidP="00355274">
      <w:pPr>
        <w:pStyle w:val="Heading1"/>
      </w:pPr>
      <w:bookmarkStart w:id="1580" w:name="_Toc146112218"/>
      <w:bookmarkStart w:id="1581" w:name="_Toc204874165"/>
      <w:bookmarkStart w:id="1582" w:name="_Toc207792924"/>
      <w:bookmarkStart w:id="1583" w:name="_Toc207793964"/>
      <w:bookmarkStart w:id="1584" w:name="_Toc207796120"/>
      <w:bookmarkStart w:id="1585" w:name="_Toc207796968"/>
      <w:bookmarkStart w:id="1586" w:name="_Toc207797310"/>
      <w:bookmarkStart w:id="1587" w:name="_Toc207800271"/>
      <w:bookmarkStart w:id="1588" w:name="_Toc207810849"/>
      <w:bookmarkStart w:id="1589" w:name="_Toc208913985"/>
      <w:bookmarkStart w:id="1590" w:name="_Toc208914128"/>
      <w:bookmarkStart w:id="1591" w:name="_Toc209424525"/>
      <w:bookmarkStart w:id="1592" w:name="_Toc209424603"/>
      <w:r>
        <w:lastRenderedPageBreak/>
        <w:t>Statement by the Chief Executive Officer and Chief Financial Officer</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14:paraId="0C3C502A" w14:textId="77777777" w:rsidR="00355274" w:rsidRPr="006534F5" w:rsidRDefault="00355274" w:rsidP="00355274">
      <w:r w:rsidRPr="006534F5">
        <w:t>In our opinion, the attached financial statements for the year ended 30 June 202</w:t>
      </w:r>
      <w:r>
        <w:t>5</w:t>
      </w:r>
      <w:r w:rsidRPr="006534F5">
        <w:t xml:space="preserve"> comply with subsection 42(2) of the </w:t>
      </w:r>
      <w:r w:rsidRPr="006534F5">
        <w:rPr>
          <w:i/>
        </w:rPr>
        <w:t>Public Governance, Performance and Accountability Act 2013</w:t>
      </w:r>
      <w:r w:rsidRPr="006534F5">
        <w:t xml:space="preserve">, and are </w:t>
      </w:r>
      <w:r>
        <w:t>based on</w:t>
      </w:r>
      <w:r w:rsidRPr="006534F5">
        <w:t xml:space="preserve"> properly maintained financial records as </w:t>
      </w:r>
      <w:r>
        <w:t>per</w:t>
      </w:r>
      <w:r w:rsidRPr="006534F5">
        <w:t xml:space="preserve"> subsection 41(2) of the </w:t>
      </w:r>
      <w:r w:rsidRPr="006534F5">
        <w:rPr>
          <w:i/>
        </w:rPr>
        <w:t>Public Governance, Performance and Accountability Act 2013</w:t>
      </w:r>
      <w:r w:rsidRPr="006534F5">
        <w:t>.</w:t>
      </w:r>
    </w:p>
    <w:p w14:paraId="00DC1050" w14:textId="77777777" w:rsidR="00355274" w:rsidRDefault="00355274" w:rsidP="00355274">
      <w:r w:rsidRPr="006534F5">
        <w:t>In our opinion, at the date of this statement, there are reasonable grounds to believe that the Australian Office of Financial Management will be able to pay its debts as and when they fall due.</w:t>
      </w:r>
    </w:p>
    <w:p w14:paraId="156A7141" w14:textId="77777777" w:rsidR="00355274" w:rsidRDefault="00355274" w:rsidP="00355274"/>
    <w:tbl>
      <w:tblPr>
        <w:tblW w:w="0" w:type="auto"/>
        <w:tblLook w:val="04A0" w:firstRow="1" w:lastRow="0" w:firstColumn="1" w:lastColumn="0" w:noHBand="0" w:noVBand="1"/>
      </w:tblPr>
      <w:tblGrid>
        <w:gridCol w:w="3858"/>
        <w:gridCol w:w="3853"/>
      </w:tblGrid>
      <w:tr w:rsidR="00355274" w14:paraId="6ED6D69C" w14:textId="77777777" w:rsidTr="00392697">
        <w:tc>
          <w:tcPr>
            <w:tcW w:w="3963" w:type="dxa"/>
          </w:tcPr>
          <w:p w14:paraId="2F879A31" w14:textId="77777777" w:rsidR="00355274" w:rsidRPr="00D36BD5" w:rsidRDefault="00355274" w:rsidP="00C86F4A">
            <w:r w:rsidRPr="00D36BD5">
              <w:t>Signed</w:t>
            </w:r>
          </w:p>
          <w:p w14:paraId="134BA44F" w14:textId="41BF787F" w:rsidR="00355274" w:rsidRPr="00D36BD5" w:rsidRDefault="00096CFE" w:rsidP="00C86F4A">
            <w:r w:rsidRPr="00D36BD5">
              <w:rPr>
                <w:noProof/>
              </w:rPr>
              <w:drawing>
                <wp:inline distT="0" distB="0" distL="0" distR="0" wp14:anchorId="7108040D" wp14:editId="5B904B33">
                  <wp:extent cx="1414130" cy="448450"/>
                  <wp:effectExtent l="0" t="0" r="0" b="8890"/>
                  <wp:docPr id="1732542801" name="Picture 1732542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42801" name="Picture 173254280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1170" cy="453854"/>
                          </a:xfrm>
                          <a:prstGeom prst="rect">
                            <a:avLst/>
                          </a:prstGeom>
                        </pic:spPr>
                      </pic:pic>
                    </a:graphicData>
                  </a:graphic>
                </wp:inline>
              </w:drawing>
            </w:r>
          </w:p>
        </w:tc>
        <w:tc>
          <w:tcPr>
            <w:tcW w:w="3963" w:type="dxa"/>
          </w:tcPr>
          <w:p w14:paraId="57EB2152" w14:textId="77777777" w:rsidR="00355274" w:rsidRPr="00D36BD5" w:rsidRDefault="00355274" w:rsidP="00C86F4A">
            <w:r w:rsidRPr="00D36BD5">
              <w:t>Signed</w:t>
            </w:r>
          </w:p>
          <w:p w14:paraId="726A3096" w14:textId="68D72B30" w:rsidR="00355274" w:rsidRPr="00D36BD5" w:rsidRDefault="00150FDC" w:rsidP="00C86F4A">
            <w:r w:rsidRPr="00D36BD5">
              <w:rPr>
                <w:noProof/>
              </w:rPr>
              <w:drawing>
                <wp:inline distT="0" distB="0" distL="0" distR="0" wp14:anchorId="21A0B8F7" wp14:editId="380C471C">
                  <wp:extent cx="1375200" cy="514800"/>
                  <wp:effectExtent l="0" t="0" r="0" b="0"/>
                  <wp:docPr id="857781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8182" name="Picture 1">
                            <a:extLst>
                              <a:ext uri="{C183D7F6-B498-43B3-948B-1728B52AA6E4}">
                                <adec:decorative xmlns:adec="http://schemas.microsoft.com/office/drawing/2017/decorative" val="1"/>
                              </a:ext>
                            </a:extLst>
                          </pic:cNvPr>
                          <pic:cNvPicPr/>
                        </pic:nvPicPr>
                        <pic:blipFill>
                          <a:blip r:embed="rId137" cstate="print">
                            <a:grayscl/>
                            <a:extLst>
                              <a:ext uri="{28A0092B-C50C-407E-A947-70E740481C1C}">
                                <a14:useLocalDpi xmlns:a14="http://schemas.microsoft.com/office/drawing/2010/main" val="0"/>
                              </a:ext>
                            </a:extLst>
                          </a:blip>
                          <a:stretch>
                            <a:fillRect/>
                          </a:stretch>
                        </pic:blipFill>
                        <pic:spPr>
                          <a:xfrm>
                            <a:off x="0" y="0"/>
                            <a:ext cx="1375200" cy="514800"/>
                          </a:xfrm>
                          <a:prstGeom prst="rect">
                            <a:avLst/>
                          </a:prstGeom>
                        </pic:spPr>
                      </pic:pic>
                    </a:graphicData>
                  </a:graphic>
                </wp:inline>
              </w:drawing>
            </w:r>
          </w:p>
        </w:tc>
      </w:tr>
      <w:tr w:rsidR="00355274" w14:paraId="4E1057AD" w14:textId="77777777" w:rsidTr="00392697">
        <w:tc>
          <w:tcPr>
            <w:tcW w:w="3963" w:type="dxa"/>
          </w:tcPr>
          <w:p w14:paraId="42F42312" w14:textId="77777777" w:rsidR="00355274" w:rsidRPr="00D36BD5" w:rsidRDefault="00355274" w:rsidP="00D36BD5">
            <w:pPr>
              <w:rPr>
                <w:rStyle w:val="Strong"/>
              </w:rPr>
            </w:pPr>
            <w:r w:rsidRPr="00D36BD5">
              <w:rPr>
                <w:rStyle w:val="Strong"/>
              </w:rPr>
              <w:t>A Hughes</w:t>
            </w:r>
          </w:p>
          <w:p w14:paraId="2AF241E2" w14:textId="77777777" w:rsidR="00355274" w:rsidRPr="00D36BD5" w:rsidRDefault="00355274" w:rsidP="00D36BD5">
            <w:pPr>
              <w:rPr>
                <w:rStyle w:val="Strong"/>
              </w:rPr>
            </w:pPr>
            <w:r w:rsidRPr="00D36BD5">
              <w:t>Chief Executive Officer</w:t>
            </w:r>
          </w:p>
          <w:p w14:paraId="2AD63480" w14:textId="77777777" w:rsidR="00355274" w:rsidRPr="00D36BD5" w:rsidRDefault="00355274" w:rsidP="00D36BD5">
            <w:r w:rsidRPr="00D36BD5">
              <w:t>1 September 2025</w:t>
            </w:r>
          </w:p>
        </w:tc>
        <w:tc>
          <w:tcPr>
            <w:tcW w:w="3963" w:type="dxa"/>
          </w:tcPr>
          <w:p w14:paraId="76A8CB38" w14:textId="77777777" w:rsidR="00355274" w:rsidRPr="00D36BD5" w:rsidRDefault="00355274" w:rsidP="00D36BD5">
            <w:pPr>
              <w:rPr>
                <w:rStyle w:val="Strong"/>
              </w:rPr>
            </w:pPr>
            <w:r w:rsidRPr="00D36BD5">
              <w:rPr>
                <w:rStyle w:val="Strong"/>
              </w:rPr>
              <w:t>M Koh</w:t>
            </w:r>
          </w:p>
          <w:p w14:paraId="44891070" w14:textId="77777777" w:rsidR="00355274" w:rsidRPr="00D36BD5" w:rsidRDefault="00355274" w:rsidP="00D36BD5">
            <w:r w:rsidRPr="00D36BD5">
              <w:t>Chief Financial Officer</w:t>
            </w:r>
          </w:p>
          <w:p w14:paraId="59488482" w14:textId="77777777" w:rsidR="00355274" w:rsidRPr="00D36BD5" w:rsidRDefault="00355274" w:rsidP="00D36BD5">
            <w:r w:rsidRPr="00D36BD5">
              <w:t>1 September 2025</w:t>
            </w:r>
          </w:p>
        </w:tc>
      </w:tr>
    </w:tbl>
    <w:p w14:paraId="640069A1" w14:textId="77777777" w:rsidR="00355274" w:rsidRDefault="00355274" w:rsidP="00355274">
      <w:r>
        <w:br w:type="page"/>
      </w:r>
    </w:p>
    <w:p w14:paraId="65D6E788" w14:textId="77777777" w:rsidR="00B91F57" w:rsidRPr="006534F5" w:rsidRDefault="00B91F57" w:rsidP="00B91F57">
      <w:pPr>
        <w:pStyle w:val="Heading1"/>
      </w:pPr>
      <w:bookmarkStart w:id="1593" w:name="_Toc207792925"/>
      <w:bookmarkStart w:id="1594" w:name="_Toc207793965"/>
      <w:bookmarkStart w:id="1595" w:name="_Toc207796121"/>
      <w:bookmarkStart w:id="1596" w:name="_Toc207796969"/>
      <w:bookmarkStart w:id="1597" w:name="_Toc207797311"/>
      <w:bookmarkStart w:id="1598" w:name="_Toc207800272"/>
      <w:bookmarkStart w:id="1599" w:name="_Toc207810850"/>
      <w:bookmarkStart w:id="1600" w:name="_Toc208913986"/>
      <w:bookmarkStart w:id="1601" w:name="_Toc208914129"/>
      <w:bookmarkStart w:id="1602" w:name="_Toc209424526"/>
      <w:bookmarkStart w:id="1603" w:name="_Toc209424604"/>
      <w:r w:rsidRPr="003269EC">
        <w:lastRenderedPageBreak/>
        <w:t>Administered</w:t>
      </w:r>
      <w:r w:rsidRPr="006534F5">
        <w:t xml:space="preserve"> </w:t>
      </w:r>
      <w:r>
        <w:t>financial statements</w:t>
      </w:r>
      <w:bookmarkEnd w:id="1593"/>
      <w:bookmarkEnd w:id="1594"/>
      <w:bookmarkEnd w:id="1595"/>
      <w:bookmarkEnd w:id="1596"/>
      <w:bookmarkEnd w:id="1597"/>
      <w:bookmarkEnd w:id="1598"/>
      <w:bookmarkEnd w:id="1599"/>
      <w:bookmarkEnd w:id="1600"/>
      <w:bookmarkEnd w:id="1601"/>
      <w:bookmarkEnd w:id="1602"/>
      <w:bookmarkEnd w:id="1603"/>
    </w:p>
    <w:p w14:paraId="007D268D" w14:textId="77777777" w:rsidR="00B91F57" w:rsidRPr="00A75A0C" w:rsidRDefault="00B91F57" w:rsidP="00B91F57">
      <w:pPr>
        <w:rPr>
          <w:sz w:val="18"/>
          <w:szCs w:val="18"/>
        </w:rPr>
      </w:pPr>
      <w:r w:rsidRPr="00A75A0C">
        <w:rPr>
          <w:sz w:val="18"/>
          <w:szCs w:val="18"/>
        </w:rPr>
        <w:t xml:space="preserve">Administered assets, liabilities, revenue, and expenses are those items that an entity does not control but for which it has management responsibility on behalf of the </w:t>
      </w:r>
      <w:r>
        <w:rPr>
          <w:sz w:val="18"/>
          <w:szCs w:val="18"/>
        </w:rPr>
        <w:t>G</w:t>
      </w:r>
      <w:r w:rsidRPr="00A75A0C">
        <w:rPr>
          <w:sz w:val="18"/>
          <w:szCs w:val="18"/>
        </w:rPr>
        <w:t xml:space="preserve">overnment, and which are subject to prescriptive rules or conditions established by legislation, or Australian Government policy. These items include debt issued to finance the Government’s fiscal requirements, investments for policy purposes and investments of funds surplus to the </w:t>
      </w:r>
      <w:r>
        <w:rPr>
          <w:sz w:val="18"/>
          <w:szCs w:val="18"/>
        </w:rPr>
        <w:t>G</w:t>
      </w:r>
      <w:r w:rsidRPr="00A75A0C">
        <w:rPr>
          <w:sz w:val="18"/>
          <w:szCs w:val="18"/>
        </w:rPr>
        <w:t>overnment’s immediate financing needs.</w:t>
      </w:r>
    </w:p>
    <w:tbl>
      <w:tblPr>
        <w:tblStyle w:val="AOFMTablemain"/>
        <w:tblW w:w="5000" w:type="pct"/>
        <w:tblLook w:val="06A0" w:firstRow="1" w:lastRow="0" w:firstColumn="1" w:lastColumn="0" w:noHBand="1" w:noVBand="1"/>
      </w:tblPr>
      <w:tblGrid>
        <w:gridCol w:w="6749"/>
        <w:gridCol w:w="962"/>
      </w:tblGrid>
      <w:tr w:rsidR="00B91F57" w:rsidRPr="00686829" w14:paraId="259E7F1C" w14:textId="77777777" w:rsidTr="00EC03D4">
        <w:trPr>
          <w:cnfStyle w:val="100000000000" w:firstRow="1" w:lastRow="0" w:firstColumn="0" w:lastColumn="0" w:oddVBand="0" w:evenVBand="0" w:oddHBand="0" w:evenHBand="0" w:firstRowFirstColumn="0" w:firstRowLastColumn="0" w:lastRowFirstColumn="0" w:lastRowLastColumn="0"/>
          <w:trHeight w:val="124"/>
        </w:trPr>
        <w:tc>
          <w:tcPr>
            <w:tcW w:w="4376" w:type="pct"/>
          </w:tcPr>
          <w:p w14:paraId="5C3C900A" w14:textId="77777777" w:rsidR="00B91F57" w:rsidRPr="001B3DFB" w:rsidRDefault="00B91F57" w:rsidP="00C86F4A">
            <w:pPr>
              <w:pStyle w:val="TableColumnHeadingLeft"/>
            </w:pPr>
            <w:r w:rsidRPr="001B3DFB">
              <w:t>Administered schedules</w:t>
            </w:r>
          </w:p>
        </w:tc>
        <w:tc>
          <w:tcPr>
            <w:tcW w:w="624" w:type="pct"/>
          </w:tcPr>
          <w:p w14:paraId="1A6EBEE8" w14:textId="77777777" w:rsidR="00B91F57" w:rsidRPr="00A75A0C" w:rsidRDefault="00B91F57" w:rsidP="00C86F4A">
            <w:pPr>
              <w:pStyle w:val="TableColumnHeadingRight"/>
            </w:pPr>
            <w:r w:rsidRPr="00A75A0C">
              <w:t>Page</w:t>
            </w:r>
          </w:p>
        </w:tc>
      </w:tr>
      <w:tr w:rsidR="00B91F57" w:rsidRPr="00686829" w14:paraId="5EC8E40A" w14:textId="77777777" w:rsidTr="0006620F">
        <w:trPr>
          <w:trHeight w:val="87"/>
        </w:trPr>
        <w:tc>
          <w:tcPr>
            <w:tcW w:w="4376" w:type="pct"/>
            <w:shd w:val="clear" w:color="auto" w:fill="F2F2F2" w:themeFill="background1" w:themeFillShade="F2"/>
          </w:tcPr>
          <w:p w14:paraId="4C7F0AD2" w14:textId="77777777" w:rsidR="00B91F57" w:rsidRPr="001B3DFB" w:rsidRDefault="00B91F57" w:rsidP="00C86F4A">
            <w:pPr>
              <w:pStyle w:val="TableTextLeft"/>
              <w:rPr>
                <w:rStyle w:val="Strong"/>
              </w:rPr>
            </w:pPr>
            <w:r w:rsidRPr="001B3DFB">
              <w:rPr>
                <w:rStyle w:val="Strong"/>
              </w:rPr>
              <w:t xml:space="preserve">Comprehensive income </w:t>
            </w:r>
          </w:p>
        </w:tc>
        <w:tc>
          <w:tcPr>
            <w:tcW w:w="624" w:type="pct"/>
            <w:shd w:val="clear" w:color="auto" w:fill="F2F2F2" w:themeFill="background1" w:themeFillShade="F2"/>
          </w:tcPr>
          <w:p w14:paraId="40CEF63A" w14:textId="0C9A1A44" w:rsidR="00B91F57" w:rsidRPr="001B3DFB" w:rsidRDefault="00894753" w:rsidP="00C86F4A">
            <w:pPr>
              <w:pStyle w:val="TableTextRight"/>
              <w:rPr>
                <w:b/>
                <w:bCs/>
              </w:rPr>
            </w:pPr>
            <w:r>
              <w:rPr>
                <w:b/>
                <w:bCs/>
              </w:rPr>
              <w:t>113</w:t>
            </w:r>
          </w:p>
        </w:tc>
      </w:tr>
      <w:tr w:rsidR="00B91F57" w:rsidRPr="00686829" w14:paraId="33BA72F9" w14:textId="77777777" w:rsidTr="0006620F">
        <w:trPr>
          <w:trHeight w:val="47"/>
        </w:trPr>
        <w:tc>
          <w:tcPr>
            <w:tcW w:w="4376" w:type="pct"/>
            <w:shd w:val="clear" w:color="auto" w:fill="F2F2F2" w:themeFill="background1" w:themeFillShade="F2"/>
          </w:tcPr>
          <w:p w14:paraId="5BE12CB9" w14:textId="77777777" w:rsidR="00B91F57" w:rsidRPr="001B3DFB" w:rsidRDefault="00B91F57" w:rsidP="00C86F4A">
            <w:pPr>
              <w:pStyle w:val="TableTextLeft"/>
              <w:rPr>
                <w:rStyle w:val="Strong"/>
              </w:rPr>
            </w:pPr>
            <w:r w:rsidRPr="001B3DFB">
              <w:rPr>
                <w:rStyle w:val="Strong"/>
              </w:rPr>
              <w:t>Assets and liabilities</w:t>
            </w:r>
          </w:p>
        </w:tc>
        <w:tc>
          <w:tcPr>
            <w:tcW w:w="624" w:type="pct"/>
            <w:shd w:val="clear" w:color="auto" w:fill="F2F2F2" w:themeFill="background1" w:themeFillShade="F2"/>
          </w:tcPr>
          <w:p w14:paraId="687D8DEC" w14:textId="597CE4DD" w:rsidR="00B91F57" w:rsidRPr="001B3DFB" w:rsidRDefault="00621B59" w:rsidP="00C86F4A">
            <w:pPr>
              <w:pStyle w:val="TableTextRight"/>
              <w:rPr>
                <w:b/>
                <w:bCs/>
              </w:rPr>
            </w:pPr>
            <w:r>
              <w:rPr>
                <w:b/>
                <w:bCs/>
              </w:rPr>
              <w:t>1</w:t>
            </w:r>
            <w:r w:rsidR="00894753">
              <w:rPr>
                <w:b/>
                <w:bCs/>
              </w:rPr>
              <w:t>15</w:t>
            </w:r>
          </w:p>
        </w:tc>
      </w:tr>
      <w:tr w:rsidR="00B91F57" w:rsidRPr="00686829" w14:paraId="17774CF6" w14:textId="77777777" w:rsidTr="0006620F">
        <w:trPr>
          <w:trHeight w:val="47"/>
        </w:trPr>
        <w:tc>
          <w:tcPr>
            <w:tcW w:w="4376" w:type="pct"/>
            <w:shd w:val="clear" w:color="auto" w:fill="F2F2F2" w:themeFill="background1" w:themeFillShade="F2"/>
          </w:tcPr>
          <w:p w14:paraId="12D984F0" w14:textId="77777777" w:rsidR="00B91F57" w:rsidRPr="001B3DFB" w:rsidRDefault="00B91F57" w:rsidP="00C86F4A">
            <w:pPr>
              <w:pStyle w:val="TableTextLeft"/>
              <w:rPr>
                <w:rStyle w:val="Strong"/>
              </w:rPr>
            </w:pPr>
            <w:r w:rsidRPr="001B3DFB">
              <w:rPr>
                <w:rStyle w:val="Strong"/>
              </w:rPr>
              <w:t xml:space="preserve">Reconciliation </w:t>
            </w:r>
          </w:p>
        </w:tc>
        <w:tc>
          <w:tcPr>
            <w:tcW w:w="624" w:type="pct"/>
            <w:shd w:val="clear" w:color="auto" w:fill="F2F2F2" w:themeFill="background1" w:themeFillShade="F2"/>
          </w:tcPr>
          <w:p w14:paraId="3DCDB3CB" w14:textId="3C251321" w:rsidR="00B91F57" w:rsidRPr="001B3DFB" w:rsidRDefault="000A0F48" w:rsidP="00C86F4A">
            <w:pPr>
              <w:pStyle w:val="TableTextRight"/>
              <w:rPr>
                <w:b/>
                <w:bCs/>
              </w:rPr>
            </w:pPr>
            <w:r>
              <w:rPr>
                <w:b/>
                <w:bCs/>
              </w:rPr>
              <w:t>11</w:t>
            </w:r>
            <w:r w:rsidR="00894753">
              <w:rPr>
                <w:b/>
                <w:bCs/>
              </w:rPr>
              <w:t>7</w:t>
            </w:r>
          </w:p>
        </w:tc>
      </w:tr>
      <w:tr w:rsidR="00B91F57" w:rsidRPr="00686829" w14:paraId="37767B8B" w14:textId="77777777" w:rsidTr="0006620F">
        <w:trPr>
          <w:trHeight w:val="115"/>
        </w:trPr>
        <w:tc>
          <w:tcPr>
            <w:tcW w:w="4376" w:type="pct"/>
            <w:shd w:val="clear" w:color="auto" w:fill="F2F2F2" w:themeFill="background1" w:themeFillShade="F2"/>
          </w:tcPr>
          <w:p w14:paraId="56D04784" w14:textId="77777777" w:rsidR="00B91F57" w:rsidRPr="001B3DFB" w:rsidRDefault="00B91F57" w:rsidP="00C86F4A">
            <w:pPr>
              <w:pStyle w:val="TableTextLeft"/>
              <w:rPr>
                <w:rStyle w:val="Strong"/>
              </w:rPr>
            </w:pPr>
            <w:r w:rsidRPr="001B3DFB">
              <w:rPr>
                <w:rStyle w:val="Strong"/>
              </w:rPr>
              <w:t>Cash flow</w:t>
            </w:r>
          </w:p>
        </w:tc>
        <w:tc>
          <w:tcPr>
            <w:tcW w:w="624" w:type="pct"/>
            <w:shd w:val="clear" w:color="auto" w:fill="F2F2F2" w:themeFill="background1" w:themeFillShade="F2"/>
          </w:tcPr>
          <w:p w14:paraId="0F547E1B" w14:textId="337AFA25" w:rsidR="00B91F57" w:rsidRPr="001B3DFB" w:rsidRDefault="00A939F7" w:rsidP="00C86F4A">
            <w:pPr>
              <w:pStyle w:val="TableTextRight"/>
              <w:rPr>
                <w:b/>
                <w:bCs/>
              </w:rPr>
            </w:pPr>
            <w:r>
              <w:rPr>
                <w:b/>
                <w:bCs/>
              </w:rPr>
              <w:t>11</w:t>
            </w:r>
            <w:r w:rsidR="00894753">
              <w:rPr>
                <w:b/>
                <w:bCs/>
              </w:rPr>
              <w:t>8</w:t>
            </w:r>
          </w:p>
        </w:tc>
      </w:tr>
      <w:tr w:rsidR="00B91F57" w:rsidRPr="00686829" w14:paraId="1E0923AB" w14:textId="77777777" w:rsidTr="0006620F">
        <w:trPr>
          <w:trHeight w:val="47"/>
        </w:trPr>
        <w:tc>
          <w:tcPr>
            <w:tcW w:w="4376" w:type="pct"/>
            <w:shd w:val="clear" w:color="auto" w:fill="F2F2F2" w:themeFill="background1" w:themeFillShade="F2"/>
          </w:tcPr>
          <w:p w14:paraId="576E6401" w14:textId="77777777" w:rsidR="00B91F57" w:rsidRPr="001B3DFB" w:rsidRDefault="00B91F57" w:rsidP="00C86F4A">
            <w:pPr>
              <w:pStyle w:val="TableTextLeft"/>
              <w:rPr>
                <w:b/>
                <w:bCs/>
              </w:rPr>
            </w:pPr>
            <w:r w:rsidRPr="001B3DFB">
              <w:rPr>
                <w:b/>
                <w:bCs/>
              </w:rPr>
              <w:t>Notes</w:t>
            </w:r>
          </w:p>
        </w:tc>
        <w:tc>
          <w:tcPr>
            <w:tcW w:w="624" w:type="pct"/>
            <w:shd w:val="clear" w:color="auto" w:fill="F2F2F2" w:themeFill="background1" w:themeFillShade="F2"/>
          </w:tcPr>
          <w:p w14:paraId="40FF5267" w14:textId="77777777" w:rsidR="00B91F57" w:rsidRPr="001B3DFB" w:rsidRDefault="00B91F57" w:rsidP="00C86F4A">
            <w:pPr>
              <w:pStyle w:val="TableTextRight"/>
              <w:rPr>
                <w:b/>
                <w:bCs/>
              </w:rPr>
            </w:pPr>
          </w:p>
        </w:tc>
      </w:tr>
      <w:tr w:rsidR="00B91F57" w:rsidRPr="00686829" w14:paraId="4D14C84B" w14:textId="77777777" w:rsidTr="0006620F">
        <w:trPr>
          <w:trHeight w:val="47"/>
        </w:trPr>
        <w:tc>
          <w:tcPr>
            <w:tcW w:w="4376" w:type="pct"/>
            <w:shd w:val="clear" w:color="auto" w:fill="F2F2F2" w:themeFill="background1" w:themeFillShade="F2"/>
          </w:tcPr>
          <w:p w14:paraId="5FAA2053" w14:textId="77777777" w:rsidR="00B91F57" w:rsidRPr="001B3DFB" w:rsidRDefault="00B91F57" w:rsidP="00C86F4A">
            <w:pPr>
              <w:pStyle w:val="TableTextLeft"/>
            </w:pPr>
            <w:r w:rsidRPr="001B3DFB">
              <w:t>1: Financial risk management</w:t>
            </w:r>
          </w:p>
        </w:tc>
        <w:tc>
          <w:tcPr>
            <w:tcW w:w="624" w:type="pct"/>
            <w:shd w:val="clear" w:color="auto" w:fill="F2F2F2" w:themeFill="background1" w:themeFillShade="F2"/>
          </w:tcPr>
          <w:p w14:paraId="1CA6FBC0" w14:textId="5A0AA35A" w:rsidR="00B91F57" w:rsidRPr="001B3DFB" w:rsidRDefault="00C6410C" w:rsidP="00C86F4A">
            <w:pPr>
              <w:pStyle w:val="TableTextRight"/>
            </w:pPr>
            <w:r>
              <w:t>1</w:t>
            </w:r>
            <w:r w:rsidR="00894753">
              <w:t>20</w:t>
            </w:r>
          </w:p>
        </w:tc>
      </w:tr>
      <w:tr w:rsidR="00B91F57" w:rsidRPr="00686829" w14:paraId="5E65EB84" w14:textId="77777777" w:rsidTr="0006620F">
        <w:trPr>
          <w:trHeight w:val="47"/>
        </w:trPr>
        <w:tc>
          <w:tcPr>
            <w:tcW w:w="4376" w:type="pct"/>
            <w:shd w:val="clear" w:color="auto" w:fill="F2F2F2" w:themeFill="background1" w:themeFillShade="F2"/>
          </w:tcPr>
          <w:p w14:paraId="3154D364" w14:textId="77777777" w:rsidR="00B91F57" w:rsidRPr="001B3DFB" w:rsidRDefault="00B91F57" w:rsidP="00C86F4A">
            <w:pPr>
              <w:pStyle w:val="TableTextLeft"/>
            </w:pPr>
            <w:r w:rsidRPr="001B3DFB">
              <w:t>2: Treasury Bonds</w:t>
            </w:r>
          </w:p>
        </w:tc>
        <w:tc>
          <w:tcPr>
            <w:tcW w:w="624" w:type="pct"/>
            <w:shd w:val="clear" w:color="auto" w:fill="F2F2F2" w:themeFill="background1" w:themeFillShade="F2"/>
          </w:tcPr>
          <w:p w14:paraId="1E3E7D9E" w14:textId="2AA4A20E" w:rsidR="00B91F57" w:rsidRPr="001B3DFB" w:rsidRDefault="00C6410C" w:rsidP="00C86F4A">
            <w:pPr>
              <w:pStyle w:val="TableTextRight"/>
            </w:pPr>
            <w:r>
              <w:t>1</w:t>
            </w:r>
            <w:r w:rsidR="00894753">
              <w:t>30</w:t>
            </w:r>
          </w:p>
        </w:tc>
      </w:tr>
      <w:tr w:rsidR="00B91F57" w:rsidRPr="00686829" w14:paraId="6059D804" w14:textId="77777777" w:rsidTr="0006620F">
        <w:trPr>
          <w:trHeight w:val="47"/>
        </w:trPr>
        <w:tc>
          <w:tcPr>
            <w:tcW w:w="4376" w:type="pct"/>
            <w:shd w:val="clear" w:color="auto" w:fill="F2F2F2" w:themeFill="background1" w:themeFillShade="F2"/>
          </w:tcPr>
          <w:p w14:paraId="07090DFC" w14:textId="77777777" w:rsidR="00B91F57" w:rsidRPr="001B3DFB" w:rsidRDefault="00B91F57" w:rsidP="00C86F4A">
            <w:pPr>
              <w:pStyle w:val="TableTextLeft"/>
            </w:pPr>
            <w:r w:rsidRPr="001B3DFB">
              <w:t>3: Treasury Indexed Bonds</w:t>
            </w:r>
          </w:p>
        </w:tc>
        <w:tc>
          <w:tcPr>
            <w:tcW w:w="624" w:type="pct"/>
            <w:shd w:val="clear" w:color="auto" w:fill="F2F2F2" w:themeFill="background1" w:themeFillShade="F2"/>
          </w:tcPr>
          <w:p w14:paraId="016A26A9" w14:textId="5BE29CC0" w:rsidR="00B91F57" w:rsidRPr="001B3DFB" w:rsidRDefault="00C6410C" w:rsidP="00C86F4A">
            <w:pPr>
              <w:pStyle w:val="TableTextRight"/>
            </w:pPr>
            <w:r>
              <w:t>1</w:t>
            </w:r>
            <w:r w:rsidR="00FC31CD">
              <w:t>33</w:t>
            </w:r>
          </w:p>
        </w:tc>
      </w:tr>
      <w:tr w:rsidR="00B91F57" w:rsidRPr="00686829" w14:paraId="5A4690AF" w14:textId="77777777" w:rsidTr="0006620F">
        <w:trPr>
          <w:trHeight w:val="81"/>
        </w:trPr>
        <w:tc>
          <w:tcPr>
            <w:tcW w:w="4376" w:type="pct"/>
            <w:shd w:val="clear" w:color="auto" w:fill="F2F2F2" w:themeFill="background1" w:themeFillShade="F2"/>
          </w:tcPr>
          <w:p w14:paraId="71C0FB40" w14:textId="77777777" w:rsidR="00B91F57" w:rsidRPr="001B3DFB" w:rsidRDefault="00B91F57" w:rsidP="00C86F4A">
            <w:pPr>
              <w:pStyle w:val="TableTextLeft"/>
            </w:pPr>
            <w:r w:rsidRPr="001B3DFB">
              <w:t>4: Treasury Notes</w:t>
            </w:r>
          </w:p>
        </w:tc>
        <w:tc>
          <w:tcPr>
            <w:tcW w:w="624" w:type="pct"/>
            <w:shd w:val="clear" w:color="auto" w:fill="F2F2F2" w:themeFill="background1" w:themeFillShade="F2"/>
          </w:tcPr>
          <w:p w14:paraId="1373BDD7" w14:textId="14DAA8E8" w:rsidR="00B91F57" w:rsidRPr="001B3DFB" w:rsidRDefault="00F0624C" w:rsidP="00C86F4A">
            <w:pPr>
              <w:pStyle w:val="TableTextRight"/>
            </w:pPr>
            <w:r>
              <w:t>1</w:t>
            </w:r>
            <w:r w:rsidR="00FC31CD">
              <w:t>36</w:t>
            </w:r>
          </w:p>
        </w:tc>
      </w:tr>
      <w:tr w:rsidR="00B91F57" w:rsidRPr="00686829" w14:paraId="04F13FF8" w14:textId="77777777" w:rsidTr="0006620F">
        <w:trPr>
          <w:trHeight w:val="47"/>
        </w:trPr>
        <w:tc>
          <w:tcPr>
            <w:tcW w:w="4376" w:type="pct"/>
            <w:shd w:val="clear" w:color="auto" w:fill="F2F2F2" w:themeFill="background1" w:themeFillShade="F2"/>
          </w:tcPr>
          <w:p w14:paraId="60297086" w14:textId="77777777" w:rsidR="00B91F57" w:rsidRPr="001B3DFB" w:rsidRDefault="00B91F57" w:rsidP="00C86F4A">
            <w:pPr>
              <w:pStyle w:val="TableTextLeft"/>
            </w:pPr>
            <w:r w:rsidRPr="001B3DFB">
              <w:t>5: Cash held in the cash management account</w:t>
            </w:r>
          </w:p>
        </w:tc>
        <w:tc>
          <w:tcPr>
            <w:tcW w:w="624" w:type="pct"/>
            <w:shd w:val="clear" w:color="auto" w:fill="F2F2F2" w:themeFill="background1" w:themeFillShade="F2"/>
          </w:tcPr>
          <w:p w14:paraId="30CEB48D" w14:textId="6059044C" w:rsidR="00B91F57" w:rsidRPr="001B3DFB" w:rsidRDefault="00F0624C" w:rsidP="00C86F4A">
            <w:pPr>
              <w:pStyle w:val="TableTextRight"/>
            </w:pPr>
            <w:r>
              <w:t>13</w:t>
            </w:r>
            <w:r w:rsidR="00FC31CD">
              <w:t>8</w:t>
            </w:r>
          </w:p>
        </w:tc>
      </w:tr>
      <w:tr w:rsidR="00B91F57" w:rsidRPr="00686829" w14:paraId="42A292C4" w14:textId="77777777" w:rsidTr="0006620F">
        <w:trPr>
          <w:trHeight w:val="47"/>
        </w:trPr>
        <w:tc>
          <w:tcPr>
            <w:tcW w:w="4376" w:type="pct"/>
            <w:shd w:val="clear" w:color="auto" w:fill="F2F2F2" w:themeFill="background1" w:themeFillShade="F2"/>
          </w:tcPr>
          <w:p w14:paraId="362FD028" w14:textId="77777777" w:rsidR="00B91F57" w:rsidRPr="001B3DFB" w:rsidRDefault="00B91F57" w:rsidP="00C86F4A">
            <w:pPr>
              <w:pStyle w:val="TableTextLeft"/>
            </w:pPr>
            <w:r w:rsidRPr="001B3DFB">
              <w:t>6: Investments in structured finance securities</w:t>
            </w:r>
          </w:p>
        </w:tc>
        <w:tc>
          <w:tcPr>
            <w:tcW w:w="624" w:type="pct"/>
            <w:shd w:val="clear" w:color="auto" w:fill="F2F2F2" w:themeFill="background1" w:themeFillShade="F2"/>
          </w:tcPr>
          <w:p w14:paraId="635157CF" w14:textId="40606ECF" w:rsidR="00B91F57" w:rsidRPr="001B3DFB" w:rsidRDefault="00E5281C" w:rsidP="00C86F4A">
            <w:pPr>
              <w:pStyle w:val="TableTextRight"/>
            </w:pPr>
            <w:r>
              <w:t>13</w:t>
            </w:r>
            <w:r w:rsidR="00FC31CD">
              <w:t>9</w:t>
            </w:r>
          </w:p>
        </w:tc>
      </w:tr>
      <w:tr w:rsidR="00B91F57" w:rsidRPr="00686829" w14:paraId="614ED0C8" w14:textId="77777777" w:rsidTr="0006620F">
        <w:trPr>
          <w:trHeight w:val="47"/>
        </w:trPr>
        <w:tc>
          <w:tcPr>
            <w:tcW w:w="4376" w:type="pct"/>
            <w:shd w:val="clear" w:color="auto" w:fill="F2F2F2" w:themeFill="background1" w:themeFillShade="F2"/>
          </w:tcPr>
          <w:p w14:paraId="71E538A0" w14:textId="77777777" w:rsidR="00B91F57" w:rsidRPr="001B3DFB" w:rsidRDefault="00B91F57" w:rsidP="00C86F4A">
            <w:pPr>
              <w:pStyle w:val="TableTextLeft"/>
            </w:pPr>
            <w:r w:rsidRPr="001B3DFB">
              <w:t>7: Loans to state and territory governments</w:t>
            </w:r>
          </w:p>
        </w:tc>
        <w:tc>
          <w:tcPr>
            <w:tcW w:w="624" w:type="pct"/>
            <w:shd w:val="clear" w:color="auto" w:fill="F2F2F2" w:themeFill="background1" w:themeFillShade="F2"/>
          </w:tcPr>
          <w:p w14:paraId="01BA40A6" w14:textId="726F880D" w:rsidR="00B91F57" w:rsidRPr="001B3DFB" w:rsidRDefault="00E5281C" w:rsidP="00C86F4A">
            <w:pPr>
              <w:pStyle w:val="TableTextRight"/>
            </w:pPr>
            <w:r>
              <w:t>1</w:t>
            </w:r>
            <w:r w:rsidR="00FC31CD">
              <w:t>44</w:t>
            </w:r>
          </w:p>
        </w:tc>
      </w:tr>
      <w:tr w:rsidR="00B91F57" w:rsidRPr="00686829" w14:paraId="3F898EB1" w14:textId="77777777" w:rsidTr="0006620F">
        <w:trPr>
          <w:trHeight w:val="47"/>
        </w:trPr>
        <w:tc>
          <w:tcPr>
            <w:tcW w:w="4376" w:type="pct"/>
            <w:shd w:val="clear" w:color="auto" w:fill="F2F2F2" w:themeFill="background1" w:themeFillShade="F2"/>
          </w:tcPr>
          <w:p w14:paraId="27AC7681" w14:textId="77777777" w:rsidR="00B91F57" w:rsidRPr="001B3DFB" w:rsidRDefault="00B91F57" w:rsidP="00C86F4A">
            <w:pPr>
              <w:pStyle w:val="TableTextLeft"/>
            </w:pPr>
            <w:r w:rsidRPr="001B3DFB">
              <w:t>8: Cash flow reconciliation</w:t>
            </w:r>
          </w:p>
        </w:tc>
        <w:tc>
          <w:tcPr>
            <w:tcW w:w="624" w:type="pct"/>
            <w:shd w:val="clear" w:color="auto" w:fill="F2F2F2" w:themeFill="background1" w:themeFillShade="F2"/>
          </w:tcPr>
          <w:p w14:paraId="1E4B0849" w14:textId="154353F0" w:rsidR="00B91F57" w:rsidRPr="001B3DFB" w:rsidRDefault="00C571CD" w:rsidP="00C86F4A">
            <w:pPr>
              <w:pStyle w:val="TableTextRight"/>
            </w:pPr>
            <w:r>
              <w:t>1</w:t>
            </w:r>
            <w:r w:rsidR="00FC31CD">
              <w:t>45</w:t>
            </w:r>
          </w:p>
        </w:tc>
      </w:tr>
      <w:tr w:rsidR="00B91F57" w:rsidRPr="00686829" w14:paraId="572476E1" w14:textId="77777777" w:rsidTr="0006620F">
        <w:trPr>
          <w:trHeight w:val="47"/>
        </w:trPr>
        <w:tc>
          <w:tcPr>
            <w:tcW w:w="4376" w:type="pct"/>
            <w:shd w:val="clear" w:color="auto" w:fill="F2F2F2" w:themeFill="background1" w:themeFillShade="F2"/>
          </w:tcPr>
          <w:p w14:paraId="1B3402A8" w14:textId="77777777" w:rsidR="00B91F57" w:rsidRPr="001B3DFB" w:rsidRDefault="00B91F57" w:rsidP="00C86F4A">
            <w:pPr>
              <w:pStyle w:val="TableTextLeft"/>
            </w:pPr>
            <w:hyperlink w:anchor="_Note_8:_Appropriations" w:history="1">
              <w:r w:rsidRPr="001B3DFB">
                <w:rPr>
                  <w:rStyle w:val="Hyperlink"/>
                  <w:color w:val="000000" w:themeColor="text1"/>
                  <w:sz w:val="16"/>
                  <w:u w:val="none"/>
                </w:rPr>
                <w:t>9: Appropriations</w:t>
              </w:r>
            </w:hyperlink>
          </w:p>
        </w:tc>
        <w:tc>
          <w:tcPr>
            <w:tcW w:w="624" w:type="pct"/>
            <w:shd w:val="clear" w:color="auto" w:fill="F2F2F2" w:themeFill="background1" w:themeFillShade="F2"/>
          </w:tcPr>
          <w:p w14:paraId="35569F27" w14:textId="1CF47E02" w:rsidR="00B91F57" w:rsidRPr="001B3DFB" w:rsidRDefault="00BD3750" w:rsidP="00C86F4A">
            <w:pPr>
              <w:pStyle w:val="TableTextRight"/>
            </w:pPr>
            <w:r>
              <w:t>1</w:t>
            </w:r>
            <w:r w:rsidR="00FC31CD">
              <w:t>46</w:t>
            </w:r>
          </w:p>
        </w:tc>
      </w:tr>
      <w:tr w:rsidR="00B91F57" w:rsidRPr="00686829" w14:paraId="6066E9B5" w14:textId="77777777" w:rsidTr="0006620F">
        <w:trPr>
          <w:trHeight w:val="47"/>
        </w:trPr>
        <w:tc>
          <w:tcPr>
            <w:tcW w:w="4376" w:type="pct"/>
            <w:shd w:val="clear" w:color="auto" w:fill="F2F2F2" w:themeFill="background1" w:themeFillShade="F2"/>
          </w:tcPr>
          <w:p w14:paraId="2CF17C2B" w14:textId="77777777" w:rsidR="00B91F57" w:rsidRPr="001B3DFB" w:rsidRDefault="00B91F57" w:rsidP="00C86F4A">
            <w:pPr>
              <w:pStyle w:val="TableTextLeft"/>
            </w:pPr>
            <w:hyperlink w:anchor="_Note_9:_Budgetary" w:history="1">
              <w:r w:rsidRPr="001B3DFB">
                <w:rPr>
                  <w:rStyle w:val="Hyperlink"/>
                  <w:color w:val="000000" w:themeColor="text1"/>
                  <w:sz w:val="16"/>
                  <w:u w:val="none"/>
                </w:rPr>
                <w:t>10: Administered</w:t>
              </w:r>
            </w:hyperlink>
            <w:r w:rsidRPr="001B3DFB">
              <w:t xml:space="preserve"> budget variances</w:t>
            </w:r>
          </w:p>
        </w:tc>
        <w:tc>
          <w:tcPr>
            <w:tcW w:w="624" w:type="pct"/>
            <w:shd w:val="clear" w:color="auto" w:fill="F2F2F2" w:themeFill="background1" w:themeFillShade="F2"/>
          </w:tcPr>
          <w:p w14:paraId="47353CB6" w14:textId="2B588BED" w:rsidR="00B91F57" w:rsidRPr="001B3DFB" w:rsidRDefault="007C3723" w:rsidP="00C86F4A">
            <w:pPr>
              <w:pStyle w:val="TableTextRight"/>
            </w:pPr>
            <w:r>
              <w:t>14</w:t>
            </w:r>
            <w:r w:rsidR="00FC31CD">
              <w:t>9</w:t>
            </w:r>
          </w:p>
        </w:tc>
      </w:tr>
      <w:tr w:rsidR="00B91F57" w:rsidRPr="00686829" w14:paraId="3484D94E" w14:textId="77777777" w:rsidTr="0006620F">
        <w:trPr>
          <w:trHeight w:val="46"/>
        </w:trPr>
        <w:tc>
          <w:tcPr>
            <w:tcW w:w="4376" w:type="pct"/>
            <w:shd w:val="clear" w:color="auto" w:fill="F2F2F2" w:themeFill="background1" w:themeFillShade="F2"/>
          </w:tcPr>
          <w:p w14:paraId="6720AB8E" w14:textId="77777777" w:rsidR="00B91F57" w:rsidRPr="001B3DFB" w:rsidRDefault="00B91F57" w:rsidP="00C86F4A">
            <w:pPr>
              <w:pStyle w:val="TableTextLeft"/>
            </w:pPr>
            <w:hyperlink w:anchor="_Note_10:_Securities" w:history="1">
              <w:r w:rsidRPr="001B3DFB">
                <w:rPr>
                  <w:rStyle w:val="Hyperlink"/>
                  <w:color w:val="000000" w:themeColor="text1"/>
                  <w:sz w:val="16"/>
                  <w:u w:val="none"/>
                </w:rPr>
                <w:t>11: Securities lending facility</w:t>
              </w:r>
            </w:hyperlink>
          </w:p>
        </w:tc>
        <w:tc>
          <w:tcPr>
            <w:tcW w:w="624" w:type="pct"/>
            <w:shd w:val="clear" w:color="auto" w:fill="F2F2F2" w:themeFill="background1" w:themeFillShade="F2"/>
          </w:tcPr>
          <w:p w14:paraId="6B624884" w14:textId="267EFA94" w:rsidR="00B91F57" w:rsidRPr="001B3DFB" w:rsidRDefault="00644A5B" w:rsidP="00C86F4A">
            <w:pPr>
              <w:pStyle w:val="TableTextRight"/>
            </w:pPr>
            <w:r>
              <w:t>1</w:t>
            </w:r>
            <w:r w:rsidR="00FC31CD">
              <w:t>50</w:t>
            </w:r>
          </w:p>
        </w:tc>
      </w:tr>
      <w:tr w:rsidR="00BB1E09" w:rsidRPr="00686829" w14:paraId="4B7C3B5E" w14:textId="77777777" w:rsidTr="00BB1E09">
        <w:trPr>
          <w:trHeight w:val="46"/>
        </w:trPr>
        <w:tc>
          <w:tcPr>
            <w:tcW w:w="4376" w:type="pct"/>
            <w:shd w:val="clear" w:color="auto" w:fill="F2F2F2" w:themeFill="background1" w:themeFillShade="F2"/>
          </w:tcPr>
          <w:p w14:paraId="3F7D33CE" w14:textId="77777777" w:rsidR="00BB1E09" w:rsidRPr="001B3DFB" w:rsidRDefault="00BB1E09" w:rsidP="00C86F4A">
            <w:pPr>
              <w:pStyle w:val="TableTextLeft"/>
            </w:pPr>
            <w:r w:rsidRPr="001B3DFB">
              <w:t>Other information</w:t>
            </w:r>
          </w:p>
        </w:tc>
        <w:tc>
          <w:tcPr>
            <w:tcW w:w="624" w:type="pct"/>
            <w:shd w:val="clear" w:color="auto" w:fill="F2F2F2" w:themeFill="background1" w:themeFillShade="F2"/>
          </w:tcPr>
          <w:p w14:paraId="679147CC" w14:textId="43E8D3CE" w:rsidR="00BB1E09" w:rsidRPr="001B3DFB" w:rsidRDefault="00BB1E09" w:rsidP="00BB1E09">
            <w:pPr>
              <w:pStyle w:val="TableTextLeft"/>
              <w:jc w:val="right"/>
            </w:pPr>
            <w:r>
              <w:t>1</w:t>
            </w:r>
            <w:r w:rsidR="00FC31CD">
              <w:t>51</w:t>
            </w:r>
          </w:p>
        </w:tc>
      </w:tr>
    </w:tbl>
    <w:p w14:paraId="77FE7251" w14:textId="77777777" w:rsidR="00B91F57" w:rsidRDefault="00B91F57" w:rsidP="00B91F57">
      <w:r>
        <w:br w:type="page"/>
      </w:r>
    </w:p>
    <w:p w14:paraId="1F399302" w14:textId="77777777" w:rsidR="00B91F57" w:rsidRPr="006534F5" w:rsidRDefault="00B91F57" w:rsidP="00B91F57">
      <w:pPr>
        <w:pStyle w:val="Heading2"/>
      </w:pPr>
      <w:bookmarkStart w:id="1604" w:name="_Toc207792926"/>
      <w:bookmarkStart w:id="1605" w:name="_Toc207793966"/>
      <w:bookmarkStart w:id="1606" w:name="_Toc207796122"/>
      <w:bookmarkStart w:id="1607" w:name="_Toc207796970"/>
      <w:bookmarkStart w:id="1608" w:name="_Toc207800273"/>
      <w:bookmarkStart w:id="1609" w:name="_Toc207810851"/>
      <w:bookmarkStart w:id="1610" w:name="_Toc208914130"/>
      <w:bookmarkStart w:id="1611" w:name="_Toc209424527"/>
      <w:r>
        <w:lastRenderedPageBreak/>
        <w:t>Administered s</w:t>
      </w:r>
      <w:r w:rsidRPr="006534F5">
        <w:t>chedule of comprehensive income</w:t>
      </w:r>
      <w:bookmarkEnd w:id="1604"/>
      <w:bookmarkEnd w:id="1605"/>
      <w:bookmarkEnd w:id="1606"/>
      <w:bookmarkEnd w:id="1607"/>
      <w:bookmarkEnd w:id="1608"/>
      <w:bookmarkEnd w:id="1609"/>
      <w:bookmarkEnd w:id="1610"/>
      <w:bookmarkEnd w:id="1611"/>
    </w:p>
    <w:p w14:paraId="7EC96780" w14:textId="77777777" w:rsidR="00B91F57" w:rsidRPr="0010539E" w:rsidRDefault="00B91F57" w:rsidP="00B91F57">
      <w:pPr>
        <w:pStyle w:val="TableMainHeading"/>
      </w:pPr>
      <w:r w:rsidRPr="0010539E">
        <w:t>For the period ended 30 June 2025</w:t>
      </w:r>
    </w:p>
    <w:tbl>
      <w:tblPr>
        <w:tblStyle w:val="AOFMTablemain"/>
        <w:tblW w:w="5000" w:type="pct"/>
        <w:tblLayout w:type="fixed"/>
        <w:tblLook w:val="06A0" w:firstRow="1" w:lastRow="0" w:firstColumn="1" w:lastColumn="0" w:noHBand="1" w:noVBand="1"/>
      </w:tblPr>
      <w:tblGrid>
        <w:gridCol w:w="2617"/>
        <w:gridCol w:w="1103"/>
        <w:gridCol w:w="1423"/>
        <w:gridCol w:w="1285"/>
        <w:gridCol w:w="1283"/>
      </w:tblGrid>
      <w:tr w:rsidR="0048600D" w:rsidRPr="006534F5" w14:paraId="79F8213F" w14:textId="77777777" w:rsidTr="00BD7AD5">
        <w:trPr>
          <w:cnfStyle w:val="100000000000" w:firstRow="1" w:lastRow="0" w:firstColumn="0" w:lastColumn="0" w:oddVBand="0" w:evenVBand="0" w:oddHBand="0" w:evenHBand="0" w:firstRowFirstColumn="0" w:firstRowLastColumn="0" w:lastRowFirstColumn="0" w:lastRowLastColumn="0"/>
          <w:trHeight w:hRule="exact" w:val="703"/>
        </w:trPr>
        <w:tc>
          <w:tcPr>
            <w:tcW w:w="1697" w:type="pct"/>
            <w:tcBorders>
              <w:bottom w:val="single" w:sz="4" w:space="0" w:color="29114B" w:themeColor="text2"/>
            </w:tcBorders>
            <w:noWrap/>
            <w:tcMar>
              <w:top w:w="57" w:type="dxa"/>
              <w:bottom w:w="57" w:type="dxa"/>
            </w:tcMar>
            <w:hideMark/>
          </w:tcPr>
          <w:p w14:paraId="0F94870C" w14:textId="77777777" w:rsidR="00B91F57" w:rsidRPr="00D67507" w:rsidRDefault="00B91F57" w:rsidP="00C86F4A">
            <w:pPr>
              <w:pStyle w:val="TableColumnHeadingRight"/>
              <w:rPr>
                <w:szCs w:val="16"/>
              </w:rPr>
            </w:pPr>
            <w:r w:rsidRPr="00D67507">
              <w:rPr>
                <w:szCs w:val="16"/>
              </w:rPr>
              <w:t> </w:t>
            </w:r>
          </w:p>
        </w:tc>
        <w:tc>
          <w:tcPr>
            <w:tcW w:w="715" w:type="pct"/>
            <w:tcBorders>
              <w:bottom w:val="single" w:sz="4" w:space="0" w:color="29114B" w:themeColor="text2"/>
            </w:tcBorders>
            <w:noWrap/>
            <w:tcMar>
              <w:top w:w="57" w:type="dxa"/>
              <w:bottom w:w="57" w:type="dxa"/>
            </w:tcMar>
            <w:vAlign w:val="bottom"/>
            <w:hideMark/>
          </w:tcPr>
          <w:p w14:paraId="500DA06A" w14:textId="77777777" w:rsidR="00B91F57" w:rsidRPr="00D67507" w:rsidRDefault="00B91F57" w:rsidP="00B91F57">
            <w:pPr>
              <w:pStyle w:val="TableColumnHeadingRight"/>
              <w:rPr>
                <w:szCs w:val="16"/>
              </w:rPr>
            </w:pPr>
            <w:r w:rsidRPr="00D67507">
              <w:rPr>
                <w:szCs w:val="16"/>
              </w:rPr>
              <w:t>Notes</w:t>
            </w:r>
          </w:p>
        </w:tc>
        <w:tc>
          <w:tcPr>
            <w:tcW w:w="923" w:type="pct"/>
            <w:tcBorders>
              <w:bottom w:val="single" w:sz="4" w:space="0" w:color="29114B" w:themeColor="text2"/>
            </w:tcBorders>
            <w:noWrap/>
            <w:tcMar>
              <w:top w:w="57" w:type="dxa"/>
              <w:bottom w:w="57" w:type="dxa"/>
            </w:tcMar>
            <w:vAlign w:val="bottom"/>
            <w:hideMark/>
          </w:tcPr>
          <w:p w14:paraId="35CFE02B" w14:textId="77777777" w:rsidR="00B91F57" w:rsidRPr="00D67507" w:rsidRDefault="00B91F57" w:rsidP="00B91F57">
            <w:pPr>
              <w:pStyle w:val="TableColumnHeadingRight"/>
              <w:rPr>
                <w:szCs w:val="16"/>
              </w:rPr>
            </w:pPr>
            <w:r w:rsidRPr="00D67507">
              <w:rPr>
                <w:szCs w:val="16"/>
              </w:rPr>
              <w:t xml:space="preserve">2025 </w:t>
            </w:r>
          </w:p>
          <w:p w14:paraId="02D7AD6A" w14:textId="77777777" w:rsidR="00B91F57" w:rsidRPr="00D67507" w:rsidRDefault="00B91F57" w:rsidP="00B91F57">
            <w:pPr>
              <w:pStyle w:val="TableColumnHeadingRight"/>
              <w:rPr>
                <w:szCs w:val="16"/>
              </w:rPr>
            </w:pPr>
            <w:r w:rsidRPr="00D67507">
              <w:rPr>
                <w:szCs w:val="16"/>
              </w:rPr>
              <w:t xml:space="preserve">($million) </w:t>
            </w:r>
          </w:p>
        </w:tc>
        <w:tc>
          <w:tcPr>
            <w:tcW w:w="833" w:type="pct"/>
            <w:tcBorders>
              <w:bottom w:val="single" w:sz="4" w:space="0" w:color="29114B" w:themeColor="text2"/>
            </w:tcBorders>
            <w:noWrap/>
            <w:tcMar>
              <w:top w:w="57" w:type="dxa"/>
              <w:bottom w:w="57" w:type="dxa"/>
            </w:tcMar>
            <w:vAlign w:val="bottom"/>
            <w:hideMark/>
          </w:tcPr>
          <w:p w14:paraId="27245C2E" w14:textId="77777777" w:rsidR="00B91F57" w:rsidRPr="00D67507" w:rsidRDefault="00B91F57" w:rsidP="00B91F57">
            <w:pPr>
              <w:pStyle w:val="TableColumnHeadingRight"/>
              <w:rPr>
                <w:szCs w:val="16"/>
              </w:rPr>
            </w:pPr>
            <w:r w:rsidRPr="00D67507">
              <w:rPr>
                <w:szCs w:val="16"/>
              </w:rPr>
              <w:t xml:space="preserve">2024 </w:t>
            </w:r>
          </w:p>
          <w:p w14:paraId="38F10BAF" w14:textId="77777777" w:rsidR="00B91F57" w:rsidRPr="00D67507" w:rsidRDefault="00B91F57" w:rsidP="00B91F57">
            <w:pPr>
              <w:pStyle w:val="TableColumnHeadingRight"/>
              <w:rPr>
                <w:szCs w:val="16"/>
              </w:rPr>
            </w:pPr>
            <w:r w:rsidRPr="00D67507">
              <w:rPr>
                <w:szCs w:val="16"/>
              </w:rPr>
              <w:t>($million)</w:t>
            </w:r>
          </w:p>
        </w:tc>
        <w:tc>
          <w:tcPr>
            <w:tcW w:w="832" w:type="pct"/>
            <w:tcBorders>
              <w:bottom w:val="single" w:sz="4" w:space="0" w:color="29114B" w:themeColor="text2"/>
            </w:tcBorders>
            <w:tcMar>
              <w:top w:w="57" w:type="dxa"/>
              <w:bottom w:w="57" w:type="dxa"/>
            </w:tcMar>
            <w:vAlign w:val="bottom"/>
          </w:tcPr>
          <w:p w14:paraId="21EC1BED" w14:textId="28292F31" w:rsidR="00B91F57" w:rsidRPr="00D67507" w:rsidRDefault="00B91F57" w:rsidP="00B91F57">
            <w:pPr>
              <w:pStyle w:val="TableColumnHeadingRight"/>
              <w:rPr>
                <w:szCs w:val="16"/>
              </w:rPr>
            </w:pPr>
            <w:r w:rsidRPr="00D67507">
              <w:rPr>
                <w:szCs w:val="16"/>
              </w:rPr>
              <w:t>Budget 2025 ($million)</w:t>
            </w:r>
          </w:p>
        </w:tc>
      </w:tr>
      <w:tr w:rsidR="00B91F57" w:rsidRPr="006534F5" w14:paraId="5EDF0253" w14:textId="77777777" w:rsidTr="00BD7AD5">
        <w:tc>
          <w:tcPr>
            <w:tcW w:w="1697" w:type="pct"/>
            <w:tcBorders>
              <w:top w:val="single" w:sz="4" w:space="0" w:color="29114B" w:themeColor="text2"/>
              <w:right w:val="single" w:sz="4" w:space="0" w:color="F2F2F2" w:themeColor="background1" w:themeShade="F2"/>
            </w:tcBorders>
            <w:shd w:val="clear" w:color="auto" w:fill="F2F2F2" w:themeFill="background1" w:themeFillShade="F2"/>
            <w:noWrap/>
            <w:tcMar>
              <w:top w:w="28" w:type="dxa"/>
              <w:bottom w:w="28" w:type="dxa"/>
            </w:tcMar>
            <w:hideMark/>
          </w:tcPr>
          <w:p w14:paraId="3F205909" w14:textId="77777777" w:rsidR="00B91F57" w:rsidRPr="001E2AEB" w:rsidRDefault="00B91F57" w:rsidP="001E2AEB">
            <w:pPr>
              <w:pStyle w:val="TableSecondHeading"/>
              <w:rPr>
                <w:b/>
                <w:bCs/>
              </w:rPr>
            </w:pPr>
            <w:r w:rsidRPr="001E2AEB">
              <w:rPr>
                <w:b/>
                <w:bCs/>
              </w:rPr>
              <w:t>Expenses</w:t>
            </w:r>
          </w:p>
        </w:tc>
        <w:tc>
          <w:tcPr>
            <w:tcW w:w="715"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28" w:type="dxa"/>
              <w:bottom w:w="28" w:type="dxa"/>
            </w:tcMar>
            <w:hideMark/>
          </w:tcPr>
          <w:p w14:paraId="57047E84" w14:textId="77777777" w:rsidR="00B91F57" w:rsidRPr="00D67507" w:rsidRDefault="00B91F57" w:rsidP="00C86F4A">
            <w:pPr>
              <w:pStyle w:val="TableTextRight"/>
              <w:rPr>
                <w:szCs w:val="16"/>
              </w:rPr>
            </w:pPr>
            <w:r w:rsidRPr="00D67507">
              <w:rPr>
                <w:szCs w:val="16"/>
              </w:rPr>
              <w:t> </w:t>
            </w:r>
          </w:p>
        </w:tc>
        <w:tc>
          <w:tcPr>
            <w:tcW w:w="92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28" w:type="dxa"/>
              <w:bottom w:w="28" w:type="dxa"/>
            </w:tcMar>
            <w:hideMark/>
          </w:tcPr>
          <w:p w14:paraId="62767C65" w14:textId="77777777" w:rsidR="00B91F57" w:rsidRPr="00D67507" w:rsidRDefault="00B91F57" w:rsidP="00C86F4A">
            <w:pPr>
              <w:pStyle w:val="TableColumnHeadingRight"/>
              <w:rPr>
                <w:color w:val="202845"/>
                <w:szCs w:val="16"/>
              </w:rPr>
            </w:pPr>
            <w:r w:rsidRPr="00D67507">
              <w:rPr>
                <w:color w:val="202845"/>
                <w:szCs w:val="16"/>
              </w:rPr>
              <w:t> </w:t>
            </w: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28" w:type="dxa"/>
              <w:bottom w:w="28" w:type="dxa"/>
            </w:tcMar>
            <w:hideMark/>
          </w:tcPr>
          <w:p w14:paraId="768F24DA" w14:textId="77777777" w:rsidR="00B91F57" w:rsidRPr="00D67507" w:rsidRDefault="00B91F57" w:rsidP="00C86F4A">
            <w:pPr>
              <w:pStyle w:val="TableColumnHeadingRight"/>
              <w:rPr>
                <w:color w:val="202845"/>
                <w:szCs w:val="16"/>
              </w:rPr>
            </w:pPr>
            <w:r w:rsidRPr="00D67507">
              <w:rPr>
                <w:color w:val="202845"/>
                <w:szCs w:val="16"/>
              </w:rPr>
              <w:t> </w:t>
            </w:r>
          </w:p>
        </w:tc>
        <w:tc>
          <w:tcPr>
            <w:tcW w:w="832" w:type="pct"/>
            <w:tcBorders>
              <w:top w:val="single" w:sz="4" w:space="0" w:color="29114B" w:themeColor="text2"/>
              <w:left w:val="single" w:sz="4" w:space="0" w:color="F2F2F2" w:themeColor="background1" w:themeShade="F2"/>
            </w:tcBorders>
            <w:shd w:val="clear" w:color="auto" w:fill="F2F2F2" w:themeFill="background1" w:themeFillShade="F2"/>
            <w:tcMar>
              <w:top w:w="28" w:type="dxa"/>
              <w:bottom w:w="28" w:type="dxa"/>
            </w:tcMar>
          </w:tcPr>
          <w:p w14:paraId="6C85AA31" w14:textId="77777777" w:rsidR="00B91F57" w:rsidRPr="00D67507" w:rsidRDefault="00B91F57" w:rsidP="00C86F4A">
            <w:pPr>
              <w:pStyle w:val="TableColumnHeadingRight"/>
              <w:rPr>
                <w:color w:val="202845"/>
                <w:szCs w:val="16"/>
              </w:rPr>
            </w:pPr>
          </w:p>
        </w:tc>
      </w:tr>
      <w:tr w:rsidR="00B91F57" w:rsidRPr="006534F5" w14:paraId="5E0B7471" w14:textId="77777777" w:rsidTr="00BD7AD5">
        <w:tc>
          <w:tcPr>
            <w:tcW w:w="1697" w:type="pct"/>
            <w:shd w:val="clear" w:color="auto" w:fill="F2F2F2" w:themeFill="background1" w:themeFillShade="F2"/>
            <w:noWrap/>
            <w:tcMar>
              <w:top w:w="28" w:type="dxa"/>
              <w:bottom w:w="28" w:type="dxa"/>
            </w:tcMar>
            <w:hideMark/>
          </w:tcPr>
          <w:p w14:paraId="2C6912FB" w14:textId="77777777" w:rsidR="00B91F57" w:rsidRPr="00B90614" w:rsidRDefault="00B91F57" w:rsidP="00C86F4A">
            <w:pPr>
              <w:pStyle w:val="TableTextLeft"/>
              <w:rPr>
                <w:b/>
                <w:bCs/>
              </w:rPr>
            </w:pPr>
            <w:r w:rsidRPr="00B90614">
              <w:rPr>
                <w:b/>
                <w:bCs/>
              </w:rPr>
              <w:t>Interest expense:</w:t>
            </w:r>
          </w:p>
        </w:tc>
        <w:tc>
          <w:tcPr>
            <w:tcW w:w="715" w:type="pct"/>
            <w:shd w:val="clear" w:color="auto" w:fill="F2F2F2" w:themeFill="background1" w:themeFillShade="F2"/>
            <w:noWrap/>
            <w:tcMar>
              <w:top w:w="28" w:type="dxa"/>
              <w:bottom w:w="28" w:type="dxa"/>
            </w:tcMar>
            <w:hideMark/>
          </w:tcPr>
          <w:p w14:paraId="5609DF14" w14:textId="77777777" w:rsidR="00B91F57" w:rsidRPr="00D67507" w:rsidRDefault="00B91F57" w:rsidP="00C86F4A">
            <w:pPr>
              <w:pStyle w:val="TableTextRight"/>
              <w:rPr>
                <w:szCs w:val="16"/>
              </w:rPr>
            </w:pPr>
            <w:r w:rsidRPr="00D67507">
              <w:rPr>
                <w:szCs w:val="16"/>
              </w:rPr>
              <w:t> </w:t>
            </w:r>
          </w:p>
        </w:tc>
        <w:tc>
          <w:tcPr>
            <w:tcW w:w="923" w:type="pct"/>
            <w:shd w:val="clear" w:color="auto" w:fill="F2F2F2" w:themeFill="background1" w:themeFillShade="F2"/>
            <w:noWrap/>
            <w:tcMar>
              <w:top w:w="28" w:type="dxa"/>
              <w:bottom w:w="28" w:type="dxa"/>
            </w:tcMar>
            <w:hideMark/>
          </w:tcPr>
          <w:p w14:paraId="53BFEF6F" w14:textId="77777777" w:rsidR="00B91F57" w:rsidRPr="00D67507" w:rsidRDefault="00B91F57" w:rsidP="00C86F4A">
            <w:pPr>
              <w:pStyle w:val="TableTextRight"/>
              <w:rPr>
                <w:color w:val="202845"/>
                <w:szCs w:val="16"/>
              </w:rPr>
            </w:pPr>
            <w:r w:rsidRPr="00D67507">
              <w:rPr>
                <w:color w:val="202845"/>
                <w:szCs w:val="16"/>
              </w:rPr>
              <w:t> </w:t>
            </w:r>
          </w:p>
        </w:tc>
        <w:tc>
          <w:tcPr>
            <w:tcW w:w="833" w:type="pct"/>
            <w:shd w:val="clear" w:color="auto" w:fill="F2F2F2" w:themeFill="background1" w:themeFillShade="F2"/>
            <w:noWrap/>
            <w:tcMar>
              <w:top w:w="28" w:type="dxa"/>
              <w:bottom w:w="28" w:type="dxa"/>
            </w:tcMar>
            <w:hideMark/>
          </w:tcPr>
          <w:p w14:paraId="0551681E" w14:textId="77777777" w:rsidR="00B91F57" w:rsidRPr="00D67507" w:rsidRDefault="00B91F57" w:rsidP="00C86F4A">
            <w:pPr>
              <w:pStyle w:val="TableTextRight"/>
              <w:rPr>
                <w:color w:val="202845"/>
                <w:szCs w:val="16"/>
              </w:rPr>
            </w:pPr>
            <w:r w:rsidRPr="00D67507">
              <w:rPr>
                <w:color w:val="202845"/>
                <w:szCs w:val="16"/>
              </w:rPr>
              <w:t> </w:t>
            </w:r>
          </w:p>
        </w:tc>
        <w:tc>
          <w:tcPr>
            <w:tcW w:w="832" w:type="pct"/>
            <w:shd w:val="clear" w:color="auto" w:fill="F2F2F2" w:themeFill="background1" w:themeFillShade="F2"/>
            <w:tcMar>
              <w:top w:w="28" w:type="dxa"/>
              <w:bottom w:w="28" w:type="dxa"/>
            </w:tcMar>
          </w:tcPr>
          <w:p w14:paraId="1F1404DE" w14:textId="77777777" w:rsidR="00B91F57" w:rsidRPr="00D67507" w:rsidRDefault="00B91F57" w:rsidP="00C86F4A">
            <w:pPr>
              <w:pStyle w:val="TableTextRight"/>
              <w:rPr>
                <w:color w:val="202845"/>
                <w:szCs w:val="16"/>
              </w:rPr>
            </w:pPr>
          </w:p>
        </w:tc>
      </w:tr>
      <w:tr w:rsidR="00B91F57" w:rsidRPr="006534F5" w14:paraId="2D69E897" w14:textId="77777777" w:rsidTr="00BD7AD5">
        <w:tc>
          <w:tcPr>
            <w:tcW w:w="1697" w:type="pct"/>
            <w:shd w:val="clear" w:color="auto" w:fill="F2F2F2" w:themeFill="background1" w:themeFillShade="F2"/>
            <w:noWrap/>
            <w:tcMar>
              <w:top w:w="28" w:type="dxa"/>
              <w:bottom w:w="28" w:type="dxa"/>
            </w:tcMar>
            <w:hideMark/>
          </w:tcPr>
          <w:p w14:paraId="787EEAF0" w14:textId="77777777" w:rsidR="00B91F57" w:rsidRPr="00D67507" w:rsidRDefault="00B91F57" w:rsidP="00C86F4A">
            <w:pPr>
              <w:pStyle w:val="TableTextLeft"/>
              <w:rPr>
                <w:szCs w:val="16"/>
              </w:rPr>
            </w:pPr>
            <w:r w:rsidRPr="00D67507">
              <w:rPr>
                <w:szCs w:val="16"/>
              </w:rPr>
              <w:t>Treasury Bonds</w:t>
            </w:r>
          </w:p>
        </w:tc>
        <w:tc>
          <w:tcPr>
            <w:tcW w:w="715" w:type="pct"/>
            <w:shd w:val="clear" w:color="auto" w:fill="F2F2F2" w:themeFill="background1" w:themeFillShade="F2"/>
            <w:noWrap/>
            <w:tcMar>
              <w:top w:w="28" w:type="dxa"/>
              <w:bottom w:w="28" w:type="dxa"/>
            </w:tcMar>
            <w:hideMark/>
          </w:tcPr>
          <w:p w14:paraId="3807FBDD" w14:textId="77777777" w:rsidR="00B91F57" w:rsidRPr="00D67507" w:rsidRDefault="00B91F57" w:rsidP="00C86F4A">
            <w:pPr>
              <w:pStyle w:val="TableTextRight"/>
              <w:rPr>
                <w:b/>
                <w:bCs/>
                <w:szCs w:val="16"/>
              </w:rPr>
            </w:pPr>
            <w:r w:rsidRPr="00D67507">
              <w:rPr>
                <w:b/>
                <w:bCs/>
                <w:szCs w:val="16"/>
              </w:rPr>
              <w:t>2</w:t>
            </w:r>
          </w:p>
        </w:tc>
        <w:tc>
          <w:tcPr>
            <w:tcW w:w="923" w:type="pct"/>
            <w:shd w:val="clear" w:color="auto" w:fill="F2F2F2" w:themeFill="background1" w:themeFillShade="F2"/>
            <w:noWrap/>
            <w:tcMar>
              <w:top w:w="28" w:type="dxa"/>
              <w:bottom w:w="28" w:type="dxa"/>
            </w:tcMar>
          </w:tcPr>
          <w:p w14:paraId="25561EBC" w14:textId="77777777" w:rsidR="00B91F57" w:rsidRPr="00D67507" w:rsidRDefault="00B91F57" w:rsidP="00C86F4A">
            <w:pPr>
              <w:pStyle w:val="TableTextRight"/>
              <w:rPr>
                <w:szCs w:val="16"/>
              </w:rPr>
            </w:pPr>
            <w:r>
              <w:rPr>
                <w:szCs w:val="16"/>
              </w:rPr>
              <w:t>20,455</w:t>
            </w:r>
          </w:p>
        </w:tc>
        <w:tc>
          <w:tcPr>
            <w:tcW w:w="833" w:type="pct"/>
            <w:shd w:val="clear" w:color="auto" w:fill="F2F2F2" w:themeFill="background1" w:themeFillShade="F2"/>
            <w:noWrap/>
            <w:tcMar>
              <w:top w:w="28" w:type="dxa"/>
              <w:bottom w:w="28" w:type="dxa"/>
            </w:tcMar>
          </w:tcPr>
          <w:p w14:paraId="73E5D6C7" w14:textId="77777777" w:rsidR="00B91F57" w:rsidRPr="00D67507" w:rsidRDefault="00B91F57" w:rsidP="00C86F4A">
            <w:pPr>
              <w:pStyle w:val="TableTextRight"/>
              <w:rPr>
                <w:szCs w:val="16"/>
              </w:rPr>
            </w:pPr>
            <w:r w:rsidRPr="00D67507">
              <w:rPr>
                <w:szCs w:val="16"/>
              </w:rPr>
              <w:t>18,414</w:t>
            </w:r>
          </w:p>
        </w:tc>
        <w:tc>
          <w:tcPr>
            <w:tcW w:w="832" w:type="pct"/>
            <w:shd w:val="clear" w:color="auto" w:fill="F2F2F2" w:themeFill="background1" w:themeFillShade="F2"/>
            <w:tcMar>
              <w:top w:w="28" w:type="dxa"/>
              <w:bottom w:w="28" w:type="dxa"/>
            </w:tcMar>
          </w:tcPr>
          <w:p w14:paraId="536D913E" w14:textId="77777777" w:rsidR="00B91F57" w:rsidRPr="00D67507" w:rsidRDefault="00B91F57" w:rsidP="00C86F4A">
            <w:pPr>
              <w:pStyle w:val="TableTextRight"/>
              <w:rPr>
                <w:szCs w:val="16"/>
              </w:rPr>
            </w:pPr>
            <w:r w:rsidRPr="00D67507">
              <w:rPr>
                <w:szCs w:val="16"/>
              </w:rPr>
              <w:t>20,306</w:t>
            </w:r>
          </w:p>
        </w:tc>
      </w:tr>
      <w:tr w:rsidR="00B91F57" w:rsidRPr="006534F5" w14:paraId="01B5BA37" w14:textId="77777777" w:rsidTr="00BD7AD5">
        <w:tc>
          <w:tcPr>
            <w:tcW w:w="1697" w:type="pct"/>
            <w:shd w:val="clear" w:color="auto" w:fill="F2F2F2" w:themeFill="background1" w:themeFillShade="F2"/>
            <w:noWrap/>
            <w:tcMar>
              <w:top w:w="28" w:type="dxa"/>
              <w:bottom w:w="28" w:type="dxa"/>
            </w:tcMar>
            <w:hideMark/>
          </w:tcPr>
          <w:p w14:paraId="530CC65D" w14:textId="77777777" w:rsidR="00B91F57" w:rsidRPr="00D67507" w:rsidRDefault="00B91F57" w:rsidP="00C86F4A">
            <w:pPr>
              <w:pStyle w:val="TableTextLeft"/>
              <w:rPr>
                <w:szCs w:val="16"/>
              </w:rPr>
            </w:pPr>
            <w:r w:rsidRPr="00D67507">
              <w:rPr>
                <w:szCs w:val="16"/>
              </w:rPr>
              <w:t>Treasury Indexed Bonds</w:t>
            </w:r>
          </w:p>
        </w:tc>
        <w:tc>
          <w:tcPr>
            <w:tcW w:w="715" w:type="pct"/>
            <w:shd w:val="clear" w:color="auto" w:fill="F2F2F2" w:themeFill="background1" w:themeFillShade="F2"/>
            <w:noWrap/>
            <w:tcMar>
              <w:top w:w="28" w:type="dxa"/>
              <w:bottom w:w="28" w:type="dxa"/>
            </w:tcMar>
            <w:hideMark/>
          </w:tcPr>
          <w:p w14:paraId="2C22D200" w14:textId="77777777" w:rsidR="00B91F57" w:rsidRPr="00D67507" w:rsidRDefault="00B91F57" w:rsidP="00C86F4A">
            <w:pPr>
              <w:pStyle w:val="TableTextRight"/>
              <w:rPr>
                <w:b/>
                <w:bCs/>
                <w:szCs w:val="16"/>
              </w:rPr>
            </w:pPr>
            <w:r w:rsidRPr="00D67507">
              <w:rPr>
                <w:b/>
                <w:bCs/>
                <w:szCs w:val="16"/>
              </w:rPr>
              <w:t>3</w:t>
            </w:r>
          </w:p>
        </w:tc>
        <w:tc>
          <w:tcPr>
            <w:tcW w:w="923" w:type="pct"/>
            <w:shd w:val="clear" w:color="auto" w:fill="F2F2F2" w:themeFill="background1" w:themeFillShade="F2"/>
            <w:noWrap/>
            <w:tcMar>
              <w:top w:w="28" w:type="dxa"/>
              <w:bottom w:w="28" w:type="dxa"/>
            </w:tcMar>
          </w:tcPr>
          <w:p w14:paraId="4EDF1946" w14:textId="77777777" w:rsidR="00B91F57" w:rsidRPr="00D67507" w:rsidRDefault="00B91F57" w:rsidP="00C86F4A">
            <w:pPr>
              <w:pStyle w:val="TableTextRight"/>
              <w:rPr>
                <w:szCs w:val="16"/>
              </w:rPr>
            </w:pPr>
            <w:r>
              <w:rPr>
                <w:szCs w:val="16"/>
              </w:rPr>
              <w:t>1,971</w:t>
            </w:r>
          </w:p>
        </w:tc>
        <w:tc>
          <w:tcPr>
            <w:tcW w:w="833" w:type="pct"/>
            <w:shd w:val="clear" w:color="auto" w:fill="F2F2F2" w:themeFill="background1" w:themeFillShade="F2"/>
            <w:noWrap/>
            <w:tcMar>
              <w:top w:w="28" w:type="dxa"/>
              <w:bottom w:w="28" w:type="dxa"/>
            </w:tcMar>
          </w:tcPr>
          <w:p w14:paraId="5FD97303" w14:textId="77777777" w:rsidR="00B91F57" w:rsidRPr="00D67507" w:rsidRDefault="00B91F57" w:rsidP="00C86F4A">
            <w:pPr>
              <w:pStyle w:val="TableTextRight"/>
              <w:rPr>
                <w:szCs w:val="16"/>
              </w:rPr>
            </w:pPr>
            <w:r>
              <w:rPr>
                <w:szCs w:val="16"/>
              </w:rPr>
              <w:t>2</w:t>
            </w:r>
            <w:r w:rsidRPr="00D67507">
              <w:rPr>
                <w:szCs w:val="16"/>
              </w:rPr>
              <w:t xml:space="preserve">,932 </w:t>
            </w:r>
          </w:p>
        </w:tc>
        <w:tc>
          <w:tcPr>
            <w:tcW w:w="832" w:type="pct"/>
            <w:shd w:val="clear" w:color="auto" w:fill="F2F2F2" w:themeFill="background1" w:themeFillShade="F2"/>
            <w:tcMar>
              <w:top w:w="28" w:type="dxa"/>
              <w:bottom w:w="28" w:type="dxa"/>
            </w:tcMar>
          </w:tcPr>
          <w:p w14:paraId="341E191A" w14:textId="77777777" w:rsidR="00B91F57" w:rsidRPr="00D67507" w:rsidRDefault="00B91F57" w:rsidP="00C86F4A">
            <w:pPr>
              <w:pStyle w:val="TableTextRight"/>
              <w:rPr>
                <w:szCs w:val="16"/>
              </w:rPr>
            </w:pPr>
            <w:r w:rsidRPr="00D67507">
              <w:rPr>
                <w:szCs w:val="16"/>
              </w:rPr>
              <w:t>2,232</w:t>
            </w:r>
          </w:p>
        </w:tc>
      </w:tr>
      <w:tr w:rsidR="00B91F57" w:rsidRPr="006534F5" w14:paraId="2D4C0BE0" w14:textId="77777777" w:rsidTr="00BD7AD5">
        <w:tc>
          <w:tcPr>
            <w:tcW w:w="1697" w:type="pct"/>
            <w:shd w:val="clear" w:color="auto" w:fill="F2F2F2" w:themeFill="background1" w:themeFillShade="F2"/>
            <w:noWrap/>
            <w:tcMar>
              <w:top w:w="28" w:type="dxa"/>
              <w:bottom w:w="28" w:type="dxa"/>
            </w:tcMar>
            <w:hideMark/>
          </w:tcPr>
          <w:p w14:paraId="33B57333" w14:textId="77777777" w:rsidR="00B91F57" w:rsidRPr="00D67507" w:rsidRDefault="00B91F57" w:rsidP="00C86F4A">
            <w:pPr>
              <w:pStyle w:val="TableTextLeft"/>
              <w:rPr>
                <w:szCs w:val="16"/>
              </w:rPr>
            </w:pPr>
            <w:r w:rsidRPr="00D67507">
              <w:rPr>
                <w:szCs w:val="16"/>
              </w:rPr>
              <w:t>Treasury Notes</w:t>
            </w:r>
          </w:p>
        </w:tc>
        <w:tc>
          <w:tcPr>
            <w:tcW w:w="715" w:type="pct"/>
            <w:shd w:val="clear" w:color="auto" w:fill="F2F2F2" w:themeFill="background1" w:themeFillShade="F2"/>
            <w:noWrap/>
            <w:tcMar>
              <w:top w:w="28" w:type="dxa"/>
              <w:bottom w:w="28" w:type="dxa"/>
            </w:tcMar>
            <w:hideMark/>
          </w:tcPr>
          <w:p w14:paraId="53112D3E" w14:textId="77777777" w:rsidR="00B91F57" w:rsidRPr="00D67507" w:rsidRDefault="00B91F57" w:rsidP="00C86F4A">
            <w:pPr>
              <w:pStyle w:val="TableTextRight"/>
              <w:rPr>
                <w:b/>
                <w:bCs/>
                <w:szCs w:val="16"/>
              </w:rPr>
            </w:pPr>
            <w:r w:rsidRPr="00D67507">
              <w:rPr>
                <w:b/>
                <w:bCs/>
                <w:szCs w:val="16"/>
              </w:rPr>
              <w:t>4</w:t>
            </w:r>
          </w:p>
        </w:tc>
        <w:tc>
          <w:tcPr>
            <w:tcW w:w="923" w:type="pct"/>
            <w:shd w:val="clear" w:color="auto" w:fill="F2F2F2" w:themeFill="background1" w:themeFillShade="F2"/>
            <w:noWrap/>
            <w:tcMar>
              <w:top w:w="28" w:type="dxa"/>
              <w:bottom w:w="28" w:type="dxa"/>
            </w:tcMar>
          </w:tcPr>
          <w:p w14:paraId="55017977" w14:textId="77777777" w:rsidR="00B91F57" w:rsidRPr="00D67507" w:rsidRDefault="00B91F57" w:rsidP="00C86F4A">
            <w:pPr>
              <w:pStyle w:val="TableTextRight"/>
              <w:rPr>
                <w:szCs w:val="16"/>
              </w:rPr>
            </w:pPr>
            <w:r>
              <w:rPr>
                <w:szCs w:val="16"/>
              </w:rPr>
              <w:t>1,419</w:t>
            </w:r>
          </w:p>
        </w:tc>
        <w:tc>
          <w:tcPr>
            <w:tcW w:w="833" w:type="pct"/>
            <w:shd w:val="clear" w:color="auto" w:fill="F2F2F2" w:themeFill="background1" w:themeFillShade="F2"/>
            <w:noWrap/>
            <w:tcMar>
              <w:top w:w="28" w:type="dxa"/>
              <w:bottom w:w="28" w:type="dxa"/>
            </w:tcMar>
          </w:tcPr>
          <w:p w14:paraId="349DB12F" w14:textId="77777777" w:rsidR="00B91F57" w:rsidRPr="00D67507" w:rsidRDefault="00B91F57" w:rsidP="00C86F4A">
            <w:pPr>
              <w:pStyle w:val="TableTextRight"/>
              <w:rPr>
                <w:szCs w:val="16"/>
              </w:rPr>
            </w:pPr>
            <w:r w:rsidRPr="00D67507">
              <w:rPr>
                <w:szCs w:val="16"/>
              </w:rPr>
              <w:t xml:space="preserve">1,141 </w:t>
            </w:r>
          </w:p>
        </w:tc>
        <w:tc>
          <w:tcPr>
            <w:tcW w:w="832" w:type="pct"/>
            <w:shd w:val="clear" w:color="auto" w:fill="F2F2F2" w:themeFill="background1" w:themeFillShade="F2"/>
            <w:tcMar>
              <w:top w:w="28" w:type="dxa"/>
              <w:bottom w:w="28" w:type="dxa"/>
            </w:tcMar>
          </w:tcPr>
          <w:p w14:paraId="20A32195" w14:textId="77777777" w:rsidR="00B91F57" w:rsidRPr="00D67507" w:rsidRDefault="00B91F57" w:rsidP="00C86F4A">
            <w:pPr>
              <w:pStyle w:val="TableTextRight"/>
              <w:rPr>
                <w:szCs w:val="16"/>
              </w:rPr>
            </w:pPr>
            <w:r w:rsidRPr="00D67507">
              <w:rPr>
                <w:szCs w:val="16"/>
              </w:rPr>
              <w:t>1,544</w:t>
            </w:r>
          </w:p>
        </w:tc>
      </w:tr>
      <w:tr w:rsidR="00B91F57" w:rsidRPr="006534F5" w14:paraId="67613A5D" w14:textId="77777777" w:rsidTr="00BD7AD5">
        <w:tc>
          <w:tcPr>
            <w:tcW w:w="1697" w:type="pct"/>
            <w:shd w:val="clear" w:color="auto" w:fill="F2F2F2" w:themeFill="background1" w:themeFillShade="F2"/>
            <w:noWrap/>
            <w:tcMar>
              <w:top w:w="28" w:type="dxa"/>
              <w:bottom w:w="28" w:type="dxa"/>
            </w:tcMar>
            <w:hideMark/>
          </w:tcPr>
          <w:p w14:paraId="5970536F" w14:textId="77777777" w:rsidR="00B91F57" w:rsidRPr="00591486" w:rsidRDefault="00B91F57" w:rsidP="00C86F4A">
            <w:pPr>
              <w:pStyle w:val="TableTextLeft"/>
              <w:rPr>
                <w:rStyle w:val="Strong"/>
                <w:szCs w:val="16"/>
              </w:rPr>
            </w:pPr>
            <w:r w:rsidRPr="00591486">
              <w:rPr>
                <w:rStyle w:val="Strong"/>
                <w:szCs w:val="16"/>
              </w:rPr>
              <w:t>Total interest expense</w:t>
            </w:r>
          </w:p>
        </w:tc>
        <w:tc>
          <w:tcPr>
            <w:tcW w:w="715" w:type="pct"/>
            <w:shd w:val="clear" w:color="auto" w:fill="F2F2F2" w:themeFill="background1" w:themeFillShade="F2"/>
            <w:noWrap/>
            <w:tcMar>
              <w:top w:w="28" w:type="dxa"/>
              <w:bottom w:w="28" w:type="dxa"/>
            </w:tcMar>
            <w:hideMark/>
          </w:tcPr>
          <w:p w14:paraId="453DB8F8" w14:textId="77777777" w:rsidR="00B91F57" w:rsidRPr="00D67507" w:rsidRDefault="00B91F57" w:rsidP="00C86F4A">
            <w:pPr>
              <w:pStyle w:val="TableTextRight"/>
              <w:rPr>
                <w:rStyle w:val="Strong"/>
                <w:szCs w:val="16"/>
              </w:rPr>
            </w:pPr>
            <w:r w:rsidRPr="00D67507">
              <w:rPr>
                <w:rStyle w:val="Strong"/>
                <w:szCs w:val="16"/>
              </w:rPr>
              <w:t> </w:t>
            </w:r>
          </w:p>
        </w:tc>
        <w:tc>
          <w:tcPr>
            <w:tcW w:w="923" w:type="pct"/>
            <w:shd w:val="clear" w:color="auto" w:fill="F2F2F2" w:themeFill="background1" w:themeFillShade="F2"/>
            <w:noWrap/>
            <w:tcMar>
              <w:top w:w="28" w:type="dxa"/>
              <w:bottom w:w="28" w:type="dxa"/>
            </w:tcMar>
          </w:tcPr>
          <w:p w14:paraId="6BEDCE4B" w14:textId="77777777" w:rsidR="00B91F57" w:rsidRPr="00591486" w:rsidRDefault="00B91F57" w:rsidP="00C86F4A">
            <w:pPr>
              <w:pStyle w:val="TableTextRight"/>
              <w:rPr>
                <w:rStyle w:val="Strong"/>
                <w:szCs w:val="16"/>
              </w:rPr>
            </w:pPr>
            <w:r w:rsidRPr="00591486">
              <w:rPr>
                <w:rStyle w:val="Strong"/>
                <w:szCs w:val="16"/>
              </w:rPr>
              <w:t>23,845</w:t>
            </w:r>
          </w:p>
        </w:tc>
        <w:tc>
          <w:tcPr>
            <w:tcW w:w="833" w:type="pct"/>
            <w:shd w:val="clear" w:color="auto" w:fill="F2F2F2" w:themeFill="background1" w:themeFillShade="F2"/>
            <w:noWrap/>
            <w:tcMar>
              <w:top w:w="28" w:type="dxa"/>
              <w:bottom w:w="28" w:type="dxa"/>
            </w:tcMar>
          </w:tcPr>
          <w:p w14:paraId="1D100909" w14:textId="77777777" w:rsidR="00B91F57" w:rsidRPr="00591486" w:rsidRDefault="00B91F57" w:rsidP="00C86F4A">
            <w:pPr>
              <w:pStyle w:val="TableTextRight"/>
              <w:rPr>
                <w:rStyle w:val="Strong"/>
                <w:szCs w:val="16"/>
              </w:rPr>
            </w:pPr>
            <w:r w:rsidRPr="00591486">
              <w:rPr>
                <w:rStyle w:val="Strong"/>
                <w:szCs w:val="16"/>
              </w:rPr>
              <w:t xml:space="preserve">22,487 </w:t>
            </w:r>
          </w:p>
        </w:tc>
        <w:tc>
          <w:tcPr>
            <w:tcW w:w="832" w:type="pct"/>
            <w:shd w:val="clear" w:color="auto" w:fill="F2F2F2" w:themeFill="background1" w:themeFillShade="F2"/>
            <w:tcMar>
              <w:top w:w="28" w:type="dxa"/>
              <w:bottom w:w="28" w:type="dxa"/>
            </w:tcMar>
          </w:tcPr>
          <w:p w14:paraId="0B37666E" w14:textId="77777777" w:rsidR="00B91F57" w:rsidRPr="00591486" w:rsidRDefault="00B91F57" w:rsidP="00C86F4A">
            <w:pPr>
              <w:pStyle w:val="TableTextRight"/>
              <w:rPr>
                <w:rStyle w:val="Strong"/>
                <w:szCs w:val="16"/>
              </w:rPr>
            </w:pPr>
            <w:r w:rsidRPr="00591486">
              <w:rPr>
                <w:rStyle w:val="Strong"/>
                <w:szCs w:val="16"/>
              </w:rPr>
              <w:t>24,082</w:t>
            </w:r>
          </w:p>
        </w:tc>
      </w:tr>
      <w:tr w:rsidR="00B91F57" w:rsidRPr="006534F5" w14:paraId="3B1A41ED" w14:textId="77777777" w:rsidTr="00BD7AD5">
        <w:tc>
          <w:tcPr>
            <w:tcW w:w="1697" w:type="pct"/>
            <w:shd w:val="clear" w:color="auto" w:fill="F2F2F2" w:themeFill="background1" w:themeFillShade="F2"/>
            <w:noWrap/>
            <w:tcMar>
              <w:top w:w="28" w:type="dxa"/>
              <w:bottom w:w="28" w:type="dxa"/>
            </w:tcMar>
            <w:hideMark/>
          </w:tcPr>
          <w:p w14:paraId="1808E8AA" w14:textId="77777777" w:rsidR="00B91F57" w:rsidRPr="00B90614" w:rsidRDefault="00B91F57" w:rsidP="00C86F4A">
            <w:pPr>
              <w:pStyle w:val="TableTextLeft"/>
              <w:rPr>
                <w:b/>
                <w:bCs/>
              </w:rPr>
            </w:pPr>
            <w:r w:rsidRPr="00B90614">
              <w:rPr>
                <w:b/>
                <w:bCs/>
              </w:rPr>
              <w:t>Other expenses:</w:t>
            </w:r>
          </w:p>
        </w:tc>
        <w:tc>
          <w:tcPr>
            <w:tcW w:w="715" w:type="pct"/>
            <w:shd w:val="clear" w:color="auto" w:fill="F2F2F2" w:themeFill="background1" w:themeFillShade="F2"/>
            <w:noWrap/>
            <w:tcMar>
              <w:top w:w="28" w:type="dxa"/>
              <w:bottom w:w="28" w:type="dxa"/>
            </w:tcMar>
            <w:hideMark/>
          </w:tcPr>
          <w:p w14:paraId="28D2844C"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2F2A167A" w14:textId="77777777" w:rsidR="00B91F57" w:rsidRPr="00D67507" w:rsidRDefault="00B91F57" w:rsidP="00C86F4A">
            <w:pPr>
              <w:pStyle w:val="TableTextRight"/>
              <w:rPr>
                <w:szCs w:val="16"/>
              </w:rPr>
            </w:pPr>
          </w:p>
        </w:tc>
        <w:tc>
          <w:tcPr>
            <w:tcW w:w="833" w:type="pct"/>
            <w:shd w:val="clear" w:color="auto" w:fill="F2F2F2" w:themeFill="background1" w:themeFillShade="F2"/>
            <w:noWrap/>
            <w:tcMar>
              <w:top w:w="28" w:type="dxa"/>
              <w:bottom w:w="28" w:type="dxa"/>
            </w:tcMar>
            <w:hideMark/>
          </w:tcPr>
          <w:p w14:paraId="7CAD0901" w14:textId="77777777" w:rsidR="00B91F57" w:rsidRPr="00D67507" w:rsidRDefault="00B91F57" w:rsidP="00C86F4A">
            <w:pPr>
              <w:pStyle w:val="TableTextRight"/>
              <w:rPr>
                <w:szCs w:val="16"/>
              </w:rPr>
            </w:pPr>
            <w:r w:rsidRPr="00D67507">
              <w:rPr>
                <w:szCs w:val="16"/>
              </w:rPr>
              <w:t> </w:t>
            </w:r>
          </w:p>
        </w:tc>
        <w:tc>
          <w:tcPr>
            <w:tcW w:w="832" w:type="pct"/>
            <w:shd w:val="clear" w:color="auto" w:fill="F2F2F2" w:themeFill="background1" w:themeFillShade="F2"/>
            <w:tcMar>
              <w:top w:w="28" w:type="dxa"/>
              <w:bottom w:w="28" w:type="dxa"/>
            </w:tcMar>
          </w:tcPr>
          <w:p w14:paraId="153F5E88" w14:textId="77777777" w:rsidR="00B91F57" w:rsidRPr="00D67507" w:rsidRDefault="00B91F57" w:rsidP="00C86F4A">
            <w:pPr>
              <w:pStyle w:val="TableTextRight"/>
              <w:rPr>
                <w:szCs w:val="16"/>
              </w:rPr>
            </w:pPr>
          </w:p>
        </w:tc>
      </w:tr>
      <w:tr w:rsidR="00B91F57" w:rsidRPr="006534F5" w14:paraId="13D5B0EE" w14:textId="77777777" w:rsidTr="00BD7AD5">
        <w:tc>
          <w:tcPr>
            <w:tcW w:w="1697" w:type="pct"/>
            <w:shd w:val="clear" w:color="auto" w:fill="F2F2F2" w:themeFill="background1" w:themeFillShade="F2"/>
            <w:noWrap/>
            <w:tcMar>
              <w:top w:w="28" w:type="dxa"/>
              <w:bottom w:w="28" w:type="dxa"/>
            </w:tcMar>
            <w:hideMark/>
          </w:tcPr>
          <w:p w14:paraId="795FF59D" w14:textId="77777777" w:rsidR="00B91F57" w:rsidRPr="00D67507" w:rsidRDefault="00B91F57" w:rsidP="00C86F4A">
            <w:pPr>
              <w:pStyle w:val="TableTextLeft"/>
              <w:rPr>
                <w:szCs w:val="16"/>
              </w:rPr>
            </w:pPr>
            <w:r w:rsidRPr="00D67507">
              <w:rPr>
                <w:szCs w:val="16"/>
              </w:rPr>
              <w:t>Debt repurchases</w:t>
            </w:r>
          </w:p>
        </w:tc>
        <w:tc>
          <w:tcPr>
            <w:tcW w:w="715" w:type="pct"/>
            <w:shd w:val="clear" w:color="auto" w:fill="F2F2F2" w:themeFill="background1" w:themeFillShade="F2"/>
            <w:noWrap/>
            <w:tcMar>
              <w:top w:w="28" w:type="dxa"/>
              <w:bottom w:w="28" w:type="dxa"/>
            </w:tcMar>
            <w:hideMark/>
          </w:tcPr>
          <w:p w14:paraId="715E840A"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51FC6526" w14:textId="77777777" w:rsidR="00B91F57" w:rsidRPr="00D67507" w:rsidRDefault="00B91F57" w:rsidP="00C86F4A">
            <w:pPr>
              <w:pStyle w:val="TableTextRight"/>
              <w:rPr>
                <w:szCs w:val="16"/>
              </w:rPr>
            </w:pPr>
            <w:r>
              <w:rPr>
                <w:szCs w:val="16"/>
              </w:rPr>
              <w:t>2</w:t>
            </w:r>
            <w:r w:rsidRPr="00591486">
              <w:rPr>
                <w:szCs w:val="16"/>
              </w:rPr>
              <w:t>2</w:t>
            </w:r>
          </w:p>
        </w:tc>
        <w:tc>
          <w:tcPr>
            <w:tcW w:w="833" w:type="pct"/>
            <w:shd w:val="clear" w:color="auto" w:fill="F2F2F2" w:themeFill="background1" w:themeFillShade="F2"/>
            <w:noWrap/>
            <w:tcMar>
              <w:top w:w="28" w:type="dxa"/>
              <w:bottom w:w="28" w:type="dxa"/>
            </w:tcMar>
          </w:tcPr>
          <w:p w14:paraId="5AC143D6" w14:textId="77777777" w:rsidR="00B91F57" w:rsidRPr="00D67507" w:rsidRDefault="00B91F57" w:rsidP="00C86F4A">
            <w:pPr>
              <w:pStyle w:val="TableTextRight"/>
              <w:rPr>
                <w:szCs w:val="16"/>
              </w:rPr>
            </w:pPr>
            <w:r w:rsidRPr="00D67507">
              <w:rPr>
                <w:szCs w:val="16"/>
              </w:rPr>
              <w:t xml:space="preserve">82 </w:t>
            </w:r>
          </w:p>
        </w:tc>
        <w:tc>
          <w:tcPr>
            <w:tcW w:w="832" w:type="pct"/>
            <w:shd w:val="clear" w:color="auto" w:fill="F2F2F2" w:themeFill="background1" w:themeFillShade="F2"/>
            <w:tcMar>
              <w:top w:w="28" w:type="dxa"/>
              <w:bottom w:w="28" w:type="dxa"/>
            </w:tcMar>
          </w:tcPr>
          <w:p w14:paraId="43544B33" w14:textId="77777777" w:rsidR="00B91F57" w:rsidRPr="00D67507" w:rsidRDefault="00B91F57" w:rsidP="00C86F4A">
            <w:pPr>
              <w:pStyle w:val="TableTextRight"/>
              <w:rPr>
                <w:szCs w:val="16"/>
              </w:rPr>
            </w:pPr>
            <w:r w:rsidRPr="00D67507">
              <w:rPr>
                <w:szCs w:val="16"/>
              </w:rPr>
              <w:t>38</w:t>
            </w:r>
          </w:p>
        </w:tc>
      </w:tr>
      <w:tr w:rsidR="00B91F57" w:rsidRPr="006534F5" w14:paraId="3FF04CC9" w14:textId="77777777" w:rsidTr="00BD7AD5">
        <w:tc>
          <w:tcPr>
            <w:tcW w:w="1697" w:type="pct"/>
            <w:shd w:val="clear" w:color="auto" w:fill="F2F2F2" w:themeFill="background1" w:themeFillShade="F2"/>
            <w:noWrap/>
            <w:tcMar>
              <w:top w:w="28" w:type="dxa"/>
              <w:bottom w:w="28" w:type="dxa"/>
            </w:tcMar>
            <w:hideMark/>
          </w:tcPr>
          <w:p w14:paraId="07F1664B" w14:textId="77777777" w:rsidR="00B91F57" w:rsidRPr="00D67507" w:rsidRDefault="00B91F57" w:rsidP="00C86F4A">
            <w:pPr>
              <w:pStyle w:val="TableTextLeft"/>
              <w:rPr>
                <w:szCs w:val="16"/>
              </w:rPr>
            </w:pPr>
            <w:r w:rsidRPr="00D67507">
              <w:rPr>
                <w:szCs w:val="16"/>
              </w:rPr>
              <w:t>Supplier expenses</w:t>
            </w:r>
          </w:p>
        </w:tc>
        <w:tc>
          <w:tcPr>
            <w:tcW w:w="715" w:type="pct"/>
            <w:shd w:val="clear" w:color="auto" w:fill="F2F2F2" w:themeFill="background1" w:themeFillShade="F2"/>
            <w:noWrap/>
            <w:tcMar>
              <w:top w:w="28" w:type="dxa"/>
              <w:bottom w:w="28" w:type="dxa"/>
            </w:tcMar>
            <w:hideMark/>
          </w:tcPr>
          <w:p w14:paraId="52EDF7D4"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0E495CC8" w14:textId="77777777" w:rsidR="00B91F57" w:rsidRPr="00D67507" w:rsidRDefault="00B91F57" w:rsidP="00C86F4A">
            <w:pPr>
              <w:pStyle w:val="TableTextRight"/>
              <w:rPr>
                <w:szCs w:val="16"/>
              </w:rPr>
            </w:pPr>
            <w:r>
              <w:rPr>
                <w:szCs w:val="16"/>
              </w:rPr>
              <w:t>23</w:t>
            </w:r>
          </w:p>
        </w:tc>
        <w:tc>
          <w:tcPr>
            <w:tcW w:w="833" w:type="pct"/>
            <w:shd w:val="clear" w:color="auto" w:fill="F2F2F2" w:themeFill="background1" w:themeFillShade="F2"/>
            <w:noWrap/>
            <w:tcMar>
              <w:top w:w="28" w:type="dxa"/>
              <w:bottom w:w="28" w:type="dxa"/>
            </w:tcMar>
          </w:tcPr>
          <w:p w14:paraId="2F791330" w14:textId="77777777" w:rsidR="00B91F57" w:rsidRPr="00D67507" w:rsidRDefault="00B91F57" w:rsidP="00C86F4A">
            <w:pPr>
              <w:pStyle w:val="TableTextRight"/>
              <w:rPr>
                <w:szCs w:val="16"/>
              </w:rPr>
            </w:pPr>
            <w:r w:rsidRPr="00D67507">
              <w:rPr>
                <w:szCs w:val="16"/>
              </w:rPr>
              <w:t xml:space="preserve">15 </w:t>
            </w:r>
          </w:p>
        </w:tc>
        <w:tc>
          <w:tcPr>
            <w:tcW w:w="832" w:type="pct"/>
            <w:shd w:val="clear" w:color="auto" w:fill="F2F2F2" w:themeFill="background1" w:themeFillShade="F2"/>
            <w:tcMar>
              <w:top w:w="28" w:type="dxa"/>
              <w:bottom w:w="28" w:type="dxa"/>
            </w:tcMar>
          </w:tcPr>
          <w:p w14:paraId="52E1EA8F" w14:textId="77777777" w:rsidR="00B91F57" w:rsidRPr="00D67507" w:rsidRDefault="00B91F57" w:rsidP="00C86F4A">
            <w:pPr>
              <w:pStyle w:val="TableTextRight"/>
              <w:rPr>
                <w:szCs w:val="16"/>
              </w:rPr>
            </w:pPr>
            <w:r w:rsidRPr="00D67507">
              <w:rPr>
                <w:szCs w:val="16"/>
              </w:rPr>
              <w:t>28</w:t>
            </w:r>
          </w:p>
        </w:tc>
      </w:tr>
      <w:tr w:rsidR="00B91F57" w:rsidRPr="006534F5" w14:paraId="4EA6E15E" w14:textId="77777777" w:rsidTr="00BD7AD5">
        <w:tc>
          <w:tcPr>
            <w:tcW w:w="1697" w:type="pct"/>
            <w:shd w:val="clear" w:color="auto" w:fill="F2F2F2" w:themeFill="background1" w:themeFillShade="F2"/>
            <w:noWrap/>
            <w:tcMar>
              <w:top w:w="28" w:type="dxa"/>
              <w:bottom w:w="28" w:type="dxa"/>
            </w:tcMar>
            <w:hideMark/>
          </w:tcPr>
          <w:p w14:paraId="00BE96E3" w14:textId="77777777" w:rsidR="00B91F57" w:rsidRPr="00D67507" w:rsidRDefault="00B91F57" w:rsidP="00C86F4A">
            <w:pPr>
              <w:pStyle w:val="TableTextLeft"/>
              <w:rPr>
                <w:b/>
                <w:bCs/>
                <w:szCs w:val="16"/>
              </w:rPr>
            </w:pPr>
            <w:r w:rsidRPr="00D67507">
              <w:rPr>
                <w:b/>
                <w:bCs/>
                <w:szCs w:val="16"/>
              </w:rPr>
              <w:t>Total other expenses</w:t>
            </w:r>
          </w:p>
        </w:tc>
        <w:tc>
          <w:tcPr>
            <w:tcW w:w="715" w:type="pct"/>
            <w:shd w:val="clear" w:color="auto" w:fill="F2F2F2" w:themeFill="background1" w:themeFillShade="F2"/>
            <w:noWrap/>
            <w:tcMar>
              <w:top w:w="28" w:type="dxa"/>
              <w:bottom w:w="28" w:type="dxa"/>
            </w:tcMar>
            <w:hideMark/>
          </w:tcPr>
          <w:p w14:paraId="2AAF2A1B"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1CEF04A9" w14:textId="77777777" w:rsidR="00B91F57" w:rsidRPr="00C04C60" w:rsidRDefault="00B91F57" w:rsidP="00C86F4A">
            <w:pPr>
              <w:pStyle w:val="TableTextRight"/>
              <w:rPr>
                <w:rStyle w:val="Strong"/>
              </w:rPr>
            </w:pPr>
            <w:r w:rsidRPr="00C04C60">
              <w:rPr>
                <w:rStyle w:val="Strong"/>
              </w:rPr>
              <w:t>46</w:t>
            </w:r>
          </w:p>
        </w:tc>
        <w:tc>
          <w:tcPr>
            <w:tcW w:w="833" w:type="pct"/>
            <w:shd w:val="clear" w:color="auto" w:fill="F2F2F2" w:themeFill="background1" w:themeFillShade="F2"/>
            <w:noWrap/>
            <w:tcMar>
              <w:top w:w="28" w:type="dxa"/>
              <w:bottom w:w="28" w:type="dxa"/>
            </w:tcMar>
          </w:tcPr>
          <w:p w14:paraId="189284E0" w14:textId="77777777" w:rsidR="00B91F57" w:rsidRPr="00C04C60" w:rsidRDefault="00B91F57" w:rsidP="00C86F4A">
            <w:pPr>
              <w:pStyle w:val="TableTextRight"/>
              <w:rPr>
                <w:rStyle w:val="Strong"/>
              </w:rPr>
            </w:pPr>
            <w:r w:rsidRPr="00C04C60">
              <w:rPr>
                <w:rStyle w:val="Strong"/>
              </w:rPr>
              <w:t>97</w:t>
            </w:r>
          </w:p>
        </w:tc>
        <w:tc>
          <w:tcPr>
            <w:tcW w:w="832" w:type="pct"/>
            <w:shd w:val="clear" w:color="auto" w:fill="F2F2F2" w:themeFill="background1" w:themeFillShade="F2"/>
            <w:tcMar>
              <w:top w:w="28" w:type="dxa"/>
              <w:bottom w:w="28" w:type="dxa"/>
            </w:tcMar>
          </w:tcPr>
          <w:p w14:paraId="48004D6B" w14:textId="77777777" w:rsidR="00B91F57" w:rsidRPr="00C04C60" w:rsidRDefault="00B91F57" w:rsidP="00C86F4A">
            <w:pPr>
              <w:pStyle w:val="TableTextRight"/>
              <w:rPr>
                <w:rStyle w:val="Strong"/>
              </w:rPr>
            </w:pPr>
            <w:r w:rsidRPr="00C04C60">
              <w:rPr>
                <w:rStyle w:val="Strong"/>
              </w:rPr>
              <w:t>66</w:t>
            </w:r>
          </w:p>
        </w:tc>
      </w:tr>
      <w:tr w:rsidR="00B91F57" w:rsidRPr="003B5C88" w14:paraId="0E4E7A57" w14:textId="77777777" w:rsidTr="00BD7AD5">
        <w:tc>
          <w:tcPr>
            <w:tcW w:w="1697" w:type="pct"/>
            <w:shd w:val="clear" w:color="auto" w:fill="F2F2F2" w:themeFill="background1" w:themeFillShade="F2"/>
            <w:noWrap/>
            <w:tcMar>
              <w:top w:w="28" w:type="dxa"/>
              <w:bottom w:w="28" w:type="dxa"/>
            </w:tcMar>
            <w:hideMark/>
          </w:tcPr>
          <w:p w14:paraId="7320AD0F" w14:textId="77777777" w:rsidR="00B91F57" w:rsidRPr="00D67507" w:rsidRDefault="00B91F57" w:rsidP="00C86F4A">
            <w:pPr>
              <w:pStyle w:val="TableTextLeft"/>
              <w:rPr>
                <w:rStyle w:val="Strong"/>
                <w:szCs w:val="16"/>
              </w:rPr>
            </w:pPr>
            <w:r w:rsidRPr="00D67507">
              <w:rPr>
                <w:rStyle w:val="Strong"/>
                <w:szCs w:val="16"/>
              </w:rPr>
              <w:t>Total expenses</w:t>
            </w:r>
          </w:p>
        </w:tc>
        <w:tc>
          <w:tcPr>
            <w:tcW w:w="715" w:type="pct"/>
            <w:shd w:val="clear" w:color="auto" w:fill="F2F2F2" w:themeFill="background1" w:themeFillShade="F2"/>
            <w:noWrap/>
            <w:tcMar>
              <w:top w:w="28" w:type="dxa"/>
              <w:bottom w:w="28" w:type="dxa"/>
            </w:tcMar>
            <w:hideMark/>
          </w:tcPr>
          <w:p w14:paraId="479C1774" w14:textId="77777777" w:rsidR="00B91F57" w:rsidRPr="00D67507" w:rsidRDefault="00B91F57" w:rsidP="00C86F4A">
            <w:pPr>
              <w:pStyle w:val="TableTextRight"/>
              <w:rPr>
                <w:rStyle w:val="Strong"/>
                <w:szCs w:val="16"/>
              </w:rPr>
            </w:pPr>
            <w:r w:rsidRPr="00D67507">
              <w:rPr>
                <w:rStyle w:val="Strong"/>
                <w:szCs w:val="16"/>
              </w:rPr>
              <w:t> </w:t>
            </w:r>
          </w:p>
        </w:tc>
        <w:tc>
          <w:tcPr>
            <w:tcW w:w="923" w:type="pct"/>
            <w:shd w:val="clear" w:color="auto" w:fill="F2F2F2" w:themeFill="background1" w:themeFillShade="F2"/>
            <w:noWrap/>
            <w:tcMar>
              <w:top w:w="28" w:type="dxa"/>
              <w:bottom w:w="28" w:type="dxa"/>
            </w:tcMar>
          </w:tcPr>
          <w:p w14:paraId="4A3C927C" w14:textId="77777777" w:rsidR="00B91F57" w:rsidRPr="00D67507" w:rsidRDefault="00B91F57" w:rsidP="00C86F4A">
            <w:pPr>
              <w:pStyle w:val="TableTextRight"/>
              <w:rPr>
                <w:rStyle w:val="Strong"/>
                <w:szCs w:val="16"/>
              </w:rPr>
            </w:pPr>
            <w:r>
              <w:rPr>
                <w:rStyle w:val="Strong"/>
                <w:szCs w:val="16"/>
              </w:rPr>
              <w:t>23,890</w:t>
            </w:r>
          </w:p>
        </w:tc>
        <w:tc>
          <w:tcPr>
            <w:tcW w:w="833" w:type="pct"/>
            <w:shd w:val="clear" w:color="auto" w:fill="F2F2F2" w:themeFill="background1" w:themeFillShade="F2"/>
            <w:noWrap/>
            <w:tcMar>
              <w:top w:w="28" w:type="dxa"/>
              <w:bottom w:w="28" w:type="dxa"/>
            </w:tcMar>
          </w:tcPr>
          <w:p w14:paraId="10CC749E" w14:textId="77777777" w:rsidR="00B91F57" w:rsidRPr="00B90614" w:rsidRDefault="00B91F57" w:rsidP="00C86F4A">
            <w:pPr>
              <w:pStyle w:val="TableTextRight"/>
              <w:rPr>
                <w:b/>
                <w:bCs/>
              </w:rPr>
            </w:pPr>
            <w:r w:rsidRPr="00B90614">
              <w:rPr>
                <w:b/>
                <w:bCs/>
              </w:rPr>
              <w:t>22,584</w:t>
            </w:r>
          </w:p>
        </w:tc>
        <w:tc>
          <w:tcPr>
            <w:tcW w:w="832" w:type="pct"/>
            <w:shd w:val="clear" w:color="auto" w:fill="F2F2F2" w:themeFill="background1" w:themeFillShade="F2"/>
            <w:tcMar>
              <w:top w:w="28" w:type="dxa"/>
              <w:bottom w:w="28" w:type="dxa"/>
            </w:tcMar>
          </w:tcPr>
          <w:p w14:paraId="0EA29583" w14:textId="77777777" w:rsidR="00B91F57" w:rsidRPr="00D67507" w:rsidRDefault="00B91F57" w:rsidP="00C86F4A">
            <w:pPr>
              <w:pStyle w:val="TableTextRight"/>
              <w:rPr>
                <w:rStyle w:val="Strong"/>
                <w:szCs w:val="16"/>
              </w:rPr>
            </w:pPr>
            <w:r w:rsidRPr="00D67507">
              <w:rPr>
                <w:rStyle w:val="Strong"/>
                <w:szCs w:val="16"/>
              </w:rPr>
              <w:t>24,148</w:t>
            </w:r>
          </w:p>
        </w:tc>
      </w:tr>
      <w:tr w:rsidR="00B91F57" w:rsidRPr="006534F5" w14:paraId="10BD3302" w14:textId="77777777" w:rsidTr="00BD7AD5">
        <w:tc>
          <w:tcPr>
            <w:tcW w:w="1697" w:type="pct"/>
            <w:shd w:val="clear" w:color="auto" w:fill="F2F2F2" w:themeFill="background1" w:themeFillShade="F2"/>
            <w:noWrap/>
            <w:tcMar>
              <w:top w:w="28" w:type="dxa"/>
              <w:bottom w:w="28" w:type="dxa"/>
            </w:tcMar>
            <w:hideMark/>
          </w:tcPr>
          <w:p w14:paraId="73B81479" w14:textId="77777777" w:rsidR="00B91F57" w:rsidRPr="00D67507" w:rsidRDefault="00B91F57" w:rsidP="00C86F4A">
            <w:pPr>
              <w:pStyle w:val="TableTextLeft"/>
              <w:rPr>
                <w:rStyle w:val="Strong"/>
                <w:szCs w:val="16"/>
              </w:rPr>
            </w:pPr>
            <w:r w:rsidRPr="00D67507">
              <w:rPr>
                <w:rStyle w:val="Strong"/>
                <w:szCs w:val="16"/>
              </w:rPr>
              <w:t>Interest:</w:t>
            </w:r>
          </w:p>
        </w:tc>
        <w:tc>
          <w:tcPr>
            <w:tcW w:w="715" w:type="pct"/>
            <w:shd w:val="clear" w:color="auto" w:fill="F2F2F2" w:themeFill="background1" w:themeFillShade="F2"/>
            <w:noWrap/>
            <w:tcMar>
              <w:top w:w="28" w:type="dxa"/>
              <w:bottom w:w="28" w:type="dxa"/>
            </w:tcMar>
            <w:hideMark/>
          </w:tcPr>
          <w:p w14:paraId="77F660FC"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41F3ADA4" w14:textId="77777777" w:rsidR="00B91F57" w:rsidRPr="00D67507" w:rsidRDefault="00B91F57" w:rsidP="00C86F4A">
            <w:pPr>
              <w:pStyle w:val="TableTextRight"/>
              <w:rPr>
                <w:color w:val="202845"/>
                <w:szCs w:val="16"/>
              </w:rPr>
            </w:pPr>
          </w:p>
        </w:tc>
        <w:tc>
          <w:tcPr>
            <w:tcW w:w="833" w:type="pct"/>
            <w:shd w:val="clear" w:color="auto" w:fill="F2F2F2" w:themeFill="background1" w:themeFillShade="F2"/>
            <w:noWrap/>
            <w:tcMar>
              <w:top w:w="28" w:type="dxa"/>
              <w:bottom w:w="28" w:type="dxa"/>
            </w:tcMar>
            <w:hideMark/>
          </w:tcPr>
          <w:p w14:paraId="3C593D6D" w14:textId="77777777" w:rsidR="00B91F57" w:rsidRPr="00D67507" w:rsidRDefault="00B91F57" w:rsidP="00C86F4A">
            <w:pPr>
              <w:pStyle w:val="TableTextRight"/>
              <w:rPr>
                <w:color w:val="202845"/>
                <w:szCs w:val="16"/>
              </w:rPr>
            </w:pPr>
            <w:r w:rsidRPr="00D67507">
              <w:rPr>
                <w:color w:val="202845"/>
                <w:szCs w:val="16"/>
              </w:rPr>
              <w:t> </w:t>
            </w:r>
          </w:p>
        </w:tc>
        <w:tc>
          <w:tcPr>
            <w:tcW w:w="832" w:type="pct"/>
            <w:shd w:val="clear" w:color="auto" w:fill="F2F2F2" w:themeFill="background1" w:themeFillShade="F2"/>
            <w:tcMar>
              <w:top w:w="28" w:type="dxa"/>
              <w:bottom w:w="28" w:type="dxa"/>
            </w:tcMar>
          </w:tcPr>
          <w:p w14:paraId="46965810" w14:textId="77777777" w:rsidR="00B91F57" w:rsidRPr="00D67507" w:rsidRDefault="00B91F57" w:rsidP="00C86F4A">
            <w:pPr>
              <w:pStyle w:val="TableTextRight"/>
              <w:rPr>
                <w:color w:val="202845"/>
                <w:szCs w:val="16"/>
              </w:rPr>
            </w:pPr>
          </w:p>
        </w:tc>
      </w:tr>
      <w:tr w:rsidR="00B91F57" w:rsidRPr="006534F5" w14:paraId="3A419DFA" w14:textId="77777777" w:rsidTr="00BD7AD5">
        <w:tc>
          <w:tcPr>
            <w:tcW w:w="1697" w:type="pct"/>
            <w:shd w:val="clear" w:color="auto" w:fill="F2F2F2" w:themeFill="background1" w:themeFillShade="F2"/>
            <w:noWrap/>
            <w:tcMar>
              <w:top w:w="28" w:type="dxa"/>
              <w:bottom w:w="28" w:type="dxa"/>
            </w:tcMar>
            <w:hideMark/>
          </w:tcPr>
          <w:p w14:paraId="455A9B5C" w14:textId="77777777" w:rsidR="00B91F57" w:rsidRPr="00D67507" w:rsidRDefault="00B91F57" w:rsidP="00C86F4A">
            <w:pPr>
              <w:pStyle w:val="TableTextLeft"/>
              <w:rPr>
                <w:szCs w:val="16"/>
              </w:rPr>
            </w:pPr>
            <w:r w:rsidRPr="00D67507">
              <w:rPr>
                <w:szCs w:val="16"/>
              </w:rPr>
              <w:t>Loans to state and territory governments</w:t>
            </w:r>
          </w:p>
        </w:tc>
        <w:tc>
          <w:tcPr>
            <w:tcW w:w="715" w:type="pct"/>
            <w:shd w:val="clear" w:color="auto" w:fill="F2F2F2" w:themeFill="background1" w:themeFillShade="F2"/>
            <w:noWrap/>
            <w:tcMar>
              <w:top w:w="28" w:type="dxa"/>
              <w:bottom w:w="28" w:type="dxa"/>
            </w:tcMar>
            <w:hideMark/>
          </w:tcPr>
          <w:p w14:paraId="4006E4C6" w14:textId="77777777" w:rsidR="00B91F57" w:rsidRPr="00D67507" w:rsidRDefault="00B91F57" w:rsidP="00C86F4A">
            <w:pPr>
              <w:pStyle w:val="TableTextRight"/>
              <w:rPr>
                <w:b/>
                <w:bCs/>
                <w:szCs w:val="16"/>
              </w:rPr>
            </w:pPr>
            <w:r w:rsidRPr="00D67507">
              <w:rPr>
                <w:b/>
                <w:bCs/>
                <w:szCs w:val="16"/>
              </w:rPr>
              <w:t> </w:t>
            </w:r>
          </w:p>
        </w:tc>
        <w:tc>
          <w:tcPr>
            <w:tcW w:w="923" w:type="pct"/>
            <w:shd w:val="clear" w:color="auto" w:fill="F2F2F2" w:themeFill="background1" w:themeFillShade="F2"/>
            <w:noWrap/>
            <w:tcMar>
              <w:top w:w="28" w:type="dxa"/>
              <w:bottom w:w="28" w:type="dxa"/>
            </w:tcMar>
          </w:tcPr>
          <w:p w14:paraId="63835D4A" w14:textId="77777777" w:rsidR="00B91F57" w:rsidRPr="00D67507" w:rsidRDefault="00B91F57" w:rsidP="00C86F4A">
            <w:pPr>
              <w:pStyle w:val="TableTextRight"/>
              <w:rPr>
                <w:szCs w:val="16"/>
              </w:rPr>
            </w:pPr>
            <w:r>
              <w:rPr>
                <w:szCs w:val="16"/>
              </w:rPr>
              <w:t>69</w:t>
            </w:r>
          </w:p>
        </w:tc>
        <w:tc>
          <w:tcPr>
            <w:tcW w:w="833" w:type="pct"/>
            <w:shd w:val="clear" w:color="auto" w:fill="F2F2F2" w:themeFill="background1" w:themeFillShade="F2"/>
            <w:noWrap/>
            <w:tcMar>
              <w:top w:w="28" w:type="dxa"/>
              <w:bottom w:w="28" w:type="dxa"/>
            </w:tcMar>
          </w:tcPr>
          <w:p w14:paraId="419EC629" w14:textId="77777777" w:rsidR="00B91F57" w:rsidRPr="00D67507" w:rsidRDefault="00B91F57" w:rsidP="00C86F4A">
            <w:pPr>
              <w:pStyle w:val="TableTextRight"/>
              <w:rPr>
                <w:szCs w:val="16"/>
              </w:rPr>
            </w:pPr>
            <w:r w:rsidRPr="00D67507">
              <w:rPr>
                <w:szCs w:val="16"/>
              </w:rPr>
              <w:t>74</w:t>
            </w:r>
          </w:p>
        </w:tc>
        <w:tc>
          <w:tcPr>
            <w:tcW w:w="832" w:type="pct"/>
            <w:shd w:val="clear" w:color="auto" w:fill="F2F2F2" w:themeFill="background1" w:themeFillShade="F2"/>
            <w:tcMar>
              <w:top w:w="28" w:type="dxa"/>
              <w:bottom w:w="28" w:type="dxa"/>
            </w:tcMar>
          </w:tcPr>
          <w:p w14:paraId="0324EA6A" w14:textId="77777777" w:rsidR="00B91F57" w:rsidRPr="00D67507" w:rsidRDefault="00B91F57" w:rsidP="00C86F4A">
            <w:pPr>
              <w:pStyle w:val="TableTextRight"/>
              <w:rPr>
                <w:szCs w:val="16"/>
              </w:rPr>
            </w:pPr>
            <w:r w:rsidRPr="00D67507">
              <w:rPr>
                <w:szCs w:val="16"/>
              </w:rPr>
              <w:t>69</w:t>
            </w:r>
          </w:p>
        </w:tc>
      </w:tr>
      <w:tr w:rsidR="00B91F57" w:rsidRPr="006534F5" w14:paraId="1572EEEF" w14:textId="77777777" w:rsidTr="00BD7AD5">
        <w:tc>
          <w:tcPr>
            <w:tcW w:w="1697" w:type="pct"/>
            <w:shd w:val="clear" w:color="auto" w:fill="F2F2F2" w:themeFill="background1" w:themeFillShade="F2"/>
            <w:noWrap/>
            <w:tcMar>
              <w:top w:w="28" w:type="dxa"/>
              <w:bottom w:w="28" w:type="dxa"/>
            </w:tcMar>
            <w:hideMark/>
          </w:tcPr>
          <w:p w14:paraId="025665E1" w14:textId="77777777" w:rsidR="00B91F57" w:rsidRPr="00D67507" w:rsidRDefault="00B91F57" w:rsidP="00C86F4A">
            <w:pPr>
              <w:pStyle w:val="TableTextLeft"/>
              <w:rPr>
                <w:szCs w:val="16"/>
              </w:rPr>
            </w:pPr>
            <w:r w:rsidRPr="00D67507">
              <w:rPr>
                <w:szCs w:val="16"/>
              </w:rPr>
              <w:t>Cash and deposits</w:t>
            </w:r>
          </w:p>
        </w:tc>
        <w:tc>
          <w:tcPr>
            <w:tcW w:w="715" w:type="pct"/>
            <w:shd w:val="clear" w:color="auto" w:fill="F2F2F2" w:themeFill="background1" w:themeFillShade="F2"/>
            <w:noWrap/>
            <w:tcMar>
              <w:top w:w="28" w:type="dxa"/>
              <w:bottom w:w="28" w:type="dxa"/>
            </w:tcMar>
            <w:hideMark/>
          </w:tcPr>
          <w:p w14:paraId="478F1BFD" w14:textId="77777777" w:rsidR="00B91F57" w:rsidRPr="00D67507" w:rsidRDefault="00B91F57" w:rsidP="00C86F4A">
            <w:pPr>
              <w:pStyle w:val="TableTextRight"/>
              <w:rPr>
                <w:b/>
                <w:bCs/>
                <w:szCs w:val="16"/>
              </w:rPr>
            </w:pPr>
            <w:r w:rsidRPr="00D67507">
              <w:rPr>
                <w:b/>
                <w:bCs/>
                <w:szCs w:val="16"/>
              </w:rPr>
              <w:t>5</w:t>
            </w:r>
          </w:p>
        </w:tc>
        <w:tc>
          <w:tcPr>
            <w:tcW w:w="923" w:type="pct"/>
            <w:shd w:val="clear" w:color="auto" w:fill="F2F2F2" w:themeFill="background1" w:themeFillShade="F2"/>
            <w:noWrap/>
            <w:tcMar>
              <w:top w:w="28" w:type="dxa"/>
              <w:bottom w:w="28" w:type="dxa"/>
            </w:tcMar>
          </w:tcPr>
          <w:p w14:paraId="58319C0B" w14:textId="77777777" w:rsidR="00B91F57" w:rsidRPr="00D67507" w:rsidRDefault="00B91F57" w:rsidP="00C86F4A">
            <w:pPr>
              <w:pStyle w:val="TableTextRight"/>
              <w:rPr>
                <w:szCs w:val="16"/>
              </w:rPr>
            </w:pPr>
            <w:r>
              <w:rPr>
                <w:szCs w:val="16"/>
              </w:rPr>
              <w:t>2,786</w:t>
            </w:r>
          </w:p>
        </w:tc>
        <w:tc>
          <w:tcPr>
            <w:tcW w:w="833" w:type="pct"/>
            <w:shd w:val="clear" w:color="auto" w:fill="F2F2F2" w:themeFill="background1" w:themeFillShade="F2"/>
            <w:noWrap/>
            <w:tcMar>
              <w:top w:w="28" w:type="dxa"/>
              <w:bottom w:w="28" w:type="dxa"/>
            </w:tcMar>
          </w:tcPr>
          <w:p w14:paraId="023C2864" w14:textId="77777777" w:rsidR="00B91F57" w:rsidRPr="00D67507" w:rsidRDefault="00B91F57" w:rsidP="00C86F4A">
            <w:pPr>
              <w:pStyle w:val="TableTextRight"/>
              <w:rPr>
                <w:szCs w:val="16"/>
              </w:rPr>
            </w:pPr>
            <w:r w:rsidRPr="00D67507">
              <w:rPr>
                <w:szCs w:val="16"/>
              </w:rPr>
              <w:t xml:space="preserve">2,872 </w:t>
            </w:r>
          </w:p>
        </w:tc>
        <w:tc>
          <w:tcPr>
            <w:tcW w:w="832" w:type="pct"/>
            <w:shd w:val="clear" w:color="auto" w:fill="F2F2F2" w:themeFill="background1" w:themeFillShade="F2"/>
            <w:tcMar>
              <w:top w:w="28" w:type="dxa"/>
              <w:bottom w:w="28" w:type="dxa"/>
            </w:tcMar>
          </w:tcPr>
          <w:p w14:paraId="58E6485D" w14:textId="77777777" w:rsidR="00B91F57" w:rsidRPr="00D67507" w:rsidRDefault="00B91F57" w:rsidP="00C86F4A">
            <w:pPr>
              <w:pStyle w:val="TableTextRight"/>
              <w:rPr>
                <w:szCs w:val="16"/>
              </w:rPr>
            </w:pPr>
            <w:r w:rsidRPr="00D67507">
              <w:rPr>
                <w:szCs w:val="16"/>
              </w:rPr>
              <w:t>1,886</w:t>
            </w:r>
          </w:p>
        </w:tc>
      </w:tr>
      <w:tr w:rsidR="00B91F57" w:rsidRPr="006534F5" w14:paraId="227F216D" w14:textId="77777777" w:rsidTr="00BD7AD5">
        <w:tc>
          <w:tcPr>
            <w:tcW w:w="1697" w:type="pct"/>
            <w:shd w:val="clear" w:color="auto" w:fill="F2F2F2" w:themeFill="background1" w:themeFillShade="F2"/>
            <w:noWrap/>
            <w:tcMar>
              <w:top w:w="28" w:type="dxa"/>
              <w:bottom w:w="28" w:type="dxa"/>
            </w:tcMar>
            <w:hideMark/>
          </w:tcPr>
          <w:p w14:paraId="7544F474" w14:textId="77777777" w:rsidR="00B91F57" w:rsidRPr="00D67507" w:rsidRDefault="00B91F57" w:rsidP="00C86F4A">
            <w:pPr>
              <w:pStyle w:val="TableTextLeft"/>
              <w:rPr>
                <w:szCs w:val="16"/>
              </w:rPr>
            </w:pPr>
            <w:r w:rsidRPr="00D67507">
              <w:rPr>
                <w:szCs w:val="16"/>
              </w:rPr>
              <w:t>Structured finance securities</w:t>
            </w:r>
          </w:p>
        </w:tc>
        <w:tc>
          <w:tcPr>
            <w:tcW w:w="715" w:type="pct"/>
            <w:shd w:val="clear" w:color="auto" w:fill="F2F2F2" w:themeFill="background1" w:themeFillShade="F2"/>
            <w:noWrap/>
            <w:tcMar>
              <w:top w:w="28" w:type="dxa"/>
              <w:bottom w:w="28" w:type="dxa"/>
            </w:tcMar>
            <w:hideMark/>
          </w:tcPr>
          <w:p w14:paraId="7162F7BB" w14:textId="77777777" w:rsidR="00B91F57" w:rsidRPr="00D67507" w:rsidRDefault="00B91F57" w:rsidP="00C86F4A">
            <w:pPr>
              <w:pStyle w:val="TableTextRight"/>
              <w:rPr>
                <w:b/>
                <w:bCs/>
                <w:szCs w:val="16"/>
              </w:rPr>
            </w:pPr>
            <w:r w:rsidRPr="00D67507">
              <w:rPr>
                <w:b/>
                <w:bCs/>
                <w:szCs w:val="16"/>
              </w:rPr>
              <w:t>6</w:t>
            </w:r>
          </w:p>
        </w:tc>
        <w:tc>
          <w:tcPr>
            <w:tcW w:w="923" w:type="pct"/>
            <w:shd w:val="clear" w:color="auto" w:fill="F2F2F2" w:themeFill="background1" w:themeFillShade="F2"/>
            <w:noWrap/>
            <w:tcMar>
              <w:top w:w="28" w:type="dxa"/>
              <w:bottom w:w="28" w:type="dxa"/>
            </w:tcMar>
          </w:tcPr>
          <w:p w14:paraId="7CC6A8DB" w14:textId="77777777" w:rsidR="00B91F57" w:rsidRPr="00D67507" w:rsidRDefault="00B91F57" w:rsidP="00C86F4A">
            <w:pPr>
              <w:pStyle w:val="TableTextRight"/>
              <w:rPr>
                <w:szCs w:val="16"/>
              </w:rPr>
            </w:pPr>
            <w:r>
              <w:rPr>
                <w:szCs w:val="16"/>
              </w:rPr>
              <w:t>16</w:t>
            </w:r>
          </w:p>
        </w:tc>
        <w:tc>
          <w:tcPr>
            <w:tcW w:w="833" w:type="pct"/>
            <w:shd w:val="clear" w:color="auto" w:fill="F2F2F2" w:themeFill="background1" w:themeFillShade="F2"/>
            <w:noWrap/>
            <w:tcMar>
              <w:top w:w="28" w:type="dxa"/>
              <w:bottom w:w="28" w:type="dxa"/>
            </w:tcMar>
          </w:tcPr>
          <w:p w14:paraId="6C48D75C" w14:textId="77777777" w:rsidR="00B91F57" w:rsidRPr="001820D1" w:rsidRDefault="00B91F57" w:rsidP="00C86F4A">
            <w:pPr>
              <w:pStyle w:val="TableTextRight"/>
            </w:pPr>
            <w:r w:rsidRPr="00D67507">
              <w:t>36</w:t>
            </w:r>
          </w:p>
        </w:tc>
        <w:tc>
          <w:tcPr>
            <w:tcW w:w="832" w:type="pct"/>
            <w:shd w:val="clear" w:color="auto" w:fill="F2F2F2" w:themeFill="background1" w:themeFillShade="F2"/>
            <w:tcMar>
              <w:top w:w="28" w:type="dxa"/>
              <w:bottom w:w="28" w:type="dxa"/>
            </w:tcMar>
          </w:tcPr>
          <w:p w14:paraId="417AE3BA" w14:textId="77777777" w:rsidR="00B91F57" w:rsidRPr="00D67507" w:rsidRDefault="00B91F57" w:rsidP="00C86F4A">
            <w:pPr>
              <w:pStyle w:val="TableTextRight"/>
              <w:rPr>
                <w:szCs w:val="16"/>
              </w:rPr>
            </w:pPr>
            <w:r w:rsidRPr="00D67507">
              <w:rPr>
                <w:szCs w:val="16"/>
              </w:rPr>
              <w:t>45</w:t>
            </w:r>
          </w:p>
        </w:tc>
      </w:tr>
      <w:tr w:rsidR="00B91F57" w:rsidRPr="006534F5" w14:paraId="4A5BF00B" w14:textId="77777777" w:rsidTr="00BD7AD5">
        <w:tc>
          <w:tcPr>
            <w:tcW w:w="1697" w:type="pct"/>
            <w:shd w:val="clear" w:color="auto" w:fill="F2F2F2" w:themeFill="background1" w:themeFillShade="F2"/>
            <w:noWrap/>
            <w:tcMar>
              <w:top w:w="28" w:type="dxa"/>
              <w:bottom w:w="28" w:type="dxa"/>
            </w:tcMar>
            <w:hideMark/>
          </w:tcPr>
          <w:p w14:paraId="023217B0" w14:textId="77777777" w:rsidR="00B91F57" w:rsidRPr="00B90614" w:rsidRDefault="00B91F57" w:rsidP="00C86F4A">
            <w:pPr>
              <w:pStyle w:val="TableTextLeft"/>
              <w:rPr>
                <w:b/>
                <w:bCs/>
              </w:rPr>
            </w:pPr>
            <w:r w:rsidRPr="00B90614">
              <w:rPr>
                <w:b/>
                <w:bCs/>
              </w:rPr>
              <w:t>Total income</w:t>
            </w:r>
          </w:p>
        </w:tc>
        <w:tc>
          <w:tcPr>
            <w:tcW w:w="715" w:type="pct"/>
            <w:shd w:val="clear" w:color="auto" w:fill="F2F2F2" w:themeFill="background1" w:themeFillShade="F2"/>
            <w:noWrap/>
            <w:tcMar>
              <w:top w:w="28" w:type="dxa"/>
              <w:bottom w:w="28" w:type="dxa"/>
            </w:tcMar>
            <w:hideMark/>
          </w:tcPr>
          <w:p w14:paraId="56C35A2E" w14:textId="77777777" w:rsidR="00B91F57" w:rsidRPr="00973E4E" w:rsidRDefault="00B91F57" w:rsidP="00C86F4A">
            <w:pPr>
              <w:pStyle w:val="TableTextLeft"/>
              <w:jc w:val="right"/>
              <w:rPr>
                <w:rStyle w:val="Strong"/>
                <w:szCs w:val="16"/>
              </w:rPr>
            </w:pPr>
            <w:r w:rsidRPr="00973E4E">
              <w:rPr>
                <w:rStyle w:val="Strong"/>
                <w:szCs w:val="16"/>
              </w:rPr>
              <w:t> </w:t>
            </w:r>
          </w:p>
        </w:tc>
        <w:tc>
          <w:tcPr>
            <w:tcW w:w="923" w:type="pct"/>
            <w:shd w:val="clear" w:color="auto" w:fill="F2F2F2" w:themeFill="background1" w:themeFillShade="F2"/>
            <w:noWrap/>
            <w:tcMar>
              <w:top w:w="28" w:type="dxa"/>
              <w:bottom w:w="28" w:type="dxa"/>
            </w:tcMar>
          </w:tcPr>
          <w:p w14:paraId="1F678D1A" w14:textId="77777777" w:rsidR="00B91F57" w:rsidRPr="00EF6D20" w:rsidRDefault="00B91F57" w:rsidP="00C86F4A">
            <w:pPr>
              <w:pStyle w:val="TableTextRight"/>
              <w:rPr>
                <w:b/>
                <w:bCs/>
              </w:rPr>
            </w:pPr>
            <w:r w:rsidRPr="00EF6D20">
              <w:rPr>
                <w:b/>
                <w:bCs/>
              </w:rPr>
              <w:t>2,871</w:t>
            </w:r>
          </w:p>
        </w:tc>
        <w:tc>
          <w:tcPr>
            <w:tcW w:w="833" w:type="pct"/>
            <w:shd w:val="clear" w:color="auto" w:fill="F2F2F2" w:themeFill="background1" w:themeFillShade="F2"/>
            <w:noWrap/>
            <w:tcMar>
              <w:top w:w="28" w:type="dxa"/>
              <w:bottom w:w="28" w:type="dxa"/>
            </w:tcMar>
          </w:tcPr>
          <w:p w14:paraId="629CE89F" w14:textId="77777777" w:rsidR="00B91F57" w:rsidRPr="00EF6D20" w:rsidRDefault="00B91F57" w:rsidP="00C86F4A">
            <w:pPr>
              <w:pStyle w:val="TableTextRight"/>
              <w:rPr>
                <w:b/>
                <w:bCs/>
              </w:rPr>
            </w:pPr>
            <w:r w:rsidRPr="00EF6D20">
              <w:rPr>
                <w:b/>
                <w:bCs/>
              </w:rPr>
              <w:t xml:space="preserve">2,982 </w:t>
            </w:r>
          </w:p>
        </w:tc>
        <w:tc>
          <w:tcPr>
            <w:tcW w:w="832" w:type="pct"/>
            <w:shd w:val="clear" w:color="auto" w:fill="F2F2F2" w:themeFill="background1" w:themeFillShade="F2"/>
            <w:tcMar>
              <w:top w:w="28" w:type="dxa"/>
              <w:bottom w:w="28" w:type="dxa"/>
            </w:tcMar>
          </w:tcPr>
          <w:p w14:paraId="38951539" w14:textId="77777777" w:rsidR="00B91F57" w:rsidRPr="00EF6D20" w:rsidRDefault="00B91F57" w:rsidP="00C86F4A">
            <w:pPr>
              <w:pStyle w:val="TableTextRight"/>
              <w:rPr>
                <w:b/>
                <w:bCs/>
              </w:rPr>
            </w:pPr>
            <w:r w:rsidRPr="00EF6D20">
              <w:rPr>
                <w:b/>
                <w:bCs/>
              </w:rPr>
              <w:t>2,000</w:t>
            </w:r>
          </w:p>
        </w:tc>
      </w:tr>
      <w:tr w:rsidR="00B91F57" w:rsidRPr="006534F5" w14:paraId="28C9E697" w14:textId="77777777" w:rsidTr="00BD7AD5">
        <w:tc>
          <w:tcPr>
            <w:tcW w:w="1697" w:type="pct"/>
            <w:tcBorders>
              <w:bottom w:val="single" w:sz="4" w:space="0" w:color="29114B" w:themeColor="text2"/>
            </w:tcBorders>
            <w:shd w:val="clear" w:color="auto" w:fill="F2F2F2" w:themeFill="background1" w:themeFillShade="F2"/>
            <w:noWrap/>
            <w:tcMar>
              <w:top w:w="28" w:type="dxa"/>
              <w:bottom w:w="28" w:type="dxa"/>
            </w:tcMar>
            <w:hideMark/>
          </w:tcPr>
          <w:p w14:paraId="4414A2A6" w14:textId="77777777" w:rsidR="00B91F57" w:rsidRPr="00B90614" w:rsidRDefault="00B91F57" w:rsidP="00C86F4A">
            <w:pPr>
              <w:pStyle w:val="TableTextLeft"/>
              <w:rPr>
                <w:b/>
                <w:bCs/>
              </w:rPr>
            </w:pPr>
            <w:r w:rsidRPr="00B90614">
              <w:rPr>
                <w:b/>
                <w:bCs/>
              </w:rPr>
              <w:t>(Deficit) before re</w:t>
            </w:r>
            <w:r w:rsidRPr="00B90614">
              <w:rPr>
                <w:b/>
                <w:bCs/>
              </w:rPr>
              <w:noBreakHyphen/>
              <w:t>measurements</w:t>
            </w:r>
          </w:p>
        </w:tc>
        <w:tc>
          <w:tcPr>
            <w:tcW w:w="715" w:type="pct"/>
            <w:tcBorders>
              <w:bottom w:val="single" w:sz="4" w:space="0" w:color="29114B" w:themeColor="text2"/>
            </w:tcBorders>
            <w:shd w:val="clear" w:color="auto" w:fill="F2F2F2" w:themeFill="background1" w:themeFillShade="F2"/>
            <w:noWrap/>
            <w:tcMar>
              <w:top w:w="28" w:type="dxa"/>
              <w:bottom w:w="28" w:type="dxa"/>
            </w:tcMar>
            <w:hideMark/>
          </w:tcPr>
          <w:p w14:paraId="66B08D2C" w14:textId="77777777" w:rsidR="00B91F57" w:rsidRPr="00973E4E" w:rsidRDefault="00B91F57" w:rsidP="00C86F4A">
            <w:pPr>
              <w:pStyle w:val="TableTextLeft"/>
              <w:jc w:val="right"/>
              <w:rPr>
                <w:b/>
                <w:bCs/>
                <w:szCs w:val="16"/>
              </w:rPr>
            </w:pPr>
            <w:r w:rsidRPr="00973E4E">
              <w:rPr>
                <w:b/>
                <w:bCs/>
                <w:szCs w:val="16"/>
              </w:rPr>
              <w:t> </w:t>
            </w:r>
          </w:p>
        </w:tc>
        <w:tc>
          <w:tcPr>
            <w:tcW w:w="923" w:type="pct"/>
            <w:tcBorders>
              <w:bottom w:val="single" w:sz="4" w:space="0" w:color="29114B" w:themeColor="text2"/>
            </w:tcBorders>
            <w:shd w:val="clear" w:color="auto" w:fill="F2F2F2" w:themeFill="background1" w:themeFillShade="F2"/>
            <w:noWrap/>
            <w:tcMar>
              <w:top w:w="28" w:type="dxa"/>
              <w:bottom w:w="28" w:type="dxa"/>
            </w:tcMar>
          </w:tcPr>
          <w:p w14:paraId="1E24CD25" w14:textId="77777777" w:rsidR="00B91F57" w:rsidRPr="00D67507" w:rsidRDefault="00B91F57" w:rsidP="00C86F4A">
            <w:pPr>
              <w:pStyle w:val="TableTextRight"/>
              <w:rPr>
                <w:b/>
                <w:bCs/>
                <w:szCs w:val="16"/>
              </w:rPr>
            </w:pPr>
            <w:r>
              <w:rPr>
                <w:b/>
                <w:bCs/>
                <w:szCs w:val="16"/>
              </w:rPr>
              <w:t>(21,</w:t>
            </w:r>
            <w:r w:rsidRPr="005A149C">
              <w:rPr>
                <w:b/>
                <w:bCs/>
                <w:szCs w:val="16"/>
              </w:rPr>
              <w:t>01</w:t>
            </w:r>
            <w:r w:rsidRPr="005A149C">
              <w:rPr>
                <w:b/>
                <w:bCs/>
              </w:rPr>
              <w:t>9</w:t>
            </w:r>
            <w:r w:rsidRPr="005A149C">
              <w:rPr>
                <w:b/>
                <w:bCs/>
                <w:szCs w:val="16"/>
              </w:rPr>
              <w:t>)</w:t>
            </w:r>
          </w:p>
        </w:tc>
        <w:tc>
          <w:tcPr>
            <w:tcW w:w="833" w:type="pct"/>
            <w:tcBorders>
              <w:bottom w:val="single" w:sz="4" w:space="0" w:color="29114B" w:themeColor="text2"/>
            </w:tcBorders>
            <w:shd w:val="clear" w:color="auto" w:fill="F2F2F2" w:themeFill="background1" w:themeFillShade="F2"/>
            <w:noWrap/>
            <w:tcMar>
              <w:top w:w="28" w:type="dxa"/>
              <w:bottom w:w="28" w:type="dxa"/>
            </w:tcMar>
          </w:tcPr>
          <w:p w14:paraId="04DEB719" w14:textId="77777777" w:rsidR="00B91F57" w:rsidRPr="00D67507" w:rsidRDefault="00B91F57" w:rsidP="00C86F4A">
            <w:pPr>
              <w:pStyle w:val="TableTextRight"/>
              <w:rPr>
                <w:b/>
                <w:bCs/>
                <w:szCs w:val="16"/>
              </w:rPr>
            </w:pPr>
            <w:r w:rsidRPr="00D67507">
              <w:rPr>
                <w:b/>
                <w:bCs/>
                <w:szCs w:val="16"/>
              </w:rPr>
              <w:t>(19,602)</w:t>
            </w:r>
          </w:p>
        </w:tc>
        <w:tc>
          <w:tcPr>
            <w:tcW w:w="832" w:type="pct"/>
            <w:tcBorders>
              <w:bottom w:val="single" w:sz="4" w:space="0" w:color="29114B" w:themeColor="text2"/>
            </w:tcBorders>
            <w:shd w:val="clear" w:color="auto" w:fill="F2F2F2" w:themeFill="background1" w:themeFillShade="F2"/>
            <w:tcMar>
              <w:top w:w="28" w:type="dxa"/>
              <w:bottom w:w="28" w:type="dxa"/>
            </w:tcMar>
          </w:tcPr>
          <w:p w14:paraId="6F22E577" w14:textId="77777777" w:rsidR="00B91F57" w:rsidRPr="00D67507" w:rsidRDefault="00B91F57" w:rsidP="00C86F4A">
            <w:pPr>
              <w:pStyle w:val="TableTextRight"/>
              <w:rPr>
                <w:b/>
                <w:bCs/>
                <w:szCs w:val="16"/>
              </w:rPr>
            </w:pPr>
            <w:r w:rsidRPr="00D67507">
              <w:rPr>
                <w:b/>
                <w:bCs/>
                <w:szCs w:val="16"/>
              </w:rPr>
              <w:t>(22,14</w:t>
            </w:r>
            <w:r>
              <w:rPr>
                <w:b/>
                <w:bCs/>
                <w:szCs w:val="16"/>
              </w:rPr>
              <w:t>9</w:t>
            </w:r>
            <w:r w:rsidRPr="00D67507">
              <w:rPr>
                <w:b/>
                <w:bCs/>
                <w:szCs w:val="16"/>
              </w:rPr>
              <w:t>)</w:t>
            </w:r>
          </w:p>
        </w:tc>
      </w:tr>
      <w:tr w:rsidR="00B91F57" w:rsidRPr="006534F5" w14:paraId="53CC5D41" w14:textId="77777777" w:rsidTr="00BD7AD5">
        <w:trPr>
          <w:trHeight w:val="246"/>
        </w:trPr>
        <w:tc>
          <w:tcPr>
            <w:tcW w:w="2412" w:type="pct"/>
            <w:gridSpan w:val="2"/>
            <w:tcBorders>
              <w:top w:val="single" w:sz="4" w:space="0" w:color="29114B" w:themeColor="text2"/>
              <w:right w:val="single" w:sz="4" w:space="0" w:color="F2F2F2" w:themeColor="background1" w:themeShade="F2"/>
            </w:tcBorders>
            <w:shd w:val="clear" w:color="auto" w:fill="F2F2F2" w:themeFill="background1" w:themeFillShade="F2"/>
            <w:noWrap/>
            <w:tcMar>
              <w:top w:w="28" w:type="dxa"/>
              <w:bottom w:w="28" w:type="dxa"/>
            </w:tcMar>
          </w:tcPr>
          <w:p w14:paraId="6824813C" w14:textId="2402FA6B" w:rsidR="00B91F57" w:rsidRPr="001E2AEB" w:rsidRDefault="00B91F57" w:rsidP="001E2AEB">
            <w:pPr>
              <w:pStyle w:val="TableSecondHeading"/>
              <w:rPr>
                <w:b/>
                <w:bCs/>
              </w:rPr>
            </w:pPr>
            <w:r w:rsidRPr="001E2AEB">
              <w:rPr>
                <w:b/>
                <w:bCs/>
              </w:rPr>
              <w:t>Re-measur</w:t>
            </w:r>
            <w:r w:rsidR="000C5215" w:rsidRPr="001E2AEB">
              <w:rPr>
                <w:b/>
                <w:bCs/>
              </w:rPr>
              <w:t>e</w:t>
            </w:r>
            <w:r w:rsidRPr="001E2AEB">
              <w:rPr>
                <w:b/>
                <w:bCs/>
              </w:rPr>
              <w:t>ments (net market revaluation)</w:t>
            </w:r>
          </w:p>
        </w:tc>
        <w:tc>
          <w:tcPr>
            <w:tcW w:w="92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28" w:type="dxa"/>
              <w:bottom w:w="28" w:type="dxa"/>
            </w:tcMar>
          </w:tcPr>
          <w:p w14:paraId="5B7EC15F" w14:textId="77777777" w:rsidR="00B91F57" w:rsidRDefault="00B91F57" w:rsidP="00C86F4A">
            <w:pPr>
              <w:pStyle w:val="TableTextRight"/>
              <w:rPr>
                <w:b/>
                <w:bCs/>
                <w:szCs w:val="16"/>
              </w:rPr>
            </w:pP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28" w:type="dxa"/>
              <w:bottom w:w="28" w:type="dxa"/>
            </w:tcMar>
          </w:tcPr>
          <w:p w14:paraId="28CD4CE7" w14:textId="77777777" w:rsidR="00B91F57" w:rsidRPr="00D67507" w:rsidRDefault="00B91F57" w:rsidP="00C86F4A">
            <w:pPr>
              <w:pStyle w:val="TableTextRight"/>
              <w:rPr>
                <w:b/>
                <w:bCs/>
                <w:szCs w:val="16"/>
              </w:rPr>
            </w:pPr>
          </w:p>
        </w:tc>
        <w:tc>
          <w:tcPr>
            <w:tcW w:w="832" w:type="pct"/>
            <w:tcBorders>
              <w:top w:val="single" w:sz="4" w:space="0" w:color="29114B" w:themeColor="text2"/>
              <w:left w:val="single" w:sz="4" w:space="0" w:color="F2F2F2" w:themeColor="background1" w:themeShade="F2"/>
            </w:tcBorders>
            <w:shd w:val="clear" w:color="auto" w:fill="F2F2F2" w:themeFill="background1" w:themeFillShade="F2"/>
            <w:tcMar>
              <w:top w:w="28" w:type="dxa"/>
              <w:bottom w:w="28" w:type="dxa"/>
            </w:tcMar>
          </w:tcPr>
          <w:p w14:paraId="670C0944" w14:textId="77777777" w:rsidR="00B91F57" w:rsidRPr="00D67507" w:rsidRDefault="00B91F57" w:rsidP="00C86F4A">
            <w:pPr>
              <w:pStyle w:val="TableTextRight"/>
              <w:rPr>
                <w:b/>
                <w:bCs/>
                <w:szCs w:val="16"/>
              </w:rPr>
            </w:pPr>
          </w:p>
        </w:tc>
      </w:tr>
      <w:tr w:rsidR="00B91F57" w:rsidRPr="006534F5" w14:paraId="6E741915" w14:textId="77777777" w:rsidTr="00BD7AD5">
        <w:tc>
          <w:tcPr>
            <w:tcW w:w="1697" w:type="pct"/>
            <w:shd w:val="clear" w:color="auto" w:fill="F2F2F2" w:themeFill="background1" w:themeFillShade="F2"/>
            <w:noWrap/>
            <w:tcMar>
              <w:top w:w="28" w:type="dxa"/>
              <w:bottom w:w="28" w:type="dxa"/>
            </w:tcMar>
            <w:hideMark/>
          </w:tcPr>
          <w:p w14:paraId="62226180" w14:textId="77777777" w:rsidR="00B91F57" w:rsidRPr="00D67507" w:rsidRDefault="00B91F57" w:rsidP="00C86F4A">
            <w:pPr>
              <w:pStyle w:val="TableTextLeft"/>
              <w:rPr>
                <w:szCs w:val="16"/>
              </w:rPr>
            </w:pPr>
            <w:r w:rsidRPr="00D67507">
              <w:rPr>
                <w:szCs w:val="16"/>
              </w:rPr>
              <w:t>Treasury Bonds</w:t>
            </w:r>
          </w:p>
        </w:tc>
        <w:tc>
          <w:tcPr>
            <w:tcW w:w="715" w:type="pct"/>
            <w:shd w:val="clear" w:color="auto" w:fill="F2F2F2" w:themeFill="background1" w:themeFillShade="F2"/>
            <w:noWrap/>
            <w:tcMar>
              <w:top w:w="28" w:type="dxa"/>
              <w:bottom w:w="28" w:type="dxa"/>
            </w:tcMar>
            <w:hideMark/>
          </w:tcPr>
          <w:p w14:paraId="5C035200" w14:textId="77777777" w:rsidR="00B91F57" w:rsidRPr="00D67507" w:rsidRDefault="00B91F57" w:rsidP="00C86F4A">
            <w:pPr>
              <w:pStyle w:val="TableTextRight"/>
              <w:rPr>
                <w:szCs w:val="16"/>
              </w:rPr>
            </w:pPr>
            <w:r w:rsidRPr="00D67507">
              <w:rPr>
                <w:szCs w:val="16"/>
              </w:rPr>
              <w:t> </w:t>
            </w:r>
          </w:p>
        </w:tc>
        <w:tc>
          <w:tcPr>
            <w:tcW w:w="923" w:type="pct"/>
            <w:shd w:val="clear" w:color="auto" w:fill="F2F2F2" w:themeFill="background1" w:themeFillShade="F2"/>
            <w:noWrap/>
            <w:tcMar>
              <w:top w:w="28" w:type="dxa"/>
              <w:bottom w:w="28" w:type="dxa"/>
            </w:tcMar>
          </w:tcPr>
          <w:p w14:paraId="066DB66D" w14:textId="77777777" w:rsidR="00B91F57" w:rsidRPr="00D67507" w:rsidRDefault="00B91F57" w:rsidP="00C86F4A">
            <w:pPr>
              <w:pStyle w:val="TableTextRight"/>
              <w:rPr>
                <w:szCs w:val="16"/>
              </w:rPr>
            </w:pPr>
            <w:r>
              <w:rPr>
                <w:szCs w:val="16"/>
              </w:rPr>
              <w:t>(26,917)</w:t>
            </w:r>
          </w:p>
        </w:tc>
        <w:tc>
          <w:tcPr>
            <w:tcW w:w="833" w:type="pct"/>
            <w:shd w:val="clear" w:color="auto" w:fill="F2F2F2" w:themeFill="background1" w:themeFillShade="F2"/>
            <w:noWrap/>
            <w:tcMar>
              <w:top w:w="28" w:type="dxa"/>
              <w:bottom w:w="28" w:type="dxa"/>
            </w:tcMar>
          </w:tcPr>
          <w:p w14:paraId="39FC20B5" w14:textId="77777777" w:rsidR="00B91F57" w:rsidRPr="00D67507" w:rsidRDefault="00B91F57" w:rsidP="00C86F4A">
            <w:pPr>
              <w:pStyle w:val="TableTextRight"/>
              <w:rPr>
                <w:szCs w:val="16"/>
              </w:rPr>
            </w:pPr>
            <w:r w:rsidRPr="00D67507">
              <w:rPr>
                <w:szCs w:val="16"/>
              </w:rPr>
              <w:t xml:space="preserve">(5,350) </w:t>
            </w:r>
          </w:p>
        </w:tc>
        <w:tc>
          <w:tcPr>
            <w:tcW w:w="832" w:type="pct"/>
            <w:shd w:val="clear" w:color="auto" w:fill="F2F2F2" w:themeFill="background1" w:themeFillShade="F2"/>
            <w:tcMar>
              <w:top w:w="28" w:type="dxa"/>
              <w:bottom w:w="28" w:type="dxa"/>
            </w:tcMar>
          </w:tcPr>
          <w:p w14:paraId="187F8092" w14:textId="77777777" w:rsidR="00B91F57" w:rsidRPr="00D67507" w:rsidRDefault="00B91F57" w:rsidP="00C86F4A">
            <w:pPr>
              <w:pStyle w:val="TableTextRight"/>
              <w:rPr>
                <w:szCs w:val="16"/>
              </w:rPr>
            </w:pPr>
            <w:r w:rsidRPr="00D67507">
              <w:rPr>
                <w:szCs w:val="16"/>
              </w:rPr>
              <w:t>(12,805)</w:t>
            </w:r>
          </w:p>
        </w:tc>
      </w:tr>
      <w:tr w:rsidR="00B91F57" w:rsidRPr="006534F5" w14:paraId="6A8DA405" w14:textId="77777777" w:rsidTr="00BD7AD5">
        <w:tc>
          <w:tcPr>
            <w:tcW w:w="1697" w:type="pct"/>
            <w:shd w:val="clear" w:color="auto" w:fill="F2F2F2" w:themeFill="background1" w:themeFillShade="F2"/>
            <w:noWrap/>
            <w:tcMar>
              <w:top w:w="28" w:type="dxa"/>
              <w:bottom w:w="28" w:type="dxa"/>
            </w:tcMar>
            <w:hideMark/>
          </w:tcPr>
          <w:p w14:paraId="76F335BC" w14:textId="77777777" w:rsidR="00B91F57" w:rsidRPr="00D67507" w:rsidRDefault="00B91F57" w:rsidP="00C86F4A">
            <w:pPr>
              <w:pStyle w:val="TableTextLeft"/>
              <w:rPr>
                <w:szCs w:val="16"/>
              </w:rPr>
            </w:pPr>
            <w:r w:rsidRPr="00D67507">
              <w:rPr>
                <w:szCs w:val="16"/>
              </w:rPr>
              <w:t>Treasury Indexed Bonds</w:t>
            </w:r>
          </w:p>
        </w:tc>
        <w:tc>
          <w:tcPr>
            <w:tcW w:w="715" w:type="pct"/>
            <w:shd w:val="clear" w:color="auto" w:fill="F2F2F2" w:themeFill="background1" w:themeFillShade="F2"/>
            <w:noWrap/>
            <w:tcMar>
              <w:top w:w="28" w:type="dxa"/>
              <w:bottom w:w="28" w:type="dxa"/>
            </w:tcMar>
            <w:hideMark/>
          </w:tcPr>
          <w:p w14:paraId="6B6157EB" w14:textId="77777777" w:rsidR="00B91F57" w:rsidRPr="00D67507" w:rsidRDefault="00B91F57" w:rsidP="00C86F4A">
            <w:pPr>
              <w:pStyle w:val="TableTextRight"/>
              <w:rPr>
                <w:szCs w:val="16"/>
              </w:rPr>
            </w:pPr>
            <w:r w:rsidRPr="00D67507">
              <w:rPr>
                <w:szCs w:val="16"/>
              </w:rPr>
              <w:t> </w:t>
            </w:r>
          </w:p>
        </w:tc>
        <w:tc>
          <w:tcPr>
            <w:tcW w:w="923" w:type="pct"/>
            <w:shd w:val="clear" w:color="auto" w:fill="F2F2F2" w:themeFill="background1" w:themeFillShade="F2"/>
            <w:noWrap/>
            <w:tcMar>
              <w:top w:w="28" w:type="dxa"/>
              <w:bottom w:w="28" w:type="dxa"/>
            </w:tcMar>
          </w:tcPr>
          <w:p w14:paraId="1076BE7F" w14:textId="77777777" w:rsidR="00B91F57" w:rsidRPr="00D67507" w:rsidRDefault="00B91F57" w:rsidP="00C86F4A">
            <w:pPr>
              <w:pStyle w:val="TableTextRight"/>
              <w:rPr>
                <w:szCs w:val="16"/>
              </w:rPr>
            </w:pPr>
            <w:r>
              <w:rPr>
                <w:szCs w:val="16"/>
              </w:rPr>
              <w:t>222</w:t>
            </w:r>
          </w:p>
        </w:tc>
        <w:tc>
          <w:tcPr>
            <w:tcW w:w="833" w:type="pct"/>
            <w:shd w:val="clear" w:color="auto" w:fill="F2F2F2" w:themeFill="background1" w:themeFillShade="F2"/>
            <w:noWrap/>
            <w:tcMar>
              <w:top w:w="28" w:type="dxa"/>
              <w:bottom w:w="28" w:type="dxa"/>
            </w:tcMar>
          </w:tcPr>
          <w:p w14:paraId="3676C5CF" w14:textId="77777777" w:rsidR="00B91F57" w:rsidRPr="00D67507" w:rsidRDefault="00B91F57" w:rsidP="00C86F4A">
            <w:pPr>
              <w:pStyle w:val="TableTextRight"/>
              <w:rPr>
                <w:szCs w:val="16"/>
              </w:rPr>
            </w:pPr>
            <w:r w:rsidRPr="00D67507">
              <w:rPr>
                <w:szCs w:val="16"/>
              </w:rPr>
              <w:t xml:space="preserve">1,181 </w:t>
            </w:r>
          </w:p>
        </w:tc>
        <w:tc>
          <w:tcPr>
            <w:tcW w:w="832" w:type="pct"/>
            <w:shd w:val="clear" w:color="auto" w:fill="F2F2F2" w:themeFill="background1" w:themeFillShade="F2"/>
            <w:tcMar>
              <w:top w:w="28" w:type="dxa"/>
              <w:bottom w:w="28" w:type="dxa"/>
            </w:tcMar>
          </w:tcPr>
          <w:p w14:paraId="058F6E78" w14:textId="77777777" w:rsidR="00B91F57" w:rsidRPr="00D67507" w:rsidRDefault="00B91F57" w:rsidP="00C86F4A">
            <w:pPr>
              <w:pStyle w:val="TableTextRight"/>
              <w:rPr>
                <w:szCs w:val="16"/>
              </w:rPr>
            </w:pPr>
            <w:r w:rsidRPr="00D67507">
              <w:rPr>
                <w:szCs w:val="16"/>
              </w:rPr>
              <w:t>(245)</w:t>
            </w:r>
          </w:p>
        </w:tc>
      </w:tr>
      <w:tr w:rsidR="00B91F57" w:rsidRPr="006534F5" w14:paraId="08FE44D8" w14:textId="77777777" w:rsidTr="00BD7AD5">
        <w:tc>
          <w:tcPr>
            <w:tcW w:w="1697" w:type="pct"/>
            <w:shd w:val="clear" w:color="auto" w:fill="F2F2F2" w:themeFill="background1" w:themeFillShade="F2"/>
            <w:noWrap/>
            <w:tcMar>
              <w:top w:w="28" w:type="dxa"/>
              <w:bottom w:w="28" w:type="dxa"/>
            </w:tcMar>
            <w:hideMark/>
          </w:tcPr>
          <w:p w14:paraId="56DA3705" w14:textId="77777777" w:rsidR="00B91F57" w:rsidRPr="00D67507" w:rsidRDefault="00B91F57" w:rsidP="00C86F4A">
            <w:pPr>
              <w:pStyle w:val="TableTextLeft"/>
              <w:rPr>
                <w:szCs w:val="16"/>
              </w:rPr>
            </w:pPr>
            <w:r w:rsidRPr="00D67507">
              <w:rPr>
                <w:szCs w:val="16"/>
              </w:rPr>
              <w:t>Treasury Notes</w:t>
            </w:r>
          </w:p>
        </w:tc>
        <w:tc>
          <w:tcPr>
            <w:tcW w:w="715" w:type="pct"/>
            <w:shd w:val="clear" w:color="auto" w:fill="F2F2F2" w:themeFill="background1" w:themeFillShade="F2"/>
            <w:noWrap/>
            <w:tcMar>
              <w:top w:w="28" w:type="dxa"/>
              <w:bottom w:w="28" w:type="dxa"/>
            </w:tcMar>
            <w:hideMark/>
          </w:tcPr>
          <w:p w14:paraId="0C7DA78A" w14:textId="77777777" w:rsidR="00B91F57" w:rsidRPr="00D67507" w:rsidRDefault="00B91F57" w:rsidP="00C86F4A">
            <w:pPr>
              <w:pStyle w:val="TableTextRight"/>
              <w:rPr>
                <w:szCs w:val="16"/>
              </w:rPr>
            </w:pPr>
            <w:r w:rsidRPr="00D67507">
              <w:rPr>
                <w:szCs w:val="16"/>
              </w:rPr>
              <w:t> </w:t>
            </w:r>
          </w:p>
        </w:tc>
        <w:tc>
          <w:tcPr>
            <w:tcW w:w="923" w:type="pct"/>
            <w:shd w:val="clear" w:color="auto" w:fill="F2F2F2" w:themeFill="background1" w:themeFillShade="F2"/>
            <w:noWrap/>
            <w:tcMar>
              <w:top w:w="28" w:type="dxa"/>
              <w:bottom w:w="28" w:type="dxa"/>
            </w:tcMar>
          </w:tcPr>
          <w:p w14:paraId="4B91221D" w14:textId="77777777" w:rsidR="00B91F57" w:rsidRPr="00D67507" w:rsidRDefault="00B91F57" w:rsidP="00C86F4A">
            <w:pPr>
              <w:pStyle w:val="TableTextRight"/>
              <w:rPr>
                <w:szCs w:val="16"/>
              </w:rPr>
            </w:pPr>
            <w:r>
              <w:rPr>
                <w:szCs w:val="16"/>
              </w:rPr>
              <w:t>(8)</w:t>
            </w:r>
          </w:p>
        </w:tc>
        <w:tc>
          <w:tcPr>
            <w:tcW w:w="833" w:type="pct"/>
            <w:shd w:val="clear" w:color="auto" w:fill="F2F2F2" w:themeFill="background1" w:themeFillShade="F2"/>
            <w:noWrap/>
            <w:tcMar>
              <w:top w:w="28" w:type="dxa"/>
              <w:bottom w:w="28" w:type="dxa"/>
            </w:tcMar>
          </w:tcPr>
          <w:p w14:paraId="19D6893B" w14:textId="77777777" w:rsidR="00B91F57" w:rsidRPr="00D67507" w:rsidRDefault="00B91F57" w:rsidP="00C86F4A">
            <w:pPr>
              <w:pStyle w:val="TableTextRight"/>
              <w:rPr>
                <w:szCs w:val="16"/>
              </w:rPr>
            </w:pPr>
            <w:r w:rsidRPr="00D67507">
              <w:rPr>
                <w:szCs w:val="16"/>
              </w:rPr>
              <w:t>(9)</w:t>
            </w:r>
          </w:p>
        </w:tc>
        <w:tc>
          <w:tcPr>
            <w:tcW w:w="832" w:type="pct"/>
            <w:shd w:val="clear" w:color="auto" w:fill="F2F2F2" w:themeFill="background1" w:themeFillShade="F2"/>
            <w:tcMar>
              <w:top w:w="28" w:type="dxa"/>
              <w:bottom w:w="28" w:type="dxa"/>
            </w:tcMar>
          </w:tcPr>
          <w:p w14:paraId="565B55FA" w14:textId="77777777" w:rsidR="00B91F57" w:rsidRPr="00D67507" w:rsidRDefault="00B91F57" w:rsidP="00C86F4A">
            <w:pPr>
              <w:pStyle w:val="TableTextRight"/>
              <w:rPr>
                <w:szCs w:val="16"/>
              </w:rPr>
            </w:pPr>
            <w:r>
              <w:rPr>
                <w:szCs w:val="16"/>
              </w:rPr>
              <w:noBreakHyphen/>
            </w:r>
          </w:p>
        </w:tc>
      </w:tr>
      <w:tr w:rsidR="00B91F57" w:rsidRPr="006534F5" w14:paraId="228C594B" w14:textId="77777777" w:rsidTr="00BD7AD5">
        <w:tc>
          <w:tcPr>
            <w:tcW w:w="1697" w:type="pct"/>
            <w:shd w:val="clear" w:color="auto" w:fill="F2F2F2" w:themeFill="background1" w:themeFillShade="F2"/>
            <w:noWrap/>
            <w:tcMar>
              <w:top w:w="28" w:type="dxa"/>
              <w:bottom w:w="28" w:type="dxa"/>
            </w:tcMar>
            <w:hideMark/>
          </w:tcPr>
          <w:p w14:paraId="1DA3D0F6" w14:textId="77777777" w:rsidR="00B91F57" w:rsidRPr="00973E4E" w:rsidRDefault="00B91F57" w:rsidP="00C86F4A">
            <w:pPr>
              <w:pStyle w:val="TableTextLeft"/>
              <w:rPr>
                <w:b/>
                <w:bCs/>
              </w:rPr>
            </w:pPr>
            <w:r w:rsidRPr="00973E4E">
              <w:rPr>
                <w:b/>
                <w:bCs/>
              </w:rPr>
              <w:t>Total re</w:t>
            </w:r>
            <w:r w:rsidRPr="00973E4E">
              <w:rPr>
                <w:b/>
                <w:bCs/>
              </w:rPr>
              <w:noBreakHyphen/>
              <w:t>measurements</w:t>
            </w:r>
          </w:p>
        </w:tc>
        <w:tc>
          <w:tcPr>
            <w:tcW w:w="715" w:type="pct"/>
            <w:shd w:val="clear" w:color="auto" w:fill="F2F2F2" w:themeFill="background1" w:themeFillShade="F2"/>
            <w:noWrap/>
            <w:tcMar>
              <w:top w:w="28" w:type="dxa"/>
              <w:bottom w:w="28" w:type="dxa"/>
            </w:tcMar>
            <w:hideMark/>
          </w:tcPr>
          <w:p w14:paraId="30943394" w14:textId="77777777" w:rsidR="00B91F57" w:rsidRPr="00D67507" w:rsidRDefault="00B91F57" w:rsidP="00C86F4A">
            <w:pPr>
              <w:pStyle w:val="TableTextRight"/>
              <w:rPr>
                <w:rStyle w:val="Strong"/>
                <w:szCs w:val="16"/>
              </w:rPr>
            </w:pPr>
            <w:r w:rsidRPr="00D67507">
              <w:rPr>
                <w:rStyle w:val="Strong"/>
                <w:szCs w:val="16"/>
              </w:rPr>
              <w:t> </w:t>
            </w:r>
          </w:p>
        </w:tc>
        <w:tc>
          <w:tcPr>
            <w:tcW w:w="923" w:type="pct"/>
            <w:shd w:val="clear" w:color="auto" w:fill="F2F2F2" w:themeFill="background1" w:themeFillShade="F2"/>
            <w:noWrap/>
            <w:tcMar>
              <w:top w:w="28" w:type="dxa"/>
              <w:bottom w:w="28" w:type="dxa"/>
            </w:tcMar>
          </w:tcPr>
          <w:p w14:paraId="408B6FCF" w14:textId="77777777" w:rsidR="00B91F57" w:rsidRPr="00B90614" w:rsidRDefault="00B91F57" w:rsidP="00C86F4A">
            <w:pPr>
              <w:pStyle w:val="TableTextRight"/>
              <w:rPr>
                <w:b/>
                <w:bCs/>
              </w:rPr>
            </w:pPr>
            <w:r w:rsidRPr="00B90614">
              <w:rPr>
                <w:b/>
                <w:bCs/>
              </w:rPr>
              <w:t>(26,703)</w:t>
            </w:r>
          </w:p>
        </w:tc>
        <w:tc>
          <w:tcPr>
            <w:tcW w:w="833" w:type="pct"/>
            <w:shd w:val="clear" w:color="auto" w:fill="F2F2F2" w:themeFill="background1" w:themeFillShade="F2"/>
            <w:noWrap/>
            <w:tcMar>
              <w:top w:w="28" w:type="dxa"/>
              <w:bottom w:w="28" w:type="dxa"/>
            </w:tcMar>
          </w:tcPr>
          <w:p w14:paraId="404D3722" w14:textId="77777777" w:rsidR="00B91F57" w:rsidRPr="00B90614" w:rsidRDefault="00B91F57" w:rsidP="00C86F4A">
            <w:pPr>
              <w:pStyle w:val="TableTextRight"/>
              <w:rPr>
                <w:b/>
                <w:bCs/>
              </w:rPr>
            </w:pPr>
            <w:r w:rsidRPr="00B90614">
              <w:rPr>
                <w:b/>
                <w:bCs/>
              </w:rPr>
              <w:t xml:space="preserve">(4,178) </w:t>
            </w:r>
          </w:p>
        </w:tc>
        <w:tc>
          <w:tcPr>
            <w:tcW w:w="832" w:type="pct"/>
            <w:shd w:val="clear" w:color="auto" w:fill="F2F2F2" w:themeFill="background1" w:themeFillShade="F2"/>
            <w:tcMar>
              <w:top w:w="28" w:type="dxa"/>
              <w:bottom w:w="28" w:type="dxa"/>
            </w:tcMar>
          </w:tcPr>
          <w:p w14:paraId="6D48F282" w14:textId="77777777" w:rsidR="00B91F57" w:rsidRPr="00B90614" w:rsidRDefault="00B91F57" w:rsidP="00C86F4A">
            <w:pPr>
              <w:pStyle w:val="TableTextRight"/>
              <w:rPr>
                <w:b/>
                <w:bCs/>
              </w:rPr>
            </w:pPr>
            <w:r w:rsidRPr="00B90614">
              <w:rPr>
                <w:b/>
                <w:bCs/>
              </w:rPr>
              <w:t>(13,050)</w:t>
            </w:r>
          </w:p>
        </w:tc>
      </w:tr>
      <w:tr w:rsidR="00B91F57" w:rsidRPr="006534F5" w14:paraId="5D5CF9DF" w14:textId="77777777" w:rsidTr="00BD7AD5">
        <w:tc>
          <w:tcPr>
            <w:tcW w:w="1697" w:type="pct"/>
            <w:shd w:val="clear" w:color="auto" w:fill="F2F2F2" w:themeFill="background1" w:themeFillShade="F2"/>
            <w:noWrap/>
            <w:tcMar>
              <w:top w:w="28" w:type="dxa"/>
              <w:bottom w:w="28" w:type="dxa"/>
            </w:tcMar>
            <w:hideMark/>
          </w:tcPr>
          <w:p w14:paraId="7D4A53A8" w14:textId="77777777" w:rsidR="00B91F57" w:rsidRPr="00973E4E" w:rsidRDefault="00B91F57" w:rsidP="00C86F4A">
            <w:pPr>
              <w:pStyle w:val="TableTextLeft"/>
              <w:rPr>
                <w:b/>
                <w:bCs/>
              </w:rPr>
            </w:pPr>
            <w:r w:rsidRPr="00973E4E">
              <w:rPr>
                <w:b/>
                <w:bCs/>
              </w:rPr>
              <w:t>(Deficit)</w:t>
            </w:r>
          </w:p>
        </w:tc>
        <w:tc>
          <w:tcPr>
            <w:tcW w:w="715" w:type="pct"/>
            <w:shd w:val="clear" w:color="auto" w:fill="F2F2F2" w:themeFill="background1" w:themeFillShade="F2"/>
            <w:noWrap/>
            <w:tcMar>
              <w:top w:w="28" w:type="dxa"/>
              <w:bottom w:w="28" w:type="dxa"/>
            </w:tcMar>
            <w:hideMark/>
          </w:tcPr>
          <w:p w14:paraId="277843D3" w14:textId="77777777" w:rsidR="00B91F57" w:rsidRPr="00D67507" w:rsidRDefault="00B91F57" w:rsidP="00C86F4A">
            <w:pPr>
              <w:pStyle w:val="TableTextRight"/>
              <w:rPr>
                <w:rStyle w:val="Strong"/>
                <w:szCs w:val="16"/>
              </w:rPr>
            </w:pPr>
            <w:r w:rsidRPr="00D67507">
              <w:rPr>
                <w:rStyle w:val="Strong"/>
                <w:szCs w:val="16"/>
              </w:rPr>
              <w:t> </w:t>
            </w:r>
          </w:p>
        </w:tc>
        <w:tc>
          <w:tcPr>
            <w:tcW w:w="923" w:type="pct"/>
            <w:shd w:val="clear" w:color="auto" w:fill="F2F2F2" w:themeFill="background1" w:themeFillShade="F2"/>
            <w:noWrap/>
            <w:tcMar>
              <w:top w:w="28" w:type="dxa"/>
              <w:bottom w:w="28" w:type="dxa"/>
            </w:tcMar>
          </w:tcPr>
          <w:p w14:paraId="4BCECFCA" w14:textId="77777777" w:rsidR="00B91F57" w:rsidRPr="00B90614" w:rsidRDefault="00B91F57" w:rsidP="00C86F4A">
            <w:pPr>
              <w:pStyle w:val="TableTextRight"/>
              <w:rPr>
                <w:b/>
                <w:bCs/>
              </w:rPr>
            </w:pPr>
            <w:r w:rsidRPr="00B90614">
              <w:rPr>
                <w:b/>
                <w:bCs/>
              </w:rPr>
              <w:t>(47,722)</w:t>
            </w:r>
          </w:p>
        </w:tc>
        <w:tc>
          <w:tcPr>
            <w:tcW w:w="833" w:type="pct"/>
            <w:shd w:val="clear" w:color="auto" w:fill="F2F2F2" w:themeFill="background1" w:themeFillShade="F2"/>
            <w:noWrap/>
            <w:tcMar>
              <w:top w:w="28" w:type="dxa"/>
              <w:bottom w:w="28" w:type="dxa"/>
            </w:tcMar>
          </w:tcPr>
          <w:p w14:paraId="580665ED" w14:textId="77777777" w:rsidR="00B91F57" w:rsidRPr="00B90614" w:rsidRDefault="00B91F57" w:rsidP="00C86F4A">
            <w:pPr>
              <w:pStyle w:val="TableTextRight"/>
              <w:rPr>
                <w:b/>
                <w:bCs/>
              </w:rPr>
            </w:pPr>
            <w:r w:rsidRPr="00B90614">
              <w:rPr>
                <w:b/>
                <w:bCs/>
              </w:rPr>
              <w:t>(23,780)</w:t>
            </w:r>
          </w:p>
        </w:tc>
        <w:tc>
          <w:tcPr>
            <w:tcW w:w="832" w:type="pct"/>
            <w:shd w:val="clear" w:color="auto" w:fill="F2F2F2" w:themeFill="background1" w:themeFillShade="F2"/>
            <w:tcMar>
              <w:top w:w="28" w:type="dxa"/>
              <w:bottom w:w="28" w:type="dxa"/>
            </w:tcMar>
          </w:tcPr>
          <w:p w14:paraId="0881245F" w14:textId="77777777" w:rsidR="00B91F57" w:rsidRPr="00B90614" w:rsidRDefault="00B91F57" w:rsidP="00C86F4A">
            <w:pPr>
              <w:pStyle w:val="TableTextRight"/>
              <w:rPr>
                <w:b/>
                <w:bCs/>
              </w:rPr>
            </w:pPr>
            <w:r w:rsidRPr="00B90614">
              <w:rPr>
                <w:b/>
                <w:bCs/>
              </w:rPr>
              <w:t>(35,198)</w:t>
            </w:r>
          </w:p>
        </w:tc>
      </w:tr>
    </w:tbl>
    <w:p w14:paraId="52EAC40A" w14:textId="77777777" w:rsidR="00B91F57" w:rsidRPr="001B3DFB" w:rsidRDefault="00B91F57" w:rsidP="00B91F57">
      <w:pPr>
        <w:pStyle w:val="Chartnotenotab"/>
      </w:pPr>
      <w:r w:rsidRPr="001B3DFB">
        <w:t>The above schedule should be read in conjunction with the accompanying notes.</w:t>
      </w:r>
    </w:p>
    <w:p w14:paraId="136FA048" w14:textId="40FB1ADC" w:rsidR="00B91F57" w:rsidRDefault="00B91F57" w:rsidP="00B91F57">
      <w:pPr>
        <w:pStyle w:val="Chartnotenotab"/>
      </w:pPr>
      <w:r w:rsidRPr="001B3DFB">
        <w:t>Note 10 explains significant variances between actuals and the original budget as presented in the 2024–25 Portfolio Budget Statements</w:t>
      </w:r>
      <w:r w:rsidRPr="00AF7459">
        <w:t>.</w:t>
      </w:r>
      <w:r>
        <w:br w:type="page"/>
      </w:r>
    </w:p>
    <w:p w14:paraId="1F888BAE" w14:textId="77777777" w:rsidR="00D37533" w:rsidRPr="006C5624" w:rsidRDefault="00D37533" w:rsidP="00D37533">
      <w:r w:rsidRPr="006C5624">
        <w:lastRenderedPageBreak/>
        <w:t>Interest expense and interest revenue are determined using the effective interest method.</w:t>
      </w:r>
    </w:p>
    <w:p w14:paraId="54635353" w14:textId="77777777" w:rsidR="00D37533" w:rsidRPr="006C5624" w:rsidRDefault="00D37533" w:rsidP="00D37533">
      <w:r w:rsidRPr="006C5624">
        <w:t>‘Debt repurchases’ represents the total proceeds paid from repurchasing debt before maturity less the amortised cost carrying value of the debt using the effective interest method. The AOFM conducts these transactions at market rates.</w:t>
      </w:r>
    </w:p>
    <w:p w14:paraId="01806B13" w14:textId="77777777" w:rsidR="00D37533" w:rsidRPr="006C5624" w:rsidRDefault="00D37533" w:rsidP="00D37533">
      <w:r w:rsidRPr="006C5624">
        <w:t>‘Deficit before re measurements’ records a financial result that is consistent with an accrual (or amortised cost) basis of accounting under the historic cost accounting convention. This is most relevant to the AOFM’s role in managing the debt portfolio, which is predominantly issued and held to maturity, and where portfolio restructuring is performed for debt management purposes, rather than for profit making purposes.</w:t>
      </w:r>
    </w:p>
    <w:p w14:paraId="06CFDBC6" w14:textId="350F3659" w:rsidR="004B423B" w:rsidRDefault="00D37533" w:rsidP="00D37533">
      <w:proofErr w:type="spellStart"/>
      <w:r w:rsidRPr="006C5624">
        <w:t>‘Re</w:t>
      </w:r>
      <w:proofErr w:type="spellEnd"/>
      <w:r>
        <w:t>-</w:t>
      </w:r>
      <w:r w:rsidRPr="006C5624">
        <w:t>measurements’ provides information on the unrealised changes in the market valuation of the portfolio of administered financial assets and financial liabilities (which are carried at fair value through profit or loss) during the financial year. This is an implicit cost or revenue that is relevant for assessing changes in financial risk exposures and changes to the value of transactions managed from year to year. The</w:t>
      </w:r>
      <w:r w:rsidR="005B28CC">
        <w:t> </w:t>
      </w:r>
      <w:r w:rsidRPr="006C5624">
        <w:t>revaluation effect will net to zero over the life of a financial instrument.</w:t>
      </w:r>
    </w:p>
    <w:p w14:paraId="36987C2A" w14:textId="67496C62" w:rsidR="00D37533" w:rsidRDefault="00D37533" w:rsidP="00D37533">
      <w:r>
        <w:br w:type="page"/>
      </w:r>
    </w:p>
    <w:p w14:paraId="14BB96DB" w14:textId="77777777" w:rsidR="00D37533" w:rsidRPr="006534F5" w:rsidRDefault="00D37533" w:rsidP="00D37533">
      <w:pPr>
        <w:pStyle w:val="Heading2"/>
        <w:rPr>
          <w:lang w:eastAsia="en-AU"/>
        </w:rPr>
      </w:pPr>
      <w:bookmarkStart w:id="1612" w:name="_Toc207792927"/>
      <w:bookmarkStart w:id="1613" w:name="_Toc207793967"/>
      <w:bookmarkStart w:id="1614" w:name="_Toc207796123"/>
      <w:bookmarkStart w:id="1615" w:name="_Toc207796971"/>
      <w:bookmarkStart w:id="1616" w:name="_Toc207800274"/>
      <w:bookmarkStart w:id="1617" w:name="_Toc207810852"/>
      <w:bookmarkStart w:id="1618" w:name="_Toc208914131"/>
      <w:bookmarkStart w:id="1619" w:name="_Toc209424528"/>
      <w:r>
        <w:lastRenderedPageBreak/>
        <w:t>Administered s</w:t>
      </w:r>
      <w:r w:rsidRPr="006534F5">
        <w:t>chedule of assets and liabilities</w:t>
      </w:r>
      <w:bookmarkEnd w:id="1612"/>
      <w:bookmarkEnd w:id="1613"/>
      <w:bookmarkEnd w:id="1614"/>
      <w:bookmarkEnd w:id="1615"/>
      <w:bookmarkEnd w:id="1616"/>
      <w:bookmarkEnd w:id="1617"/>
      <w:bookmarkEnd w:id="1618"/>
      <w:bookmarkEnd w:id="1619"/>
    </w:p>
    <w:p w14:paraId="7B970B7F" w14:textId="77777777" w:rsidR="00D37533" w:rsidRPr="00AF7459" w:rsidRDefault="00D37533" w:rsidP="00D37533">
      <w:pPr>
        <w:pStyle w:val="TableMainHeading"/>
      </w:pPr>
      <w:r w:rsidRPr="00AF7459">
        <w:t xml:space="preserve">As </w:t>
      </w:r>
      <w:proofErr w:type="gramStart"/>
      <w:r w:rsidRPr="00AF7459">
        <w:t>at</w:t>
      </w:r>
      <w:proofErr w:type="gramEnd"/>
      <w:r w:rsidRPr="00AF7459">
        <w:t xml:space="preserve"> 30 June 2025</w:t>
      </w:r>
    </w:p>
    <w:tbl>
      <w:tblPr>
        <w:tblStyle w:val="AOFMTablemain"/>
        <w:tblW w:w="5000" w:type="pct"/>
        <w:tblLayout w:type="fixed"/>
        <w:tblLook w:val="06A0" w:firstRow="1" w:lastRow="0" w:firstColumn="1" w:lastColumn="0" w:noHBand="1" w:noVBand="1"/>
      </w:tblPr>
      <w:tblGrid>
        <w:gridCol w:w="3685"/>
        <w:gridCol w:w="771"/>
        <w:gridCol w:w="1035"/>
        <w:gridCol w:w="1029"/>
        <w:gridCol w:w="1191"/>
      </w:tblGrid>
      <w:tr w:rsidR="0048600D" w:rsidRPr="006534F5" w14:paraId="6AA46389" w14:textId="77777777" w:rsidTr="001F10B3">
        <w:trPr>
          <w:cnfStyle w:val="100000000000" w:firstRow="1" w:lastRow="0" w:firstColumn="0" w:lastColumn="0" w:oddVBand="0" w:evenVBand="0" w:oddHBand="0" w:evenHBand="0" w:firstRowFirstColumn="0" w:firstRowLastColumn="0" w:lastRowFirstColumn="0" w:lastRowLastColumn="0"/>
          <w:trHeight w:hRule="exact" w:val="792"/>
        </w:trPr>
        <w:tc>
          <w:tcPr>
            <w:tcW w:w="2390" w:type="pct"/>
            <w:tcBorders>
              <w:bottom w:val="single" w:sz="4" w:space="0" w:color="29114B" w:themeColor="text2"/>
            </w:tcBorders>
            <w:noWrap/>
            <w:tcMar>
              <w:top w:w="57" w:type="dxa"/>
              <w:bottom w:w="57" w:type="dxa"/>
            </w:tcMar>
            <w:vAlign w:val="bottom"/>
            <w:hideMark/>
          </w:tcPr>
          <w:p w14:paraId="6CA11353" w14:textId="77777777" w:rsidR="00D37533" w:rsidRPr="000B79AE" w:rsidRDefault="00D37533" w:rsidP="00C86F4A">
            <w:pPr>
              <w:pStyle w:val="TableColumnHeadingRight"/>
              <w:rPr>
                <w:szCs w:val="16"/>
              </w:rPr>
            </w:pPr>
            <w:r w:rsidRPr="000B79AE">
              <w:rPr>
                <w:szCs w:val="16"/>
              </w:rPr>
              <w:t> </w:t>
            </w:r>
          </w:p>
        </w:tc>
        <w:tc>
          <w:tcPr>
            <w:tcW w:w="500" w:type="pct"/>
            <w:tcBorders>
              <w:bottom w:val="single" w:sz="4" w:space="0" w:color="29114B" w:themeColor="text2"/>
            </w:tcBorders>
            <w:noWrap/>
            <w:tcMar>
              <w:top w:w="57" w:type="dxa"/>
              <w:bottom w:w="57" w:type="dxa"/>
            </w:tcMar>
            <w:vAlign w:val="bottom"/>
            <w:hideMark/>
          </w:tcPr>
          <w:p w14:paraId="7A6F51A8" w14:textId="77777777" w:rsidR="00D37533" w:rsidRPr="000B79AE" w:rsidRDefault="00D37533" w:rsidP="00C86F4A">
            <w:pPr>
              <w:pStyle w:val="TableColumnHeadingRight"/>
              <w:rPr>
                <w:szCs w:val="16"/>
              </w:rPr>
            </w:pPr>
            <w:r w:rsidRPr="000B79AE">
              <w:rPr>
                <w:szCs w:val="16"/>
              </w:rPr>
              <w:t>Notes</w:t>
            </w:r>
          </w:p>
        </w:tc>
        <w:tc>
          <w:tcPr>
            <w:tcW w:w="671" w:type="pct"/>
            <w:tcBorders>
              <w:bottom w:val="single" w:sz="4" w:space="0" w:color="29114B" w:themeColor="text2"/>
            </w:tcBorders>
            <w:noWrap/>
            <w:tcMar>
              <w:top w:w="57" w:type="dxa"/>
              <w:bottom w:w="57" w:type="dxa"/>
            </w:tcMar>
            <w:vAlign w:val="bottom"/>
            <w:hideMark/>
          </w:tcPr>
          <w:p w14:paraId="1B9C99A3" w14:textId="77777777" w:rsidR="00D37533" w:rsidRPr="000B79AE" w:rsidRDefault="00D37533" w:rsidP="00C86F4A">
            <w:pPr>
              <w:pStyle w:val="TableColumnHeadingRight"/>
              <w:rPr>
                <w:szCs w:val="16"/>
              </w:rPr>
            </w:pPr>
            <w:r w:rsidRPr="000B79AE">
              <w:rPr>
                <w:szCs w:val="16"/>
              </w:rPr>
              <w:t xml:space="preserve">2025 </w:t>
            </w:r>
          </w:p>
          <w:p w14:paraId="61BEC294" w14:textId="77777777" w:rsidR="00D37533" w:rsidRPr="000B79AE" w:rsidRDefault="00D37533" w:rsidP="00C86F4A">
            <w:pPr>
              <w:pStyle w:val="TableColumnHeadingRight"/>
              <w:rPr>
                <w:szCs w:val="16"/>
              </w:rPr>
            </w:pPr>
            <w:r w:rsidRPr="000B79AE">
              <w:rPr>
                <w:szCs w:val="16"/>
              </w:rPr>
              <w:t xml:space="preserve">($million) </w:t>
            </w:r>
          </w:p>
        </w:tc>
        <w:tc>
          <w:tcPr>
            <w:tcW w:w="667" w:type="pct"/>
            <w:tcBorders>
              <w:bottom w:val="single" w:sz="4" w:space="0" w:color="29114B" w:themeColor="text2"/>
            </w:tcBorders>
            <w:noWrap/>
            <w:tcMar>
              <w:top w:w="57" w:type="dxa"/>
              <w:bottom w:w="57" w:type="dxa"/>
            </w:tcMar>
            <w:vAlign w:val="bottom"/>
            <w:hideMark/>
          </w:tcPr>
          <w:p w14:paraId="6E3B82BA" w14:textId="77777777" w:rsidR="00D37533" w:rsidRPr="000B79AE" w:rsidRDefault="00D37533" w:rsidP="00C86F4A">
            <w:pPr>
              <w:pStyle w:val="TableColumnHeadingRight"/>
              <w:rPr>
                <w:szCs w:val="16"/>
              </w:rPr>
            </w:pPr>
            <w:r w:rsidRPr="000B79AE">
              <w:rPr>
                <w:szCs w:val="16"/>
              </w:rPr>
              <w:t xml:space="preserve">2024 </w:t>
            </w:r>
          </w:p>
          <w:p w14:paraId="7C13070A" w14:textId="77777777" w:rsidR="00D37533" w:rsidRPr="000B79AE" w:rsidRDefault="00D37533" w:rsidP="00C86F4A">
            <w:pPr>
              <w:pStyle w:val="TableColumnHeadingRight"/>
              <w:rPr>
                <w:szCs w:val="16"/>
              </w:rPr>
            </w:pPr>
            <w:r w:rsidRPr="000B79AE">
              <w:rPr>
                <w:szCs w:val="16"/>
              </w:rPr>
              <w:t>($million)</w:t>
            </w:r>
          </w:p>
        </w:tc>
        <w:tc>
          <w:tcPr>
            <w:tcW w:w="772" w:type="pct"/>
            <w:tcBorders>
              <w:bottom w:val="single" w:sz="4" w:space="0" w:color="29114B" w:themeColor="text2"/>
            </w:tcBorders>
            <w:tcMar>
              <w:top w:w="57" w:type="dxa"/>
              <w:bottom w:w="57" w:type="dxa"/>
            </w:tcMar>
            <w:vAlign w:val="bottom"/>
          </w:tcPr>
          <w:p w14:paraId="42D46E9D" w14:textId="23495A3E" w:rsidR="00D37533" w:rsidRPr="000B79AE" w:rsidRDefault="00D37533" w:rsidP="00D37533">
            <w:pPr>
              <w:pStyle w:val="TableColumnHeadingRight"/>
              <w:rPr>
                <w:szCs w:val="16"/>
              </w:rPr>
            </w:pPr>
            <w:r w:rsidRPr="000B79AE">
              <w:rPr>
                <w:szCs w:val="16"/>
              </w:rPr>
              <w:t>Budget 2025 ($million)</w:t>
            </w:r>
          </w:p>
        </w:tc>
      </w:tr>
      <w:tr w:rsidR="00D37533" w:rsidRPr="006534F5" w14:paraId="44A93ADB" w14:textId="77777777" w:rsidTr="001F10B3">
        <w:tc>
          <w:tcPr>
            <w:tcW w:w="239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tcPr>
          <w:p w14:paraId="3F8B76A8" w14:textId="4883EBCD" w:rsidR="00D37533" w:rsidRPr="00BD7AD5" w:rsidRDefault="00D37533" w:rsidP="00D37533">
            <w:pPr>
              <w:pStyle w:val="TableSecondHeading"/>
              <w:rPr>
                <w:b/>
                <w:bCs/>
              </w:rPr>
            </w:pPr>
            <w:r w:rsidRPr="00BD7AD5">
              <w:rPr>
                <w:b/>
                <w:bCs/>
              </w:rPr>
              <w:t>Financial Assets</w:t>
            </w:r>
          </w:p>
        </w:tc>
        <w:tc>
          <w:tcPr>
            <w:tcW w:w="500"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6453D67B" w14:textId="77777777" w:rsidR="00D37533" w:rsidRPr="000B79AE" w:rsidRDefault="00D37533" w:rsidP="00C86F4A">
            <w:pPr>
              <w:pStyle w:val="TableColumnHeadingLeft"/>
              <w:rPr>
                <w:szCs w:val="16"/>
              </w:rPr>
            </w:pPr>
            <w:r w:rsidRPr="000B79AE">
              <w:rPr>
                <w:bCs/>
                <w:szCs w:val="16"/>
              </w:rPr>
              <w:t> </w:t>
            </w:r>
          </w:p>
        </w:tc>
        <w:tc>
          <w:tcPr>
            <w:tcW w:w="671"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7F582983" w14:textId="77777777" w:rsidR="00D37533" w:rsidRPr="000B79AE" w:rsidRDefault="00D37533" w:rsidP="00C86F4A">
            <w:pPr>
              <w:pStyle w:val="TableColumnHeadingLeft"/>
              <w:rPr>
                <w:szCs w:val="16"/>
              </w:rPr>
            </w:pPr>
            <w:r w:rsidRPr="000B79AE">
              <w:rPr>
                <w:szCs w:val="16"/>
              </w:rPr>
              <w:t> </w:t>
            </w:r>
          </w:p>
        </w:tc>
        <w:tc>
          <w:tcPr>
            <w:tcW w:w="66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743D77F4" w14:textId="77777777" w:rsidR="00D37533" w:rsidRPr="000B79AE" w:rsidRDefault="00D37533" w:rsidP="00C86F4A">
            <w:pPr>
              <w:pStyle w:val="TableTextRight"/>
              <w:rPr>
                <w:szCs w:val="16"/>
              </w:rPr>
            </w:pPr>
            <w:r w:rsidRPr="000B79AE">
              <w:rPr>
                <w:szCs w:val="16"/>
              </w:rPr>
              <w:t> </w:t>
            </w:r>
          </w:p>
        </w:tc>
        <w:tc>
          <w:tcPr>
            <w:tcW w:w="772"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tcPr>
          <w:p w14:paraId="752FC519" w14:textId="77777777" w:rsidR="00D37533" w:rsidRPr="000B79AE" w:rsidRDefault="00D37533" w:rsidP="00C86F4A">
            <w:pPr>
              <w:pStyle w:val="TableTextRight"/>
              <w:rPr>
                <w:szCs w:val="16"/>
              </w:rPr>
            </w:pPr>
          </w:p>
        </w:tc>
      </w:tr>
      <w:tr w:rsidR="00D37533" w:rsidRPr="006534F5" w14:paraId="1ABBC62F" w14:textId="77777777" w:rsidTr="001F10B3">
        <w:tc>
          <w:tcPr>
            <w:tcW w:w="2390" w:type="pct"/>
            <w:shd w:val="clear" w:color="auto" w:fill="F2F2F2" w:themeFill="background1" w:themeFillShade="F2"/>
            <w:noWrap/>
            <w:tcMar>
              <w:top w:w="57" w:type="dxa"/>
              <w:bottom w:w="57" w:type="dxa"/>
            </w:tcMar>
          </w:tcPr>
          <w:p w14:paraId="2B43B741" w14:textId="77777777" w:rsidR="00D37533" w:rsidRPr="000B79AE" w:rsidRDefault="00D37533" w:rsidP="00C86F4A">
            <w:pPr>
              <w:pStyle w:val="TableTextLeft"/>
              <w:rPr>
                <w:rStyle w:val="Strong"/>
                <w:szCs w:val="16"/>
              </w:rPr>
            </w:pPr>
            <w:r w:rsidRPr="000B79AE">
              <w:rPr>
                <w:szCs w:val="16"/>
              </w:rPr>
              <w:t>Cash held in the O</w:t>
            </w:r>
            <w:r>
              <w:rPr>
                <w:szCs w:val="16"/>
              </w:rPr>
              <w:t>fficial Public Account (O</w:t>
            </w:r>
            <w:r w:rsidRPr="000B79AE">
              <w:rPr>
                <w:szCs w:val="16"/>
              </w:rPr>
              <w:t>PA</w:t>
            </w:r>
            <w:r>
              <w:rPr>
                <w:szCs w:val="16"/>
              </w:rPr>
              <w:t>)</w:t>
            </w:r>
          </w:p>
        </w:tc>
        <w:tc>
          <w:tcPr>
            <w:tcW w:w="500" w:type="pct"/>
            <w:shd w:val="clear" w:color="auto" w:fill="F2F2F2" w:themeFill="background1" w:themeFillShade="F2"/>
            <w:noWrap/>
            <w:tcMar>
              <w:top w:w="57" w:type="dxa"/>
              <w:bottom w:w="57" w:type="dxa"/>
            </w:tcMar>
            <w:hideMark/>
          </w:tcPr>
          <w:p w14:paraId="5FDA0E54" w14:textId="77777777" w:rsidR="00D37533" w:rsidRPr="000B79AE" w:rsidRDefault="00D37533" w:rsidP="00C86F4A">
            <w:pPr>
              <w:pStyle w:val="TableTextRight"/>
              <w:rPr>
                <w:rStyle w:val="Strong"/>
                <w:szCs w:val="16"/>
              </w:rPr>
            </w:pPr>
            <w:r w:rsidRPr="000B79AE">
              <w:rPr>
                <w:b/>
                <w:bCs/>
                <w:szCs w:val="16"/>
              </w:rPr>
              <w:t> </w:t>
            </w:r>
          </w:p>
        </w:tc>
        <w:tc>
          <w:tcPr>
            <w:tcW w:w="671" w:type="pct"/>
            <w:shd w:val="clear" w:color="auto" w:fill="F2F2F2" w:themeFill="background1" w:themeFillShade="F2"/>
            <w:noWrap/>
            <w:tcMar>
              <w:top w:w="57" w:type="dxa"/>
              <w:bottom w:w="57" w:type="dxa"/>
            </w:tcMar>
            <w:hideMark/>
          </w:tcPr>
          <w:p w14:paraId="4B64A4ED" w14:textId="77777777" w:rsidR="00D37533" w:rsidRPr="00654BC0" w:rsidRDefault="00D37533" w:rsidP="00C86F4A">
            <w:pPr>
              <w:pStyle w:val="TableTextRight"/>
              <w:rPr>
                <w:rStyle w:val="Strong"/>
                <w:b w:val="0"/>
                <w:bCs w:val="0"/>
              </w:rPr>
            </w:pPr>
            <w:r w:rsidRPr="00654BC0">
              <w:rPr>
                <w:rStyle w:val="Strong"/>
                <w:b w:val="0"/>
                <w:bCs w:val="0"/>
              </w:rPr>
              <w:t>1</w:t>
            </w:r>
          </w:p>
        </w:tc>
        <w:tc>
          <w:tcPr>
            <w:tcW w:w="667" w:type="pct"/>
            <w:shd w:val="clear" w:color="auto" w:fill="F2F2F2" w:themeFill="background1" w:themeFillShade="F2"/>
            <w:noWrap/>
            <w:tcMar>
              <w:top w:w="57" w:type="dxa"/>
              <w:bottom w:w="57" w:type="dxa"/>
            </w:tcMar>
            <w:hideMark/>
          </w:tcPr>
          <w:p w14:paraId="6F17EDF7" w14:textId="77777777" w:rsidR="00D37533" w:rsidRPr="000B79AE" w:rsidRDefault="00D37533" w:rsidP="00C86F4A">
            <w:pPr>
              <w:pStyle w:val="TableTextRight"/>
              <w:rPr>
                <w:rStyle w:val="Strong"/>
                <w:szCs w:val="16"/>
              </w:rPr>
            </w:pPr>
            <w:r w:rsidRPr="000B79AE">
              <w:rPr>
                <w:szCs w:val="16"/>
              </w:rPr>
              <w:t xml:space="preserve">1 </w:t>
            </w:r>
          </w:p>
        </w:tc>
        <w:tc>
          <w:tcPr>
            <w:tcW w:w="772" w:type="pct"/>
            <w:shd w:val="clear" w:color="auto" w:fill="F2F2F2" w:themeFill="background1" w:themeFillShade="F2"/>
            <w:tcMar>
              <w:top w:w="57" w:type="dxa"/>
              <w:bottom w:w="57" w:type="dxa"/>
            </w:tcMar>
          </w:tcPr>
          <w:p w14:paraId="0410FCB8" w14:textId="77777777" w:rsidR="00D37533" w:rsidRPr="000B79AE" w:rsidRDefault="00D37533" w:rsidP="00C86F4A">
            <w:pPr>
              <w:pStyle w:val="TableTextRight"/>
              <w:rPr>
                <w:szCs w:val="16"/>
              </w:rPr>
            </w:pPr>
            <w:r w:rsidRPr="000B79AE">
              <w:rPr>
                <w:szCs w:val="16"/>
              </w:rPr>
              <w:t>1</w:t>
            </w:r>
          </w:p>
        </w:tc>
      </w:tr>
      <w:tr w:rsidR="00D37533" w:rsidRPr="006534F5" w14:paraId="1C85993C" w14:textId="77777777" w:rsidTr="001F10B3">
        <w:tc>
          <w:tcPr>
            <w:tcW w:w="2390" w:type="pct"/>
            <w:shd w:val="clear" w:color="auto" w:fill="F2F2F2" w:themeFill="background1" w:themeFillShade="F2"/>
            <w:noWrap/>
            <w:tcMar>
              <w:top w:w="57" w:type="dxa"/>
              <w:bottom w:w="57" w:type="dxa"/>
            </w:tcMar>
          </w:tcPr>
          <w:p w14:paraId="30AEBA6A" w14:textId="77777777" w:rsidR="00D37533" w:rsidRPr="000B79AE" w:rsidRDefault="00D37533" w:rsidP="00C86F4A">
            <w:pPr>
              <w:pStyle w:val="TableTextLeft"/>
              <w:ind w:right="770"/>
              <w:rPr>
                <w:rStyle w:val="Strong"/>
                <w:szCs w:val="16"/>
              </w:rPr>
            </w:pPr>
            <w:r w:rsidRPr="000B79AE">
              <w:rPr>
                <w:szCs w:val="16"/>
              </w:rPr>
              <w:t>Cash held in the cash management</w:t>
            </w:r>
            <w:r>
              <w:rPr>
                <w:szCs w:val="16"/>
              </w:rPr>
              <w:t xml:space="preserve"> </w:t>
            </w:r>
            <w:r w:rsidRPr="000B79AE">
              <w:rPr>
                <w:szCs w:val="16"/>
              </w:rPr>
              <w:t>account (a)</w:t>
            </w:r>
          </w:p>
        </w:tc>
        <w:tc>
          <w:tcPr>
            <w:tcW w:w="500" w:type="pct"/>
            <w:shd w:val="clear" w:color="auto" w:fill="F2F2F2" w:themeFill="background1" w:themeFillShade="F2"/>
            <w:noWrap/>
            <w:tcMar>
              <w:top w:w="57" w:type="dxa"/>
              <w:bottom w:w="57" w:type="dxa"/>
            </w:tcMar>
          </w:tcPr>
          <w:p w14:paraId="3A3236F8" w14:textId="77777777" w:rsidR="00D37533" w:rsidRPr="000B79AE" w:rsidRDefault="00D37533" w:rsidP="00C86F4A">
            <w:pPr>
              <w:pStyle w:val="TableTextRight"/>
              <w:rPr>
                <w:rStyle w:val="Strong"/>
                <w:szCs w:val="16"/>
              </w:rPr>
            </w:pPr>
            <w:r w:rsidRPr="000B79AE">
              <w:rPr>
                <w:b/>
                <w:bCs/>
                <w:szCs w:val="16"/>
              </w:rPr>
              <w:t>5</w:t>
            </w:r>
          </w:p>
        </w:tc>
        <w:tc>
          <w:tcPr>
            <w:tcW w:w="671" w:type="pct"/>
            <w:shd w:val="clear" w:color="auto" w:fill="F2F2F2" w:themeFill="background1" w:themeFillShade="F2"/>
            <w:noWrap/>
            <w:tcMar>
              <w:top w:w="57" w:type="dxa"/>
              <w:bottom w:w="57" w:type="dxa"/>
            </w:tcMar>
          </w:tcPr>
          <w:p w14:paraId="3373A65B" w14:textId="77777777" w:rsidR="00D37533" w:rsidRPr="00654BC0" w:rsidRDefault="00D37533" w:rsidP="00C86F4A">
            <w:pPr>
              <w:pStyle w:val="TableTextRight"/>
              <w:rPr>
                <w:rStyle w:val="Strong"/>
                <w:b w:val="0"/>
                <w:bCs w:val="0"/>
              </w:rPr>
            </w:pPr>
            <w:r w:rsidRPr="00654BC0">
              <w:rPr>
                <w:rStyle w:val="Strong"/>
                <w:b w:val="0"/>
                <w:bCs w:val="0"/>
              </w:rPr>
              <w:t>68,379</w:t>
            </w:r>
          </w:p>
        </w:tc>
        <w:tc>
          <w:tcPr>
            <w:tcW w:w="667" w:type="pct"/>
            <w:shd w:val="clear" w:color="auto" w:fill="F2F2F2" w:themeFill="background1" w:themeFillShade="F2"/>
            <w:noWrap/>
            <w:tcMar>
              <w:top w:w="57" w:type="dxa"/>
              <w:bottom w:w="57" w:type="dxa"/>
            </w:tcMar>
          </w:tcPr>
          <w:p w14:paraId="76C1B7DD" w14:textId="77777777" w:rsidR="00D37533" w:rsidRPr="000B79AE" w:rsidRDefault="00D37533" w:rsidP="00C86F4A">
            <w:pPr>
              <w:pStyle w:val="TableTextRight"/>
              <w:rPr>
                <w:rStyle w:val="Strong"/>
                <w:szCs w:val="16"/>
              </w:rPr>
            </w:pPr>
            <w:r w:rsidRPr="000B79AE">
              <w:rPr>
                <w:szCs w:val="16"/>
              </w:rPr>
              <w:t xml:space="preserve">85,552 </w:t>
            </w:r>
          </w:p>
        </w:tc>
        <w:tc>
          <w:tcPr>
            <w:tcW w:w="772" w:type="pct"/>
            <w:shd w:val="clear" w:color="auto" w:fill="F2F2F2" w:themeFill="background1" w:themeFillShade="F2"/>
            <w:tcMar>
              <w:top w:w="57" w:type="dxa"/>
              <w:bottom w:w="57" w:type="dxa"/>
            </w:tcMar>
          </w:tcPr>
          <w:p w14:paraId="00B78C14" w14:textId="77777777" w:rsidR="00D37533" w:rsidRPr="000B79AE" w:rsidRDefault="00D37533" w:rsidP="00C86F4A">
            <w:pPr>
              <w:pStyle w:val="TableTextRight"/>
              <w:rPr>
                <w:szCs w:val="16"/>
              </w:rPr>
            </w:pPr>
            <w:r w:rsidRPr="000B79AE">
              <w:rPr>
                <w:szCs w:val="16"/>
              </w:rPr>
              <w:t>50,394</w:t>
            </w:r>
          </w:p>
        </w:tc>
      </w:tr>
      <w:tr w:rsidR="00D37533" w:rsidRPr="006534F5" w14:paraId="13FEB9D2" w14:textId="77777777" w:rsidTr="001F10B3">
        <w:tc>
          <w:tcPr>
            <w:tcW w:w="2390" w:type="pct"/>
            <w:shd w:val="clear" w:color="auto" w:fill="F2F2F2" w:themeFill="background1" w:themeFillShade="F2"/>
            <w:noWrap/>
            <w:tcMar>
              <w:top w:w="57" w:type="dxa"/>
              <w:bottom w:w="57" w:type="dxa"/>
            </w:tcMar>
          </w:tcPr>
          <w:p w14:paraId="4C544E97" w14:textId="77777777" w:rsidR="00D37533" w:rsidRPr="000B79AE" w:rsidRDefault="00D37533" w:rsidP="00C86F4A">
            <w:pPr>
              <w:pStyle w:val="TableTextLeft"/>
              <w:rPr>
                <w:rStyle w:val="Strong"/>
                <w:szCs w:val="16"/>
              </w:rPr>
            </w:pPr>
            <w:r w:rsidRPr="000B79AE">
              <w:rPr>
                <w:b/>
                <w:bCs/>
                <w:szCs w:val="16"/>
              </w:rPr>
              <w:t>Assets at amortised cost:</w:t>
            </w:r>
          </w:p>
        </w:tc>
        <w:tc>
          <w:tcPr>
            <w:tcW w:w="500" w:type="pct"/>
            <w:shd w:val="clear" w:color="auto" w:fill="F2F2F2" w:themeFill="background1" w:themeFillShade="F2"/>
            <w:noWrap/>
            <w:tcMar>
              <w:top w:w="57" w:type="dxa"/>
              <w:bottom w:w="57" w:type="dxa"/>
            </w:tcMar>
          </w:tcPr>
          <w:p w14:paraId="5957DA3F" w14:textId="77777777" w:rsidR="00D37533" w:rsidRPr="000B79AE" w:rsidRDefault="00D37533" w:rsidP="00C86F4A">
            <w:pPr>
              <w:pStyle w:val="TableTextRight"/>
              <w:rPr>
                <w:rStyle w:val="Strong"/>
                <w:szCs w:val="16"/>
              </w:rPr>
            </w:pPr>
            <w:r w:rsidRPr="000B79AE">
              <w:rPr>
                <w:b/>
                <w:bCs/>
                <w:szCs w:val="16"/>
              </w:rPr>
              <w:t> </w:t>
            </w:r>
          </w:p>
        </w:tc>
        <w:tc>
          <w:tcPr>
            <w:tcW w:w="671" w:type="pct"/>
            <w:shd w:val="clear" w:color="auto" w:fill="F2F2F2" w:themeFill="background1" w:themeFillShade="F2"/>
            <w:noWrap/>
            <w:tcMar>
              <w:top w:w="57" w:type="dxa"/>
              <w:bottom w:w="57" w:type="dxa"/>
            </w:tcMar>
          </w:tcPr>
          <w:p w14:paraId="1A5C8DE3" w14:textId="77777777" w:rsidR="00D37533" w:rsidRPr="00E361AE" w:rsidRDefault="00D37533" w:rsidP="00C86F4A">
            <w:pPr>
              <w:pStyle w:val="TableTextRight"/>
              <w:rPr>
                <w:rStyle w:val="Strong"/>
              </w:rPr>
            </w:pPr>
          </w:p>
        </w:tc>
        <w:tc>
          <w:tcPr>
            <w:tcW w:w="667" w:type="pct"/>
            <w:shd w:val="clear" w:color="auto" w:fill="F2F2F2" w:themeFill="background1" w:themeFillShade="F2"/>
            <w:noWrap/>
            <w:tcMar>
              <w:top w:w="57" w:type="dxa"/>
              <w:bottom w:w="57" w:type="dxa"/>
            </w:tcMar>
          </w:tcPr>
          <w:p w14:paraId="6BBBFFA0" w14:textId="77777777" w:rsidR="00D37533" w:rsidRPr="000B79AE" w:rsidRDefault="00D37533" w:rsidP="00C86F4A">
            <w:pPr>
              <w:pStyle w:val="TableTextRight"/>
              <w:rPr>
                <w:rStyle w:val="Strong"/>
                <w:szCs w:val="16"/>
              </w:rPr>
            </w:pPr>
            <w:r w:rsidRPr="000B79AE">
              <w:rPr>
                <w:szCs w:val="16"/>
              </w:rPr>
              <w:t> </w:t>
            </w:r>
          </w:p>
        </w:tc>
        <w:tc>
          <w:tcPr>
            <w:tcW w:w="772" w:type="pct"/>
            <w:shd w:val="clear" w:color="auto" w:fill="F2F2F2" w:themeFill="background1" w:themeFillShade="F2"/>
            <w:tcMar>
              <w:top w:w="57" w:type="dxa"/>
              <w:bottom w:w="57" w:type="dxa"/>
            </w:tcMar>
          </w:tcPr>
          <w:p w14:paraId="264A85E0" w14:textId="77777777" w:rsidR="00D37533" w:rsidRPr="000B79AE" w:rsidRDefault="00D37533" w:rsidP="00C86F4A">
            <w:pPr>
              <w:pStyle w:val="TableTextRight"/>
              <w:rPr>
                <w:szCs w:val="16"/>
              </w:rPr>
            </w:pPr>
          </w:p>
        </w:tc>
      </w:tr>
      <w:tr w:rsidR="00D37533" w:rsidRPr="006534F5" w14:paraId="529B14AC" w14:textId="77777777" w:rsidTr="001F10B3">
        <w:tc>
          <w:tcPr>
            <w:tcW w:w="2390" w:type="pct"/>
            <w:shd w:val="clear" w:color="auto" w:fill="F2F2F2" w:themeFill="background1" w:themeFillShade="F2"/>
            <w:noWrap/>
            <w:tcMar>
              <w:top w:w="57" w:type="dxa"/>
              <w:bottom w:w="57" w:type="dxa"/>
            </w:tcMar>
          </w:tcPr>
          <w:p w14:paraId="2E2B5FCB" w14:textId="77777777" w:rsidR="00D37533" w:rsidRPr="000B79AE" w:rsidRDefault="00D37533" w:rsidP="00C86F4A">
            <w:pPr>
              <w:pStyle w:val="TableTextLeft"/>
              <w:rPr>
                <w:rStyle w:val="Strong"/>
                <w:szCs w:val="16"/>
              </w:rPr>
            </w:pPr>
            <w:r w:rsidRPr="000B79AE">
              <w:rPr>
                <w:szCs w:val="16"/>
              </w:rPr>
              <w:t>Structured finance securities</w:t>
            </w:r>
          </w:p>
        </w:tc>
        <w:tc>
          <w:tcPr>
            <w:tcW w:w="500" w:type="pct"/>
            <w:shd w:val="clear" w:color="auto" w:fill="F2F2F2" w:themeFill="background1" w:themeFillShade="F2"/>
            <w:noWrap/>
            <w:tcMar>
              <w:top w:w="57" w:type="dxa"/>
              <w:bottom w:w="57" w:type="dxa"/>
            </w:tcMar>
          </w:tcPr>
          <w:p w14:paraId="5106B28E" w14:textId="77777777" w:rsidR="00D37533" w:rsidRPr="000B79AE" w:rsidRDefault="00D37533" w:rsidP="00C86F4A">
            <w:pPr>
              <w:pStyle w:val="TableTextRight"/>
              <w:rPr>
                <w:rStyle w:val="Strong"/>
                <w:szCs w:val="16"/>
              </w:rPr>
            </w:pPr>
            <w:r w:rsidRPr="000B79AE">
              <w:rPr>
                <w:b/>
                <w:bCs/>
                <w:szCs w:val="16"/>
              </w:rPr>
              <w:t>6</w:t>
            </w:r>
          </w:p>
        </w:tc>
        <w:tc>
          <w:tcPr>
            <w:tcW w:w="671" w:type="pct"/>
            <w:shd w:val="clear" w:color="auto" w:fill="F2F2F2" w:themeFill="background1" w:themeFillShade="F2"/>
            <w:noWrap/>
            <w:tcMar>
              <w:top w:w="57" w:type="dxa"/>
              <w:bottom w:w="57" w:type="dxa"/>
            </w:tcMar>
          </w:tcPr>
          <w:p w14:paraId="08FCDA31" w14:textId="77777777" w:rsidR="00D37533" w:rsidRPr="00654BC0" w:rsidRDefault="00D37533" w:rsidP="00C86F4A">
            <w:pPr>
              <w:pStyle w:val="TableTextRight"/>
              <w:rPr>
                <w:rStyle w:val="Strong"/>
                <w:b w:val="0"/>
                <w:bCs w:val="0"/>
              </w:rPr>
            </w:pPr>
            <w:r w:rsidRPr="00654BC0">
              <w:rPr>
                <w:rStyle w:val="Strong"/>
                <w:b w:val="0"/>
                <w:bCs w:val="0"/>
              </w:rPr>
              <w:t>219</w:t>
            </w:r>
          </w:p>
        </w:tc>
        <w:tc>
          <w:tcPr>
            <w:tcW w:w="667" w:type="pct"/>
            <w:shd w:val="clear" w:color="auto" w:fill="F2F2F2" w:themeFill="background1" w:themeFillShade="F2"/>
            <w:noWrap/>
            <w:tcMar>
              <w:top w:w="57" w:type="dxa"/>
              <w:bottom w:w="57" w:type="dxa"/>
            </w:tcMar>
          </w:tcPr>
          <w:p w14:paraId="674B2CCA" w14:textId="77777777" w:rsidR="00D37533" w:rsidRPr="000B79AE" w:rsidRDefault="00D37533" w:rsidP="00C86F4A">
            <w:pPr>
              <w:pStyle w:val="TableTextRight"/>
              <w:rPr>
                <w:rStyle w:val="Strong"/>
                <w:szCs w:val="16"/>
              </w:rPr>
            </w:pPr>
            <w:r w:rsidRPr="000B79AE">
              <w:rPr>
                <w:szCs w:val="16"/>
              </w:rPr>
              <w:t xml:space="preserve">323 </w:t>
            </w:r>
          </w:p>
        </w:tc>
        <w:tc>
          <w:tcPr>
            <w:tcW w:w="772" w:type="pct"/>
            <w:shd w:val="clear" w:color="auto" w:fill="F2F2F2" w:themeFill="background1" w:themeFillShade="F2"/>
            <w:tcMar>
              <w:top w:w="57" w:type="dxa"/>
              <w:bottom w:w="57" w:type="dxa"/>
            </w:tcMar>
          </w:tcPr>
          <w:p w14:paraId="4A023AEB" w14:textId="77777777" w:rsidR="00D37533" w:rsidRPr="000B79AE" w:rsidRDefault="00D37533" w:rsidP="00C86F4A">
            <w:pPr>
              <w:pStyle w:val="TableTextRight"/>
              <w:rPr>
                <w:szCs w:val="16"/>
              </w:rPr>
            </w:pPr>
            <w:r w:rsidRPr="000B79AE">
              <w:rPr>
                <w:szCs w:val="16"/>
              </w:rPr>
              <w:t>775</w:t>
            </w:r>
          </w:p>
        </w:tc>
      </w:tr>
      <w:tr w:rsidR="00D37533" w:rsidRPr="006534F5" w14:paraId="33768E56" w14:textId="77777777" w:rsidTr="001F10B3">
        <w:tc>
          <w:tcPr>
            <w:tcW w:w="2390" w:type="pct"/>
            <w:shd w:val="clear" w:color="auto" w:fill="F2F2F2" w:themeFill="background1" w:themeFillShade="F2"/>
            <w:noWrap/>
            <w:tcMar>
              <w:top w:w="57" w:type="dxa"/>
              <w:bottom w:w="57" w:type="dxa"/>
            </w:tcMar>
          </w:tcPr>
          <w:p w14:paraId="2274F961" w14:textId="77777777" w:rsidR="00D37533" w:rsidRPr="000B79AE" w:rsidRDefault="00D37533" w:rsidP="00C86F4A">
            <w:pPr>
              <w:pStyle w:val="TableTextLeft"/>
              <w:rPr>
                <w:rStyle w:val="Strong"/>
                <w:szCs w:val="16"/>
              </w:rPr>
            </w:pPr>
            <w:r w:rsidRPr="000B79AE">
              <w:rPr>
                <w:szCs w:val="16"/>
              </w:rPr>
              <w:t>Loans to state and territory governments</w:t>
            </w:r>
          </w:p>
        </w:tc>
        <w:tc>
          <w:tcPr>
            <w:tcW w:w="500" w:type="pct"/>
            <w:shd w:val="clear" w:color="auto" w:fill="F2F2F2" w:themeFill="background1" w:themeFillShade="F2"/>
            <w:noWrap/>
            <w:tcMar>
              <w:top w:w="57" w:type="dxa"/>
              <w:bottom w:w="57" w:type="dxa"/>
            </w:tcMar>
          </w:tcPr>
          <w:p w14:paraId="7C8FD17B" w14:textId="77777777" w:rsidR="00D37533" w:rsidRPr="000B79AE" w:rsidRDefault="00D37533" w:rsidP="00C86F4A">
            <w:pPr>
              <w:pStyle w:val="TableTextRight"/>
              <w:rPr>
                <w:rStyle w:val="Strong"/>
                <w:szCs w:val="16"/>
              </w:rPr>
            </w:pPr>
            <w:r w:rsidRPr="000B79AE">
              <w:rPr>
                <w:b/>
                <w:bCs/>
                <w:szCs w:val="16"/>
              </w:rPr>
              <w:t>7</w:t>
            </w:r>
          </w:p>
        </w:tc>
        <w:tc>
          <w:tcPr>
            <w:tcW w:w="671" w:type="pct"/>
            <w:shd w:val="clear" w:color="auto" w:fill="F2F2F2" w:themeFill="background1" w:themeFillShade="F2"/>
            <w:noWrap/>
            <w:tcMar>
              <w:top w:w="57" w:type="dxa"/>
              <w:bottom w:w="57" w:type="dxa"/>
            </w:tcMar>
          </w:tcPr>
          <w:p w14:paraId="34645452" w14:textId="77777777" w:rsidR="00D37533" w:rsidRPr="00654BC0" w:rsidRDefault="00D37533" w:rsidP="00C86F4A">
            <w:pPr>
              <w:pStyle w:val="TableTextRight"/>
              <w:rPr>
                <w:rStyle w:val="Strong"/>
                <w:b w:val="0"/>
                <w:bCs w:val="0"/>
              </w:rPr>
            </w:pPr>
            <w:r w:rsidRPr="00654BC0">
              <w:rPr>
                <w:rStyle w:val="Strong"/>
                <w:b w:val="0"/>
                <w:bCs w:val="0"/>
              </w:rPr>
              <w:t>1,089</w:t>
            </w:r>
          </w:p>
        </w:tc>
        <w:tc>
          <w:tcPr>
            <w:tcW w:w="667" w:type="pct"/>
            <w:shd w:val="clear" w:color="auto" w:fill="F2F2F2" w:themeFill="background1" w:themeFillShade="F2"/>
            <w:noWrap/>
            <w:tcMar>
              <w:top w:w="57" w:type="dxa"/>
              <w:bottom w:w="57" w:type="dxa"/>
            </w:tcMar>
          </w:tcPr>
          <w:p w14:paraId="0803925A" w14:textId="77777777" w:rsidR="00D37533" w:rsidRPr="000B79AE" w:rsidRDefault="00D37533" w:rsidP="00C86F4A">
            <w:pPr>
              <w:pStyle w:val="TableTextRight"/>
              <w:rPr>
                <w:rStyle w:val="Strong"/>
                <w:szCs w:val="16"/>
              </w:rPr>
            </w:pPr>
            <w:r w:rsidRPr="000B79AE">
              <w:rPr>
                <w:szCs w:val="16"/>
              </w:rPr>
              <w:t xml:space="preserve">1,170 </w:t>
            </w:r>
          </w:p>
        </w:tc>
        <w:tc>
          <w:tcPr>
            <w:tcW w:w="772" w:type="pct"/>
            <w:shd w:val="clear" w:color="auto" w:fill="F2F2F2" w:themeFill="background1" w:themeFillShade="F2"/>
            <w:tcMar>
              <w:top w:w="57" w:type="dxa"/>
              <w:bottom w:w="57" w:type="dxa"/>
            </w:tcMar>
          </w:tcPr>
          <w:p w14:paraId="0C1241E4" w14:textId="77777777" w:rsidR="00D37533" w:rsidRPr="000B79AE" w:rsidRDefault="00D37533" w:rsidP="00C86F4A">
            <w:pPr>
              <w:pStyle w:val="TableTextRight"/>
              <w:rPr>
                <w:szCs w:val="16"/>
              </w:rPr>
            </w:pPr>
            <w:r w:rsidRPr="000B79AE">
              <w:rPr>
                <w:szCs w:val="16"/>
              </w:rPr>
              <w:t>1,089</w:t>
            </w:r>
          </w:p>
        </w:tc>
      </w:tr>
      <w:tr w:rsidR="00D37533" w:rsidRPr="006534F5" w14:paraId="4CB3F9F7" w14:textId="77777777" w:rsidTr="001F10B3">
        <w:tc>
          <w:tcPr>
            <w:tcW w:w="2390" w:type="pct"/>
            <w:shd w:val="clear" w:color="auto" w:fill="F2F2F2" w:themeFill="background1" w:themeFillShade="F2"/>
            <w:noWrap/>
            <w:tcMar>
              <w:top w:w="57" w:type="dxa"/>
              <w:bottom w:w="57" w:type="dxa"/>
            </w:tcMar>
          </w:tcPr>
          <w:p w14:paraId="663F5028" w14:textId="77777777" w:rsidR="00D37533" w:rsidRPr="000B79AE" w:rsidRDefault="00D37533" w:rsidP="00C86F4A">
            <w:pPr>
              <w:pStyle w:val="TableTextLeft"/>
              <w:rPr>
                <w:rStyle w:val="Strong"/>
                <w:szCs w:val="16"/>
              </w:rPr>
            </w:pPr>
            <w:r w:rsidRPr="000B79AE">
              <w:rPr>
                <w:szCs w:val="16"/>
              </w:rPr>
              <w:t>Accrued interest on cash management account</w:t>
            </w:r>
          </w:p>
        </w:tc>
        <w:tc>
          <w:tcPr>
            <w:tcW w:w="500" w:type="pct"/>
            <w:shd w:val="clear" w:color="auto" w:fill="F2F2F2" w:themeFill="background1" w:themeFillShade="F2"/>
            <w:noWrap/>
            <w:tcMar>
              <w:top w:w="57" w:type="dxa"/>
              <w:bottom w:w="57" w:type="dxa"/>
            </w:tcMar>
          </w:tcPr>
          <w:p w14:paraId="25F30359" w14:textId="77777777" w:rsidR="00D37533" w:rsidRPr="000B79AE" w:rsidRDefault="00D37533" w:rsidP="00C86F4A">
            <w:pPr>
              <w:pStyle w:val="TableTextRight"/>
              <w:rPr>
                <w:rStyle w:val="Strong"/>
                <w:szCs w:val="16"/>
              </w:rPr>
            </w:pPr>
            <w:r w:rsidRPr="000B79AE">
              <w:rPr>
                <w:b/>
                <w:bCs/>
                <w:szCs w:val="16"/>
              </w:rPr>
              <w:t>5</w:t>
            </w:r>
          </w:p>
        </w:tc>
        <w:tc>
          <w:tcPr>
            <w:tcW w:w="671" w:type="pct"/>
            <w:shd w:val="clear" w:color="auto" w:fill="F2F2F2" w:themeFill="background1" w:themeFillShade="F2"/>
            <w:noWrap/>
            <w:tcMar>
              <w:top w:w="57" w:type="dxa"/>
              <w:bottom w:w="57" w:type="dxa"/>
            </w:tcMar>
          </w:tcPr>
          <w:p w14:paraId="76D427A0" w14:textId="77777777" w:rsidR="00D37533" w:rsidRPr="00654BC0" w:rsidRDefault="00D37533" w:rsidP="00C86F4A">
            <w:pPr>
              <w:pStyle w:val="TableTextRight"/>
              <w:rPr>
                <w:rStyle w:val="Strong"/>
                <w:b w:val="0"/>
                <w:bCs w:val="0"/>
              </w:rPr>
            </w:pPr>
            <w:r w:rsidRPr="00654BC0">
              <w:rPr>
                <w:rStyle w:val="Strong"/>
                <w:b w:val="0"/>
                <w:bCs w:val="0"/>
              </w:rPr>
              <w:t>230</w:t>
            </w:r>
          </w:p>
        </w:tc>
        <w:tc>
          <w:tcPr>
            <w:tcW w:w="667" w:type="pct"/>
            <w:shd w:val="clear" w:color="auto" w:fill="F2F2F2" w:themeFill="background1" w:themeFillShade="F2"/>
            <w:noWrap/>
            <w:tcMar>
              <w:top w:w="57" w:type="dxa"/>
              <w:bottom w:w="57" w:type="dxa"/>
            </w:tcMar>
          </w:tcPr>
          <w:p w14:paraId="44010B1A" w14:textId="77777777" w:rsidR="00D37533" w:rsidRPr="000B79AE" w:rsidRDefault="00D37533" w:rsidP="00C86F4A">
            <w:pPr>
              <w:pStyle w:val="TableTextRight"/>
              <w:rPr>
                <w:rStyle w:val="Strong"/>
                <w:szCs w:val="16"/>
              </w:rPr>
            </w:pPr>
            <w:r w:rsidRPr="000B79AE">
              <w:rPr>
                <w:szCs w:val="16"/>
              </w:rPr>
              <w:t xml:space="preserve"> 295 </w:t>
            </w:r>
          </w:p>
        </w:tc>
        <w:tc>
          <w:tcPr>
            <w:tcW w:w="772" w:type="pct"/>
            <w:shd w:val="clear" w:color="auto" w:fill="F2F2F2" w:themeFill="background1" w:themeFillShade="F2"/>
            <w:tcMar>
              <w:top w:w="57" w:type="dxa"/>
              <w:bottom w:w="57" w:type="dxa"/>
            </w:tcMar>
          </w:tcPr>
          <w:p w14:paraId="7713C686" w14:textId="77777777" w:rsidR="00D37533" w:rsidRPr="000B79AE" w:rsidRDefault="00D37533" w:rsidP="00C86F4A">
            <w:pPr>
              <w:pStyle w:val="TableTextRight"/>
              <w:rPr>
                <w:szCs w:val="16"/>
              </w:rPr>
            </w:pPr>
            <w:r w:rsidRPr="000B79AE">
              <w:rPr>
                <w:szCs w:val="16"/>
              </w:rPr>
              <w:t>126</w:t>
            </w:r>
          </w:p>
        </w:tc>
      </w:tr>
      <w:tr w:rsidR="00D37533" w:rsidRPr="006534F5" w14:paraId="4C839DEF" w14:textId="77777777" w:rsidTr="001F10B3">
        <w:tc>
          <w:tcPr>
            <w:tcW w:w="2390" w:type="pct"/>
            <w:tcBorders>
              <w:bottom w:val="single" w:sz="4" w:space="0" w:color="29114B" w:themeColor="text2"/>
            </w:tcBorders>
            <w:shd w:val="clear" w:color="auto" w:fill="F2F2F2" w:themeFill="background1" w:themeFillShade="F2"/>
            <w:noWrap/>
            <w:tcMar>
              <w:top w:w="57" w:type="dxa"/>
              <w:bottom w:w="57" w:type="dxa"/>
            </w:tcMar>
          </w:tcPr>
          <w:p w14:paraId="2F89592A" w14:textId="77777777" w:rsidR="00D37533" w:rsidRPr="00E361AE" w:rsidRDefault="00D37533" w:rsidP="00C86F4A">
            <w:pPr>
              <w:pStyle w:val="TableTextLeft"/>
              <w:rPr>
                <w:rStyle w:val="Strong"/>
              </w:rPr>
            </w:pPr>
            <w:r w:rsidRPr="00E361AE">
              <w:rPr>
                <w:rStyle w:val="Strong"/>
              </w:rPr>
              <w:t>Total assets administered on behalf of Government</w:t>
            </w:r>
          </w:p>
        </w:tc>
        <w:tc>
          <w:tcPr>
            <w:tcW w:w="500" w:type="pct"/>
            <w:tcBorders>
              <w:bottom w:val="single" w:sz="4" w:space="0" w:color="29114B" w:themeColor="text2"/>
            </w:tcBorders>
            <w:shd w:val="clear" w:color="auto" w:fill="F2F2F2" w:themeFill="background1" w:themeFillShade="F2"/>
            <w:noWrap/>
            <w:tcMar>
              <w:top w:w="57" w:type="dxa"/>
              <w:bottom w:w="57" w:type="dxa"/>
            </w:tcMar>
          </w:tcPr>
          <w:p w14:paraId="432E7155" w14:textId="77777777" w:rsidR="00D37533" w:rsidRPr="00E361AE" w:rsidRDefault="00D37533" w:rsidP="00C86F4A">
            <w:pPr>
              <w:pStyle w:val="TableTextLeft"/>
              <w:jc w:val="right"/>
              <w:rPr>
                <w:rStyle w:val="Strong"/>
              </w:rPr>
            </w:pPr>
            <w:r w:rsidRPr="00E361AE">
              <w:rPr>
                <w:rStyle w:val="Strong"/>
              </w:rPr>
              <w:t> </w:t>
            </w:r>
          </w:p>
        </w:tc>
        <w:tc>
          <w:tcPr>
            <w:tcW w:w="671" w:type="pct"/>
            <w:tcBorders>
              <w:bottom w:val="single" w:sz="4" w:space="0" w:color="29114B" w:themeColor="text2"/>
            </w:tcBorders>
            <w:shd w:val="clear" w:color="auto" w:fill="F2F2F2" w:themeFill="background1" w:themeFillShade="F2"/>
            <w:noWrap/>
            <w:tcMar>
              <w:top w:w="57" w:type="dxa"/>
              <w:bottom w:w="57" w:type="dxa"/>
            </w:tcMar>
          </w:tcPr>
          <w:p w14:paraId="67BE91E2" w14:textId="77777777" w:rsidR="00D37533" w:rsidRPr="00E919BA" w:rsidRDefault="00D37533" w:rsidP="00C86F4A">
            <w:pPr>
              <w:pStyle w:val="TableTextRight"/>
              <w:rPr>
                <w:rStyle w:val="Strong"/>
              </w:rPr>
            </w:pPr>
            <w:r w:rsidRPr="00E919BA">
              <w:rPr>
                <w:rStyle w:val="Strong"/>
              </w:rPr>
              <w:t>69,918</w:t>
            </w:r>
          </w:p>
        </w:tc>
        <w:tc>
          <w:tcPr>
            <w:tcW w:w="667" w:type="pct"/>
            <w:tcBorders>
              <w:bottom w:val="single" w:sz="4" w:space="0" w:color="29114B" w:themeColor="text2"/>
            </w:tcBorders>
            <w:shd w:val="clear" w:color="auto" w:fill="F2F2F2" w:themeFill="background1" w:themeFillShade="F2"/>
            <w:noWrap/>
            <w:tcMar>
              <w:top w:w="57" w:type="dxa"/>
              <w:bottom w:w="57" w:type="dxa"/>
            </w:tcMar>
          </w:tcPr>
          <w:p w14:paraId="14EF7A4C" w14:textId="77777777" w:rsidR="00D37533" w:rsidRPr="00E919BA" w:rsidRDefault="00D37533" w:rsidP="00C86F4A">
            <w:pPr>
              <w:pStyle w:val="TableTextRight"/>
              <w:rPr>
                <w:rStyle w:val="Strong"/>
              </w:rPr>
            </w:pPr>
            <w:r w:rsidRPr="00E919BA">
              <w:rPr>
                <w:rStyle w:val="Strong"/>
              </w:rPr>
              <w:t>87,341</w:t>
            </w:r>
          </w:p>
        </w:tc>
        <w:tc>
          <w:tcPr>
            <w:tcW w:w="772" w:type="pct"/>
            <w:tcBorders>
              <w:bottom w:val="single" w:sz="4" w:space="0" w:color="29114B" w:themeColor="text2"/>
            </w:tcBorders>
            <w:shd w:val="clear" w:color="auto" w:fill="F2F2F2" w:themeFill="background1" w:themeFillShade="F2"/>
            <w:tcMar>
              <w:top w:w="57" w:type="dxa"/>
              <w:bottom w:w="57" w:type="dxa"/>
            </w:tcMar>
          </w:tcPr>
          <w:p w14:paraId="42337E5D" w14:textId="77777777" w:rsidR="00D37533" w:rsidRPr="00E919BA" w:rsidRDefault="00D37533" w:rsidP="00C86F4A">
            <w:pPr>
              <w:pStyle w:val="TableTextRight"/>
              <w:rPr>
                <w:rStyle w:val="Strong"/>
              </w:rPr>
            </w:pPr>
            <w:r w:rsidRPr="00E919BA">
              <w:rPr>
                <w:rStyle w:val="Strong"/>
              </w:rPr>
              <w:t>52,385</w:t>
            </w:r>
          </w:p>
        </w:tc>
      </w:tr>
      <w:tr w:rsidR="00D37533" w:rsidRPr="006534F5" w14:paraId="7BFF2C1C" w14:textId="77777777" w:rsidTr="001F10B3">
        <w:tc>
          <w:tcPr>
            <w:tcW w:w="239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tcPr>
          <w:p w14:paraId="704EC618" w14:textId="2B0A5063" w:rsidR="00D37533" w:rsidRPr="00BD7AD5" w:rsidRDefault="00D37533" w:rsidP="00D37533">
            <w:pPr>
              <w:pStyle w:val="TableSecondHeading"/>
              <w:rPr>
                <w:rStyle w:val="Strong"/>
                <w:b w:val="0"/>
                <w:bCs w:val="0"/>
              </w:rPr>
            </w:pPr>
            <w:r w:rsidRPr="00BD7AD5">
              <w:rPr>
                <w:b/>
                <w:bCs/>
              </w:rPr>
              <w:t>Liabilities</w:t>
            </w:r>
          </w:p>
        </w:tc>
        <w:tc>
          <w:tcPr>
            <w:tcW w:w="500"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1912729E" w14:textId="77777777" w:rsidR="00D37533" w:rsidRPr="000B79AE" w:rsidRDefault="00D37533" w:rsidP="00C86F4A">
            <w:pPr>
              <w:pStyle w:val="TableTextRight"/>
              <w:rPr>
                <w:rStyle w:val="Strong"/>
                <w:szCs w:val="16"/>
              </w:rPr>
            </w:pPr>
          </w:p>
        </w:tc>
        <w:tc>
          <w:tcPr>
            <w:tcW w:w="671"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73C3E073" w14:textId="77777777" w:rsidR="00D37533" w:rsidRPr="000B79AE" w:rsidRDefault="00D37533" w:rsidP="00C86F4A">
            <w:pPr>
              <w:pStyle w:val="TableTextRight"/>
              <w:rPr>
                <w:rStyle w:val="Strong"/>
                <w:szCs w:val="16"/>
              </w:rPr>
            </w:pPr>
          </w:p>
        </w:tc>
        <w:tc>
          <w:tcPr>
            <w:tcW w:w="66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3C869FCD" w14:textId="77777777" w:rsidR="00D37533" w:rsidRPr="000B79AE" w:rsidRDefault="00D37533" w:rsidP="00C86F4A">
            <w:pPr>
              <w:pStyle w:val="TableTextRight"/>
              <w:rPr>
                <w:rStyle w:val="Strong"/>
                <w:szCs w:val="16"/>
              </w:rPr>
            </w:pPr>
          </w:p>
        </w:tc>
        <w:tc>
          <w:tcPr>
            <w:tcW w:w="772"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tcPr>
          <w:p w14:paraId="13AD576A" w14:textId="77777777" w:rsidR="00D37533" w:rsidRPr="000B79AE" w:rsidRDefault="00D37533" w:rsidP="00C86F4A">
            <w:pPr>
              <w:pStyle w:val="TableTextRight"/>
              <w:rPr>
                <w:rStyle w:val="Strong"/>
                <w:szCs w:val="16"/>
              </w:rPr>
            </w:pPr>
          </w:p>
        </w:tc>
      </w:tr>
      <w:tr w:rsidR="00D37533" w:rsidRPr="006534F5" w14:paraId="28D67E0F" w14:textId="77777777" w:rsidTr="001F10B3">
        <w:tc>
          <w:tcPr>
            <w:tcW w:w="2390" w:type="pct"/>
            <w:shd w:val="clear" w:color="auto" w:fill="F2F2F2" w:themeFill="background1" w:themeFillShade="F2"/>
            <w:noWrap/>
            <w:tcMar>
              <w:top w:w="57" w:type="dxa"/>
              <w:bottom w:w="57" w:type="dxa"/>
            </w:tcMar>
          </w:tcPr>
          <w:p w14:paraId="074C2DA1" w14:textId="77777777" w:rsidR="00D37533" w:rsidRPr="000B79AE" w:rsidRDefault="00D37533" w:rsidP="00C86F4A">
            <w:pPr>
              <w:pStyle w:val="TableTextLeft"/>
              <w:rPr>
                <w:rStyle w:val="Strong"/>
                <w:szCs w:val="16"/>
              </w:rPr>
            </w:pPr>
            <w:r w:rsidRPr="000B79AE">
              <w:rPr>
                <w:rStyle w:val="Strong"/>
                <w:szCs w:val="16"/>
              </w:rPr>
              <w:t>Interest bearing liabilities at fair value:</w:t>
            </w:r>
          </w:p>
        </w:tc>
        <w:tc>
          <w:tcPr>
            <w:tcW w:w="500" w:type="pct"/>
            <w:shd w:val="clear" w:color="auto" w:fill="F2F2F2" w:themeFill="background1" w:themeFillShade="F2"/>
            <w:noWrap/>
            <w:tcMar>
              <w:top w:w="57" w:type="dxa"/>
              <w:bottom w:w="57" w:type="dxa"/>
            </w:tcMar>
          </w:tcPr>
          <w:p w14:paraId="107F2BEB" w14:textId="77777777" w:rsidR="00D37533" w:rsidRPr="000B79AE" w:rsidRDefault="00D37533" w:rsidP="00C86F4A">
            <w:pPr>
              <w:pStyle w:val="TableTextRight"/>
              <w:rPr>
                <w:rStyle w:val="Strong"/>
                <w:szCs w:val="16"/>
              </w:rPr>
            </w:pPr>
          </w:p>
        </w:tc>
        <w:tc>
          <w:tcPr>
            <w:tcW w:w="671" w:type="pct"/>
            <w:shd w:val="clear" w:color="auto" w:fill="F2F2F2" w:themeFill="background1" w:themeFillShade="F2"/>
            <w:noWrap/>
            <w:tcMar>
              <w:top w:w="57" w:type="dxa"/>
              <w:bottom w:w="57" w:type="dxa"/>
            </w:tcMar>
          </w:tcPr>
          <w:p w14:paraId="79C49336" w14:textId="77777777" w:rsidR="00D37533" w:rsidRPr="000B79AE" w:rsidRDefault="00D37533" w:rsidP="00C86F4A">
            <w:pPr>
              <w:pStyle w:val="TableTextRight"/>
              <w:rPr>
                <w:rStyle w:val="Strong"/>
                <w:szCs w:val="16"/>
              </w:rPr>
            </w:pPr>
          </w:p>
        </w:tc>
        <w:tc>
          <w:tcPr>
            <w:tcW w:w="667" w:type="pct"/>
            <w:shd w:val="clear" w:color="auto" w:fill="F2F2F2" w:themeFill="background1" w:themeFillShade="F2"/>
            <w:noWrap/>
            <w:tcMar>
              <w:top w:w="57" w:type="dxa"/>
              <w:bottom w:w="57" w:type="dxa"/>
            </w:tcMar>
          </w:tcPr>
          <w:p w14:paraId="05506B58" w14:textId="77777777" w:rsidR="00D37533" w:rsidRPr="000B79AE" w:rsidRDefault="00D37533" w:rsidP="00C86F4A">
            <w:pPr>
              <w:pStyle w:val="TableTextRight"/>
              <w:rPr>
                <w:rStyle w:val="Strong"/>
                <w:szCs w:val="16"/>
              </w:rPr>
            </w:pPr>
          </w:p>
        </w:tc>
        <w:tc>
          <w:tcPr>
            <w:tcW w:w="772" w:type="pct"/>
            <w:shd w:val="clear" w:color="auto" w:fill="F2F2F2" w:themeFill="background1" w:themeFillShade="F2"/>
            <w:tcMar>
              <w:top w:w="57" w:type="dxa"/>
              <w:bottom w:w="57" w:type="dxa"/>
            </w:tcMar>
          </w:tcPr>
          <w:p w14:paraId="7932B1A8" w14:textId="77777777" w:rsidR="00D37533" w:rsidRPr="000B79AE" w:rsidRDefault="00D37533" w:rsidP="00C86F4A">
            <w:pPr>
              <w:pStyle w:val="TableTextRight"/>
              <w:rPr>
                <w:rStyle w:val="Strong"/>
                <w:szCs w:val="16"/>
              </w:rPr>
            </w:pPr>
          </w:p>
        </w:tc>
      </w:tr>
      <w:tr w:rsidR="00D37533" w:rsidRPr="006534F5" w14:paraId="533085CB" w14:textId="77777777" w:rsidTr="001F10B3">
        <w:tc>
          <w:tcPr>
            <w:tcW w:w="2390" w:type="pct"/>
            <w:shd w:val="clear" w:color="auto" w:fill="F2F2F2" w:themeFill="background1" w:themeFillShade="F2"/>
            <w:noWrap/>
            <w:tcMar>
              <w:top w:w="57" w:type="dxa"/>
              <w:bottom w:w="57" w:type="dxa"/>
            </w:tcMar>
            <w:hideMark/>
          </w:tcPr>
          <w:p w14:paraId="47AEBB06" w14:textId="77777777" w:rsidR="00D37533" w:rsidRPr="000B79AE" w:rsidRDefault="00D37533" w:rsidP="00C86F4A">
            <w:pPr>
              <w:pStyle w:val="TableTextLeft"/>
              <w:rPr>
                <w:szCs w:val="16"/>
              </w:rPr>
            </w:pPr>
            <w:r w:rsidRPr="000B79AE">
              <w:rPr>
                <w:szCs w:val="16"/>
              </w:rPr>
              <w:t>Treasury Bonds</w:t>
            </w:r>
          </w:p>
        </w:tc>
        <w:tc>
          <w:tcPr>
            <w:tcW w:w="500" w:type="pct"/>
            <w:shd w:val="clear" w:color="auto" w:fill="F2F2F2" w:themeFill="background1" w:themeFillShade="F2"/>
            <w:noWrap/>
            <w:tcMar>
              <w:top w:w="57" w:type="dxa"/>
              <w:bottom w:w="57" w:type="dxa"/>
            </w:tcMar>
            <w:hideMark/>
          </w:tcPr>
          <w:p w14:paraId="1549AA27" w14:textId="77777777" w:rsidR="00D37533" w:rsidRPr="000B79AE" w:rsidRDefault="00D37533" w:rsidP="00C86F4A">
            <w:pPr>
              <w:pStyle w:val="TableTextRight"/>
              <w:rPr>
                <w:b/>
                <w:bCs/>
                <w:szCs w:val="16"/>
              </w:rPr>
            </w:pPr>
            <w:r w:rsidRPr="000B79AE">
              <w:rPr>
                <w:b/>
                <w:bCs/>
                <w:szCs w:val="16"/>
              </w:rPr>
              <w:t>2</w:t>
            </w:r>
          </w:p>
        </w:tc>
        <w:tc>
          <w:tcPr>
            <w:tcW w:w="671" w:type="pct"/>
            <w:shd w:val="clear" w:color="auto" w:fill="F2F2F2" w:themeFill="background1" w:themeFillShade="F2"/>
            <w:noWrap/>
            <w:tcMar>
              <w:top w:w="57" w:type="dxa"/>
              <w:bottom w:w="57" w:type="dxa"/>
            </w:tcMar>
          </w:tcPr>
          <w:p w14:paraId="46114CE5" w14:textId="77777777" w:rsidR="00D37533" w:rsidRPr="000B79AE" w:rsidRDefault="00D37533" w:rsidP="00C86F4A">
            <w:pPr>
              <w:pStyle w:val="TableTextRight"/>
              <w:rPr>
                <w:szCs w:val="16"/>
              </w:rPr>
            </w:pPr>
            <w:r>
              <w:rPr>
                <w:szCs w:val="16"/>
              </w:rPr>
              <w:t>801,142</w:t>
            </w:r>
          </w:p>
        </w:tc>
        <w:tc>
          <w:tcPr>
            <w:tcW w:w="667" w:type="pct"/>
            <w:shd w:val="clear" w:color="auto" w:fill="F2F2F2" w:themeFill="background1" w:themeFillShade="F2"/>
            <w:noWrap/>
            <w:tcMar>
              <w:top w:w="57" w:type="dxa"/>
              <w:bottom w:w="57" w:type="dxa"/>
            </w:tcMar>
            <w:hideMark/>
          </w:tcPr>
          <w:p w14:paraId="20BFC5E9" w14:textId="77777777" w:rsidR="00D37533" w:rsidRPr="000B79AE" w:rsidRDefault="00D37533" w:rsidP="00C86F4A">
            <w:pPr>
              <w:pStyle w:val="TableTextRight"/>
              <w:rPr>
                <w:szCs w:val="16"/>
              </w:rPr>
            </w:pPr>
            <w:r w:rsidRPr="000B79AE">
              <w:rPr>
                <w:szCs w:val="16"/>
              </w:rPr>
              <w:t>764,649</w:t>
            </w:r>
          </w:p>
        </w:tc>
        <w:tc>
          <w:tcPr>
            <w:tcW w:w="772" w:type="pct"/>
            <w:shd w:val="clear" w:color="auto" w:fill="F2F2F2" w:themeFill="background1" w:themeFillShade="F2"/>
            <w:tcMar>
              <w:top w:w="57" w:type="dxa"/>
              <w:bottom w:w="57" w:type="dxa"/>
            </w:tcMar>
          </w:tcPr>
          <w:p w14:paraId="78183184" w14:textId="77777777" w:rsidR="00D37533" w:rsidRPr="000B79AE" w:rsidRDefault="00D37533" w:rsidP="00C86F4A">
            <w:pPr>
              <w:pStyle w:val="TableTextRight"/>
              <w:rPr>
                <w:szCs w:val="16"/>
              </w:rPr>
            </w:pPr>
            <w:r w:rsidRPr="000B79AE">
              <w:rPr>
                <w:szCs w:val="16"/>
              </w:rPr>
              <w:t>786,175</w:t>
            </w:r>
          </w:p>
        </w:tc>
      </w:tr>
      <w:tr w:rsidR="00D37533" w:rsidRPr="006534F5" w14:paraId="23B8BF4E" w14:textId="77777777" w:rsidTr="001F10B3">
        <w:tc>
          <w:tcPr>
            <w:tcW w:w="2390" w:type="pct"/>
            <w:shd w:val="clear" w:color="auto" w:fill="F2F2F2" w:themeFill="background1" w:themeFillShade="F2"/>
            <w:noWrap/>
            <w:tcMar>
              <w:top w:w="57" w:type="dxa"/>
              <w:bottom w:w="57" w:type="dxa"/>
            </w:tcMar>
            <w:hideMark/>
          </w:tcPr>
          <w:p w14:paraId="0789ABDE" w14:textId="77777777" w:rsidR="00D37533" w:rsidRPr="000B79AE" w:rsidRDefault="00D37533" w:rsidP="00C86F4A">
            <w:pPr>
              <w:pStyle w:val="TableTextLeft"/>
              <w:rPr>
                <w:szCs w:val="16"/>
              </w:rPr>
            </w:pPr>
            <w:r w:rsidRPr="000B79AE">
              <w:rPr>
                <w:szCs w:val="16"/>
              </w:rPr>
              <w:t>Treasury Indexed Bonds</w:t>
            </w:r>
          </w:p>
        </w:tc>
        <w:tc>
          <w:tcPr>
            <w:tcW w:w="500" w:type="pct"/>
            <w:shd w:val="clear" w:color="auto" w:fill="F2F2F2" w:themeFill="background1" w:themeFillShade="F2"/>
            <w:noWrap/>
            <w:tcMar>
              <w:top w:w="57" w:type="dxa"/>
              <w:bottom w:w="57" w:type="dxa"/>
            </w:tcMar>
            <w:hideMark/>
          </w:tcPr>
          <w:p w14:paraId="4793256F" w14:textId="77777777" w:rsidR="00D37533" w:rsidRPr="000B79AE" w:rsidRDefault="00D37533" w:rsidP="00C86F4A">
            <w:pPr>
              <w:pStyle w:val="TableTextRight"/>
              <w:rPr>
                <w:b/>
                <w:bCs/>
                <w:szCs w:val="16"/>
              </w:rPr>
            </w:pPr>
            <w:r w:rsidRPr="000B79AE">
              <w:rPr>
                <w:b/>
                <w:bCs/>
                <w:szCs w:val="16"/>
              </w:rPr>
              <w:t>3</w:t>
            </w:r>
          </w:p>
        </w:tc>
        <w:tc>
          <w:tcPr>
            <w:tcW w:w="671" w:type="pct"/>
            <w:shd w:val="clear" w:color="auto" w:fill="F2F2F2" w:themeFill="background1" w:themeFillShade="F2"/>
            <w:noWrap/>
            <w:tcMar>
              <w:top w:w="57" w:type="dxa"/>
              <w:bottom w:w="57" w:type="dxa"/>
            </w:tcMar>
          </w:tcPr>
          <w:p w14:paraId="730FFF98" w14:textId="77777777" w:rsidR="00D37533" w:rsidRPr="000B79AE" w:rsidRDefault="00D37533" w:rsidP="00C86F4A">
            <w:pPr>
              <w:pStyle w:val="TableTextRight"/>
              <w:rPr>
                <w:szCs w:val="16"/>
              </w:rPr>
            </w:pPr>
            <w:r>
              <w:rPr>
                <w:szCs w:val="16"/>
              </w:rPr>
              <w:t>53,047</w:t>
            </w:r>
          </w:p>
        </w:tc>
        <w:tc>
          <w:tcPr>
            <w:tcW w:w="667" w:type="pct"/>
            <w:shd w:val="clear" w:color="auto" w:fill="F2F2F2" w:themeFill="background1" w:themeFillShade="F2"/>
            <w:noWrap/>
            <w:tcMar>
              <w:top w:w="57" w:type="dxa"/>
              <w:bottom w:w="57" w:type="dxa"/>
            </w:tcMar>
            <w:hideMark/>
          </w:tcPr>
          <w:p w14:paraId="47CD561E" w14:textId="77777777" w:rsidR="00D37533" w:rsidRPr="000B79AE" w:rsidRDefault="00D37533" w:rsidP="00C86F4A">
            <w:pPr>
              <w:pStyle w:val="TableTextRight"/>
              <w:rPr>
                <w:szCs w:val="16"/>
              </w:rPr>
            </w:pPr>
            <w:r w:rsidRPr="000B79AE">
              <w:rPr>
                <w:szCs w:val="16"/>
              </w:rPr>
              <w:t xml:space="preserve">51,763 </w:t>
            </w:r>
          </w:p>
        </w:tc>
        <w:tc>
          <w:tcPr>
            <w:tcW w:w="772" w:type="pct"/>
            <w:shd w:val="clear" w:color="auto" w:fill="F2F2F2" w:themeFill="background1" w:themeFillShade="F2"/>
            <w:tcMar>
              <w:top w:w="57" w:type="dxa"/>
              <w:bottom w:w="57" w:type="dxa"/>
            </w:tcMar>
          </w:tcPr>
          <w:p w14:paraId="2B6D85F5" w14:textId="77777777" w:rsidR="00D37533" w:rsidRPr="000B79AE" w:rsidRDefault="00D37533" w:rsidP="00C86F4A">
            <w:pPr>
              <w:pStyle w:val="TableTextRight"/>
              <w:rPr>
                <w:szCs w:val="16"/>
              </w:rPr>
            </w:pPr>
            <w:r w:rsidRPr="000B79AE">
              <w:rPr>
                <w:szCs w:val="16"/>
              </w:rPr>
              <w:t>56,752</w:t>
            </w:r>
          </w:p>
        </w:tc>
      </w:tr>
      <w:tr w:rsidR="00D37533" w:rsidRPr="006534F5" w14:paraId="498F8CB1" w14:textId="77777777" w:rsidTr="001F10B3">
        <w:tc>
          <w:tcPr>
            <w:tcW w:w="2390" w:type="pct"/>
            <w:shd w:val="clear" w:color="auto" w:fill="F2F2F2" w:themeFill="background1" w:themeFillShade="F2"/>
            <w:noWrap/>
            <w:tcMar>
              <w:top w:w="57" w:type="dxa"/>
              <w:bottom w:w="57" w:type="dxa"/>
            </w:tcMar>
            <w:hideMark/>
          </w:tcPr>
          <w:p w14:paraId="018FC8C4" w14:textId="77777777" w:rsidR="00D37533" w:rsidRPr="000B79AE" w:rsidRDefault="00D37533" w:rsidP="00C86F4A">
            <w:pPr>
              <w:pStyle w:val="TableTextLeft"/>
              <w:rPr>
                <w:szCs w:val="16"/>
              </w:rPr>
            </w:pPr>
            <w:r w:rsidRPr="000B79AE">
              <w:rPr>
                <w:szCs w:val="16"/>
              </w:rPr>
              <w:t>Treasury Notes</w:t>
            </w:r>
          </w:p>
        </w:tc>
        <w:tc>
          <w:tcPr>
            <w:tcW w:w="500" w:type="pct"/>
            <w:shd w:val="clear" w:color="auto" w:fill="F2F2F2" w:themeFill="background1" w:themeFillShade="F2"/>
            <w:noWrap/>
            <w:tcMar>
              <w:top w:w="57" w:type="dxa"/>
              <w:bottom w:w="57" w:type="dxa"/>
            </w:tcMar>
            <w:hideMark/>
          </w:tcPr>
          <w:p w14:paraId="0415A7E0" w14:textId="77777777" w:rsidR="00D37533" w:rsidRPr="000B79AE" w:rsidRDefault="00D37533" w:rsidP="00C86F4A">
            <w:pPr>
              <w:pStyle w:val="TableTextRight"/>
              <w:rPr>
                <w:b/>
                <w:bCs/>
                <w:szCs w:val="16"/>
              </w:rPr>
            </w:pPr>
            <w:r w:rsidRPr="000B79AE">
              <w:rPr>
                <w:b/>
                <w:bCs/>
                <w:szCs w:val="16"/>
              </w:rPr>
              <w:t>4</w:t>
            </w:r>
          </w:p>
        </w:tc>
        <w:tc>
          <w:tcPr>
            <w:tcW w:w="671" w:type="pct"/>
            <w:shd w:val="clear" w:color="auto" w:fill="F2F2F2" w:themeFill="background1" w:themeFillShade="F2"/>
            <w:noWrap/>
            <w:tcMar>
              <w:top w:w="57" w:type="dxa"/>
              <w:bottom w:w="57" w:type="dxa"/>
            </w:tcMar>
          </w:tcPr>
          <w:p w14:paraId="4DD5F758" w14:textId="77777777" w:rsidR="00D37533" w:rsidRPr="000B79AE" w:rsidRDefault="00D37533" w:rsidP="00C86F4A">
            <w:pPr>
              <w:pStyle w:val="TableTextRight"/>
              <w:rPr>
                <w:szCs w:val="16"/>
              </w:rPr>
            </w:pPr>
            <w:r>
              <w:rPr>
                <w:szCs w:val="16"/>
              </w:rPr>
              <w:t>32,827</w:t>
            </w:r>
          </w:p>
        </w:tc>
        <w:tc>
          <w:tcPr>
            <w:tcW w:w="667" w:type="pct"/>
            <w:shd w:val="clear" w:color="auto" w:fill="F2F2F2" w:themeFill="background1" w:themeFillShade="F2"/>
            <w:noWrap/>
            <w:tcMar>
              <w:top w:w="57" w:type="dxa"/>
              <w:bottom w:w="57" w:type="dxa"/>
            </w:tcMar>
            <w:hideMark/>
          </w:tcPr>
          <w:p w14:paraId="247ECE6F" w14:textId="77777777" w:rsidR="00D37533" w:rsidRPr="000B79AE" w:rsidRDefault="00D37533" w:rsidP="00C86F4A">
            <w:pPr>
              <w:pStyle w:val="TableTextRight"/>
              <w:rPr>
                <w:szCs w:val="16"/>
              </w:rPr>
            </w:pPr>
            <w:r w:rsidRPr="000B79AE">
              <w:rPr>
                <w:szCs w:val="16"/>
              </w:rPr>
              <w:t xml:space="preserve">27,822 </w:t>
            </w:r>
          </w:p>
        </w:tc>
        <w:tc>
          <w:tcPr>
            <w:tcW w:w="772" w:type="pct"/>
            <w:shd w:val="clear" w:color="auto" w:fill="F2F2F2" w:themeFill="background1" w:themeFillShade="F2"/>
            <w:tcMar>
              <w:top w:w="57" w:type="dxa"/>
              <w:bottom w:w="57" w:type="dxa"/>
            </w:tcMar>
          </w:tcPr>
          <w:p w14:paraId="2FC23C49" w14:textId="77777777" w:rsidR="00D37533" w:rsidRPr="000B79AE" w:rsidRDefault="00D37533" w:rsidP="00C86F4A">
            <w:pPr>
              <w:pStyle w:val="TableTextRight"/>
              <w:rPr>
                <w:szCs w:val="16"/>
              </w:rPr>
            </w:pPr>
            <w:r w:rsidRPr="000B79AE">
              <w:rPr>
                <w:szCs w:val="16"/>
              </w:rPr>
              <w:t>42,954</w:t>
            </w:r>
          </w:p>
        </w:tc>
      </w:tr>
      <w:tr w:rsidR="00D37533" w:rsidRPr="006534F5" w14:paraId="70CCBF96" w14:textId="77777777" w:rsidTr="001F10B3">
        <w:tc>
          <w:tcPr>
            <w:tcW w:w="2390" w:type="pct"/>
            <w:shd w:val="clear" w:color="auto" w:fill="F2F2F2" w:themeFill="background1" w:themeFillShade="F2"/>
            <w:noWrap/>
            <w:tcMar>
              <w:top w:w="57" w:type="dxa"/>
              <w:bottom w:w="57" w:type="dxa"/>
            </w:tcMar>
            <w:hideMark/>
          </w:tcPr>
          <w:p w14:paraId="231549C7" w14:textId="77777777" w:rsidR="00D37533" w:rsidRPr="000B79AE" w:rsidRDefault="00D37533" w:rsidP="00C86F4A">
            <w:pPr>
              <w:pStyle w:val="TableTextLeft"/>
              <w:rPr>
                <w:b/>
                <w:bCs/>
                <w:szCs w:val="16"/>
              </w:rPr>
            </w:pPr>
            <w:r w:rsidRPr="000B79AE">
              <w:rPr>
                <w:b/>
                <w:bCs/>
                <w:szCs w:val="16"/>
              </w:rPr>
              <w:t>Interest bearing liabilities at amortised cost:</w:t>
            </w:r>
          </w:p>
        </w:tc>
        <w:tc>
          <w:tcPr>
            <w:tcW w:w="500" w:type="pct"/>
            <w:shd w:val="clear" w:color="auto" w:fill="F2F2F2" w:themeFill="background1" w:themeFillShade="F2"/>
            <w:noWrap/>
            <w:tcMar>
              <w:top w:w="57" w:type="dxa"/>
              <w:bottom w:w="57" w:type="dxa"/>
            </w:tcMar>
            <w:hideMark/>
          </w:tcPr>
          <w:p w14:paraId="02BC2B37" w14:textId="77777777" w:rsidR="00D37533" w:rsidRPr="000B79AE" w:rsidRDefault="00D37533" w:rsidP="00C86F4A">
            <w:pPr>
              <w:pStyle w:val="TableTextRight"/>
              <w:rPr>
                <w:b/>
                <w:bCs/>
                <w:szCs w:val="16"/>
              </w:rPr>
            </w:pPr>
            <w:r w:rsidRPr="000B79AE">
              <w:rPr>
                <w:b/>
                <w:bCs/>
                <w:szCs w:val="16"/>
              </w:rPr>
              <w:t> </w:t>
            </w:r>
          </w:p>
        </w:tc>
        <w:tc>
          <w:tcPr>
            <w:tcW w:w="671" w:type="pct"/>
            <w:shd w:val="clear" w:color="auto" w:fill="F2F2F2" w:themeFill="background1" w:themeFillShade="F2"/>
            <w:noWrap/>
            <w:tcMar>
              <w:top w:w="57" w:type="dxa"/>
              <w:bottom w:w="57" w:type="dxa"/>
            </w:tcMar>
          </w:tcPr>
          <w:p w14:paraId="07D2A13E" w14:textId="77777777" w:rsidR="00D37533" w:rsidRPr="000B79AE" w:rsidRDefault="00D37533" w:rsidP="00C86F4A">
            <w:pPr>
              <w:pStyle w:val="TableTextRight"/>
              <w:rPr>
                <w:szCs w:val="16"/>
              </w:rPr>
            </w:pPr>
          </w:p>
        </w:tc>
        <w:tc>
          <w:tcPr>
            <w:tcW w:w="667" w:type="pct"/>
            <w:shd w:val="clear" w:color="auto" w:fill="F2F2F2" w:themeFill="background1" w:themeFillShade="F2"/>
            <w:noWrap/>
            <w:tcMar>
              <w:top w:w="57" w:type="dxa"/>
              <w:bottom w:w="57" w:type="dxa"/>
            </w:tcMar>
            <w:hideMark/>
          </w:tcPr>
          <w:p w14:paraId="36808D36" w14:textId="77777777" w:rsidR="00D37533" w:rsidRPr="000B79AE" w:rsidRDefault="00D37533" w:rsidP="00C86F4A">
            <w:pPr>
              <w:pStyle w:val="TableTextRight"/>
              <w:rPr>
                <w:szCs w:val="16"/>
              </w:rPr>
            </w:pPr>
            <w:r w:rsidRPr="000B79AE">
              <w:rPr>
                <w:szCs w:val="16"/>
              </w:rPr>
              <w:t> </w:t>
            </w:r>
          </w:p>
        </w:tc>
        <w:tc>
          <w:tcPr>
            <w:tcW w:w="772" w:type="pct"/>
            <w:shd w:val="clear" w:color="auto" w:fill="F2F2F2" w:themeFill="background1" w:themeFillShade="F2"/>
            <w:tcMar>
              <w:top w:w="57" w:type="dxa"/>
              <w:bottom w:w="57" w:type="dxa"/>
            </w:tcMar>
          </w:tcPr>
          <w:p w14:paraId="7CB6183C" w14:textId="77777777" w:rsidR="00D37533" w:rsidRPr="000B79AE" w:rsidRDefault="00D37533" w:rsidP="00C86F4A">
            <w:pPr>
              <w:pStyle w:val="TableTextRight"/>
              <w:rPr>
                <w:szCs w:val="16"/>
              </w:rPr>
            </w:pPr>
          </w:p>
        </w:tc>
      </w:tr>
      <w:tr w:rsidR="00D37533" w:rsidRPr="006534F5" w14:paraId="5CAAB662" w14:textId="77777777" w:rsidTr="001F10B3">
        <w:tc>
          <w:tcPr>
            <w:tcW w:w="2390" w:type="pct"/>
            <w:shd w:val="clear" w:color="auto" w:fill="F2F2F2" w:themeFill="background1" w:themeFillShade="F2"/>
            <w:noWrap/>
            <w:tcMar>
              <w:top w:w="57" w:type="dxa"/>
              <w:bottom w:w="57" w:type="dxa"/>
            </w:tcMar>
            <w:hideMark/>
          </w:tcPr>
          <w:p w14:paraId="79DEDF31" w14:textId="77777777" w:rsidR="00D37533" w:rsidRPr="000B79AE" w:rsidRDefault="00D37533" w:rsidP="00C86F4A">
            <w:pPr>
              <w:pStyle w:val="TableTextLeft"/>
              <w:rPr>
                <w:szCs w:val="16"/>
              </w:rPr>
            </w:pPr>
            <w:r w:rsidRPr="000B79AE">
              <w:rPr>
                <w:szCs w:val="16"/>
              </w:rPr>
              <w:t>Other debt</w:t>
            </w:r>
          </w:p>
        </w:tc>
        <w:tc>
          <w:tcPr>
            <w:tcW w:w="500" w:type="pct"/>
            <w:shd w:val="clear" w:color="auto" w:fill="F2F2F2" w:themeFill="background1" w:themeFillShade="F2"/>
            <w:noWrap/>
            <w:tcMar>
              <w:top w:w="57" w:type="dxa"/>
              <w:bottom w:w="57" w:type="dxa"/>
            </w:tcMar>
            <w:hideMark/>
          </w:tcPr>
          <w:p w14:paraId="762544D2" w14:textId="77777777" w:rsidR="00D37533" w:rsidRPr="000B79AE" w:rsidRDefault="00D37533" w:rsidP="00C86F4A">
            <w:pPr>
              <w:pStyle w:val="TableTextRight"/>
              <w:rPr>
                <w:b/>
                <w:bCs/>
                <w:szCs w:val="16"/>
              </w:rPr>
            </w:pPr>
            <w:r w:rsidRPr="000B79AE">
              <w:rPr>
                <w:b/>
                <w:bCs/>
                <w:szCs w:val="16"/>
              </w:rPr>
              <w:t> </w:t>
            </w:r>
          </w:p>
        </w:tc>
        <w:tc>
          <w:tcPr>
            <w:tcW w:w="671" w:type="pct"/>
            <w:shd w:val="clear" w:color="auto" w:fill="F2F2F2" w:themeFill="background1" w:themeFillShade="F2"/>
            <w:noWrap/>
            <w:tcMar>
              <w:top w:w="57" w:type="dxa"/>
              <w:bottom w:w="57" w:type="dxa"/>
            </w:tcMar>
          </w:tcPr>
          <w:p w14:paraId="0ECE2D65" w14:textId="77777777" w:rsidR="00D37533" w:rsidRPr="000B79AE" w:rsidRDefault="00D37533" w:rsidP="00C86F4A">
            <w:pPr>
              <w:pStyle w:val="TableTextRight"/>
              <w:rPr>
                <w:szCs w:val="16"/>
              </w:rPr>
            </w:pPr>
            <w:r>
              <w:rPr>
                <w:szCs w:val="16"/>
              </w:rPr>
              <w:t>5</w:t>
            </w:r>
          </w:p>
        </w:tc>
        <w:tc>
          <w:tcPr>
            <w:tcW w:w="667" w:type="pct"/>
            <w:shd w:val="clear" w:color="auto" w:fill="F2F2F2" w:themeFill="background1" w:themeFillShade="F2"/>
            <w:noWrap/>
            <w:tcMar>
              <w:top w:w="57" w:type="dxa"/>
              <w:bottom w:w="57" w:type="dxa"/>
            </w:tcMar>
            <w:hideMark/>
          </w:tcPr>
          <w:p w14:paraId="16B02DF9" w14:textId="77777777" w:rsidR="00D37533" w:rsidRPr="000B79AE" w:rsidRDefault="00D37533" w:rsidP="00C86F4A">
            <w:pPr>
              <w:pStyle w:val="TableTextRight"/>
              <w:rPr>
                <w:szCs w:val="16"/>
              </w:rPr>
            </w:pPr>
            <w:r w:rsidRPr="000B79AE">
              <w:rPr>
                <w:szCs w:val="16"/>
              </w:rPr>
              <w:t xml:space="preserve"> 5 </w:t>
            </w:r>
          </w:p>
        </w:tc>
        <w:tc>
          <w:tcPr>
            <w:tcW w:w="772" w:type="pct"/>
            <w:shd w:val="clear" w:color="auto" w:fill="F2F2F2" w:themeFill="background1" w:themeFillShade="F2"/>
            <w:tcMar>
              <w:top w:w="57" w:type="dxa"/>
              <w:bottom w:w="57" w:type="dxa"/>
            </w:tcMar>
          </w:tcPr>
          <w:p w14:paraId="7FE0585C" w14:textId="77777777" w:rsidR="00D37533" w:rsidRPr="000B79AE" w:rsidRDefault="00D37533" w:rsidP="00C86F4A">
            <w:pPr>
              <w:pStyle w:val="TableTextRight"/>
              <w:rPr>
                <w:szCs w:val="16"/>
              </w:rPr>
            </w:pPr>
            <w:r w:rsidRPr="000B79AE">
              <w:rPr>
                <w:szCs w:val="16"/>
              </w:rPr>
              <w:t>5</w:t>
            </w:r>
          </w:p>
        </w:tc>
      </w:tr>
      <w:tr w:rsidR="00D37533" w:rsidRPr="006534F5" w14:paraId="382F9C9C" w14:textId="77777777" w:rsidTr="001F10B3">
        <w:tc>
          <w:tcPr>
            <w:tcW w:w="2390" w:type="pct"/>
            <w:shd w:val="clear" w:color="auto" w:fill="F2F2F2" w:themeFill="background1" w:themeFillShade="F2"/>
            <w:noWrap/>
            <w:tcMar>
              <w:top w:w="57" w:type="dxa"/>
              <w:bottom w:w="57" w:type="dxa"/>
            </w:tcMar>
          </w:tcPr>
          <w:p w14:paraId="1C23BC46" w14:textId="77777777" w:rsidR="00D37533" w:rsidRPr="008D1BFF" w:rsidRDefault="00D37533" w:rsidP="00C86F4A">
            <w:pPr>
              <w:pStyle w:val="TableTextLeft"/>
              <w:rPr>
                <w:b/>
                <w:bCs/>
              </w:rPr>
            </w:pPr>
            <w:r w:rsidRPr="008D1BFF">
              <w:rPr>
                <w:b/>
                <w:bCs/>
              </w:rPr>
              <w:t>Total liabilities administered on behalf of Government</w:t>
            </w:r>
          </w:p>
        </w:tc>
        <w:tc>
          <w:tcPr>
            <w:tcW w:w="500" w:type="pct"/>
            <w:shd w:val="clear" w:color="auto" w:fill="F2F2F2" w:themeFill="background1" w:themeFillShade="F2"/>
            <w:noWrap/>
            <w:tcMar>
              <w:top w:w="57" w:type="dxa"/>
              <w:bottom w:w="57" w:type="dxa"/>
            </w:tcMar>
          </w:tcPr>
          <w:p w14:paraId="21FA87C6" w14:textId="77777777" w:rsidR="00D37533" w:rsidRPr="000B79AE" w:rsidRDefault="00D37533" w:rsidP="00C86F4A">
            <w:pPr>
              <w:pStyle w:val="TableTextRight"/>
              <w:rPr>
                <w:rStyle w:val="Strong"/>
                <w:szCs w:val="16"/>
              </w:rPr>
            </w:pPr>
            <w:r w:rsidRPr="000B79AE">
              <w:rPr>
                <w:rStyle w:val="Strong"/>
                <w:szCs w:val="16"/>
              </w:rPr>
              <w:t> </w:t>
            </w:r>
          </w:p>
        </w:tc>
        <w:tc>
          <w:tcPr>
            <w:tcW w:w="671" w:type="pct"/>
            <w:shd w:val="clear" w:color="auto" w:fill="F2F2F2" w:themeFill="background1" w:themeFillShade="F2"/>
            <w:noWrap/>
            <w:tcMar>
              <w:top w:w="57" w:type="dxa"/>
              <w:bottom w:w="57" w:type="dxa"/>
            </w:tcMar>
          </w:tcPr>
          <w:p w14:paraId="23376F34" w14:textId="77777777" w:rsidR="00D37533" w:rsidRPr="00E361AE" w:rsidRDefault="00D37533" w:rsidP="00C86F4A">
            <w:pPr>
              <w:pStyle w:val="TableTextRight"/>
              <w:rPr>
                <w:b/>
                <w:bCs/>
              </w:rPr>
            </w:pPr>
            <w:r w:rsidRPr="00E361AE">
              <w:rPr>
                <w:b/>
                <w:bCs/>
              </w:rPr>
              <w:t>887,021</w:t>
            </w:r>
          </w:p>
        </w:tc>
        <w:tc>
          <w:tcPr>
            <w:tcW w:w="667" w:type="pct"/>
            <w:shd w:val="clear" w:color="auto" w:fill="F2F2F2" w:themeFill="background1" w:themeFillShade="F2"/>
            <w:noWrap/>
            <w:tcMar>
              <w:top w:w="57" w:type="dxa"/>
              <w:bottom w:w="57" w:type="dxa"/>
            </w:tcMar>
          </w:tcPr>
          <w:p w14:paraId="20B1E12E" w14:textId="77777777" w:rsidR="00D37533" w:rsidRPr="00E361AE" w:rsidRDefault="00D37533" w:rsidP="00C86F4A">
            <w:pPr>
              <w:pStyle w:val="TableTextRight"/>
              <w:rPr>
                <w:b/>
                <w:bCs/>
              </w:rPr>
            </w:pPr>
            <w:r w:rsidRPr="00E361AE">
              <w:rPr>
                <w:b/>
                <w:bCs/>
              </w:rPr>
              <w:t xml:space="preserve"> 844,239 </w:t>
            </w:r>
          </w:p>
        </w:tc>
        <w:tc>
          <w:tcPr>
            <w:tcW w:w="772" w:type="pct"/>
            <w:shd w:val="clear" w:color="auto" w:fill="F2F2F2" w:themeFill="background1" w:themeFillShade="F2"/>
            <w:tcMar>
              <w:top w:w="57" w:type="dxa"/>
              <w:bottom w:w="57" w:type="dxa"/>
            </w:tcMar>
          </w:tcPr>
          <w:p w14:paraId="63185988" w14:textId="77777777" w:rsidR="00D37533" w:rsidRPr="00E361AE" w:rsidRDefault="00D37533" w:rsidP="00C86F4A">
            <w:pPr>
              <w:pStyle w:val="TableTextRight"/>
              <w:rPr>
                <w:b/>
                <w:bCs/>
              </w:rPr>
            </w:pPr>
            <w:r w:rsidRPr="00E361AE">
              <w:rPr>
                <w:b/>
                <w:bCs/>
              </w:rPr>
              <w:t>885,886</w:t>
            </w:r>
          </w:p>
        </w:tc>
      </w:tr>
      <w:tr w:rsidR="00D37533" w:rsidRPr="006534F5" w14:paraId="350C91C6" w14:textId="77777777" w:rsidTr="001F10B3">
        <w:tc>
          <w:tcPr>
            <w:tcW w:w="2390" w:type="pct"/>
            <w:shd w:val="clear" w:color="auto" w:fill="F2F2F2" w:themeFill="background1" w:themeFillShade="F2"/>
            <w:noWrap/>
            <w:tcMar>
              <w:top w:w="57" w:type="dxa"/>
              <w:bottom w:w="57" w:type="dxa"/>
            </w:tcMar>
            <w:hideMark/>
          </w:tcPr>
          <w:p w14:paraId="1597DD39" w14:textId="77777777" w:rsidR="00D37533" w:rsidRPr="008D1BFF" w:rsidRDefault="00D37533" w:rsidP="00C86F4A">
            <w:pPr>
              <w:pStyle w:val="TableTextLeft"/>
              <w:rPr>
                <w:b/>
                <w:bCs/>
              </w:rPr>
            </w:pPr>
            <w:r w:rsidRPr="008D1BFF">
              <w:rPr>
                <w:b/>
                <w:bCs/>
              </w:rPr>
              <w:t>Net (liabilities)</w:t>
            </w:r>
          </w:p>
        </w:tc>
        <w:tc>
          <w:tcPr>
            <w:tcW w:w="500" w:type="pct"/>
            <w:shd w:val="clear" w:color="auto" w:fill="F2F2F2" w:themeFill="background1" w:themeFillShade="F2"/>
            <w:noWrap/>
            <w:tcMar>
              <w:top w:w="57" w:type="dxa"/>
              <w:bottom w:w="57" w:type="dxa"/>
            </w:tcMar>
            <w:hideMark/>
          </w:tcPr>
          <w:p w14:paraId="7E0E914B" w14:textId="77777777" w:rsidR="00D37533" w:rsidRPr="000B79AE" w:rsidRDefault="00D37533" w:rsidP="00C86F4A">
            <w:pPr>
              <w:pStyle w:val="TableTextRight"/>
              <w:rPr>
                <w:rStyle w:val="Strong"/>
                <w:szCs w:val="16"/>
              </w:rPr>
            </w:pPr>
            <w:r w:rsidRPr="000B79AE">
              <w:rPr>
                <w:rStyle w:val="Strong"/>
                <w:szCs w:val="16"/>
              </w:rPr>
              <w:t> </w:t>
            </w:r>
          </w:p>
        </w:tc>
        <w:tc>
          <w:tcPr>
            <w:tcW w:w="671" w:type="pct"/>
            <w:shd w:val="clear" w:color="auto" w:fill="F2F2F2" w:themeFill="background1" w:themeFillShade="F2"/>
            <w:noWrap/>
            <w:tcMar>
              <w:top w:w="57" w:type="dxa"/>
              <w:bottom w:w="57" w:type="dxa"/>
            </w:tcMar>
          </w:tcPr>
          <w:p w14:paraId="0FE8F64A" w14:textId="77777777" w:rsidR="00D37533" w:rsidRPr="00E361AE" w:rsidRDefault="00D37533" w:rsidP="00C86F4A">
            <w:pPr>
              <w:pStyle w:val="TableTextRight"/>
              <w:rPr>
                <w:b/>
                <w:bCs/>
              </w:rPr>
            </w:pPr>
            <w:r w:rsidRPr="00E361AE">
              <w:rPr>
                <w:b/>
                <w:bCs/>
              </w:rPr>
              <w:t>(817,10</w:t>
            </w:r>
            <w:r>
              <w:rPr>
                <w:b/>
                <w:bCs/>
              </w:rPr>
              <w:t>3</w:t>
            </w:r>
            <w:r w:rsidRPr="00E361AE">
              <w:rPr>
                <w:b/>
                <w:bCs/>
              </w:rPr>
              <w:t>)</w:t>
            </w:r>
          </w:p>
        </w:tc>
        <w:tc>
          <w:tcPr>
            <w:tcW w:w="667" w:type="pct"/>
            <w:shd w:val="clear" w:color="auto" w:fill="F2F2F2" w:themeFill="background1" w:themeFillShade="F2"/>
            <w:noWrap/>
            <w:tcMar>
              <w:top w:w="57" w:type="dxa"/>
              <w:bottom w:w="57" w:type="dxa"/>
            </w:tcMar>
            <w:hideMark/>
          </w:tcPr>
          <w:p w14:paraId="773D3B16" w14:textId="77777777" w:rsidR="00D37533" w:rsidRPr="00E361AE" w:rsidRDefault="00D37533" w:rsidP="00C86F4A">
            <w:pPr>
              <w:pStyle w:val="TableTextRight"/>
              <w:rPr>
                <w:b/>
                <w:bCs/>
              </w:rPr>
            </w:pPr>
            <w:r w:rsidRPr="00E361AE">
              <w:rPr>
                <w:b/>
                <w:bCs/>
              </w:rPr>
              <w:t>(756,898)</w:t>
            </w:r>
          </w:p>
        </w:tc>
        <w:tc>
          <w:tcPr>
            <w:tcW w:w="772" w:type="pct"/>
            <w:shd w:val="clear" w:color="auto" w:fill="F2F2F2" w:themeFill="background1" w:themeFillShade="F2"/>
            <w:tcMar>
              <w:top w:w="57" w:type="dxa"/>
              <w:bottom w:w="57" w:type="dxa"/>
            </w:tcMar>
          </w:tcPr>
          <w:p w14:paraId="0310C2C4" w14:textId="77777777" w:rsidR="00D37533" w:rsidRPr="00E361AE" w:rsidRDefault="00D37533" w:rsidP="00C86F4A">
            <w:pPr>
              <w:pStyle w:val="TableTextRight"/>
              <w:rPr>
                <w:b/>
                <w:bCs/>
              </w:rPr>
            </w:pPr>
            <w:r w:rsidRPr="00E361AE">
              <w:rPr>
                <w:b/>
                <w:bCs/>
              </w:rPr>
              <w:t>(833,502)</w:t>
            </w:r>
          </w:p>
        </w:tc>
      </w:tr>
    </w:tbl>
    <w:p w14:paraId="3E413817" w14:textId="77777777" w:rsidR="00D37533" w:rsidRPr="00C469B2" w:rsidRDefault="00D37533" w:rsidP="00D37533">
      <w:pPr>
        <w:pStyle w:val="ChartorTableNote"/>
        <w:ind w:left="0" w:firstLine="0"/>
      </w:pPr>
      <w:r w:rsidRPr="00C469B2">
        <w:t>The above schedule should be read in conjunction with the accompanying notes.</w:t>
      </w:r>
    </w:p>
    <w:p w14:paraId="6711AF0F" w14:textId="77777777" w:rsidR="00D37533" w:rsidRPr="00C469B2" w:rsidRDefault="00D37533" w:rsidP="00D37533">
      <w:pPr>
        <w:pStyle w:val="ChartorTableNote"/>
        <w:ind w:left="0" w:firstLine="0"/>
      </w:pPr>
      <w:r w:rsidRPr="00C469B2">
        <w:t>Note</w:t>
      </w:r>
      <w:r>
        <w:t xml:space="preserve"> </w:t>
      </w:r>
      <w:r w:rsidRPr="00C469B2">
        <w:t>1</w:t>
      </w:r>
      <w:r>
        <w:t>0</w:t>
      </w:r>
      <w:r w:rsidRPr="00C469B2">
        <w:t xml:space="preserve"> </w:t>
      </w:r>
      <w:r>
        <w:t>explains</w:t>
      </w:r>
      <w:r w:rsidRPr="00C469B2">
        <w:t xml:space="preserve"> </w:t>
      </w:r>
      <w:r>
        <w:t xml:space="preserve">significant </w:t>
      </w:r>
      <w:r w:rsidRPr="00C469B2">
        <w:t>variances between actuals and the original budget as presented in the 2024</w:t>
      </w:r>
      <w:r w:rsidRPr="0084380D">
        <w:t>–</w:t>
      </w:r>
      <w:r w:rsidRPr="00C469B2">
        <w:t>25 Portfolio Budget Statements.</w:t>
      </w:r>
    </w:p>
    <w:p w14:paraId="2C75B116" w14:textId="7BD7C793" w:rsidR="00D37533" w:rsidRPr="001F10B3" w:rsidRDefault="00D37533" w:rsidP="006D2EDF">
      <w:pPr>
        <w:pStyle w:val="ChartorTableNoteAlpha"/>
        <w:numPr>
          <w:ilvl w:val="0"/>
          <w:numId w:val="46"/>
        </w:numPr>
      </w:pPr>
      <w:r w:rsidRPr="001F10B3">
        <w:t xml:space="preserve">Cash held in the cash management account contains Debt Retirement Reserve Trust Account (DRRTA), Australian Business Securitisation Fund (ABSF) and Structured Finance Support Fund (SFSF) special account balances.  Refer to Note 9: Appropriations for detailed disclosure. </w:t>
      </w:r>
    </w:p>
    <w:p w14:paraId="20103D7A" w14:textId="5CFF0156" w:rsidR="00D37533" w:rsidRDefault="00D37533">
      <w:pPr>
        <w:spacing w:after="0" w:line="240" w:lineRule="auto"/>
      </w:pPr>
      <w:r>
        <w:br w:type="page"/>
      </w:r>
    </w:p>
    <w:p w14:paraId="55DE643F" w14:textId="77777777" w:rsidR="00D37533" w:rsidRPr="00F20799" w:rsidRDefault="00D37533" w:rsidP="00D37533">
      <w:r w:rsidRPr="00F20799">
        <w:lastRenderedPageBreak/>
        <w:t xml:space="preserve">The Treasurer issued the Commonwealth Inscribed Stock (Maximum Total Face Value of Stock and Securities) Direction 2020. The Direction </w:t>
      </w:r>
      <w:r>
        <w:t xml:space="preserve">permits the AOFM to borrow to $1,200 billion in face value terms under the </w:t>
      </w:r>
      <w:r w:rsidRPr="004D225D">
        <w:rPr>
          <w:i/>
          <w:iCs/>
        </w:rPr>
        <w:t>Commonwealth Inscribed Stock Act 1911</w:t>
      </w:r>
      <w:r w:rsidRPr="00F20799">
        <w:t xml:space="preserve">. </w:t>
      </w:r>
    </w:p>
    <w:p w14:paraId="4FB8A578" w14:textId="77777777" w:rsidR="00D37533" w:rsidRPr="00F20799" w:rsidRDefault="00D37533" w:rsidP="00D37533">
      <w:r w:rsidRPr="00F20799">
        <w:t xml:space="preserve">As </w:t>
      </w:r>
      <w:proofErr w:type="gramStart"/>
      <w:r w:rsidRPr="00F20799">
        <w:t>at</w:t>
      </w:r>
      <w:proofErr w:type="gramEnd"/>
      <w:r w:rsidRPr="00F20799">
        <w:t xml:space="preserve"> 30 June 2025 the face value on issue was $943 billion. The schedule above reports the carrying value of debt in fair value (synonymous with market value) terms, being $887 billion. A</w:t>
      </w:r>
      <w:r>
        <w:t>n</w:t>
      </w:r>
      <w:r w:rsidRPr="00F20799">
        <w:t xml:space="preserve"> increase in interest rates over the course of the past four years has led the fair value of the debt portfolio to be below its face value as </w:t>
      </w:r>
      <w:proofErr w:type="gramStart"/>
      <w:r w:rsidRPr="00F20799">
        <w:t>at</w:t>
      </w:r>
      <w:proofErr w:type="gramEnd"/>
      <w:r w:rsidRPr="00F20799">
        <w:t xml:space="preserve"> 30 June 2024 and 30</w:t>
      </w:r>
      <w:r>
        <w:t> </w:t>
      </w:r>
      <w:r w:rsidRPr="00F20799">
        <w:t>June 2025. This is due to increases in interest rates reducing the price of fixed income instruments.</w:t>
      </w:r>
    </w:p>
    <w:p w14:paraId="79B0CB9A" w14:textId="77777777" w:rsidR="00D37533" w:rsidRPr="00F20799" w:rsidRDefault="00D37533" w:rsidP="00D37533">
      <w:r w:rsidRPr="00F20799">
        <w:t>Financial assets and financial liabilities denoted as being measured at amortised cost, are measured at fair value on initial recognition and at amortised cost on subsequent measurement using the effective interest method. Changes in carrying value, including amortisation of premiums or discounts, are recognised in interest revenue (for assets) and interest expense (for liabilities).</w:t>
      </w:r>
    </w:p>
    <w:p w14:paraId="0E7FB913" w14:textId="77777777" w:rsidR="00D37533" w:rsidRPr="00F20799" w:rsidRDefault="00D37533" w:rsidP="00D37533">
      <w:r w:rsidRPr="00F20799">
        <w:t>Financial assets and financial liabilities denoted as being measured at fair value, are measured at fair value on initial recognition and through profit or loss on subsequent measurement. Changes in carrying value are attributed between changes in amortised cost and other changes. Changes in carrying value attributable to amortised cost, including amortisation of premiums or discounts, are recognised in interest revenue (for assets) and interest expense (for liabilities). Other changes in carrying value (including unrealised changes in valuation due to a change in interest rates) are recognised in re</w:t>
      </w:r>
      <w:r w:rsidRPr="00F20799">
        <w:noBreakHyphen/>
        <w:t>measurements.</w:t>
      </w:r>
    </w:p>
    <w:p w14:paraId="54EBD78E" w14:textId="77777777" w:rsidR="00D37533" w:rsidRDefault="00D37533" w:rsidP="00D37533">
      <w:r>
        <w:br w:type="page"/>
      </w:r>
    </w:p>
    <w:p w14:paraId="3764514A" w14:textId="77777777" w:rsidR="00D37533" w:rsidRPr="006534F5" w:rsidRDefault="00D37533" w:rsidP="00D37533">
      <w:pPr>
        <w:pStyle w:val="Heading2"/>
        <w:rPr>
          <w:lang w:eastAsia="en-AU"/>
        </w:rPr>
      </w:pPr>
      <w:bookmarkStart w:id="1620" w:name="_Toc146112224"/>
      <w:bookmarkStart w:id="1621" w:name="_Toc207792928"/>
      <w:bookmarkStart w:id="1622" w:name="_Toc207793968"/>
      <w:bookmarkStart w:id="1623" w:name="_Toc207796124"/>
      <w:bookmarkStart w:id="1624" w:name="_Toc207796972"/>
      <w:bookmarkStart w:id="1625" w:name="_Toc207800275"/>
      <w:bookmarkStart w:id="1626" w:name="_Toc207810853"/>
      <w:bookmarkStart w:id="1627" w:name="_Toc208914132"/>
      <w:bookmarkStart w:id="1628" w:name="_Toc209424529"/>
      <w:r>
        <w:lastRenderedPageBreak/>
        <w:t>Administered reconciliation s</w:t>
      </w:r>
      <w:r w:rsidRPr="006534F5">
        <w:t>chedule</w:t>
      </w:r>
      <w:bookmarkEnd w:id="1620"/>
      <w:bookmarkEnd w:id="1621"/>
      <w:bookmarkEnd w:id="1622"/>
      <w:bookmarkEnd w:id="1623"/>
      <w:bookmarkEnd w:id="1624"/>
      <w:bookmarkEnd w:id="1625"/>
      <w:bookmarkEnd w:id="1626"/>
      <w:bookmarkEnd w:id="1627"/>
      <w:bookmarkEnd w:id="1628"/>
    </w:p>
    <w:p w14:paraId="1E8F4B97" w14:textId="77777777" w:rsidR="00D37533" w:rsidRPr="008D1BFF" w:rsidRDefault="00D37533" w:rsidP="00D37533">
      <w:pPr>
        <w:pStyle w:val="TableMainHeading"/>
      </w:pPr>
      <w:r w:rsidRPr="008D1BFF">
        <w:t>For the period ended 30 June 2025</w:t>
      </w:r>
    </w:p>
    <w:tbl>
      <w:tblPr>
        <w:tblStyle w:val="AOFMTablemain"/>
        <w:tblW w:w="5000" w:type="pct"/>
        <w:tblLook w:val="06A0" w:firstRow="1" w:lastRow="0" w:firstColumn="1" w:lastColumn="0" w:noHBand="1" w:noVBand="1"/>
      </w:tblPr>
      <w:tblGrid>
        <w:gridCol w:w="4429"/>
        <w:gridCol w:w="710"/>
        <w:gridCol w:w="1332"/>
        <w:gridCol w:w="1240"/>
      </w:tblGrid>
      <w:tr w:rsidR="00843643" w:rsidRPr="006534F5" w14:paraId="2C3AA4C4" w14:textId="77777777" w:rsidTr="005D4330">
        <w:trPr>
          <w:cnfStyle w:val="100000000000" w:firstRow="1" w:lastRow="0" w:firstColumn="0" w:lastColumn="0" w:oddVBand="0" w:evenVBand="0" w:oddHBand="0" w:evenHBand="0" w:firstRowFirstColumn="0" w:firstRowLastColumn="0" w:lastRowFirstColumn="0" w:lastRowLastColumn="0"/>
          <w:trHeight w:hRule="exact" w:val="527"/>
        </w:trPr>
        <w:tc>
          <w:tcPr>
            <w:tcW w:w="2887" w:type="pct"/>
            <w:noWrap/>
            <w:tcMar>
              <w:top w:w="57" w:type="dxa"/>
              <w:bottom w:w="57" w:type="dxa"/>
            </w:tcMar>
            <w:vAlign w:val="bottom"/>
            <w:hideMark/>
          </w:tcPr>
          <w:p w14:paraId="7A53B32C" w14:textId="77777777" w:rsidR="00D37533" w:rsidRPr="0057056D" w:rsidRDefault="00D37533" w:rsidP="00C86F4A">
            <w:pPr>
              <w:pStyle w:val="TableTextRight"/>
              <w:rPr>
                <w:color w:val="FFFFFF" w:themeColor="background1"/>
              </w:rPr>
            </w:pPr>
            <w:r w:rsidRPr="0057056D">
              <w:rPr>
                <w:color w:val="FFFFFF" w:themeColor="background1"/>
              </w:rPr>
              <w:t> </w:t>
            </w:r>
          </w:p>
        </w:tc>
        <w:tc>
          <w:tcPr>
            <w:tcW w:w="417" w:type="pct"/>
            <w:noWrap/>
            <w:tcMar>
              <w:top w:w="57" w:type="dxa"/>
              <w:bottom w:w="57" w:type="dxa"/>
            </w:tcMar>
            <w:vAlign w:val="bottom"/>
            <w:hideMark/>
          </w:tcPr>
          <w:p w14:paraId="780D9E96" w14:textId="77777777" w:rsidR="00D37533" w:rsidRPr="0057056D" w:rsidRDefault="00D37533" w:rsidP="00C86F4A">
            <w:pPr>
              <w:pStyle w:val="TableColumnHeadingRight"/>
            </w:pPr>
            <w:r w:rsidRPr="0057056D">
              <w:t>Notes</w:t>
            </w:r>
          </w:p>
        </w:tc>
        <w:tc>
          <w:tcPr>
            <w:tcW w:w="878" w:type="pct"/>
            <w:noWrap/>
            <w:tcMar>
              <w:top w:w="57" w:type="dxa"/>
              <w:bottom w:w="57" w:type="dxa"/>
            </w:tcMar>
            <w:vAlign w:val="bottom"/>
            <w:hideMark/>
          </w:tcPr>
          <w:p w14:paraId="3D89C738" w14:textId="77777777" w:rsidR="00D37533" w:rsidRDefault="00D37533" w:rsidP="00C86F4A">
            <w:pPr>
              <w:pStyle w:val="TableColumnHeadingRight"/>
            </w:pPr>
            <w:r w:rsidRPr="003B5C88">
              <w:t>202</w:t>
            </w:r>
            <w:r>
              <w:t xml:space="preserve">5 </w:t>
            </w:r>
          </w:p>
          <w:p w14:paraId="69AC8A61" w14:textId="77777777" w:rsidR="00D37533" w:rsidRPr="0057056D" w:rsidRDefault="00D37533" w:rsidP="00C86F4A">
            <w:pPr>
              <w:pStyle w:val="TableColumnHeadingRight"/>
            </w:pPr>
            <w:r>
              <w:t>($million)</w:t>
            </w:r>
            <w:r w:rsidRPr="003B5C88">
              <w:t xml:space="preserve"> </w:t>
            </w:r>
          </w:p>
        </w:tc>
        <w:tc>
          <w:tcPr>
            <w:tcW w:w="818" w:type="pct"/>
            <w:noWrap/>
            <w:tcMar>
              <w:top w:w="57" w:type="dxa"/>
              <w:bottom w:w="57" w:type="dxa"/>
            </w:tcMar>
            <w:vAlign w:val="bottom"/>
            <w:hideMark/>
          </w:tcPr>
          <w:p w14:paraId="1B459FAE" w14:textId="77777777" w:rsidR="00D37533" w:rsidRDefault="00D37533" w:rsidP="00C86F4A">
            <w:pPr>
              <w:pStyle w:val="TableColumnHeadingRight"/>
            </w:pPr>
            <w:r w:rsidRPr="003B5C88">
              <w:t>202</w:t>
            </w:r>
            <w:r>
              <w:t>4</w:t>
            </w:r>
            <w:r w:rsidRPr="003B5C88">
              <w:t xml:space="preserve"> </w:t>
            </w:r>
          </w:p>
          <w:p w14:paraId="590B9407" w14:textId="77777777" w:rsidR="00D37533" w:rsidRPr="0057056D" w:rsidRDefault="00D37533" w:rsidP="00C86F4A">
            <w:pPr>
              <w:pStyle w:val="TableColumnHeadingRight"/>
            </w:pPr>
            <w:r>
              <w:t>($million)</w:t>
            </w:r>
          </w:p>
        </w:tc>
      </w:tr>
      <w:tr w:rsidR="00D37533" w:rsidRPr="006534F5" w14:paraId="5F720FBF" w14:textId="77777777" w:rsidTr="00E5761C">
        <w:trPr>
          <w:trHeight w:hRule="exact" w:val="340"/>
        </w:trPr>
        <w:tc>
          <w:tcPr>
            <w:tcW w:w="2887" w:type="pct"/>
            <w:shd w:val="clear" w:color="auto" w:fill="F2F2F2" w:themeFill="background1" w:themeFillShade="F2"/>
            <w:noWrap/>
            <w:tcMar>
              <w:top w:w="57" w:type="dxa"/>
              <w:bottom w:w="57" w:type="dxa"/>
            </w:tcMar>
            <w:hideMark/>
          </w:tcPr>
          <w:p w14:paraId="60CFACF9" w14:textId="77777777" w:rsidR="00D37533" w:rsidRPr="000E7A29" w:rsidRDefault="00D37533" w:rsidP="00C86F4A">
            <w:pPr>
              <w:pStyle w:val="TableTextLeft"/>
              <w:rPr>
                <w:rStyle w:val="Strong"/>
              </w:rPr>
            </w:pPr>
            <w:r w:rsidRPr="000E7A29">
              <w:rPr>
                <w:rStyle w:val="Strong"/>
              </w:rPr>
              <w:t xml:space="preserve">Opening assets less liabilities as </w:t>
            </w:r>
            <w:proofErr w:type="gramStart"/>
            <w:r w:rsidRPr="000E7A29">
              <w:rPr>
                <w:rStyle w:val="Strong"/>
              </w:rPr>
              <w:t>at</w:t>
            </w:r>
            <w:proofErr w:type="gramEnd"/>
            <w:r w:rsidRPr="000E7A29">
              <w:rPr>
                <w:rStyle w:val="Strong"/>
              </w:rPr>
              <w:t xml:space="preserve"> 1 July</w:t>
            </w:r>
          </w:p>
        </w:tc>
        <w:tc>
          <w:tcPr>
            <w:tcW w:w="417" w:type="pct"/>
            <w:shd w:val="clear" w:color="auto" w:fill="F2F2F2" w:themeFill="background1" w:themeFillShade="F2"/>
            <w:noWrap/>
            <w:tcMar>
              <w:top w:w="57" w:type="dxa"/>
              <w:bottom w:w="57" w:type="dxa"/>
            </w:tcMar>
            <w:hideMark/>
          </w:tcPr>
          <w:p w14:paraId="1A2BA806" w14:textId="77777777" w:rsidR="00D37533" w:rsidRPr="005D4330" w:rsidRDefault="00D37533" w:rsidP="005D4330">
            <w:pPr>
              <w:pStyle w:val="TableTextCentered"/>
              <w:rPr>
                <w:rStyle w:val="Strong"/>
              </w:rPr>
            </w:pPr>
            <w:r w:rsidRPr="005D4330">
              <w:rPr>
                <w:rStyle w:val="Strong"/>
              </w:rPr>
              <w:t> </w:t>
            </w:r>
          </w:p>
        </w:tc>
        <w:tc>
          <w:tcPr>
            <w:tcW w:w="878" w:type="pct"/>
            <w:shd w:val="clear" w:color="auto" w:fill="F2F2F2" w:themeFill="background1" w:themeFillShade="F2"/>
            <w:noWrap/>
            <w:tcMar>
              <w:top w:w="57" w:type="dxa"/>
              <w:bottom w:w="57" w:type="dxa"/>
            </w:tcMar>
          </w:tcPr>
          <w:p w14:paraId="17D9A04F" w14:textId="77777777" w:rsidR="00D37533" w:rsidRPr="000E7A29" w:rsidRDefault="00D37533" w:rsidP="00C86F4A">
            <w:pPr>
              <w:pStyle w:val="TableTextRight"/>
              <w:rPr>
                <w:b/>
                <w:bCs/>
              </w:rPr>
            </w:pPr>
            <w:r w:rsidRPr="000E7A29">
              <w:rPr>
                <w:b/>
                <w:bCs/>
              </w:rPr>
              <w:t>(756,898)</w:t>
            </w:r>
          </w:p>
        </w:tc>
        <w:tc>
          <w:tcPr>
            <w:tcW w:w="818" w:type="pct"/>
            <w:shd w:val="clear" w:color="auto" w:fill="F2F2F2" w:themeFill="background1" w:themeFillShade="F2"/>
            <w:noWrap/>
            <w:tcMar>
              <w:top w:w="57" w:type="dxa"/>
              <w:bottom w:w="57" w:type="dxa"/>
            </w:tcMar>
            <w:hideMark/>
          </w:tcPr>
          <w:p w14:paraId="12E7BE09" w14:textId="77777777" w:rsidR="00D37533" w:rsidRPr="000E7A29" w:rsidRDefault="00D37533" w:rsidP="00C86F4A">
            <w:pPr>
              <w:pStyle w:val="TableTextRight"/>
              <w:rPr>
                <w:b/>
                <w:bCs/>
              </w:rPr>
            </w:pPr>
            <w:r w:rsidRPr="000E7A29">
              <w:rPr>
                <w:b/>
                <w:bCs/>
              </w:rPr>
              <w:t>(741,136)</w:t>
            </w:r>
          </w:p>
        </w:tc>
      </w:tr>
      <w:tr w:rsidR="00D37533" w:rsidRPr="006534F5" w14:paraId="6C931F92" w14:textId="77777777" w:rsidTr="00E5761C">
        <w:trPr>
          <w:trHeight w:hRule="exact" w:val="340"/>
        </w:trPr>
        <w:tc>
          <w:tcPr>
            <w:tcW w:w="2887" w:type="pct"/>
            <w:shd w:val="clear" w:color="auto" w:fill="F2F2F2" w:themeFill="background1" w:themeFillShade="F2"/>
            <w:noWrap/>
            <w:tcMar>
              <w:top w:w="57" w:type="dxa"/>
              <w:bottom w:w="57" w:type="dxa"/>
            </w:tcMar>
            <w:hideMark/>
          </w:tcPr>
          <w:p w14:paraId="35D3003C" w14:textId="77777777" w:rsidR="00D37533" w:rsidRPr="006534F5" w:rsidRDefault="00D37533" w:rsidP="00C86F4A">
            <w:pPr>
              <w:pStyle w:val="TableTextLeft"/>
            </w:pPr>
            <w:r w:rsidRPr="006534F5">
              <w:t>(</w:t>
            </w:r>
            <w:r>
              <w:t>D</w:t>
            </w:r>
            <w:r w:rsidRPr="006534F5">
              <w:t>eficit)</w:t>
            </w:r>
          </w:p>
        </w:tc>
        <w:tc>
          <w:tcPr>
            <w:tcW w:w="417" w:type="pct"/>
            <w:shd w:val="clear" w:color="auto" w:fill="F2F2F2" w:themeFill="background1" w:themeFillShade="F2"/>
            <w:noWrap/>
            <w:tcMar>
              <w:top w:w="57" w:type="dxa"/>
              <w:bottom w:w="57" w:type="dxa"/>
            </w:tcMar>
            <w:hideMark/>
          </w:tcPr>
          <w:p w14:paraId="7ABCBC35" w14:textId="77777777" w:rsidR="00D37533" w:rsidRPr="005D4330" w:rsidRDefault="00D37533" w:rsidP="005D4330">
            <w:pPr>
              <w:pStyle w:val="TableTextCentered"/>
              <w:rPr>
                <w:b/>
                <w:bCs/>
              </w:rPr>
            </w:pPr>
            <w:r w:rsidRPr="005D4330">
              <w:rPr>
                <w:b/>
                <w:bCs/>
              </w:rPr>
              <w:t> </w:t>
            </w:r>
          </w:p>
        </w:tc>
        <w:tc>
          <w:tcPr>
            <w:tcW w:w="878" w:type="pct"/>
            <w:shd w:val="clear" w:color="auto" w:fill="F2F2F2" w:themeFill="background1" w:themeFillShade="F2"/>
            <w:noWrap/>
            <w:tcMar>
              <w:top w:w="57" w:type="dxa"/>
              <w:bottom w:w="57" w:type="dxa"/>
            </w:tcMar>
          </w:tcPr>
          <w:p w14:paraId="358D4939" w14:textId="77777777" w:rsidR="00D37533" w:rsidRPr="00AE665D" w:rsidRDefault="00D37533" w:rsidP="00C86F4A">
            <w:pPr>
              <w:pStyle w:val="TableTextRight"/>
            </w:pPr>
            <w:r>
              <w:t>(47,722)</w:t>
            </w:r>
          </w:p>
        </w:tc>
        <w:tc>
          <w:tcPr>
            <w:tcW w:w="818" w:type="pct"/>
            <w:shd w:val="clear" w:color="auto" w:fill="F2F2F2" w:themeFill="background1" w:themeFillShade="F2"/>
            <w:noWrap/>
            <w:tcMar>
              <w:top w:w="57" w:type="dxa"/>
              <w:bottom w:w="57" w:type="dxa"/>
            </w:tcMar>
            <w:hideMark/>
          </w:tcPr>
          <w:p w14:paraId="083ECEE0" w14:textId="77777777" w:rsidR="00D37533" w:rsidRPr="00AE665D" w:rsidRDefault="00D37533" w:rsidP="00C86F4A">
            <w:pPr>
              <w:pStyle w:val="TableTextRight"/>
            </w:pPr>
            <w:r>
              <w:t>(23,780)</w:t>
            </w:r>
          </w:p>
        </w:tc>
      </w:tr>
      <w:tr w:rsidR="00D37533" w:rsidRPr="006534F5" w14:paraId="57E6B022" w14:textId="77777777" w:rsidTr="00E5761C">
        <w:trPr>
          <w:trHeight w:hRule="exact" w:val="340"/>
        </w:trPr>
        <w:tc>
          <w:tcPr>
            <w:tcW w:w="2887" w:type="pct"/>
            <w:shd w:val="clear" w:color="auto" w:fill="F2F2F2" w:themeFill="background1" w:themeFillShade="F2"/>
            <w:tcMar>
              <w:top w:w="57" w:type="dxa"/>
              <w:bottom w:w="57" w:type="dxa"/>
            </w:tcMar>
            <w:hideMark/>
          </w:tcPr>
          <w:p w14:paraId="632F06B8" w14:textId="77777777" w:rsidR="00D37533" w:rsidRPr="000E7A29" w:rsidRDefault="00D37533" w:rsidP="00C86F4A">
            <w:pPr>
              <w:pStyle w:val="TableTextLeft"/>
              <w:rPr>
                <w:b/>
                <w:bCs/>
              </w:rPr>
            </w:pPr>
            <w:r w:rsidRPr="000E7A29">
              <w:rPr>
                <w:b/>
                <w:bCs/>
              </w:rPr>
              <w:t>Transfers from/(to) the Australian Government</w:t>
            </w:r>
          </w:p>
        </w:tc>
        <w:tc>
          <w:tcPr>
            <w:tcW w:w="417" w:type="pct"/>
            <w:shd w:val="clear" w:color="auto" w:fill="F2F2F2" w:themeFill="background1" w:themeFillShade="F2"/>
            <w:noWrap/>
            <w:tcMar>
              <w:top w:w="57" w:type="dxa"/>
              <w:bottom w:w="57" w:type="dxa"/>
            </w:tcMar>
            <w:hideMark/>
          </w:tcPr>
          <w:p w14:paraId="1E21A33A" w14:textId="77777777" w:rsidR="00D37533" w:rsidRPr="005D4330" w:rsidRDefault="00D37533" w:rsidP="005D4330">
            <w:pPr>
              <w:pStyle w:val="TableTextCentered"/>
              <w:rPr>
                <w:rStyle w:val="Strong"/>
              </w:rPr>
            </w:pPr>
            <w:r w:rsidRPr="005D4330">
              <w:rPr>
                <w:rStyle w:val="Strong"/>
              </w:rPr>
              <w:t> </w:t>
            </w:r>
          </w:p>
        </w:tc>
        <w:tc>
          <w:tcPr>
            <w:tcW w:w="878" w:type="pct"/>
            <w:shd w:val="clear" w:color="auto" w:fill="F2F2F2" w:themeFill="background1" w:themeFillShade="F2"/>
            <w:noWrap/>
            <w:tcMar>
              <w:top w:w="57" w:type="dxa"/>
              <w:bottom w:w="57" w:type="dxa"/>
            </w:tcMar>
          </w:tcPr>
          <w:p w14:paraId="0B7FAE82" w14:textId="77777777" w:rsidR="00D37533" w:rsidRPr="00AE665D" w:rsidRDefault="00D37533" w:rsidP="00C86F4A">
            <w:pPr>
              <w:pStyle w:val="TableTextRight"/>
              <w:rPr>
                <w:rStyle w:val="Strong"/>
              </w:rPr>
            </w:pPr>
          </w:p>
        </w:tc>
        <w:tc>
          <w:tcPr>
            <w:tcW w:w="818" w:type="pct"/>
            <w:shd w:val="clear" w:color="auto" w:fill="F2F2F2" w:themeFill="background1" w:themeFillShade="F2"/>
            <w:noWrap/>
            <w:tcMar>
              <w:top w:w="57" w:type="dxa"/>
              <w:bottom w:w="57" w:type="dxa"/>
            </w:tcMar>
            <w:hideMark/>
          </w:tcPr>
          <w:p w14:paraId="3C565AD0" w14:textId="77777777" w:rsidR="00D37533" w:rsidRPr="00AE665D" w:rsidRDefault="00D37533" w:rsidP="00C86F4A">
            <w:pPr>
              <w:pStyle w:val="TableTextRight"/>
              <w:rPr>
                <w:rStyle w:val="Strong"/>
              </w:rPr>
            </w:pPr>
            <w:r w:rsidRPr="00AE665D">
              <w:rPr>
                <w:rStyle w:val="Strong"/>
              </w:rPr>
              <w:t> </w:t>
            </w:r>
          </w:p>
        </w:tc>
      </w:tr>
      <w:tr w:rsidR="00D37533" w:rsidRPr="006534F5" w14:paraId="0CE60970" w14:textId="77777777" w:rsidTr="00E5761C">
        <w:trPr>
          <w:trHeight w:hRule="exact" w:val="340"/>
        </w:trPr>
        <w:tc>
          <w:tcPr>
            <w:tcW w:w="2887" w:type="pct"/>
            <w:shd w:val="clear" w:color="auto" w:fill="F2F2F2" w:themeFill="background1" w:themeFillShade="F2"/>
            <w:tcMar>
              <w:top w:w="57" w:type="dxa"/>
              <w:bottom w:w="57" w:type="dxa"/>
            </w:tcMar>
          </w:tcPr>
          <w:p w14:paraId="47FFE8A2" w14:textId="77777777" w:rsidR="00D37533" w:rsidRPr="000E7A29" w:rsidRDefault="00D37533" w:rsidP="00C86F4A">
            <w:pPr>
              <w:pStyle w:val="TableTextLeft"/>
              <w:rPr>
                <w:b/>
                <w:bCs/>
              </w:rPr>
            </w:pPr>
            <w:r w:rsidRPr="000E7A29">
              <w:rPr>
                <w:b/>
                <w:bCs/>
              </w:rPr>
              <w:t>Appropriation transfers from Official Public Account</w:t>
            </w:r>
          </w:p>
        </w:tc>
        <w:tc>
          <w:tcPr>
            <w:tcW w:w="417" w:type="pct"/>
            <w:shd w:val="clear" w:color="auto" w:fill="F2F2F2" w:themeFill="background1" w:themeFillShade="F2"/>
            <w:noWrap/>
            <w:tcMar>
              <w:top w:w="57" w:type="dxa"/>
              <w:bottom w:w="57" w:type="dxa"/>
            </w:tcMar>
          </w:tcPr>
          <w:p w14:paraId="3F8C785A" w14:textId="77777777" w:rsidR="00D37533" w:rsidRPr="005D4330" w:rsidRDefault="00D37533" w:rsidP="005D4330">
            <w:pPr>
              <w:pStyle w:val="TableTextCentered"/>
              <w:rPr>
                <w:rStyle w:val="Strong"/>
              </w:rPr>
            </w:pPr>
          </w:p>
        </w:tc>
        <w:tc>
          <w:tcPr>
            <w:tcW w:w="878" w:type="pct"/>
            <w:shd w:val="clear" w:color="auto" w:fill="F2F2F2" w:themeFill="background1" w:themeFillShade="F2"/>
            <w:noWrap/>
            <w:tcMar>
              <w:top w:w="57" w:type="dxa"/>
              <w:bottom w:w="57" w:type="dxa"/>
            </w:tcMar>
          </w:tcPr>
          <w:p w14:paraId="0AF1E4F2" w14:textId="77777777" w:rsidR="00D37533" w:rsidRPr="00AE665D" w:rsidRDefault="00D37533" w:rsidP="00C86F4A">
            <w:pPr>
              <w:pStyle w:val="TableTextRight"/>
              <w:rPr>
                <w:rStyle w:val="Strong"/>
              </w:rPr>
            </w:pPr>
          </w:p>
        </w:tc>
        <w:tc>
          <w:tcPr>
            <w:tcW w:w="818" w:type="pct"/>
            <w:shd w:val="clear" w:color="auto" w:fill="F2F2F2" w:themeFill="background1" w:themeFillShade="F2"/>
            <w:noWrap/>
            <w:tcMar>
              <w:top w:w="57" w:type="dxa"/>
              <w:bottom w:w="57" w:type="dxa"/>
            </w:tcMar>
          </w:tcPr>
          <w:p w14:paraId="7CE8DFFE" w14:textId="77777777" w:rsidR="00D37533" w:rsidRPr="00AE665D" w:rsidRDefault="00D37533" w:rsidP="00C86F4A">
            <w:pPr>
              <w:pStyle w:val="TableTextRight"/>
              <w:rPr>
                <w:rStyle w:val="Strong"/>
              </w:rPr>
            </w:pPr>
          </w:p>
        </w:tc>
      </w:tr>
      <w:tr w:rsidR="00D37533" w:rsidRPr="006534F5" w14:paraId="1CAF66DC" w14:textId="77777777" w:rsidTr="00E5761C">
        <w:trPr>
          <w:trHeight w:hRule="exact" w:val="340"/>
        </w:trPr>
        <w:tc>
          <w:tcPr>
            <w:tcW w:w="2887" w:type="pct"/>
            <w:shd w:val="clear" w:color="auto" w:fill="F2F2F2" w:themeFill="background1" w:themeFillShade="F2"/>
            <w:tcMar>
              <w:top w:w="57" w:type="dxa"/>
              <w:bottom w:w="57" w:type="dxa"/>
            </w:tcMar>
          </w:tcPr>
          <w:p w14:paraId="7004D265" w14:textId="77777777" w:rsidR="00D37533" w:rsidRPr="000E7A29" w:rsidRDefault="00D37533" w:rsidP="00C86F4A">
            <w:pPr>
              <w:pStyle w:val="TableTextLeft"/>
              <w:rPr>
                <w:rStyle w:val="Strong"/>
                <w:b w:val="0"/>
                <w:bCs w:val="0"/>
              </w:rPr>
            </w:pPr>
            <w:r w:rsidRPr="000E7A29">
              <w:t>Special appropriations (unlimited)</w:t>
            </w:r>
          </w:p>
        </w:tc>
        <w:tc>
          <w:tcPr>
            <w:tcW w:w="417" w:type="pct"/>
            <w:shd w:val="clear" w:color="auto" w:fill="F2F2F2" w:themeFill="background1" w:themeFillShade="F2"/>
            <w:noWrap/>
            <w:tcMar>
              <w:top w:w="57" w:type="dxa"/>
              <w:bottom w:w="57" w:type="dxa"/>
            </w:tcMar>
          </w:tcPr>
          <w:p w14:paraId="04085C30" w14:textId="77777777" w:rsidR="00D37533" w:rsidRPr="005D4330" w:rsidRDefault="00D37533" w:rsidP="005D4330">
            <w:pPr>
              <w:pStyle w:val="TableTextCentered"/>
              <w:rPr>
                <w:rStyle w:val="Strong"/>
                <w:b w:val="0"/>
                <w:bCs w:val="0"/>
              </w:rPr>
            </w:pPr>
            <w:r w:rsidRPr="005D4330">
              <w:rPr>
                <w:b/>
                <w:bCs/>
              </w:rPr>
              <w:t>9</w:t>
            </w:r>
          </w:p>
        </w:tc>
        <w:tc>
          <w:tcPr>
            <w:tcW w:w="878" w:type="pct"/>
            <w:shd w:val="clear" w:color="auto" w:fill="F2F2F2" w:themeFill="background1" w:themeFillShade="F2"/>
            <w:noWrap/>
            <w:tcMar>
              <w:top w:w="57" w:type="dxa"/>
              <w:bottom w:w="57" w:type="dxa"/>
            </w:tcMar>
          </w:tcPr>
          <w:p w14:paraId="4FC55BB4" w14:textId="77777777" w:rsidR="00D37533" w:rsidRPr="002201D0" w:rsidRDefault="00D37533" w:rsidP="00C86F4A">
            <w:pPr>
              <w:pStyle w:val="TableTextRight"/>
            </w:pPr>
            <w:r w:rsidRPr="002201D0">
              <w:t>220,424</w:t>
            </w:r>
          </w:p>
        </w:tc>
        <w:tc>
          <w:tcPr>
            <w:tcW w:w="818" w:type="pct"/>
            <w:shd w:val="clear" w:color="auto" w:fill="F2F2F2" w:themeFill="background1" w:themeFillShade="F2"/>
            <w:noWrap/>
            <w:tcMar>
              <w:top w:w="57" w:type="dxa"/>
              <w:bottom w:w="57" w:type="dxa"/>
            </w:tcMar>
          </w:tcPr>
          <w:p w14:paraId="615BE00E" w14:textId="77777777" w:rsidR="00D37533" w:rsidRPr="00AE665D" w:rsidRDefault="00D37533" w:rsidP="00C86F4A">
            <w:pPr>
              <w:pStyle w:val="TableTextRight"/>
              <w:rPr>
                <w:rStyle w:val="Strong"/>
              </w:rPr>
            </w:pPr>
            <w:r>
              <w:t>159,646</w:t>
            </w:r>
            <w:r w:rsidRPr="00AE665D">
              <w:t xml:space="preserve"> </w:t>
            </w:r>
          </w:p>
        </w:tc>
      </w:tr>
      <w:tr w:rsidR="00D37533" w:rsidRPr="006534F5" w14:paraId="70E94B86" w14:textId="77777777" w:rsidTr="00E5761C">
        <w:trPr>
          <w:trHeight w:hRule="exact" w:val="340"/>
        </w:trPr>
        <w:tc>
          <w:tcPr>
            <w:tcW w:w="2887" w:type="pct"/>
            <w:shd w:val="clear" w:color="auto" w:fill="F2F2F2" w:themeFill="background1" w:themeFillShade="F2"/>
            <w:tcMar>
              <w:top w:w="57" w:type="dxa"/>
              <w:bottom w:w="57" w:type="dxa"/>
            </w:tcMar>
          </w:tcPr>
          <w:p w14:paraId="1009BD5F" w14:textId="77777777" w:rsidR="00D37533" w:rsidRPr="000E7A29" w:rsidRDefault="00D37533" w:rsidP="00C86F4A">
            <w:pPr>
              <w:pStyle w:val="TableTextLeft"/>
            </w:pPr>
            <w:r w:rsidRPr="000E7A29">
              <w:t>Cash management account transfers</w:t>
            </w:r>
          </w:p>
        </w:tc>
        <w:tc>
          <w:tcPr>
            <w:tcW w:w="417" w:type="pct"/>
            <w:shd w:val="clear" w:color="auto" w:fill="F2F2F2" w:themeFill="background1" w:themeFillShade="F2"/>
            <w:noWrap/>
            <w:tcMar>
              <w:top w:w="57" w:type="dxa"/>
              <w:bottom w:w="57" w:type="dxa"/>
            </w:tcMar>
          </w:tcPr>
          <w:p w14:paraId="60B2A8DF" w14:textId="77777777" w:rsidR="00D37533" w:rsidRPr="005D4330" w:rsidRDefault="00D37533" w:rsidP="005D4330">
            <w:pPr>
              <w:pStyle w:val="TableTextCentered"/>
              <w:rPr>
                <w:b/>
                <w:bCs/>
              </w:rPr>
            </w:pPr>
          </w:p>
        </w:tc>
        <w:tc>
          <w:tcPr>
            <w:tcW w:w="878" w:type="pct"/>
            <w:shd w:val="clear" w:color="auto" w:fill="F2F2F2" w:themeFill="background1" w:themeFillShade="F2"/>
            <w:noWrap/>
            <w:tcMar>
              <w:top w:w="57" w:type="dxa"/>
              <w:bottom w:w="57" w:type="dxa"/>
            </w:tcMar>
          </w:tcPr>
          <w:p w14:paraId="4105582A" w14:textId="77777777" w:rsidR="00D37533" w:rsidRPr="002201D0" w:rsidRDefault="00D37533" w:rsidP="00C86F4A">
            <w:pPr>
              <w:pStyle w:val="TableTextRight"/>
            </w:pPr>
            <w:r w:rsidRPr="002201D0">
              <w:t>(17,17</w:t>
            </w:r>
            <w:r>
              <w:t>2</w:t>
            </w:r>
            <w:r w:rsidRPr="002201D0">
              <w:t>)</w:t>
            </w:r>
          </w:p>
        </w:tc>
        <w:tc>
          <w:tcPr>
            <w:tcW w:w="818" w:type="pct"/>
            <w:shd w:val="clear" w:color="auto" w:fill="F2F2F2" w:themeFill="background1" w:themeFillShade="F2"/>
            <w:noWrap/>
            <w:tcMar>
              <w:top w:w="57" w:type="dxa"/>
              <w:bottom w:w="57" w:type="dxa"/>
            </w:tcMar>
          </w:tcPr>
          <w:p w14:paraId="05142558" w14:textId="77777777" w:rsidR="00D37533" w:rsidRDefault="00D37533" w:rsidP="00C86F4A">
            <w:pPr>
              <w:pStyle w:val="TableTextRight"/>
            </w:pPr>
            <w:r>
              <w:t>3,345</w:t>
            </w:r>
          </w:p>
        </w:tc>
      </w:tr>
      <w:tr w:rsidR="00D37533" w:rsidRPr="006534F5" w14:paraId="72A210E1" w14:textId="77777777" w:rsidTr="00E5761C">
        <w:trPr>
          <w:trHeight w:hRule="exact" w:val="340"/>
        </w:trPr>
        <w:tc>
          <w:tcPr>
            <w:tcW w:w="2887" w:type="pct"/>
            <w:shd w:val="clear" w:color="auto" w:fill="F2F2F2" w:themeFill="background1" w:themeFillShade="F2"/>
            <w:tcMar>
              <w:top w:w="57" w:type="dxa"/>
              <w:bottom w:w="57" w:type="dxa"/>
            </w:tcMar>
          </w:tcPr>
          <w:p w14:paraId="41035A7A" w14:textId="77777777" w:rsidR="00D37533" w:rsidRPr="000E7A29" w:rsidRDefault="00D37533" w:rsidP="00C86F4A">
            <w:pPr>
              <w:pStyle w:val="TableTextLeft"/>
            </w:pPr>
            <w:r w:rsidRPr="000E7A29">
              <w:t>Contributed equity – special accounts</w:t>
            </w:r>
          </w:p>
        </w:tc>
        <w:tc>
          <w:tcPr>
            <w:tcW w:w="417" w:type="pct"/>
            <w:shd w:val="clear" w:color="auto" w:fill="F2F2F2" w:themeFill="background1" w:themeFillShade="F2"/>
            <w:noWrap/>
            <w:tcMar>
              <w:top w:w="57" w:type="dxa"/>
              <w:bottom w:w="57" w:type="dxa"/>
            </w:tcMar>
          </w:tcPr>
          <w:p w14:paraId="38B2CB78" w14:textId="77777777" w:rsidR="00D37533" w:rsidRPr="005D4330" w:rsidRDefault="00D37533" w:rsidP="005D4330">
            <w:pPr>
              <w:pStyle w:val="TableTextCentered"/>
              <w:rPr>
                <w:b/>
                <w:bCs/>
              </w:rPr>
            </w:pPr>
            <w:r w:rsidRPr="005D4330">
              <w:rPr>
                <w:b/>
                <w:bCs/>
              </w:rPr>
              <w:t>9</w:t>
            </w:r>
          </w:p>
        </w:tc>
        <w:tc>
          <w:tcPr>
            <w:tcW w:w="878" w:type="pct"/>
            <w:shd w:val="clear" w:color="auto" w:fill="F2F2F2" w:themeFill="background1" w:themeFillShade="F2"/>
            <w:noWrap/>
            <w:tcMar>
              <w:top w:w="57" w:type="dxa"/>
              <w:bottom w:w="57" w:type="dxa"/>
            </w:tcMar>
          </w:tcPr>
          <w:p w14:paraId="3E348992" w14:textId="77777777" w:rsidR="00D37533" w:rsidRPr="002201D0" w:rsidRDefault="00D37533" w:rsidP="00C86F4A">
            <w:pPr>
              <w:pStyle w:val="TableTextRight"/>
              <w:rPr>
                <w:rStyle w:val="Strong"/>
                <w:b w:val="0"/>
                <w:bCs w:val="0"/>
              </w:rPr>
            </w:pPr>
            <w:r w:rsidRPr="002201D0">
              <w:rPr>
                <w:rStyle w:val="Strong"/>
                <w:b w:val="0"/>
                <w:bCs w:val="0"/>
              </w:rPr>
              <w:noBreakHyphen/>
            </w:r>
          </w:p>
        </w:tc>
        <w:tc>
          <w:tcPr>
            <w:tcW w:w="818" w:type="pct"/>
            <w:shd w:val="clear" w:color="auto" w:fill="F2F2F2" w:themeFill="background1" w:themeFillShade="F2"/>
            <w:noWrap/>
            <w:tcMar>
              <w:top w:w="57" w:type="dxa"/>
              <w:bottom w:w="57" w:type="dxa"/>
            </w:tcMar>
          </w:tcPr>
          <w:p w14:paraId="008E6AC1" w14:textId="77777777" w:rsidR="00D37533" w:rsidRPr="00AE665D" w:rsidRDefault="00D37533" w:rsidP="00C86F4A">
            <w:pPr>
              <w:pStyle w:val="TableTextRight"/>
            </w:pPr>
            <w:r w:rsidRPr="00AE665D">
              <w:t xml:space="preserve">500 </w:t>
            </w:r>
          </w:p>
        </w:tc>
      </w:tr>
      <w:tr w:rsidR="00D37533" w:rsidRPr="006534F5" w14:paraId="27E23918" w14:textId="77777777" w:rsidTr="00E5761C">
        <w:trPr>
          <w:trHeight w:hRule="exact" w:val="340"/>
        </w:trPr>
        <w:tc>
          <w:tcPr>
            <w:tcW w:w="2887" w:type="pct"/>
            <w:shd w:val="clear" w:color="auto" w:fill="F2F2F2" w:themeFill="background1" w:themeFillShade="F2"/>
            <w:tcMar>
              <w:top w:w="57" w:type="dxa"/>
              <w:bottom w:w="57" w:type="dxa"/>
            </w:tcMar>
          </w:tcPr>
          <w:p w14:paraId="4E6E6C5E" w14:textId="77777777" w:rsidR="00D37533" w:rsidRPr="00A56CFD" w:rsidRDefault="00D37533" w:rsidP="00C86F4A">
            <w:pPr>
              <w:pStyle w:val="TableTextLeft"/>
              <w:rPr>
                <w:b/>
                <w:bCs/>
              </w:rPr>
            </w:pPr>
            <w:r w:rsidRPr="00A56CFD">
              <w:rPr>
                <w:b/>
                <w:bCs/>
              </w:rPr>
              <w:t>Appropriation transfers to Official Public Account</w:t>
            </w:r>
          </w:p>
        </w:tc>
        <w:tc>
          <w:tcPr>
            <w:tcW w:w="417" w:type="pct"/>
            <w:shd w:val="clear" w:color="auto" w:fill="F2F2F2" w:themeFill="background1" w:themeFillShade="F2"/>
            <w:noWrap/>
            <w:tcMar>
              <w:top w:w="57" w:type="dxa"/>
              <w:bottom w:w="57" w:type="dxa"/>
            </w:tcMar>
          </w:tcPr>
          <w:p w14:paraId="7D40356D" w14:textId="77777777" w:rsidR="00D37533" w:rsidRPr="005D4330" w:rsidRDefault="00D37533" w:rsidP="005D4330">
            <w:pPr>
              <w:pStyle w:val="TableTextCentered"/>
              <w:rPr>
                <w:b/>
                <w:bCs/>
              </w:rPr>
            </w:pPr>
          </w:p>
        </w:tc>
        <w:tc>
          <w:tcPr>
            <w:tcW w:w="878" w:type="pct"/>
            <w:shd w:val="clear" w:color="auto" w:fill="F2F2F2" w:themeFill="background1" w:themeFillShade="F2"/>
            <w:noWrap/>
            <w:tcMar>
              <w:top w:w="57" w:type="dxa"/>
              <w:bottom w:w="57" w:type="dxa"/>
            </w:tcMar>
          </w:tcPr>
          <w:p w14:paraId="234E8A4A" w14:textId="77777777" w:rsidR="00D37533" w:rsidRPr="00BF62BA" w:rsidRDefault="00D37533" w:rsidP="00C86F4A">
            <w:pPr>
              <w:pStyle w:val="TableTextRight"/>
              <w:rPr>
                <w:rStyle w:val="Strong"/>
                <w:b w:val="0"/>
                <w:bCs w:val="0"/>
              </w:rPr>
            </w:pPr>
          </w:p>
        </w:tc>
        <w:tc>
          <w:tcPr>
            <w:tcW w:w="818" w:type="pct"/>
            <w:shd w:val="clear" w:color="auto" w:fill="F2F2F2" w:themeFill="background1" w:themeFillShade="F2"/>
            <w:noWrap/>
            <w:tcMar>
              <w:top w:w="57" w:type="dxa"/>
              <w:bottom w:w="57" w:type="dxa"/>
            </w:tcMar>
          </w:tcPr>
          <w:p w14:paraId="171BFDBF" w14:textId="77777777" w:rsidR="00D37533" w:rsidRPr="00AE665D" w:rsidRDefault="00D37533" w:rsidP="00C86F4A">
            <w:pPr>
              <w:pStyle w:val="TableTextRight"/>
            </w:pPr>
          </w:p>
        </w:tc>
      </w:tr>
      <w:tr w:rsidR="00D37533" w:rsidRPr="006534F5" w14:paraId="44320110" w14:textId="77777777" w:rsidTr="00E5761C">
        <w:trPr>
          <w:trHeight w:hRule="exact" w:val="340"/>
        </w:trPr>
        <w:tc>
          <w:tcPr>
            <w:tcW w:w="2887" w:type="pct"/>
            <w:shd w:val="clear" w:color="auto" w:fill="F2F2F2" w:themeFill="background1" w:themeFillShade="F2"/>
            <w:tcMar>
              <w:top w:w="57" w:type="dxa"/>
              <w:bottom w:w="57" w:type="dxa"/>
            </w:tcMar>
          </w:tcPr>
          <w:p w14:paraId="2CB503BE" w14:textId="77777777" w:rsidR="00D37533" w:rsidRPr="000E7A29" w:rsidRDefault="00D37533" w:rsidP="00C86F4A">
            <w:pPr>
              <w:pStyle w:val="TableTextLeft"/>
              <w:rPr>
                <w:rStyle w:val="Strong"/>
                <w:b w:val="0"/>
                <w:bCs w:val="0"/>
              </w:rPr>
            </w:pPr>
            <w:r w:rsidRPr="000E7A29">
              <w:t>Transfers to OPA</w:t>
            </w:r>
          </w:p>
        </w:tc>
        <w:tc>
          <w:tcPr>
            <w:tcW w:w="417" w:type="pct"/>
            <w:shd w:val="clear" w:color="auto" w:fill="F2F2F2" w:themeFill="background1" w:themeFillShade="F2"/>
            <w:noWrap/>
            <w:tcMar>
              <w:top w:w="57" w:type="dxa"/>
              <w:bottom w:w="57" w:type="dxa"/>
            </w:tcMar>
          </w:tcPr>
          <w:p w14:paraId="375D6871" w14:textId="77777777" w:rsidR="00D37533" w:rsidRPr="005D4330" w:rsidRDefault="00D37533" w:rsidP="005D4330">
            <w:pPr>
              <w:pStyle w:val="TableTextCentered"/>
              <w:rPr>
                <w:b/>
                <w:bCs/>
              </w:rPr>
            </w:pPr>
            <w:r w:rsidRPr="005D4330">
              <w:rPr>
                <w:b/>
                <w:bCs/>
              </w:rPr>
              <w:t> </w:t>
            </w:r>
          </w:p>
        </w:tc>
        <w:tc>
          <w:tcPr>
            <w:tcW w:w="878" w:type="pct"/>
            <w:shd w:val="clear" w:color="auto" w:fill="F2F2F2" w:themeFill="background1" w:themeFillShade="F2"/>
            <w:noWrap/>
            <w:tcMar>
              <w:top w:w="57" w:type="dxa"/>
              <w:bottom w:w="57" w:type="dxa"/>
            </w:tcMar>
          </w:tcPr>
          <w:p w14:paraId="157C776B" w14:textId="77777777" w:rsidR="00D37533" w:rsidRPr="002201D0" w:rsidRDefault="00D37533" w:rsidP="00C86F4A">
            <w:pPr>
              <w:pStyle w:val="TableTextRight"/>
              <w:rPr>
                <w:rStyle w:val="Strong"/>
                <w:b w:val="0"/>
                <w:bCs w:val="0"/>
              </w:rPr>
            </w:pPr>
            <w:r w:rsidRPr="002201D0">
              <w:rPr>
                <w:rStyle w:val="Strong"/>
                <w:b w:val="0"/>
                <w:bCs w:val="0"/>
              </w:rPr>
              <w:t>(215,615)</w:t>
            </w:r>
          </w:p>
        </w:tc>
        <w:tc>
          <w:tcPr>
            <w:tcW w:w="818" w:type="pct"/>
            <w:shd w:val="clear" w:color="auto" w:fill="F2F2F2" w:themeFill="background1" w:themeFillShade="F2"/>
            <w:noWrap/>
            <w:tcMar>
              <w:top w:w="57" w:type="dxa"/>
              <w:bottom w:w="57" w:type="dxa"/>
            </w:tcMar>
          </w:tcPr>
          <w:p w14:paraId="62FDF878" w14:textId="77777777" w:rsidR="00D37533" w:rsidRPr="00AE665D" w:rsidRDefault="00D37533" w:rsidP="00C86F4A">
            <w:pPr>
              <w:pStyle w:val="TableTextRight"/>
            </w:pPr>
            <w:r w:rsidRPr="00AE665D">
              <w:t>(</w:t>
            </w:r>
            <w:r>
              <w:t>154,602</w:t>
            </w:r>
            <w:r w:rsidRPr="00AE665D">
              <w:t>)</w:t>
            </w:r>
          </w:p>
        </w:tc>
      </w:tr>
      <w:tr w:rsidR="00D37533" w:rsidRPr="006534F5" w14:paraId="530CC254" w14:textId="77777777" w:rsidTr="00E5761C">
        <w:trPr>
          <w:trHeight w:hRule="exact" w:val="340"/>
        </w:trPr>
        <w:tc>
          <w:tcPr>
            <w:tcW w:w="2887" w:type="pct"/>
            <w:shd w:val="clear" w:color="auto" w:fill="F2F2F2" w:themeFill="background1" w:themeFillShade="F2"/>
            <w:noWrap/>
            <w:tcMar>
              <w:top w:w="57" w:type="dxa"/>
              <w:bottom w:w="57" w:type="dxa"/>
            </w:tcMar>
          </w:tcPr>
          <w:p w14:paraId="4D5FAB1D" w14:textId="77777777" w:rsidR="00D37533" w:rsidRPr="000E7A29" w:rsidRDefault="00D37533" w:rsidP="00C86F4A">
            <w:pPr>
              <w:pStyle w:val="TableTextLeft"/>
            </w:pPr>
            <w:r w:rsidRPr="000E7A29">
              <w:t>Change in special account balances</w:t>
            </w:r>
          </w:p>
        </w:tc>
        <w:tc>
          <w:tcPr>
            <w:tcW w:w="417" w:type="pct"/>
            <w:shd w:val="clear" w:color="auto" w:fill="F2F2F2" w:themeFill="background1" w:themeFillShade="F2"/>
            <w:noWrap/>
            <w:tcMar>
              <w:top w:w="57" w:type="dxa"/>
              <w:bottom w:w="57" w:type="dxa"/>
            </w:tcMar>
          </w:tcPr>
          <w:p w14:paraId="6A344B61" w14:textId="77777777" w:rsidR="00D37533" w:rsidRPr="005D4330" w:rsidRDefault="00D37533" w:rsidP="005D4330">
            <w:pPr>
              <w:pStyle w:val="TableTextCentered"/>
              <w:rPr>
                <w:b/>
                <w:bCs/>
              </w:rPr>
            </w:pPr>
          </w:p>
        </w:tc>
        <w:tc>
          <w:tcPr>
            <w:tcW w:w="878" w:type="pct"/>
            <w:shd w:val="clear" w:color="auto" w:fill="F2F2F2" w:themeFill="background1" w:themeFillShade="F2"/>
            <w:noWrap/>
            <w:tcMar>
              <w:top w:w="57" w:type="dxa"/>
              <w:bottom w:w="57" w:type="dxa"/>
            </w:tcMar>
          </w:tcPr>
          <w:p w14:paraId="733CABE4" w14:textId="77777777" w:rsidR="00D37533" w:rsidRPr="007658FA" w:rsidRDefault="00D37533" w:rsidP="00C86F4A">
            <w:pPr>
              <w:pStyle w:val="TableTextRight"/>
            </w:pPr>
            <w:r>
              <w:t>(120)</w:t>
            </w:r>
          </w:p>
        </w:tc>
        <w:tc>
          <w:tcPr>
            <w:tcW w:w="818" w:type="pct"/>
            <w:shd w:val="clear" w:color="auto" w:fill="F2F2F2" w:themeFill="background1" w:themeFillShade="F2"/>
            <w:noWrap/>
            <w:tcMar>
              <w:top w:w="57" w:type="dxa"/>
              <w:bottom w:w="57" w:type="dxa"/>
            </w:tcMar>
          </w:tcPr>
          <w:p w14:paraId="799B39FE" w14:textId="77777777" w:rsidR="00D37533" w:rsidRPr="00AE665D" w:rsidRDefault="00D37533" w:rsidP="00C86F4A">
            <w:pPr>
              <w:pStyle w:val="TableTextRight"/>
            </w:pPr>
            <w:r w:rsidRPr="00AE665D">
              <w:t>(</w:t>
            </w:r>
            <w:r>
              <w:t>871</w:t>
            </w:r>
            <w:r w:rsidRPr="00AE665D">
              <w:t>)</w:t>
            </w:r>
          </w:p>
        </w:tc>
      </w:tr>
      <w:tr w:rsidR="00D37533" w:rsidRPr="000E7A29" w14:paraId="79FA3C3F" w14:textId="77777777" w:rsidTr="00E5761C">
        <w:trPr>
          <w:trHeight w:hRule="exact" w:val="340"/>
        </w:trPr>
        <w:tc>
          <w:tcPr>
            <w:tcW w:w="2887" w:type="pct"/>
            <w:shd w:val="clear" w:color="auto" w:fill="F2F2F2" w:themeFill="background1" w:themeFillShade="F2"/>
            <w:noWrap/>
            <w:tcMar>
              <w:top w:w="57" w:type="dxa"/>
              <w:bottom w:w="57" w:type="dxa"/>
            </w:tcMar>
            <w:hideMark/>
          </w:tcPr>
          <w:p w14:paraId="2B87F080" w14:textId="77777777" w:rsidR="00D37533" w:rsidRPr="00A56CFD" w:rsidRDefault="00D37533" w:rsidP="00C86F4A">
            <w:pPr>
              <w:pStyle w:val="TableTextLeft"/>
              <w:rPr>
                <w:b/>
                <w:bCs/>
              </w:rPr>
            </w:pPr>
            <w:r w:rsidRPr="00A56CFD">
              <w:rPr>
                <w:b/>
                <w:bCs/>
              </w:rPr>
              <w:t xml:space="preserve">Closing assets less liabilities as </w:t>
            </w:r>
            <w:proofErr w:type="gramStart"/>
            <w:r w:rsidRPr="00A56CFD">
              <w:rPr>
                <w:b/>
                <w:bCs/>
              </w:rPr>
              <w:t>at</w:t>
            </w:r>
            <w:proofErr w:type="gramEnd"/>
            <w:r w:rsidRPr="00A56CFD">
              <w:rPr>
                <w:b/>
                <w:bCs/>
              </w:rPr>
              <w:t xml:space="preserve"> 30 June</w:t>
            </w:r>
          </w:p>
        </w:tc>
        <w:tc>
          <w:tcPr>
            <w:tcW w:w="417" w:type="pct"/>
            <w:shd w:val="clear" w:color="auto" w:fill="F2F2F2" w:themeFill="background1" w:themeFillShade="F2"/>
            <w:noWrap/>
            <w:tcMar>
              <w:top w:w="57" w:type="dxa"/>
              <w:bottom w:w="57" w:type="dxa"/>
            </w:tcMar>
            <w:hideMark/>
          </w:tcPr>
          <w:p w14:paraId="19222C21" w14:textId="77777777" w:rsidR="00D37533" w:rsidRPr="005D4330" w:rsidRDefault="00D37533" w:rsidP="005D4330">
            <w:pPr>
              <w:pStyle w:val="TableTextCentered"/>
              <w:rPr>
                <w:rStyle w:val="Strong"/>
              </w:rPr>
            </w:pPr>
            <w:r w:rsidRPr="005D4330">
              <w:rPr>
                <w:rStyle w:val="Strong"/>
              </w:rPr>
              <w:t> </w:t>
            </w:r>
          </w:p>
        </w:tc>
        <w:tc>
          <w:tcPr>
            <w:tcW w:w="878" w:type="pct"/>
            <w:shd w:val="clear" w:color="auto" w:fill="F2F2F2" w:themeFill="background1" w:themeFillShade="F2"/>
            <w:noWrap/>
            <w:tcMar>
              <w:top w:w="57" w:type="dxa"/>
              <w:bottom w:w="57" w:type="dxa"/>
            </w:tcMar>
          </w:tcPr>
          <w:p w14:paraId="4F03A85B" w14:textId="77777777" w:rsidR="00D37533" w:rsidRPr="000E7A29" w:rsidRDefault="00D37533" w:rsidP="00C86F4A">
            <w:pPr>
              <w:pStyle w:val="TableTextRight"/>
              <w:rPr>
                <w:b/>
                <w:bCs/>
              </w:rPr>
            </w:pPr>
            <w:r w:rsidRPr="000E7A29">
              <w:rPr>
                <w:b/>
                <w:bCs/>
              </w:rPr>
              <w:t>(817,103)</w:t>
            </w:r>
          </w:p>
        </w:tc>
        <w:tc>
          <w:tcPr>
            <w:tcW w:w="818" w:type="pct"/>
            <w:shd w:val="clear" w:color="auto" w:fill="F2F2F2" w:themeFill="background1" w:themeFillShade="F2"/>
            <w:noWrap/>
            <w:tcMar>
              <w:top w:w="57" w:type="dxa"/>
              <w:bottom w:w="57" w:type="dxa"/>
            </w:tcMar>
            <w:hideMark/>
          </w:tcPr>
          <w:p w14:paraId="5A5E9801" w14:textId="77777777" w:rsidR="00D37533" w:rsidRPr="000E7A29" w:rsidRDefault="00D37533" w:rsidP="00C86F4A">
            <w:pPr>
              <w:pStyle w:val="TableTextRight"/>
              <w:rPr>
                <w:b/>
                <w:bCs/>
              </w:rPr>
            </w:pPr>
            <w:r w:rsidRPr="000E7A29">
              <w:rPr>
                <w:b/>
                <w:bCs/>
              </w:rPr>
              <w:t>(756,898)</w:t>
            </w:r>
          </w:p>
        </w:tc>
      </w:tr>
    </w:tbl>
    <w:p w14:paraId="0FE62D95" w14:textId="77777777" w:rsidR="00D37533" w:rsidRPr="00C469B2" w:rsidRDefault="00D37533" w:rsidP="00D37533">
      <w:pPr>
        <w:pStyle w:val="ChartorTableNote"/>
        <w:rPr>
          <w:szCs w:val="16"/>
        </w:rPr>
      </w:pPr>
      <w:r w:rsidRPr="00C469B2">
        <w:rPr>
          <w:szCs w:val="16"/>
        </w:rPr>
        <w:t>The above schedule should be read in conjunction with the accompanying notes.</w:t>
      </w:r>
    </w:p>
    <w:p w14:paraId="0C6F67CD" w14:textId="77777777" w:rsidR="00D37533" w:rsidRDefault="00D37533" w:rsidP="00D37533">
      <w:pPr>
        <w:pStyle w:val="Heading2"/>
      </w:pPr>
      <w:bookmarkStart w:id="1629" w:name="_Toc207792929"/>
      <w:bookmarkStart w:id="1630" w:name="_Toc207793969"/>
      <w:bookmarkStart w:id="1631" w:name="_Toc207796125"/>
      <w:bookmarkStart w:id="1632" w:name="_Toc207796973"/>
      <w:bookmarkStart w:id="1633" w:name="_Toc207800276"/>
      <w:bookmarkStart w:id="1634" w:name="_Toc207810854"/>
      <w:bookmarkStart w:id="1635" w:name="_Toc208914133"/>
      <w:bookmarkStart w:id="1636" w:name="_Toc209424530"/>
      <w:r w:rsidRPr="00783DE1">
        <w:t>Accounting policy</w:t>
      </w:r>
      <w:bookmarkEnd w:id="1629"/>
      <w:bookmarkEnd w:id="1630"/>
      <w:bookmarkEnd w:id="1631"/>
      <w:bookmarkEnd w:id="1632"/>
      <w:bookmarkEnd w:id="1633"/>
      <w:bookmarkEnd w:id="1634"/>
      <w:bookmarkEnd w:id="1635"/>
      <w:bookmarkEnd w:id="1636"/>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D37533" w14:paraId="38324A18" w14:textId="77777777" w:rsidTr="00753C3D">
        <w:tc>
          <w:tcPr>
            <w:tcW w:w="7700" w:type="dxa"/>
            <w:tcBorders>
              <w:bottom w:val="single" w:sz="24" w:space="0" w:color="472978" w:themeColor="accent1"/>
            </w:tcBorders>
            <w:shd w:val="clear" w:color="auto" w:fill="E7DCF7" w:themeFill="text2" w:themeFillTint="1A"/>
          </w:tcPr>
          <w:p w14:paraId="28EDDF91" w14:textId="77777777" w:rsidR="00D37533" w:rsidRPr="00F7400B" w:rsidRDefault="00D37533" w:rsidP="00C86F4A">
            <w:pPr>
              <w:pStyle w:val="Boxheading"/>
            </w:pPr>
            <w:r w:rsidRPr="00F7400B">
              <w:t>Administered Cash Transfers to and from the Official Public Account</w:t>
            </w:r>
          </w:p>
          <w:p w14:paraId="48A68B14" w14:textId="77777777" w:rsidR="00D37533" w:rsidRPr="00F7400B" w:rsidRDefault="00D37533" w:rsidP="00C86F4A">
            <w:pPr>
              <w:pStyle w:val="BoxText"/>
            </w:pPr>
            <w:r w:rsidRPr="00F7400B">
              <w:t>Revenue collected by the AOFM for use by the Government rather than the AOFM is administered revenue. Collections are transferred to the Official Public Account (OPA) maintained by the Department of Finance. Conversely, cash is drawn from the OPA to make payments under Parliamentary appropriation on behalf of Government. These transfers to and from the OPA are adjustments to the administered cash held by the AOFM on behalf of the Government and reported as such in the administered cash flow statement and in the administered reconciliation schedule.</w:t>
            </w:r>
          </w:p>
        </w:tc>
      </w:tr>
    </w:tbl>
    <w:p w14:paraId="7C514DA9" w14:textId="77777777" w:rsidR="00D37533" w:rsidRPr="00E857FB" w:rsidRDefault="00D37533" w:rsidP="00D37533">
      <w:pPr>
        <w:rPr>
          <w:rFonts w:eastAsiaTheme="majorEastAsia"/>
        </w:rPr>
      </w:pPr>
      <w:r w:rsidRPr="00E857FB">
        <w:br w:type="page"/>
      </w:r>
    </w:p>
    <w:p w14:paraId="2C91624E" w14:textId="77777777" w:rsidR="00D37533" w:rsidRPr="006534F5" w:rsidRDefault="00D37533" w:rsidP="00D37533">
      <w:pPr>
        <w:pStyle w:val="Heading2"/>
      </w:pPr>
      <w:bookmarkStart w:id="1637" w:name="_Toc146112225"/>
      <w:bookmarkStart w:id="1638" w:name="_Toc207792930"/>
      <w:bookmarkStart w:id="1639" w:name="_Toc207793970"/>
      <w:bookmarkStart w:id="1640" w:name="_Toc207796126"/>
      <w:bookmarkStart w:id="1641" w:name="_Toc207796974"/>
      <w:bookmarkStart w:id="1642" w:name="_Toc207800277"/>
      <w:bookmarkStart w:id="1643" w:name="_Toc207810855"/>
      <w:bookmarkStart w:id="1644" w:name="_Toc208914134"/>
      <w:bookmarkStart w:id="1645" w:name="_Toc209424531"/>
      <w:r>
        <w:lastRenderedPageBreak/>
        <w:t>Administered cash flow statement</w:t>
      </w:r>
      <w:bookmarkEnd w:id="1637"/>
      <w:bookmarkEnd w:id="1638"/>
      <w:bookmarkEnd w:id="1639"/>
      <w:bookmarkEnd w:id="1640"/>
      <w:bookmarkEnd w:id="1641"/>
      <w:bookmarkEnd w:id="1642"/>
      <w:bookmarkEnd w:id="1643"/>
      <w:bookmarkEnd w:id="1644"/>
      <w:bookmarkEnd w:id="1645"/>
    </w:p>
    <w:p w14:paraId="607520BA" w14:textId="77777777" w:rsidR="00D37533" w:rsidRPr="00A56CFD" w:rsidRDefault="00D37533" w:rsidP="00D37533">
      <w:pPr>
        <w:pStyle w:val="TableMainHeading"/>
      </w:pPr>
      <w:r w:rsidRPr="00A56CFD">
        <w:t>For the period ended 30 June 2025</w:t>
      </w:r>
    </w:p>
    <w:tbl>
      <w:tblPr>
        <w:tblStyle w:val="AOFMTablemain"/>
        <w:tblW w:w="5000" w:type="pct"/>
        <w:tblLayout w:type="fixed"/>
        <w:tblLook w:val="06A0" w:firstRow="1" w:lastRow="0" w:firstColumn="1" w:lastColumn="0" w:noHBand="1" w:noVBand="1"/>
      </w:tblPr>
      <w:tblGrid>
        <w:gridCol w:w="3170"/>
        <w:gridCol w:w="799"/>
        <w:gridCol w:w="1172"/>
        <w:gridCol w:w="1285"/>
        <w:gridCol w:w="1285"/>
      </w:tblGrid>
      <w:tr w:rsidR="0048600D" w:rsidRPr="006534F5" w14:paraId="17FBF8C8" w14:textId="77777777" w:rsidTr="001F10B3">
        <w:trPr>
          <w:cnfStyle w:val="100000000000" w:firstRow="1" w:lastRow="0" w:firstColumn="0" w:lastColumn="0" w:oddVBand="0" w:evenVBand="0" w:oddHBand="0" w:evenHBand="0" w:firstRowFirstColumn="0" w:firstRowLastColumn="0" w:lastRowFirstColumn="0" w:lastRowLastColumn="0"/>
          <w:trHeight w:hRule="exact" w:val="792"/>
        </w:trPr>
        <w:tc>
          <w:tcPr>
            <w:tcW w:w="2056" w:type="pct"/>
            <w:tcBorders>
              <w:bottom w:val="single" w:sz="4" w:space="0" w:color="29114B" w:themeColor="text2"/>
            </w:tcBorders>
            <w:noWrap/>
            <w:tcMar>
              <w:top w:w="57" w:type="dxa"/>
              <w:bottom w:w="57" w:type="dxa"/>
            </w:tcMar>
            <w:vAlign w:val="bottom"/>
            <w:hideMark/>
          </w:tcPr>
          <w:p w14:paraId="087569F9" w14:textId="77777777" w:rsidR="00D37533" w:rsidRPr="00C469B2" w:rsidRDefault="00D37533" w:rsidP="00D37533">
            <w:pPr>
              <w:pStyle w:val="TableColumnHeadingRight"/>
              <w:rPr>
                <w:szCs w:val="16"/>
              </w:rPr>
            </w:pPr>
            <w:r w:rsidRPr="00C469B2">
              <w:rPr>
                <w:szCs w:val="16"/>
              </w:rPr>
              <w:t> </w:t>
            </w:r>
          </w:p>
        </w:tc>
        <w:tc>
          <w:tcPr>
            <w:tcW w:w="518" w:type="pct"/>
            <w:tcBorders>
              <w:bottom w:val="single" w:sz="4" w:space="0" w:color="29114B" w:themeColor="text2"/>
            </w:tcBorders>
            <w:noWrap/>
            <w:tcMar>
              <w:top w:w="57" w:type="dxa"/>
              <w:bottom w:w="57" w:type="dxa"/>
            </w:tcMar>
            <w:vAlign w:val="bottom"/>
            <w:hideMark/>
          </w:tcPr>
          <w:p w14:paraId="1B6F263D" w14:textId="77777777" w:rsidR="00D37533" w:rsidRPr="00C469B2" w:rsidRDefault="00D37533" w:rsidP="00D37533">
            <w:pPr>
              <w:pStyle w:val="TableColumnHeadingRight"/>
              <w:rPr>
                <w:szCs w:val="16"/>
              </w:rPr>
            </w:pPr>
            <w:r w:rsidRPr="00C469B2">
              <w:rPr>
                <w:szCs w:val="16"/>
              </w:rPr>
              <w:t>Notes</w:t>
            </w:r>
          </w:p>
        </w:tc>
        <w:tc>
          <w:tcPr>
            <w:tcW w:w="760" w:type="pct"/>
            <w:tcBorders>
              <w:bottom w:val="single" w:sz="4" w:space="0" w:color="29114B" w:themeColor="text2"/>
            </w:tcBorders>
            <w:noWrap/>
            <w:tcMar>
              <w:top w:w="57" w:type="dxa"/>
              <w:bottom w:w="57" w:type="dxa"/>
            </w:tcMar>
            <w:vAlign w:val="bottom"/>
            <w:hideMark/>
          </w:tcPr>
          <w:p w14:paraId="121AAF28" w14:textId="77777777" w:rsidR="00D37533" w:rsidRPr="00C469B2" w:rsidRDefault="00D37533" w:rsidP="00D37533">
            <w:pPr>
              <w:pStyle w:val="TableColumnHeadingRight"/>
              <w:rPr>
                <w:szCs w:val="16"/>
              </w:rPr>
            </w:pPr>
            <w:r w:rsidRPr="00C469B2">
              <w:rPr>
                <w:szCs w:val="16"/>
              </w:rPr>
              <w:t xml:space="preserve">2025 </w:t>
            </w:r>
          </w:p>
          <w:p w14:paraId="24BE3F77" w14:textId="77777777" w:rsidR="00D37533" w:rsidRPr="00C469B2" w:rsidRDefault="00D37533" w:rsidP="00D37533">
            <w:pPr>
              <w:pStyle w:val="TableColumnHeadingRight"/>
              <w:rPr>
                <w:szCs w:val="16"/>
              </w:rPr>
            </w:pPr>
            <w:r w:rsidRPr="00C469B2">
              <w:rPr>
                <w:szCs w:val="16"/>
              </w:rPr>
              <w:t xml:space="preserve">($million) </w:t>
            </w:r>
          </w:p>
        </w:tc>
        <w:tc>
          <w:tcPr>
            <w:tcW w:w="833" w:type="pct"/>
            <w:tcBorders>
              <w:bottom w:val="single" w:sz="4" w:space="0" w:color="29114B" w:themeColor="text2"/>
            </w:tcBorders>
            <w:noWrap/>
            <w:tcMar>
              <w:top w:w="57" w:type="dxa"/>
              <w:bottom w:w="57" w:type="dxa"/>
            </w:tcMar>
            <w:vAlign w:val="bottom"/>
            <w:hideMark/>
          </w:tcPr>
          <w:p w14:paraId="319578F8" w14:textId="77777777" w:rsidR="00D37533" w:rsidRPr="00C469B2" w:rsidRDefault="00D37533" w:rsidP="00D37533">
            <w:pPr>
              <w:pStyle w:val="TableColumnHeadingRight"/>
              <w:rPr>
                <w:szCs w:val="16"/>
              </w:rPr>
            </w:pPr>
            <w:r w:rsidRPr="00C469B2">
              <w:rPr>
                <w:szCs w:val="16"/>
              </w:rPr>
              <w:t xml:space="preserve">2024 </w:t>
            </w:r>
          </w:p>
          <w:p w14:paraId="4E4E9989" w14:textId="77777777" w:rsidR="00D37533" w:rsidRPr="00C469B2" w:rsidRDefault="00D37533" w:rsidP="00D37533">
            <w:pPr>
              <w:pStyle w:val="TableColumnHeadingRight"/>
              <w:rPr>
                <w:szCs w:val="16"/>
              </w:rPr>
            </w:pPr>
            <w:r w:rsidRPr="00C469B2">
              <w:rPr>
                <w:szCs w:val="16"/>
              </w:rPr>
              <w:t>($million)</w:t>
            </w:r>
          </w:p>
        </w:tc>
        <w:tc>
          <w:tcPr>
            <w:tcW w:w="833" w:type="pct"/>
            <w:tcBorders>
              <w:bottom w:val="single" w:sz="4" w:space="0" w:color="29114B" w:themeColor="text2"/>
            </w:tcBorders>
            <w:tcMar>
              <w:top w:w="57" w:type="dxa"/>
              <w:bottom w:w="57" w:type="dxa"/>
            </w:tcMar>
            <w:vAlign w:val="bottom"/>
          </w:tcPr>
          <w:p w14:paraId="14303207" w14:textId="5D2EE28F" w:rsidR="00D37533" w:rsidRPr="00C469B2" w:rsidRDefault="00D37533" w:rsidP="005D4330">
            <w:pPr>
              <w:pStyle w:val="TableColumnHeadingRight"/>
              <w:rPr>
                <w:szCs w:val="16"/>
              </w:rPr>
            </w:pPr>
            <w:r w:rsidRPr="00C469B2">
              <w:rPr>
                <w:szCs w:val="16"/>
              </w:rPr>
              <w:t>Budget 2025 ($million)</w:t>
            </w:r>
          </w:p>
        </w:tc>
      </w:tr>
      <w:tr w:rsidR="005D4330" w:rsidRPr="006534F5" w14:paraId="7921D129" w14:textId="77777777" w:rsidTr="001F10B3">
        <w:tc>
          <w:tcPr>
            <w:tcW w:w="2056" w:type="pct"/>
            <w:tcBorders>
              <w:top w:val="single" w:sz="4" w:space="0" w:color="29114B" w:themeColor="text2"/>
              <w:right w:val="single" w:sz="4" w:space="0" w:color="F2F2F2" w:themeColor="background1" w:themeShade="F2"/>
            </w:tcBorders>
            <w:shd w:val="clear" w:color="auto" w:fill="F2F2F2" w:themeFill="background1" w:themeFillShade="F2"/>
            <w:noWrap/>
            <w:tcMar>
              <w:top w:w="45" w:type="dxa"/>
              <w:bottom w:w="45" w:type="dxa"/>
            </w:tcMar>
            <w:hideMark/>
          </w:tcPr>
          <w:p w14:paraId="3883DA03" w14:textId="7552AB09" w:rsidR="00D37533" w:rsidRPr="00BD7AD5" w:rsidRDefault="00D37533" w:rsidP="00D37533">
            <w:pPr>
              <w:pStyle w:val="TableSecondHeading"/>
              <w:rPr>
                <w:b/>
                <w:bCs/>
              </w:rPr>
            </w:pPr>
            <w:r w:rsidRPr="00BD7AD5">
              <w:rPr>
                <w:b/>
                <w:bCs/>
              </w:rPr>
              <w:t>Operating activities</w:t>
            </w:r>
          </w:p>
        </w:tc>
        <w:tc>
          <w:tcPr>
            <w:tcW w:w="51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hideMark/>
          </w:tcPr>
          <w:p w14:paraId="354F7843" w14:textId="77777777" w:rsidR="00D37533" w:rsidRPr="005D4330" w:rsidRDefault="00D37533" w:rsidP="005D4330">
            <w:pPr>
              <w:pStyle w:val="TableTextCentered"/>
              <w:rPr>
                <w:rStyle w:val="Strong"/>
                <w:szCs w:val="16"/>
              </w:rPr>
            </w:pPr>
            <w:r w:rsidRPr="005D4330">
              <w:rPr>
                <w:rStyle w:val="Strong"/>
                <w:szCs w:val="16"/>
              </w:rPr>
              <w:t> </w:t>
            </w:r>
          </w:p>
        </w:tc>
        <w:tc>
          <w:tcPr>
            <w:tcW w:w="760"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hideMark/>
          </w:tcPr>
          <w:p w14:paraId="44C56DA5" w14:textId="77777777" w:rsidR="00D37533" w:rsidRPr="00C469B2" w:rsidRDefault="00D37533" w:rsidP="00C86F4A">
            <w:pPr>
              <w:pStyle w:val="TableTextRight"/>
              <w:rPr>
                <w:color w:val="202845"/>
                <w:szCs w:val="16"/>
              </w:rPr>
            </w:pPr>
            <w:r w:rsidRPr="00C469B2">
              <w:rPr>
                <w:color w:val="202845"/>
                <w:szCs w:val="16"/>
              </w:rPr>
              <w:t> </w:t>
            </w: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hideMark/>
          </w:tcPr>
          <w:p w14:paraId="650C1B78" w14:textId="77777777" w:rsidR="00D37533" w:rsidRPr="00C469B2" w:rsidRDefault="00D37533" w:rsidP="00C86F4A">
            <w:pPr>
              <w:pStyle w:val="TableTextRight"/>
              <w:rPr>
                <w:color w:val="202845"/>
                <w:szCs w:val="16"/>
              </w:rPr>
            </w:pPr>
            <w:r w:rsidRPr="00C469B2">
              <w:rPr>
                <w:color w:val="202845"/>
                <w:szCs w:val="16"/>
              </w:rPr>
              <w:t> </w:t>
            </w:r>
          </w:p>
        </w:tc>
        <w:tc>
          <w:tcPr>
            <w:tcW w:w="833" w:type="pct"/>
            <w:tcBorders>
              <w:top w:val="single" w:sz="4" w:space="0" w:color="29114B" w:themeColor="text2"/>
              <w:left w:val="single" w:sz="4" w:space="0" w:color="F2F2F2" w:themeColor="background1" w:themeShade="F2"/>
            </w:tcBorders>
            <w:shd w:val="clear" w:color="auto" w:fill="F2F2F2" w:themeFill="background1" w:themeFillShade="F2"/>
            <w:tcMar>
              <w:top w:w="45" w:type="dxa"/>
              <w:bottom w:w="45" w:type="dxa"/>
            </w:tcMar>
          </w:tcPr>
          <w:p w14:paraId="1C86C434" w14:textId="77777777" w:rsidR="00D37533" w:rsidRPr="00C469B2" w:rsidRDefault="00D37533" w:rsidP="00C86F4A">
            <w:pPr>
              <w:pStyle w:val="TableTextRight"/>
              <w:rPr>
                <w:color w:val="202845"/>
                <w:szCs w:val="16"/>
              </w:rPr>
            </w:pPr>
          </w:p>
        </w:tc>
      </w:tr>
      <w:tr w:rsidR="005D4330" w:rsidRPr="006534F5" w14:paraId="14D12A6E" w14:textId="77777777" w:rsidTr="001F10B3">
        <w:tc>
          <w:tcPr>
            <w:tcW w:w="2056" w:type="pct"/>
            <w:shd w:val="clear" w:color="auto" w:fill="F2F2F2" w:themeFill="background1" w:themeFillShade="F2"/>
            <w:noWrap/>
            <w:tcMar>
              <w:top w:w="45" w:type="dxa"/>
              <w:bottom w:w="45" w:type="dxa"/>
            </w:tcMar>
          </w:tcPr>
          <w:p w14:paraId="2161FCAB" w14:textId="77777777" w:rsidR="00D37533" w:rsidRPr="00A56CFD" w:rsidRDefault="00D37533" w:rsidP="00C86F4A">
            <w:pPr>
              <w:pStyle w:val="TableTextLeft"/>
              <w:rPr>
                <w:b/>
                <w:bCs/>
              </w:rPr>
            </w:pPr>
            <w:r w:rsidRPr="00A56CFD">
              <w:rPr>
                <w:b/>
                <w:bCs/>
              </w:rPr>
              <w:t>Cash received</w:t>
            </w:r>
          </w:p>
        </w:tc>
        <w:tc>
          <w:tcPr>
            <w:tcW w:w="518" w:type="pct"/>
            <w:shd w:val="clear" w:color="auto" w:fill="F2F2F2" w:themeFill="background1" w:themeFillShade="F2"/>
            <w:noWrap/>
            <w:tcMar>
              <w:top w:w="45" w:type="dxa"/>
              <w:bottom w:w="45" w:type="dxa"/>
            </w:tcMar>
          </w:tcPr>
          <w:p w14:paraId="4726FFD1" w14:textId="77777777" w:rsidR="00D37533" w:rsidRPr="005D4330" w:rsidRDefault="00D37533" w:rsidP="005D4330">
            <w:pPr>
              <w:pStyle w:val="TableTextCentered"/>
              <w:rPr>
                <w:rStyle w:val="Strong"/>
                <w:szCs w:val="16"/>
              </w:rPr>
            </w:pPr>
          </w:p>
        </w:tc>
        <w:tc>
          <w:tcPr>
            <w:tcW w:w="760" w:type="pct"/>
            <w:shd w:val="clear" w:color="auto" w:fill="F2F2F2" w:themeFill="background1" w:themeFillShade="F2"/>
            <w:noWrap/>
            <w:tcMar>
              <w:top w:w="45" w:type="dxa"/>
              <w:bottom w:w="45" w:type="dxa"/>
            </w:tcMar>
          </w:tcPr>
          <w:p w14:paraId="3E30CAA5" w14:textId="77777777" w:rsidR="00D37533" w:rsidRPr="00C469B2" w:rsidRDefault="00D37533" w:rsidP="00C86F4A">
            <w:pPr>
              <w:pStyle w:val="TableTextRight"/>
              <w:rPr>
                <w:color w:val="202845"/>
                <w:szCs w:val="16"/>
              </w:rPr>
            </w:pPr>
          </w:p>
        </w:tc>
        <w:tc>
          <w:tcPr>
            <w:tcW w:w="833" w:type="pct"/>
            <w:shd w:val="clear" w:color="auto" w:fill="F2F2F2" w:themeFill="background1" w:themeFillShade="F2"/>
            <w:noWrap/>
            <w:tcMar>
              <w:top w:w="45" w:type="dxa"/>
              <w:bottom w:w="45" w:type="dxa"/>
            </w:tcMar>
          </w:tcPr>
          <w:p w14:paraId="70DAEDFC" w14:textId="77777777" w:rsidR="00D37533" w:rsidRPr="00C469B2" w:rsidRDefault="00D37533" w:rsidP="00C86F4A">
            <w:pPr>
              <w:pStyle w:val="TableTextRight"/>
              <w:rPr>
                <w:color w:val="202845"/>
                <w:szCs w:val="16"/>
              </w:rPr>
            </w:pPr>
          </w:p>
        </w:tc>
        <w:tc>
          <w:tcPr>
            <w:tcW w:w="833" w:type="pct"/>
            <w:shd w:val="clear" w:color="auto" w:fill="F2F2F2" w:themeFill="background1" w:themeFillShade="F2"/>
            <w:tcMar>
              <w:top w:w="45" w:type="dxa"/>
              <w:bottom w:w="45" w:type="dxa"/>
            </w:tcMar>
          </w:tcPr>
          <w:p w14:paraId="19E8D8C8" w14:textId="77777777" w:rsidR="00D37533" w:rsidRPr="00C469B2" w:rsidRDefault="00D37533" w:rsidP="00C86F4A">
            <w:pPr>
              <w:pStyle w:val="TableTextRight"/>
              <w:rPr>
                <w:color w:val="202845"/>
                <w:szCs w:val="16"/>
              </w:rPr>
            </w:pPr>
          </w:p>
        </w:tc>
      </w:tr>
      <w:tr w:rsidR="005D4330" w:rsidRPr="006534F5" w14:paraId="62143C8A" w14:textId="77777777" w:rsidTr="001F10B3">
        <w:tc>
          <w:tcPr>
            <w:tcW w:w="2056" w:type="pct"/>
            <w:shd w:val="clear" w:color="auto" w:fill="F2F2F2" w:themeFill="background1" w:themeFillShade="F2"/>
            <w:noWrap/>
            <w:tcMar>
              <w:top w:w="45" w:type="dxa"/>
              <w:bottom w:w="45" w:type="dxa"/>
            </w:tcMar>
            <w:hideMark/>
          </w:tcPr>
          <w:p w14:paraId="37557329" w14:textId="77777777" w:rsidR="00D37533" w:rsidRPr="00C469B2" w:rsidRDefault="00D37533" w:rsidP="00C86F4A">
            <w:pPr>
              <w:pStyle w:val="TableTextLeft"/>
              <w:rPr>
                <w:szCs w:val="16"/>
              </w:rPr>
            </w:pPr>
            <w:r w:rsidRPr="00C469B2">
              <w:rPr>
                <w:szCs w:val="16"/>
              </w:rPr>
              <w:t>Interest receipts</w:t>
            </w:r>
          </w:p>
        </w:tc>
        <w:tc>
          <w:tcPr>
            <w:tcW w:w="518" w:type="pct"/>
            <w:shd w:val="clear" w:color="auto" w:fill="F2F2F2" w:themeFill="background1" w:themeFillShade="F2"/>
            <w:noWrap/>
            <w:tcMar>
              <w:top w:w="45" w:type="dxa"/>
              <w:bottom w:w="45" w:type="dxa"/>
            </w:tcMar>
            <w:hideMark/>
          </w:tcPr>
          <w:p w14:paraId="642FC462"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178DD14D" w14:textId="77777777" w:rsidR="00D37533" w:rsidRPr="00C469B2" w:rsidRDefault="00D37533" w:rsidP="00C86F4A">
            <w:pPr>
              <w:pStyle w:val="TableTextRight"/>
              <w:rPr>
                <w:szCs w:val="16"/>
              </w:rPr>
            </w:pPr>
            <w:r>
              <w:rPr>
                <w:szCs w:val="16"/>
              </w:rPr>
              <w:t>2,960</w:t>
            </w:r>
          </w:p>
        </w:tc>
        <w:tc>
          <w:tcPr>
            <w:tcW w:w="833" w:type="pct"/>
            <w:shd w:val="clear" w:color="auto" w:fill="F2F2F2" w:themeFill="background1" w:themeFillShade="F2"/>
            <w:noWrap/>
            <w:tcMar>
              <w:top w:w="45" w:type="dxa"/>
              <w:bottom w:w="45" w:type="dxa"/>
            </w:tcMar>
            <w:hideMark/>
          </w:tcPr>
          <w:p w14:paraId="36A32774" w14:textId="77777777" w:rsidR="00D37533" w:rsidRPr="00C469B2" w:rsidRDefault="00D37533" w:rsidP="00C86F4A">
            <w:pPr>
              <w:pStyle w:val="TableTextRight"/>
              <w:rPr>
                <w:szCs w:val="16"/>
              </w:rPr>
            </w:pPr>
            <w:r w:rsidRPr="00C469B2">
              <w:rPr>
                <w:szCs w:val="16"/>
              </w:rPr>
              <w:t xml:space="preserve">2,996 </w:t>
            </w:r>
          </w:p>
        </w:tc>
        <w:tc>
          <w:tcPr>
            <w:tcW w:w="833" w:type="pct"/>
            <w:shd w:val="clear" w:color="auto" w:fill="F2F2F2" w:themeFill="background1" w:themeFillShade="F2"/>
            <w:tcMar>
              <w:top w:w="45" w:type="dxa"/>
              <w:bottom w:w="45" w:type="dxa"/>
            </w:tcMar>
          </w:tcPr>
          <w:p w14:paraId="2C2D54A0" w14:textId="77777777" w:rsidR="00D37533" w:rsidRPr="00C469B2" w:rsidRDefault="00D37533" w:rsidP="00C86F4A">
            <w:pPr>
              <w:pStyle w:val="TableTextRight"/>
              <w:rPr>
                <w:szCs w:val="16"/>
              </w:rPr>
            </w:pPr>
            <w:r w:rsidRPr="00C469B2">
              <w:rPr>
                <w:szCs w:val="16"/>
              </w:rPr>
              <w:t>2,056</w:t>
            </w:r>
          </w:p>
        </w:tc>
      </w:tr>
      <w:tr w:rsidR="005D4330" w:rsidRPr="006534F5" w14:paraId="56F0ADD4" w14:textId="77777777" w:rsidTr="001F10B3">
        <w:tc>
          <w:tcPr>
            <w:tcW w:w="2056" w:type="pct"/>
            <w:shd w:val="clear" w:color="auto" w:fill="F2F2F2" w:themeFill="background1" w:themeFillShade="F2"/>
            <w:noWrap/>
            <w:tcMar>
              <w:top w:w="45" w:type="dxa"/>
              <w:bottom w:w="45" w:type="dxa"/>
            </w:tcMar>
            <w:hideMark/>
          </w:tcPr>
          <w:p w14:paraId="3D635FBC" w14:textId="77777777" w:rsidR="00D37533" w:rsidRPr="00C469B2" w:rsidRDefault="00D37533" w:rsidP="00C86F4A">
            <w:pPr>
              <w:pStyle w:val="TableTextLeft"/>
              <w:rPr>
                <w:szCs w:val="16"/>
              </w:rPr>
            </w:pPr>
            <w:r w:rsidRPr="00C469B2">
              <w:rPr>
                <w:szCs w:val="16"/>
              </w:rPr>
              <w:t>Other receipts</w:t>
            </w:r>
          </w:p>
        </w:tc>
        <w:tc>
          <w:tcPr>
            <w:tcW w:w="518" w:type="pct"/>
            <w:shd w:val="clear" w:color="auto" w:fill="F2F2F2" w:themeFill="background1" w:themeFillShade="F2"/>
            <w:noWrap/>
            <w:tcMar>
              <w:top w:w="45" w:type="dxa"/>
              <w:bottom w:w="45" w:type="dxa"/>
            </w:tcMar>
            <w:hideMark/>
          </w:tcPr>
          <w:p w14:paraId="285C94D4"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02C64137" w14:textId="77777777" w:rsidR="00D37533" w:rsidRPr="00C469B2" w:rsidRDefault="00D37533" w:rsidP="00C86F4A">
            <w:pPr>
              <w:pStyle w:val="TableTextRight"/>
              <w:rPr>
                <w:szCs w:val="16"/>
              </w:rPr>
            </w:pPr>
            <w:r>
              <w:rPr>
                <w:szCs w:val="16"/>
              </w:rPr>
              <w:noBreakHyphen/>
            </w:r>
          </w:p>
        </w:tc>
        <w:tc>
          <w:tcPr>
            <w:tcW w:w="833" w:type="pct"/>
            <w:shd w:val="clear" w:color="auto" w:fill="F2F2F2" w:themeFill="background1" w:themeFillShade="F2"/>
            <w:noWrap/>
            <w:tcMar>
              <w:top w:w="45" w:type="dxa"/>
              <w:bottom w:w="45" w:type="dxa"/>
            </w:tcMar>
            <w:hideMark/>
          </w:tcPr>
          <w:p w14:paraId="0AC0974D" w14:textId="77777777" w:rsidR="00D37533" w:rsidRPr="00C469B2" w:rsidRDefault="00D37533" w:rsidP="00C86F4A">
            <w:pPr>
              <w:pStyle w:val="TableTextRight"/>
              <w:rPr>
                <w:szCs w:val="16"/>
              </w:rPr>
            </w:pPr>
            <w:r w:rsidRPr="00C469B2">
              <w:rPr>
                <w:szCs w:val="16"/>
              </w:rPr>
              <w:t xml:space="preserve">1 </w:t>
            </w:r>
          </w:p>
        </w:tc>
        <w:tc>
          <w:tcPr>
            <w:tcW w:w="833" w:type="pct"/>
            <w:shd w:val="clear" w:color="auto" w:fill="F2F2F2" w:themeFill="background1" w:themeFillShade="F2"/>
            <w:tcMar>
              <w:top w:w="45" w:type="dxa"/>
              <w:bottom w:w="45" w:type="dxa"/>
            </w:tcMar>
          </w:tcPr>
          <w:p w14:paraId="197920EC" w14:textId="77777777" w:rsidR="00D37533" w:rsidRPr="00C469B2" w:rsidRDefault="00D37533" w:rsidP="00C86F4A">
            <w:pPr>
              <w:pStyle w:val="TableTextRight"/>
              <w:rPr>
                <w:szCs w:val="16"/>
              </w:rPr>
            </w:pPr>
            <w:r>
              <w:rPr>
                <w:szCs w:val="16"/>
              </w:rPr>
              <w:noBreakHyphen/>
            </w:r>
          </w:p>
        </w:tc>
      </w:tr>
      <w:tr w:rsidR="005D4330" w:rsidRPr="006534F5" w14:paraId="0612343B" w14:textId="77777777" w:rsidTr="001F10B3">
        <w:tc>
          <w:tcPr>
            <w:tcW w:w="2056" w:type="pct"/>
            <w:shd w:val="clear" w:color="auto" w:fill="F2F2F2" w:themeFill="background1" w:themeFillShade="F2"/>
            <w:noWrap/>
            <w:tcMar>
              <w:top w:w="45" w:type="dxa"/>
              <w:bottom w:w="45" w:type="dxa"/>
            </w:tcMar>
            <w:hideMark/>
          </w:tcPr>
          <w:p w14:paraId="6A498022" w14:textId="77777777" w:rsidR="00D37533" w:rsidRPr="00C469B2" w:rsidRDefault="00D37533" w:rsidP="00C86F4A">
            <w:pPr>
              <w:pStyle w:val="TableTextLeft"/>
              <w:rPr>
                <w:szCs w:val="16"/>
              </w:rPr>
            </w:pPr>
            <w:r w:rsidRPr="00C469B2">
              <w:rPr>
                <w:szCs w:val="16"/>
              </w:rPr>
              <w:t>GST refunds from ATO</w:t>
            </w:r>
          </w:p>
        </w:tc>
        <w:tc>
          <w:tcPr>
            <w:tcW w:w="518" w:type="pct"/>
            <w:shd w:val="clear" w:color="auto" w:fill="F2F2F2" w:themeFill="background1" w:themeFillShade="F2"/>
            <w:noWrap/>
            <w:tcMar>
              <w:top w:w="45" w:type="dxa"/>
              <w:bottom w:w="45" w:type="dxa"/>
            </w:tcMar>
            <w:hideMark/>
          </w:tcPr>
          <w:p w14:paraId="20C57FE8"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53C89BCE" w14:textId="77777777" w:rsidR="00D37533" w:rsidRPr="00C469B2" w:rsidRDefault="00D37533" w:rsidP="00C86F4A">
            <w:pPr>
              <w:pStyle w:val="TableTextRight"/>
              <w:rPr>
                <w:szCs w:val="16"/>
              </w:rPr>
            </w:pPr>
            <w:r>
              <w:rPr>
                <w:szCs w:val="16"/>
              </w:rPr>
              <w:t>2</w:t>
            </w:r>
          </w:p>
        </w:tc>
        <w:tc>
          <w:tcPr>
            <w:tcW w:w="833" w:type="pct"/>
            <w:shd w:val="clear" w:color="auto" w:fill="F2F2F2" w:themeFill="background1" w:themeFillShade="F2"/>
            <w:noWrap/>
            <w:tcMar>
              <w:top w:w="45" w:type="dxa"/>
              <w:bottom w:w="45" w:type="dxa"/>
            </w:tcMar>
            <w:hideMark/>
          </w:tcPr>
          <w:p w14:paraId="520E1456" w14:textId="77777777" w:rsidR="00D37533" w:rsidRPr="00C469B2" w:rsidRDefault="00D37533" w:rsidP="00C86F4A">
            <w:pPr>
              <w:pStyle w:val="TableTextRight"/>
              <w:rPr>
                <w:szCs w:val="16"/>
              </w:rPr>
            </w:pPr>
            <w:r w:rsidRPr="00C469B2">
              <w:rPr>
                <w:szCs w:val="16"/>
              </w:rPr>
              <w:t>1</w:t>
            </w:r>
          </w:p>
        </w:tc>
        <w:tc>
          <w:tcPr>
            <w:tcW w:w="833" w:type="pct"/>
            <w:shd w:val="clear" w:color="auto" w:fill="F2F2F2" w:themeFill="background1" w:themeFillShade="F2"/>
            <w:tcMar>
              <w:top w:w="45" w:type="dxa"/>
              <w:bottom w:w="45" w:type="dxa"/>
            </w:tcMar>
          </w:tcPr>
          <w:p w14:paraId="012F13AB" w14:textId="77777777" w:rsidR="00D37533" w:rsidRPr="00C469B2" w:rsidRDefault="00D37533" w:rsidP="00C86F4A">
            <w:pPr>
              <w:pStyle w:val="TableTextRight"/>
              <w:rPr>
                <w:szCs w:val="16"/>
              </w:rPr>
            </w:pPr>
            <w:r>
              <w:rPr>
                <w:szCs w:val="16"/>
              </w:rPr>
              <w:noBreakHyphen/>
            </w:r>
          </w:p>
        </w:tc>
      </w:tr>
      <w:tr w:rsidR="005D4330" w:rsidRPr="006534F5" w14:paraId="62BBC05B" w14:textId="77777777" w:rsidTr="001F10B3">
        <w:tc>
          <w:tcPr>
            <w:tcW w:w="2056" w:type="pct"/>
            <w:shd w:val="clear" w:color="auto" w:fill="F2F2F2" w:themeFill="background1" w:themeFillShade="F2"/>
            <w:noWrap/>
            <w:tcMar>
              <w:top w:w="45" w:type="dxa"/>
              <w:bottom w:w="45" w:type="dxa"/>
            </w:tcMar>
          </w:tcPr>
          <w:p w14:paraId="036A7C40" w14:textId="77777777" w:rsidR="00D37533" w:rsidRPr="00A56CFD" w:rsidRDefault="00D37533" w:rsidP="00C86F4A">
            <w:pPr>
              <w:pStyle w:val="TableTextLeft"/>
              <w:rPr>
                <w:b/>
                <w:bCs/>
              </w:rPr>
            </w:pPr>
            <w:r w:rsidRPr="00A56CFD">
              <w:rPr>
                <w:b/>
                <w:bCs/>
              </w:rPr>
              <w:t>Total cash received</w:t>
            </w:r>
          </w:p>
        </w:tc>
        <w:tc>
          <w:tcPr>
            <w:tcW w:w="518" w:type="pct"/>
            <w:shd w:val="clear" w:color="auto" w:fill="F2F2F2" w:themeFill="background1" w:themeFillShade="F2"/>
            <w:noWrap/>
            <w:tcMar>
              <w:top w:w="45" w:type="dxa"/>
              <w:bottom w:w="45" w:type="dxa"/>
            </w:tcMar>
          </w:tcPr>
          <w:p w14:paraId="272D66CC"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13CD5583" w14:textId="77777777" w:rsidR="00D37533" w:rsidRPr="00C469B2" w:rsidRDefault="00D37533" w:rsidP="00C86F4A">
            <w:pPr>
              <w:pStyle w:val="TableTextRight"/>
              <w:rPr>
                <w:b/>
                <w:bCs/>
                <w:szCs w:val="16"/>
              </w:rPr>
            </w:pPr>
            <w:r>
              <w:rPr>
                <w:b/>
                <w:bCs/>
                <w:szCs w:val="16"/>
              </w:rPr>
              <w:t>2,962</w:t>
            </w:r>
          </w:p>
        </w:tc>
        <w:tc>
          <w:tcPr>
            <w:tcW w:w="833" w:type="pct"/>
            <w:shd w:val="clear" w:color="auto" w:fill="F2F2F2" w:themeFill="background1" w:themeFillShade="F2"/>
            <w:noWrap/>
            <w:tcMar>
              <w:top w:w="45" w:type="dxa"/>
              <w:bottom w:w="45" w:type="dxa"/>
            </w:tcMar>
          </w:tcPr>
          <w:p w14:paraId="475649D9" w14:textId="77777777" w:rsidR="00D37533" w:rsidRPr="00C469B2" w:rsidRDefault="00D37533" w:rsidP="00C86F4A">
            <w:pPr>
              <w:pStyle w:val="TableTextRight"/>
              <w:rPr>
                <w:b/>
                <w:bCs/>
                <w:szCs w:val="16"/>
              </w:rPr>
            </w:pPr>
            <w:r w:rsidRPr="00C469B2">
              <w:rPr>
                <w:b/>
                <w:bCs/>
                <w:szCs w:val="16"/>
              </w:rPr>
              <w:t>2,998</w:t>
            </w:r>
          </w:p>
        </w:tc>
        <w:tc>
          <w:tcPr>
            <w:tcW w:w="833" w:type="pct"/>
            <w:shd w:val="clear" w:color="auto" w:fill="F2F2F2" w:themeFill="background1" w:themeFillShade="F2"/>
            <w:tcMar>
              <w:top w:w="45" w:type="dxa"/>
              <w:bottom w:w="45" w:type="dxa"/>
            </w:tcMar>
          </w:tcPr>
          <w:p w14:paraId="545BD9B4" w14:textId="77777777" w:rsidR="00D37533" w:rsidRPr="00C469B2" w:rsidRDefault="00D37533" w:rsidP="00C86F4A">
            <w:pPr>
              <w:pStyle w:val="TableTextRight"/>
              <w:rPr>
                <w:b/>
                <w:bCs/>
                <w:szCs w:val="16"/>
              </w:rPr>
            </w:pPr>
            <w:r w:rsidRPr="00C469B2">
              <w:rPr>
                <w:b/>
                <w:bCs/>
                <w:szCs w:val="16"/>
              </w:rPr>
              <w:t>2,056</w:t>
            </w:r>
          </w:p>
        </w:tc>
      </w:tr>
      <w:tr w:rsidR="005D4330" w:rsidRPr="006534F5" w14:paraId="0399F79E" w14:textId="77777777" w:rsidTr="001F10B3">
        <w:tc>
          <w:tcPr>
            <w:tcW w:w="2056" w:type="pct"/>
            <w:shd w:val="clear" w:color="auto" w:fill="F2F2F2" w:themeFill="background1" w:themeFillShade="F2"/>
            <w:noWrap/>
            <w:tcMar>
              <w:top w:w="45" w:type="dxa"/>
              <w:bottom w:w="45" w:type="dxa"/>
            </w:tcMar>
          </w:tcPr>
          <w:p w14:paraId="57CF4776" w14:textId="77777777" w:rsidR="00D37533" w:rsidRPr="00A56CFD" w:rsidRDefault="00D37533" w:rsidP="00C86F4A">
            <w:pPr>
              <w:pStyle w:val="TableTextLeft"/>
              <w:rPr>
                <w:b/>
                <w:bCs/>
              </w:rPr>
            </w:pPr>
            <w:r w:rsidRPr="00A56CFD">
              <w:rPr>
                <w:b/>
                <w:bCs/>
              </w:rPr>
              <w:t>Cash used</w:t>
            </w:r>
          </w:p>
        </w:tc>
        <w:tc>
          <w:tcPr>
            <w:tcW w:w="518" w:type="pct"/>
            <w:shd w:val="clear" w:color="auto" w:fill="F2F2F2" w:themeFill="background1" w:themeFillShade="F2"/>
            <w:noWrap/>
            <w:tcMar>
              <w:top w:w="45" w:type="dxa"/>
              <w:bottom w:w="45" w:type="dxa"/>
            </w:tcMar>
          </w:tcPr>
          <w:p w14:paraId="45F562FE"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71E37E0A" w14:textId="77777777" w:rsidR="00D37533" w:rsidRPr="00C469B2" w:rsidRDefault="00D37533" w:rsidP="00C86F4A">
            <w:pPr>
              <w:pStyle w:val="TableTextRight"/>
              <w:rPr>
                <w:szCs w:val="16"/>
              </w:rPr>
            </w:pPr>
          </w:p>
        </w:tc>
        <w:tc>
          <w:tcPr>
            <w:tcW w:w="833" w:type="pct"/>
            <w:shd w:val="clear" w:color="auto" w:fill="F2F2F2" w:themeFill="background1" w:themeFillShade="F2"/>
            <w:noWrap/>
            <w:tcMar>
              <w:top w:w="45" w:type="dxa"/>
              <w:bottom w:w="45" w:type="dxa"/>
            </w:tcMar>
          </w:tcPr>
          <w:p w14:paraId="3F6748AF" w14:textId="77777777" w:rsidR="00D37533" w:rsidRPr="00C469B2" w:rsidRDefault="00D37533" w:rsidP="00C86F4A">
            <w:pPr>
              <w:pStyle w:val="TableTextRight"/>
              <w:rPr>
                <w:szCs w:val="16"/>
              </w:rPr>
            </w:pPr>
          </w:p>
        </w:tc>
        <w:tc>
          <w:tcPr>
            <w:tcW w:w="833" w:type="pct"/>
            <w:shd w:val="clear" w:color="auto" w:fill="F2F2F2" w:themeFill="background1" w:themeFillShade="F2"/>
            <w:tcMar>
              <w:top w:w="45" w:type="dxa"/>
              <w:bottom w:w="45" w:type="dxa"/>
            </w:tcMar>
          </w:tcPr>
          <w:p w14:paraId="785C2F92" w14:textId="77777777" w:rsidR="00D37533" w:rsidRPr="00C469B2" w:rsidRDefault="00D37533" w:rsidP="00C86F4A">
            <w:pPr>
              <w:pStyle w:val="TableTextRight"/>
              <w:rPr>
                <w:szCs w:val="16"/>
              </w:rPr>
            </w:pPr>
          </w:p>
        </w:tc>
      </w:tr>
      <w:tr w:rsidR="005D4330" w:rsidRPr="006534F5" w14:paraId="0B2A0941" w14:textId="77777777" w:rsidTr="001F10B3">
        <w:tc>
          <w:tcPr>
            <w:tcW w:w="2056" w:type="pct"/>
            <w:shd w:val="clear" w:color="auto" w:fill="F2F2F2" w:themeFill="background1" w:themeFillShade="F2"/>
            <w:noWrap/>
            <w:tcMar>
              <w:top w:w="45" w:type="dxa"/>
              <w:bottom w:w="45" w:type="dxa"/>
            </w:tcMar>
            <w:hideMark/>
          </w:tcPr>
          <w:p w14:paraId="44BD1A60" w14:textId="77777777" w:rsidR="00D37533" w:rsidRPr="00C469B2" w:rsidRDefault="00D37533" w:rsidP="00C86F4A">
            <w:pPr>
              <w:pStyle w:val="TableTextLeft"/>
              <w:rPr>
                <w:szCs w:val="16"/>
              </w:rPr>
            </w:pPr>
            <w:r w:rsidRPr="00C469B2">
              <w:rPr>
                <w:szCs w:val="16"/>
              </w:rPr>
              <w:t>Interest paid on Treasury Bonds</w:t>
            </w:r>
          </w:p>
        </w:tc>
        <w:tc>
          <w:tcPr>
            <w:tcW w:w="518" w:type="pct"/>
            <w:shd w:val="clear" w:color="auto" w:fill="F2F2F2" w:themeFill="background1" w:themeFillShade="F2"/>
            <w:noWrap/>
            <w:tcMar>
              <w:top w:w="45" w:type="dxa"/>
              <w:bottom w:w="45" w:type="dxa"/>
            </w:tcMar>
            <w:hideMark/>
          </w:tcPr>
          <w:p w14:paraId="25A9B4A3" w14:textId="77777777" w:rsidR="00D37533" w:rsidRPr="005D4330" w:rsidRDefault="00D37533" w:rsidP="005D4330">
            <w:pPr>
              <w:pStyle w:val="TableTextCentered"/>
              <w:rPr>
                <w:b/>
                <w:bCs/>
              </w:rPr>
            </w:pPr>
            <w:r w:rsidRPr="005D4330">
              <w:rPr>
                <w:b/>
                <w:bCs/>
              </w:rPr>
              <w:t>2</w:t>
            </w:r>
          </w:p>
        </w:tc>
        <w:tc>
          <w:tcPr>
            <w:tcW w:w="760" w:type="pct"/>
            <w:shd w:val="clear" w:color="auto" w:fill="F2F2F2" w:themeFill="background1" w:themeFillShade="F2"/>
            <w:noWrap/>
            <w:tcMar>
              <w:top w:w="45" w:type="dxa"/>
              <w:bottom w:w="45" w:type="dxa"/>
            </w:tcMar>
          </w:tcPr>
          <w:p w14:paraId="7A8389EF" w14:textId="77777777" w:rsidR="00D37533" w:rsidRPr="00C469B2" w:rsidRDefault="00D37533" w:rsidP="00C86F4A">
            <w:pPr>
              <w:pStyle w:val="TableTextRight"/>
              <w:rPr>
                <w:szCs w:val="16"/>
              </w:rPr>
            </w:pPr>
            <w:r>
              <w:rPr>
                <w:szCs w:val="16"/>
              </w:rPr>
              <w:t>(21,328)</w:t>
            </w:r>
          </w:p>
        </w:tc>
        <w:tc>
          <w:tcPr>
            <w:tcW w:w="833" w:type="pct"/>
            <w:shd w:val="clear" w:color="auto" w:fill="F2F2F2" w:themeFill="background1" w:themeFillShade="F2"/>
            <w:noWrap/>
            <w:tcMar>
              <w:top w:w="45" w:type="dxa"/>
              <w:bottom w:w="45" w:type="dxa"/>
            </w:tcMar>
            <w:hideMark/>
          </w:tcPr>
          <w:p w14:paraId="234F82EC" w14:textId="77777777" w:rsidR="00D37533" w:rsidRPr="00C469B2" w:rsidRDefault="00D37533" w:rsidP="00C86F4A">
            <w:pPr>
              <w:pStyle w:val="TableTextRight"/>
              <w:rPr>
                <w:szCs w:val="16"/>
              </w:rPr>
            </w:pPr>
            <w:r w:rsidRPr="00C469B2">
              <w:rPr>
                <w:szCs w:val="16"/>
              </w:rPr>
              <w:t>(19,925)</w:t>
            </w:r>
          </w:p>
        </w:tc>
        <w:tc>
          <w:tcPr>
            <w:tcW w:w="833" w:type="pct"/>
            <w:shd w:val="clear" w:color="auto" w:fill="F2F2F2" w:themeFill="background1" w:themeFillShade="F2"/>
            <w:tcMar>
              <w:top w:w="45" w:type="dxa"/>
              <w:bottom w:w="45" w:type="dxa"/>
            </w:tcMar>
          </w:tcPr>
          <w:p w14:paraId="3C5E5D32" w14:textId="77777777" w:rsidR="00D37533" w:rsidRPr="00C469B2" w:rsidRDefault="00D37533" w:rsidP="00C86F4A">
            <w:pPr>
              <w:pStyle w:val="TableTextRight"/>
              <w:rPr>
                <w:szCs w:val="16"/>
              </w:rPr>
            </w:pPr>
            <w:r w:rsidRPr="00C469B2">
              <w:rPr>
                <w:szCs w:val="16"/>
              </w:rPr>
              <w:t>(21,105)</w:t>
            </w:r>
          </w:p>
        </w:tc>
      </w:tr>
      <w:tr w:rsidR="005D4330" w:rsidRPr="006534F5" w14:paraId="06942062" w14:textId="77777777" w:rsidTr="001F10B3">
        <w:tc>
          <w:tcPr>
            <w:tcW w:w="2056" w:type="pct"/>
            <w:shd w:val="clear" w:color="auto" w:fill="F2F2F2" w:themeFill="background1" w:themeFillShade="F2"/>
            <w:noWrap/>
            <w:tcMar>
              <w:top w:w="45" w:type="dxa"/>
              <w:bottom w:w="45" w:type="dxa"/>
            </w:tcMar>
            <w:hideMark/>
          </w:tcPr>
          <w:p w14:paraId="66B1BE08" w14:textId="77777777" w:rsidR="00D37533" w:rsidRPr="00C469B2" w:rsidRDefault="00D37533" w:rsidP="00C86F4A">
            <w:pPr>
              <w:pStyle w:val="TableTextLeft"/>
              <w:rPr>
                <w:szCs w:val="16"/>
              </w:rPr>
            </w:pPr>
            <w:r w:rsidRPr="00C469B2">
              <w:rPr>
                <w:szCs w:val="16"/>
              </w:rPr>
              <w:t>Interest paid on Treasury Indexed Bonds</w:t>
            </w:r>
          </w:p>
        </w:tc>
        <w:tc>
          <w:tcPr>
            <w:tcW w:w="518" w:type="pct"/>
            <w:shd w:val="clear" w:color="auto" w:fill="F2F2F2" w:themeFill="background1" w:themeFillShade="F2"/>
            <w:noWrap/>
            <w:tcMar>
              <w:top w:w="45" w:type="dxa"/>
              <w:bottom w:w="45" w:type="dxa"/>
            </w:tcMar>
            <w:hideMark/>
          </w:tcPr>
          <w:p w14:paraId="4BD41452" w14:textId="77777777" w:rsidR="00D37533" w:rsidRPr="005D4330" w:rsidRDefault="00D37533" w:rsidP="005D4330">
            <w:pPr>
              <w:pStyle w:val="TableTextCentered"/>
              <w:rPr>
                <w:b/>
                <w:bCs/>
              </w:rPr>
            </w:pPr>
            <w:r w:rsidRPr="005D4330">
              <w:rPr>
                <w:b/>
                <w:bCs/>
              </w:rPr>
              <w:t>3</w:t>
            </w:r>
          </w:p>
        </w:tc>
        <w:tc>
          <w:tcPr>
            <w:tcW w:w="760" w:type="pct"/>
            <w:shd w:val="clear" w:color="auto" w:fill="F2F2F2" w:themeFill="background1" w:themeFillShade="F2"/>
            <w:noWrap/>
            <w:tcMar>
              <w:top w:w="45" w:type="dxa"/>
              <w:bottom w:w="45" w:type="dxa"/>
            </w:tcMar>
          </w:tcPr>
          <w:p w14:paraId="221C5858" w14:textId="77777777" w:rsidR="00D37533" w:rsidRPr="00C469B2" w:rsidRDefault="00D37533" w:rsidP="00C86F4A">
            <w:pPr>
              <w:pStyle w:val="TableTextRight"/>
              <w:rPr>
                <w:szCs w:val="16"/>
              </w:rPr>
            </w:pPr>
            <w:r>
              <w:rPr>
                <w:szCs w:val="16"/>
              </w:rPr>
              <w:t>(1,871)</w:t>
            </w:r>
          </w:p>
        </w:tc>
        <w:tc>
          <w:tcPr>
            <w:tcW w:w="833" w:type="pct"/>
            <w:shd w:val="clear" w:color="auto" w:fill="F2F2F2" w:themeFill="background1" w:themeFillShade="F2"/>
            <w:noWrap/>
            <w:tcMar>
              <w:top w:w="45" w:type="dxa"/>
              <w:bottom w:w="45" w:type="dxa"/>
            </w:tcMar>
            <w:hideMark/>
          </w:tcPr>
          <w:p w14:paraId="3475F78B" w14:textId="77777777" w:rsidR="00D37533" w:rsidRPr="00C469B2" w:rsidRDefault="00D37533" w:rsidP="00C86F4A">
            <w:pPr>
              <w:pStyle w:val="TableTextRight"/>
              <w:rPr>
                <w:szCs w:val="16"/>
              </w:rPr>
            </w:pPr>
            <w:r w:rsidRPr="00C469B2">
              <w:rPr>
                <w:szCs w:val="16"/>
              </w:rPr>
              <w:t>(1,840)</w:t>
            </w:r>
          </w:p>
        </w:tc>
        <w:tc>
          <w:tcPr>
            <w:tcW w:w="833" w:type="pct"/>
            <w:shd w:val="clear" w:color="auto" w:fill="F2F2F2" w:themeFill="background1" w:themeFillShade="F2"/>
            <w:tcMar>
              <w:top w:w="45" w:type="dxa"/>
              <w:bottom w:w="45" w:type="dxa"/>
            </w:tcMar>
          </w:tcPr>
          <w:p w14:paraId="2CA66597" w14:textId="77777777" w:rsidR="00D37533" w:rsidRPr="00C469B2" w:rsidRDefault="00D37533" w:rsidP="00C86F4A">
            <w:pPr>
              <w:pStyle w:val="TableTextRight"/>
              <w:rPr>
                <w:szCs w:val="16"/>
              </w:rPr>
            </w:pPr>
            <w:r w:rsidRPr="00C469B2">
              <w:rPr>
                <w:szCs w:val="16"/>
              </w:rPr>
              <w:t>(1,903)</w:t>
            </w:r>
          </w:p>
        </w:tc>
      </w:tr>
      <w:tr w:rsidR="005D4330" w:rsidRPr="006534F5" w14:paraId="1AE79F9B" w14:textId="77777777" w:rsidTr="001F10B3">
        <w:tc>
          <w:tcPr>
            <w:tcW w:w="2056" w:type="pct"/>
            <w:shd w:val="clear" w:color="auto" w:fill="F2F2F2" w:themeFill="background1" w:themeFillShade="F2"/>
            <w:noWrap/>
            <w:tcMar>
              <w:top w:w="45" w:type="dxa"/>
              <w:bottom w:w="45" w:type="dxa"/>
            </w:tcMar>
            <w:hideMark/>
          </w:tcPr>
          <w:p w14:paraId="7BAB10DC" w14:textId="77777777" w:rsidR="00D37533" w:rsidRPr="00C469B2" w:rsidRDefault="00D37533" w:rsidP="00C86F4A">
            <w:pPr>
              <w:pStyle w:val="TableTextLeft"/>
              <w:rPr>
                <w:szCs w:val="16"/>
              </w:rPr>
            </w:pPr>
            <w:r w:rsidRPr="00C469B2">
              <w:rPr>
                <w:szCs w:val="16"/>
              </w:rPr>
              <w:t>Interest paid on Treasury Notes</w:t>
            </w:r>
          </w:p>
        </w:tc>
        <w:tc>
          <w:tcPr>
            <w:tcW w:w="518" w:type="pct"/>
            <w:shd w:val="clear" w:color="auto" w:fill="F2F2F2" w:themeFill="background1" w:themeFillShade="F2"/>
            <w:noWrap/>
            <w:tcMar>
              <w:top w:w="45" w:type="dxa"/>
              <w:bottom w:w="45" w:type="dxa"/>
            </w:tcMar>
            <w:hideMark/>
          </w:tcPr>
          <w:p w14:paraId="6CB2D024"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22E7D79C" w14:textId="77777777" w:rsidR="00D37533" w:rsidRPr="00C469B2" w:rsidRDefault="00D37533" w:rsidP="00C86F4A">
            <w:pPr>
              <w:pStyle w:val="TableTextRight"/>
              <w:rPr>
                <w:szCs w:val="16"/>
              </w:rPr>
            </w:pPr>
            <w:r>
              <w:rPr>
                <w:szCs w:val="16"/>
              </w:rPr>
              <w:t>(1,389)</w:t>
            </w:r>
          </w:p>
        </w:tc>
        <w:tc>
          <w:tcPr>
            <w:tcW w:w="833" w:type="pct"/>
            <w:shd w:val="clear" w:color="auto" w:fill="F2F2F2" w:themeFill="background1" w:themeFillShade="F2"/>
            <w:noWrap/>
            <w:tcMar>
              <w:top w:w="45" w:type="dxa"/>
              <w:bottom w:w="45" w:type="dxa"/>
            </w:tcMar>
            <w:hideMark/>
          </w:tcPr>
          <w:p w14:paraId="3347501E" w14:textId="77777777" w:rsidR="00D37533" w:rsidRPr="00C469B2" w:rsidRDefault="00D37533" w:rsidP="00C86F4A">
            <w:pPr>
              <w:pStyle w:val="TableTextRight"/>
              <w:rPr>
                <w:szCs w:val="16"/>
              </w:rPr>
            </w:pPr>
            <w:r w:rsidRPr="00C469B2">
              <w:rPr>
                <w:szCs w:val="16"/>
              </w:rPr>
              <w:t>(1,151)</w:t>
            </w:r>
          </w:p>
        </w:tc>
        <w:tc>
          <w:tcPr>
            <w:tcW w:w="833" w:type="pct"/>
            <w:shd w:val="clear" w:color="auto" w:fill="F2F2F2" w:themeFill="background1" w:themeFillShade="F2"/>
            <w:tcMar>
              <w:top w:w="45" w:type="dxa"/>
              <w:bottom w:w="45" w:type="dxa"/>
            </w:tcMar>
          </w:tcPr>
          <w:p w14:paraId="51D95D93" w14:textId="77777777" w:rsidR="00D37533" w:rsidRPr="00C469B2" w:rsidRDefault="00D37533" w:rsidP="00C86F4A">
            <w:pPr>
              <w:pStyle w:val="TableTextRight"/>
              <w:rPr>
                <w:szCs w:val="16"/>
              </w:rPr>
            </w:pPr>
            <w:r w:rsidRPr="00C469B2">
              <w:rPr>
                <w:szCs w:val="16"/>
              </w:rPr>
              <w:t>(1,555)</w:t>
            </w:r>
          </w:p>
        </w:tc>
      </w:tr>
      <w:tr w:rsidR="005D4330" w:rsidRPr="006534F5" w14:paraId="1B78725F" w14:textId="77777777" w:rsidTr="001F10B3">
        <w:tc>
          <w:tcPr>
            <w:tcW w:w="2056" w:type="pct"/>
            <w:shd w:val="clear" w:color="auto" w:fill="F2F2F2" w:themeFill="background1" w:themeFillShade="F2"/>
            <w:noWrap/>
            <w:tcMar>
              <w:top w:w="45" w:type="dxa"/>
              <w:bottom w:w="45" w:type="dxa"/>
            </w:tcMar>
            <w:hideMark/>
          </w:tcPr>
          <w:p w14:paraId="42E2B08F" w14:textId="77777777" w:rsidR="00D37533" w:rsidRPr="00C469B2" w:rsidRDefault="00D37533" w:rsidP="00C86F4A">
            <w:pPr>
              <w:pStyle w:val="TableTextLeft"/>
              <w:rPr>
                <w:szCs w:val="16"/>
              </w:rPr>
            </w:pPr>
            <w:r w:rsidRPr="00C469B2">
              <w:rPr>
                <w:szCs w:val="16"/>
              </w:rPr>
              <w:t>Interest paid on other debt instruments</w:t>
            </w:r>
          </w:p>
        </w:tc>
        <w:tc>
          <w:tcPr>
            <w:tcW w:w="518" w:type="pct"/>
            <w:shd w:val="clear" w:color="auto" w:fill="F2F2F2" w:themeFill="background1" w:themeFillShade="F2"/>
            <w:noWrap/>
            <w:tcMar>
              <w:top w:w="45" w:type="dxa"/>
              <w:bottom w:w="45" w:type="dxa"/>
            </w:tcMar>
            <w:hideMark/>
          </w:tcPr>
          <w:p w14:paraId="0D9C4115"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3E798205" w14:textId="77777777" w:rsidR="00D37533" w:rsidRPr="00C469B2" w:rsidRDefault="00D37533" w:rsidP="00C86F4A">
            <w:pPr>
              <w:pStyle w:val="TableTextRight"/>
              <w:rPr>
                <w:szCs w:val="16"/>
              </w:rPr>
            </w:pPr>
            <w:r>
              <w:rPr>
                <w:szCs w:val="16"/>
              </w:rPr>
              <w:t>(35)</w:t>
            </w:r>
          </w:p>
        </w:tc>
        <w:tc>
          <w:tcPr>
            <w:tcW w:w="833" w:type="pct"/>
            <w:shd w:val="clear" w:color="auto" w:fill="F2F2F2" w:themeFill="background1" w:themeFillShade="F2"/>
            <w:noWrap/>
            <w:tcMar>
              <w:top w:w="45" w:type="dxa"/>
              <w:bottom w:w="45" w:type="dxa"/>
            </w:tcMar>
            <w:hideMark/>
          </w:tcPr>
          <w:p w14:paraId="567DC6EB" w14:textId="77777777" w:rsidR="00D37533" w:rsidRPr="00C469B2" w:rsidRDefault="00D37533" w:rsidP="00C86F4A">
            <w:pPr>
              <w:pStyle w:val="TableTextRight"/>
              <w:rPr>
                <w:szCs w:val="16"/>
              </w:rPr>
            </w:pPr>
            <w:r w:rsidRPr="00C469B2">
              <w:rPr>
                <w:szCs w:val="16"/>
              </w:rPr>
              <w:t>(27)</w:t>
            </w:r>
          </w:p>
        </w:tc>
        <w:tc>
          <w:tcPr>
            <w:tcW w:w="833" w:type="pct"/>
            <w:shd w:val="clear" w:color="auto" w:fill="F2F2F2" w:themeFill="background1" w:themeFillShade="F2"/>
            <w:tcMar>
              <w:top w:w="45" w:type="dxa"/>
              <w:bottom w:w="45" w:type="dxa"/>
            </w:tcMar>
          </w:tcPr>
          <w:p w14:paraId="3244FBB1" w14:textId="77777777" w:rsidR="00D37533" w:rsidRPr="00C469B2" w:rsidRDefault="00D37533" w:rsidP="00C86F4A">
            <w:pPr>
              <w:pStyle w:val="TableTextRight"/>
              <w:rPr>
                <w:szCs w:val="16"/>
              </w:rPr>
            </w:pPr>
            <w:r>
              <w:rPr>
                <w:szCs w:val="16"/>
              </w:rPr>
              <w:noBreakHyphen/>
            </w:r>
          </w:p>
        </w:tc>
      </w:tr>
      <w:tr w:rsidR="005D4330" w:rsidRPr="006534F5" w14:paraId="2F0CC18B" w14:textId="77777777" w:rsidTr="001F10B3">
        <w:tc>
          <w:tcPr>
            <w:tcW w:w="2056" w:type="pct"/>
            <w:shd w:val="clear" w:color="auto" w:fill="F2F2F2" w:themeFill="background1" w:themeFillShade="F2"/>
            <w:noWrap/>
            <w:tcMar>
              <w:top w:w="45" w:type="dxa"/>
              <w:bottom w:w="45" w:type="dxa"/>
            </w:tcMar>
            <w:hideMark/>
          </w:tcPr>
          <w:p w14:paraId="76C85B68" w14:textId="77777777" w:rsidR="00D37533" w:rsidRPr="00C469B2" w:rsidRDefault="00D37533" w:rsidP="00C86F4A">
            <w:pPr>
              <w:pStyle w:val="TableTextLeft"/>
              <w:rPr>
                <w:szCs w:val="16"/>
              </w:rPr>
            </w:pPr>
            <w:r w:rsidRPr="00C469B2">
              <w:rPr>
                <w:szCs w:val="16"/>
              </w:rPr>
              <w:t>Other payments</w:t>
            </w:r>
          </w:p>
        </w:tc>
        <w:tc>
          <w:tcPr>
            <w:tcW w:w="518" w:type="pct"/>
            <w:shd w:val="clear" w:color="auto" w:fill="F2F2F2" w:themeFill="background1" w:themeFillShade="F2"/>
            <w:noWrap/>
            <w:tcMar>
              <w:top w:w="45" w:type="dxa"/>
              <w:bottom w:w="45" w:type="dxa"/>
            </w:tcMar>
            <w:hideMark/>
          </w:tcPr>
          <w:p w14:paraId="7F67AE1F"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478FD984" w14:textId="77777777" w:rsidR="00D37533" w:rsidRPr="00C469B2" w:rsidRDefault="00D37533" w:rsidP="00C86F4A">
            <w:pPr>
              <w:pStyle w:val="TableTextRight"/>
              <w:rPr>
                <w:szCs w:val="16"/>
              </w:rPr>
            </w:pPr>
            <w:r>
              <w:rPr>
                <w:szCs w:val="16"/>
              </w:rPr>
              <w:t>(25)</w:t>
            </w:r>
          </w:p>
        </w:tc>
        <w:tc>
          <w:tcPr>
            <w:tcW w:w="833" w:type="pct"/>
            <w:shd w:val="clear" w:color="auto" w:fill="F2F2F2" w:themeFill="background1" w:themeFillShade="F2"/>
            <w:noWrap/>
            <w:tcMar>
              <w:top w:w="45" w:type="dxa"/>
              <w:bottom w:w="45" w:type="dxa"/>
            </w:tcMar>
            <w:hideMark/>
          </w:tcPr>
          <w:p w14:paraId="74987956" w14:textId="77777777" w:rsidR="00D37533" w:rsidRPr="00C469B2" w:rsidRDefault="00D37533" w:rsidP="00C86F4A">
            <w:pPr>
              <w:pStyle w:val="TableTextRight"/>
              <w:rPr>
                <w:szCs w:val="16"/>
              </w:rPr>
            </w:pPr>
            <w:r w:rsidRPr="00C469B2">
              <w:rPr>
                <w:szCs w:val="16"/>
              </w:rPr>
              <w:t>(15)</w:t>
            </w:r>
          </w:p>
        </w:tc>
        <w:tc>
          <w:tcPr>
            <w:tcW w:w="833" w:type="pct"/>
            <w:shd w:val="clear" w:color="auto" w:fill="F2F2F2" w:themeFill="background1" w:themeFillShade="F2"/>
            <w:tcMar>
              <w:top w:w="45" w:type="dxa"/>
              <w:bottom w:w="45" w:type="dxa"/>
            </w:tcMar>
          </w:tcPr>
          <w:p w14:paraId="1873D706" w14:textId="77777777" w:rsidR="00D37533" w:rsidRPr="00C469B2" w:rsidRDefault="00D37533" w:rsidP="00C86F4A">
            <w:pPr>
              <w:pStyle w:val="TableTextRight"/>
              <w:rPr>
                <w:szCs w:val="16"/>
              </w:rPr>
            </w:pPr>
            <w:r w:rsidRPr="00C469B2">
              <w:rPr>
                <w:szCs w:val="16"/>
              </w:rPr>
              <w:t>(25)</w:t>
            </w:r>
          </w:p>
        </w:tc>
      </w:tr>
      <w:tr w:rsidR="005D4330" w:rsidRPr="006534F5" w14:paraId="04124739" w14:textId="77777777" w:rsidTr="001F10B3">
        <w:tc>
          <w:tcPr>
            <w:tcW w:w="2056" w:type="pct"/>
            <w:shd w:val="clear" w:color="auto" w:fill="F2F2F2" w:themeFill="background1" w:themeFillShade="F2"/>
            <w:noWrap/>
            <w:tcMar>
              <w:top w:w="45" w:type="dxa"/>
              <w:bottom w:w="45" w:type="dxa"/>
            </w:tcMar>
          </w:tcPr>
          <w:p w14:paraId="1769CC76" w14:textId="77777777" w:rsidR="00D37533" w:rsidRPr="00A56CFD" w:rsidRDefault="00D37533" w:rsidP="00C86F4A">
            <w:pPr>
              <w:pStyle w:val="TableTextLeft"/>
              <w:rPr>
                <w:b/>
                <w:bCs/>
              </w:rPr>
            </w:pPr>
            <w:r w:rsidRPr="00A56CFD">
              <w:rPr>
                <w:b/>
                <w:bCs/>
              </w:rPr>
              <w:t>Total cash used</w:t>
            </w:r>
          </w:p>
        </w:tc>
        <w:tc>
          <w:tcPr>
            <w:tcW w:w="518" w:type="pct"/>
            <w:shd w:val="clear" w:color="auto" w:fill="F2F2F2" w:themeFill="background1" w:themeFillShade="F2"/>
            <w:noWrap/>
            <w:tcMar>
              <w:top w:w="45" w:type="dxa"/>
              <w:bottom w:w="45" w:type="dxa"/>
            </w:tcMar>
          </w:tcPr>
          <w:p w14:paraId="50D591F9"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2C4DE5C2" w14:textId="77777777" w:rsidR="00D37533" w:rsidRPr="00BF62BA" w:rsidRDefault="00D37533" w:rsidP="00C86F4A">
            <w:pPr>
              <w:pStyle w:val="TableTextRight"/>
              <w:rPr>
                <w:b/>
                <w:bCs/>
                <w:szCs w:val="16"/>
              </w:rPr>
            </w:pPr>
            <w:r w:rsidRPr="00BF62BA">
              <w:rPr>
                <w:b/>
                <w:bCs/>
                <w:szCs w:val="16"/>
              </w:rPr>
              <w:t>(</w:t>
            </w:r>
            <w:r>
              <w:rPr>
                <w:b/>
                <w:bCs/>
                <w:szCs w:val="16"/>
              </w:rPr>
              <w:t>24,648</w:t>
            </w:r>
            <w:r w:rsidRPr="00BF62BA">
              <w:rPr>
                <w:b/>
                <w:bCs/>
                <w:szCs w:val="16"/>
              </w:rPr>
              <w:t>)</w:t>
            </w:r>
          </w:p>
        </w:tc>
        <w:tc>
          <w:tcPr>
            <w:tcW w:w="833" w:type="pct"/>
            <w:shd w:val="clear" w:color="auto" w:fill="F2F2F2" w:themeFill="background1" w:themeFillShade="F2"/>
            <w:noWrap/>
            <w:tcMar>
              <w:top w:w="45" w:type="dxa"/>
              <w:bottom w:w="45" w:type="dxa"/>
            </w:tcMar>
          </w:tcPr>
          <w:p w14:paraId="43741752" w14:textId="77777777" w:rsidR="00D37533" w:rsidRPr="00C469B2" w:rsidRDefault="00D37533" w:rsidP="00C86F4A">
            <w:pPr>
              <w:pStyle w:val="TableTextRight"/>
              <w:rPr>
                <w:b/>
                <w:bCs/>
                <w:szCs w:val="16"/>
              </w:rPr>
            </w:pPr>
            <w:r w:rsidRPr="00C469B2">
              <w:rPr>
                <w:b/>
                <w:bCs/>
                <w:szCs w:val="16"/>
              </w:rPr>
              <w:t>(22,958)</w:t>
            </w:r>
          </w:p>
        </w:tc>
        <w:tc>
          <w:tcPr>
            <w:tcW w:w="833" w:type="pct"/>
            <w:shd w:val="clear" w:color="auto" w:fill="F2F2F2" w:themeFill="background1" w:themeFillShade="F2"/>
            <w:tcMar>
              <w:top w:w="45" w:type="dxa"/>
              <w:bottom w:w="45" w:type="dxa"/>
            </w:tcMar>
          </w:tcPr>
          <w:p w14:paraId="57AF8871" w14:textId="77777777" w:rsidR="00D37533" w:rsidRPr="00C469B2" w:rsidRDefault="00D37533" w:rsidP="00C86F4A">
            <w:pPr>
              <w:pStyle w:val="TableTextRight"/>
              <w:rPr>
                <w:b/>
                <w:bCs/>
                <w:szCs w:val="16"/>
              </w:rPr>
            </w:pPr>
            <w:r w:rsidRPr="00C469B2">
              <w:rPr>
                <w:b/>
                <w:bCs/>
                <w:szCs w:val="16"/>
              </w:rPr>
              <w:t>(24,58</w:t>
            </w:r>
            <w:r>
              <w:rPr>
                <w:b/>
                <w:bCs/>
                <w:szCs w:val="16"/>
              </w:rPr>
              <w:t>7</w:t>
            </w:r>
            <w:r w:rsidRPr="00C469B2">
              <w:rPr>
                <w:b/>
                <w:bCs/>
                <w:szCs w:val="16"/>
              </w:rPr>
              <w:t>)</w:t>
            </w:r>
          </w:p>
        </w:tc>
      </w:tr>
      <w:tr w:rsidR="005D4330" w:rsidRPr="006534F5" w14:paraId="35F19C69" w14:textId="77777777" w:rsidTr="001F10B3">
        <w:tc>
          <w:tcPr>
            <w:tcW w:w="2056" w:type="pct"/>
            <w:tcBorders>
              <w:bottom w:val="single" w:sz="4" w:space="0" w:color="29114B" w:themeColor="text2"/>
            </w:tcBorders>
            <w:shd w:val="clear" w:color="auto" w:fill="F2F2F2" w:themeFill="background1" w:themeFillShade="F2"/>
            <w:noWrap/>
            <w:tcMar>
              <w:top w:w="45" w:type="dxa"/>
              <w:bottom w:w="45" w:type="dxa"/>
            </w:tcMar>
            <w:hideMark/>
          </w:tcPr>
          <w:p w14:paraId="4C4305F6" w14:textId="77777777" w:rsidR="00D37533" w:rsidRPr="00A56CFD" w:rsidRDefault="00D37533" w:rsidP="00C86F4A">
            <w:pPr>
              <w:pStyle w:val="TableTextLeft"/>
              <w:rPr>
                <w:rStyle w:val="Strong"/>
              </w:rPr>
            </w:pPr>
            <w:r w:rsidRPr="00A56CFD">
              <w:rPr>
                <w:rStyle w:val="Strong"/>
              </w:rPr>
              <w:t>Net cash used by operating activities</w:t>
            </w:r>
          </w:p>
        </w:tc>
        <w:tc>
          <w:tcPr>
            <w:tcW w:w="518" w:type="pct"/>
            <w:tcBorders>
              <w:bottom w:val="single" w:sz="4" w:space="0" w:color="29114B" w:themeColor="text2"/>
            </w:tcBorders>
            <w:shd w:val="clear" w:color="auto" w:fill="F2F2F2" w:themeFill="background1" w:themeFillShade="F2"/>
            <w:noWrap/>
            <w:tcMar>
              <w:top w:w="45" w:type="dxa"/>
              <w:bottom w:w="45" w:type="dxa"/>
            </w:tcMar>
            <w:hideMark/>
          </w:tcPr>
          <w:p w14:paraId="4248874F" w14:textId="77777777" w:rsidR="00D37533" w:rsidRPr="005D4330" w:rsidRDefault="00D37533" w:rsidP="005D4330">
            <w:pPr>
              <w:pStyle w:val="TableTextCentered"/>
              <w:rPr>
                <w:rStyle w:val="Strong"/>
                <w:szCs w:val="16"/>
              </w:rPr>
            </w:pPr>
            <w:r w:rsidRPr="005D4330">
              <w:rPr>
                <w:rStyle w:val="Strong"/>
                <w:szCs w:val="16"/>
              </w:rPr>
              <w:t>8</w:t>
            </w:r>
          </w:p>
        </w:tc>
        <w:tc>
          <w:tcPr>
            <w:tcW w:w="760" w:type="pct"/>
            <w:tcBorders>
              <w:bottom w:val="single" w:sz="4" w:space="0" w:color="29114B" w:themeColor="text2"/>
            </w:tcBorders>
            <w:shd w:val="clear" w:color="auto" w:fill="F2F2F2" w:themeFill="background1" w:themeFillShade="F2"/>
            <w:noWrap/>
            <w:tcMar>
              <w:top w:w="45" w:type="dxa"/>
              <w:bottom w:w="45" w:type="dxa"/>
            </w:tcMar>
          </w:tcPr>
          <w:p w14:paraId="737BAC7A" w14:textId="77777777" w:rsidR="00D37533" w:rsidRPr="00C469B2" w:rsidRDefault="00D37533" w:rsidP="00C86F4A">
            <w:pPr>
              <w:pStyle w:val="TableTextRight"/>
              <w:rPr>
                <w:rStyle w:val="Strong"/>
                <w:szCs w:val="16"/>
              </w:rPr>
            </w:pPr>
            <w:r>
              <w:rPr>
                <w:rStyle w:val="Strong"/>
                <w:szCs w:val="16"/>
              </w:rPr>
              <w:t>(</w:t>
            </w:r>
            <w:r>
              <w:rPr>
                <w:rStyle w:val="Strong"/>
              </w:rPr>
              <w:t>21,686)</w:t>
            </w:r>
          </w:p>
        </w:tc>
        <w:tc>
          <w:tcPr>
            <w:tcW w:w="833" w:type="pct"/>
            <w:tcBorders>
              <w:bottom w:val="single" w:sz="4" w:space="0" w:color="29114B" w:themeColor="text2"/>
            </w:tcBorders>
            <w:shd w:val="clear" w:color="auto" w:fill="F2F2F2" w:themeFill="background1" w:themeFillShade="F2"/>
            <w:noWrap/>
            <w:tcMar>
              <w:top w:w="45" w:type="dxa"/>
              <w:bottom w:w="45" w:type="dxa"/>
            </w:tcMar>
            <w:hideMark/>
          </w:tcPr>
          <w:p w14:paraId="6A94A8CC" w14:textId="77777777" w:rsidR="00D37533" w:rsidRPr="00C469B2" w:rsidRDefault="00D37533" w:rsidP="00C86F4A">
            <w:pPr>
              <w:pStyle w:val="TableTextRight"/>
              <w:rPr>
                <w:rStyle w:val="Strong"/>
                <w:szCs w:val="16"/>
              </w:rPr>
            </w:pPr>
            <w:r w:rsidRPr="00C469B2">
              <w:rPr>
                <w:rStyle w:val="Strong"/>
                <w:szCs w:val="16"/>
              </w:rPr>
              <w:t>(19,960)</w:t>
            </w:r>
          </w:p>
        </w:tc>
        <w:tc>
          <w:tcPr>
            <w:tcW w:w="833" w:type="pct"/>
            <w:tcBorders>
              <w:bottom w:val="single" w:sz="4" w:space="0" w:color="29114B" w:themeColor="text2"/>
            </w:tcBorders>
            <w:shd w:val="clear" w:color="auto" w:fill="F2F2F2" w:themeFill="background1" w:themeFillShade="F2"/>
            <w:tcMar>
              <w:top w:w="45" w:type="dxa"/>
              <w:bottom w:w="45" w:type="dxa"/>
            </w:tcMar>
          </w:tcPr>
          <w:p w14:paraId="641C8A46" w14:textId="77777777" w:rsidR="00D37533" w:rsidRPr="00C469B2" w:rsidRDefault="00D37533" w:rsidP="00C86F4A">
            <w:pPr>
              <w:pStyle w:val="TableTextRight"/>
              <w:rPr>
                <w:rStyle w:val="Strong"/>
                <w:szCs w:val="16"/>
              </w:rPr>
            </w:pPr>
            <w:r w:rsidRPr="00C469B2">
              <w:rPr>
                <w:rStyle w:val="Strong"/>
                <w:szCs w:val="16"/>
              </w:rPr>
              <w:t>(22,532)</w:t>
            </w:r>
          </w:p>
        </w:tc>
      </w:tr>
      <w:tr w:rsidR="005D4330" w:rsidRPr="006534F5" w14:paraId="1CCCF86D" w14:textId="77777777" w:rsidTr="001F10B3">
        <w:tc>
          <w:tcPr>
            <w:tcW w:w="2056" w:type="pct"/>
            <w:tcBorders>
              <w:top w:val="single" w:sz="4" w:space="0" w:color="29114B" w:themeColor="text2"/>
              <w:right w:val="single" w:sz="4" w:space="0" w:color="F2F2F2" w:themeColor="background1" w:themeShade="F2"/>
            </w:tcBorders>
            <w:shd w:val="clear" w:color="auto" w:fill="F2F2F2" w:themeFill="background1" w:themeFillShade="F2"/>
            <w:noWrap/>
            <w:tcMar>
              <w:top w:w="45" w:type="dxa"/>
              <w:bottom w:w="45" w:type="dxa"/>
            </w:tcMar>
            <w:hideMark/>
          </w:tcPr>
          <w:p w14:paraId="110A4116" w14:textId="5342610E" w:rsidR="00D37533" w:rsidRPr="00BD7AD5" w:rsidRDefault="00D37533" w:rsidP="00D37533">
            <w:pPr>
              <w:pStyle w:val="TableSecondHeading"/>
              <w:rPr>
                <w:b/>
                <w:bCs/>
              </w:rPr>
            </w:pPr>
            <w:r w:rsidRPr="00BD7AD5">
              <w:rPr>
                <w:b/>
                <w:bCs/>
              </w:rPr>
              <w:t>Investing activities</w:t>
            </w:r>
          </w:p>
        </w:tc>
        <w:tc>
          <w:tcPr>
            <w:tcW w:w="51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hideMark/>
          </w:tcPr>
          <w:p w14:paraId="516FB3C5" w14:textId="77777777" w:rsidR="00D37533" w:rsidRPr="005D4330" w:rsidRDefault="00D37533" w:rsidP="005D4330">
            <w:pPr>
              <w:pStyle w:val="TableTextCentered"/>
              <w:rPr>
                <w:rStyle w:val="Strong"/>
                <w:szCs w:val="16"/>
              </w:rPr>
            </w:pPr>
            <w:r w:rsidRPr="005D4330">
              <w:rPr>
                <w:rStyle w:val="Strong"/>
                <w:szCs w:val="16"/>
              </w:rPr>
              <w:t> </w:t>
            </w:r>
          </w:p>
        </w:tc>
        <w:tc>
          <w:tcPr>
            <w:tcW w:w="760"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tcPr>
          <w:p w14:paraId="4550710C" w14:textId="77777777" w:rsidR="00D37533" w:rsidRPr="00C469B2" w:rsidRDefault="00D37533" w:rsidP="00C86F4A">
            <w:pPr>
              <w:pStyle w:val="TableTextRight"/>
              <w:rPr>
                <w:rStyle w:val="Strong"/>
                <w:szCs w:val="16"/>
              </w:rPr>
            </w:pPr>
            <w:r w:rsidRPr="00C469B2">
              <w:rPr>
                <w:rStyle w:val="Strong"/>
                <w:szCs w:val="16"/>
              </w:rPr>
              <w:t> </w:t>
            </w: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45" w:type="dxa"/>
              <w:bottom w:w="45" w:type="dxa"/>
            </w:tcMar>
            <w:hideMark/>
          </w:tcPr>
          <w:p w14:paraId="3A0DA317" w14:textId="77777777" w:rsidR="00D37533" w:rsidRPr="00C469B2" w:rsidRDefault="00D37533" w:rsidP="00C86F4A">
            <w:pPr>
              <w:pStyle w:val="TableTextRight"/>
              <w:rPr>
                <w:rStyle w:val="Strong"/>
                <w:szCs w:val="16"/>
              </w:rPr>
            </w:pPr>
            <w:r w:rsidRPr="00C469B2">
              <w:rPr>
                <w:rStyle w:val="Strong"/>
                <w:szCs w:val="16"/>
              </w:rPr>
              <w:t> </w:t>
            </w:r>
          </w:p>
        </w:tc>
        <w:tc>
          <w:tcPr>
            <w:tcW w:w="833" w:type="pct"/>
            <w:tcBorders>
              <w:top w:val="single" w:sz="4" w:space="0" w:color="29114B" w:themeColor="text2"/>
              <w:left w:val="single" w:sz="4" w:space="0" w:color="F2F2F2" w:themeColor="background1" w:themeShade="F2"/>
            </w:tcBorders>
            <w:shd w:val="clear" w:color="auto" w:fill="F2F2F2" w:themeFill="background1" w:themeFillShade="F2"/>
            <w:tcMar>
              <w:top w:w="45" w:type="dxa"/>
              <w:bottom w:w="45" w:type="dxa"/>
            </w:tcMar>
          </w:tcPr>
          <w:p w14:paraId="38367901" w14:textId="77777777" w:rsidR="00D37533" w:rsidRPr="00C469B2" w:rsidRDefault="00D37533" w:rsidP="00C86F4A">
            <w:pPr>
              <w:pStyle w:val="TableTextRight"/>
              <w:rPr>
                <w:rStyle w:val="Strong"/>
                <w:szCs w:val="16"/>
              </w:rPr>
            </w:pPr>
          </w:p>
        </w:tc>
      </w:tr>
      <w:tr w:rsidR="005D4330" w:rsidRPr="006534F5" w14:paraId="039180F8" w14:textId="77777777" w:rsidTr="001F10B3">
        <w:tc>
          <w:tcPr>
            <w:tcW w:w="2056" w:type="pct"/>
            <w:shd w:val="clear" w:color="auto" w:fill="F2F2F2" w:themeFill="background1" w:themeFillShade="F2"/>
            <w:noWrap/>
            <w:tcMar>
              <w:top w:w="45" w:type="dxa"/>
              <w:bottom w:w="45" w:type="dxa"/>
            </w:tcMar>
          </w:tcPr>
          <w:p w14:paraId="7E6337FF" w14:textId="77777777" w:rsidR="00D37533" w:rsidRPr="00A56CFD" w:rsidRDefault="00D37533" w:rsidP="00C86F4A">
            <w:pPr>
              <w:pStyle w:val="TableTextLeft"/>
              <w:rPr>
                <w:b/>
                <w:bCs/>
              </w:rPr>
            </w:pPr>
            <w:r w:rsidRPr="00A56CFD">
              <w:rPr>
                <w:b/>
                <w:bCs/>
              </w:rPr>
              <w:t>Cash received</w:t>
            </w:r>
          </w:p>
        </w:tc>
        <w:tc>
          <w:tcPr>
            <w:tcW w:w="518" w:type="pct"/>
            <w:shd w:val="clear" w:color="auto" w:fill="F2F2F2" w:themeFill="background1" w:themeFillShade="F2"/>
            <w:noWrap/>
            <w:tcMar>
              <w:top w:w="45" w:type="dxa"/>
              <w:bottom w:w="45" w:type="dxa"/>
            </w:tcMar>
          </w:tcPr>
          <w:p w14:paraId="3F684000" w14:textId="77777777" w:rsidR="00D37533" w:rsidRPr="005D4330" w:rsidRDefault="00D37533" w:rsidP="005D4330">
            <w:pPr>
              <w:pStyle w:val="TableTextCentered"/>
              <w:rPr>
                <w:rStyle w:val="Strong"/>
                <w:szCs w:val="16"/>
              </w:rPr>
            </w:pPr>
          </w:p>
        </w:tc>
        <w:tc>
          <w:tcPr>
            <w:tcW w:w="760" w:type="pct"/>
            <w:shd w:val="clear" w:color="auto" w:fill="F2F2F2" w:themeFill="background1" w:themeFillShade="F2"/>
            <w:noWrap/>
            <w:tcMar>
              <w:top w:w="45" w:type="dxa"/>
              <w:bottom w:w="45" w:type="dxa"/>
            </w:tcMar>
          </w:tcPr>
          <w:p w14:paraId="1D6C1E56" w14:textId="77777777" w:rsidR="00D37533" w:rsidRPr="00C469B2" w:rsidRDefault="00D37533" w:rsidP="00C86F4A">
            <w:pPr>
              <w:pStyle w:val="TableTextRight"/>
              <w:rPr>
                <w:rStyle w:val="Strong"/>
                <w:szCs w:val="16"/>
              </w:rPr>
            </w:pPr>
          </w:p>
        </w:tc>
        <w:tc>
          <w:tcPr>
            <w:tcW w:w="833" w:type="pct"/>
            <w:shd w:val="clear" w:color="auto" w:fill="F2F2F2" w:themeFill="background1" w:themeFillShade="F2"/>
            <w:noWrap/>
            <w:tcMar>
              <w:top w:w="45" w:type="dxa"/>
              <w:bottom w:w="45" w:type="dxa"/>
            </w:tcMar>
          </w:tcPr>
          <w:p w14:paraId="57D49704" w14:textId="77777777" w:rsidR="00D37533" w:rsidRPr="00C469B2" w:rsidRDefault="00D37533" w:rsidP="00C86F4A">
            <w:pPr>
              <w:pStyle w:val="TableTextRight"/>
              <w:rPr>
                <w:rStyle w:val="Strong"/>
                <w:szCs w:val="16"/>
              </w:rPr>
            </w:pPr>
          </w:p>
        </w:tc>
        <w:tc>
          <w:tcPr>
            <w:tcW w:w="833" w:type="pct"/>
            <w:shd w:val="clear" w:color="auto" w:fill="F2F2F2" w:themeFill="background1" w:themeFillShade="F2"/>
            <w:tcMar>
              <w:top w:w="45" w:type="dxa"/>
              <w:bottom w:w="45" w:type="dxa"/>
            </w:tcMar>
          </w:tcPr>
          <w:p w14:paraId="11B26320" w14:textId="77777777" w:rsidR="00D37533" w:rsidRPr="00C469B2" w:rsidRDefault="00D37533" w:rsidP="00C86F4A">
            <w:pPr>
              <w:pStyle w:val="TableTextRight"/>
              <w:rPr>
                <w:rStyle w:val="Strong"/>
                <w:szCs w:val="16"/>
              </w:rPr>
            </w:pPr>
          </w:p>
        </w:tc>
      </w:tr>
      <w:tr w:rsidR="005D4330" w:rsidRPr="006534F5" w14:paraId="65548F05" w14:textId="77777777" w:rsidTr="001F10B3">
        <w:tc>
          <w:tcPr>
            <w:tcW w:w="2056" w:type="pct"/>
            <w:shd w:val="clear" w:color="auto" w:fill="F2F2F2" w:themeFill="background1" w:themeFillShade="F2"/>
            <w:noWrap/>
            <w:tcMar>
              <w:top w:w="45" w:type="dxa"/>
              <w:bottom w:w="45" w:type="dxa"/>
            </w:tcMar>
            <w:hideMark/>
          </w:tcPr>
          <w:p w14:paraId="000D625E" w14:textId="77777777" w:rsidR="00D37533" w:rsidRPr="00C469B2" w:rsidRDefault="00D37533" w:rsidP="00C86F4A">
            <w:pPr>
              <w:pStyle w:val="TableTextLeft"/>
              <w:rPr>
                <w:szCs w:val="16"/>
              </w:rPr>
            </w:pPr>
            <w:r w:rsidRPr="00C469B2">
              <w:rPr>
                <w:szCs w:val="16"/>
              </w:rPr>
              <w:t>Securities lending principal receipts</w:t>
            </w:r>
          </w:p>
        </w:tc>
        <w:tc>
          <w:tcPr>
            <w:tcW w:w="518" w:type="pct"/>
            <w:shd w:val="clear" w:color="auto" w:fill="F2F2F2" w:themeFill="background1" w:themeFillShade="F2"/>
            <w:noWrap/>
            <w:tcMar>
              <w:top w:w="45" w:type="dxa"/>
              <w:bottom w:w="45" w:type="dxa"/>
            </w:tcMar>
            <w:hideMark/>
          </w:tcPr>
          <w:p w14:paraId="1C837370"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79F04782" w14:textId="77777777" w:rsidR="00D37533" w:rsidRPr="00C469B2" w:rsidRDefault="00D37533" w:rsidP="00C86F4A">
            <w:pPr>
              <w:pStyle w:val="TableTextRight"/>
              <w:rPr>
                <w:szCs w:val="16"/>
              </w:rPr>
            </w:pPr>
            <w:r>
              <w:rPr>
                <w:szCs w:val="16"/>
              </w:rPr>
              <w:t>901</w:t>
            </w:r>
          </w:p>
        </w:tc>
        <w:tc>
          <w:tcPr>
            <w:tcW w:w="833" w:type="pct"/>
            <w:shd w:val="clear" w:color="auto" w:fill="F2F2F2" w:themeFill="background1" w:themeFillShade="F2"/>
            <w:noWrap/>
            <w:tcMar>
              <w:top w:w="45" w:type="dxa"/>
              <w:bottom w:w="45" w:type="dxa"/>
            </w:tcMar>
            <w:hideMark/>
          </w:tcPr>
          <w:p w14:paraId="11F43A12" w14:textId="77777777" w:rsidR="00D37533" w:rsidRPr="00C469B2" w:rsidRDefault="00D37533" w:rsidP="00C86F4A">
            <w:pPr>
              <w:pStyle w:val="TableTextRight"/>
              <w:rPr>
                <w:szCs w:val="16"/>
              </w:rPr>
            </w:pPr>
            <w:r w:rsidRPr="00C469B2">
              <w:rPr>
                <w:szCs w:val="16"/>
              </w:rPr>
              <w:t xml:space="preserve">5,905 </w:t>
            </w:r>
          </w:p>
        </w:tc>
        <w:tc>
          <w:tcPr>
            <w:tcW w:w="833" w:type="pct"/>
            <w:shd w:val="clear" w:color="auto" w:fill="F2F2F2" w:themeFill="background1" w:themeFillShade="F2"/>
            <w:tcMar>
              <w:top w:w="45" w:type="dxa"/>
              <w:bottom w:w="45" w:type="dxa"/>
            </w:tcMar>
          </w:tcPr>
          <w:p w14:paraId="6164711F" w14:textId="77777777" w:rsidR="00D37533" w:rsidRPr="00C469B2" w:rsidRDefault="00D37533" w:rsidP="00C86F4A">
            <w:pPr>
              <w:pStyle w:val="TableTextRight"/>
              <w:rPr>
                <w:szCs w:val="16"/>
              </w:rPr>
            </w:pPr>
            <w:r w:rsidRPr="00C469B2">
              <w:rPr>
                <w:szCs w:val="16"/>
              </w:rPr>
              <w:t>233</w:t>
            </w:r>
          </w:p>
        </w:tc>
      </w:tr>
      <w:tr w:rsidR="005D4330" w:rsidRPr="006534F5" w14:paraId="04951CD0" w14:textId="77777777" w:rsidTr="001F10B3">
        <w:tc>
          <w:tcPr>
            <w:tcW w:w="2056" w:type="pct"/>
            <w:shd w:val="clear" w:color="auto" w:fill="F2F2F2" w:themeFill="background1" w:themeFillShade="F2"/>
            <w:noWrap/>
            <w:tcMar>
              <w:top w:w="45" w:type="dxa"/>
              <w:bottom w:w="45" w:type="dxa"/>
            </w:tcMar>
            <w:hideMark/>
          </w:tcPr>
          <w:p w14:paraId="77FFAE12" w14:textId="77777777" w:rsidR="00D37533" w:rsidRPr="00C469B2" w:rsidRDefault="00D37533" w:rsidP="00C86F4A">
            <w:pPr>
              <w:pStyle w:val="TableTextLeft"/>
              <w:rPr>
                <w:szCs w:val="16"/>
              </w:rPr>
            </w:pPr>
            <w:r w:rsidRPr="00C469B2">
              <w:rPr>
                <w:szCs w:val="16"/>
              </w:rPr>
              <w:t>Capital proceeds from structured finance securities</w:t>
            </w:r>
          </w:p>
        </w:tc>
        <w:tc>
          <w:tcPr>
            <w:tcW w:w="518" w:type="pct"/>
            <w:shd w:val="clear" w:color="auto" w:fill="F2F2F2" w:themeFill="background1" w:themeFillShade="F2"/>
            <w:noWrap/>
            <w:tcMar>
              <w:top w:w="45" w:type="dxa"/>
              <w:bottom w:w="45" w:type="dxa"/>
            </w:tcMar>
            <w:hideMark/>
          </w:tcPr>
          <w:p w14:paraId="26C5E107"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10568005" w14:textId="77777777" w:rsidR="00D37533" w:rsidRPr="00C469B2" w:rsidRDefault="00D37533" w:rsidP="00C86F4A">
            <w:pPr>
              <w:pStyle w:val="TableTextRight"/>
              <w:rPr>
                <w:szCs w:val="16"/>
              </w:rPr>
            </w:pPr>
            <w:r>
              <w:rPr>
                <w:szCs w:val="16"/>
              </w:rPr>
              <w:t>293</w:t>
            </w:r>
          </w:p>
        </w:tc>
        <w:tc>
          <w:tcPr>
            <w:tcW w:w="833" w:type="pct"/>
            <w:shd w:val="clear" w:color="auto" w:fill="F2F2F2" w:themeFill="background1" w:themeFillShade="F2"/>
            <w:noWrap/>
            <w:tcMar>
              <w:top w:w="45" w:type="dxa"/>
              <w:bottom w:w="45" w:type="dxa"/>
            </w:tcMar>
            <w:hideMark/>
          </w:tcPr>
          <w:p w14:paraId="6179F550" w14:textId="77777777" w:rsidR="00D37533" w:rsidRPr="00C469B2" w:rsidRDefault="00D37533" w:rsidP="00C86F4A">
            <w:pPr>
              <w:pStyle w:val="TableTextRight"/>
              <w:rPr>
                <w:szCs w:val="16"/>
              </w:rPr>
            </w:pPr>
            <w:r w:rsidRPr="00C469B2">
              <w:rPr>
                <w:szCs w:val="16"/>
              </w:rPr>
              <w:t xml:space="preserve">426 </w:t>
            </w:r>
          </w:p>
        </w:tc>
        <w:tc>
          <w:tcPr>
            <w:tcW w:w="833" w:type="pct"/>
            <w:shd w:val="clear" w:color="auto" w:fill="F2F2F2" w:themeFill="background1" w:themeFillShade="F2"/>
            <w:tcMar>
              <w:top w:w="45" w:type="dxa"/>
              <w:bottom w:w="45" w:type="dxa"/>
            </w:tcMar>
          </w:tcPr>
          <w:p w14:paraId="1EC4F26E" w14:textId="77777777" w:rsidR="00D37533" w:rsidRPr="00C469B2" w:rsidRDefault="00D37533" w:rsidP="00C86F4A">
            <w:pPr>
              <w:pStyle w:val="TableTextRight"/>
              <w:rPr>
                <w:szCs w:val="16"/>
              </w:rPr>
            </w:pPr>
            <w:r>
              <w:rPr>
                <w:szCs w:val="16"/>
              </w:rPr>
              <w:noBreakHyphen/>
            </w:r>
          </w:p>
        </w:tc>
      </w:tr>
      <w:tr w:rsidR="005D4330" w:rsidRPr="006534F5" w14:paraId="5CE34B35" w14:textId="77777777" w:rsidTr="001F10B3">
        <w:tc>
          <w:tcPr>
            <w:tcW w:w="2056" w:type="pct"/>
            <w:shd w:val="clear" w:color="auto" w:fill="F2F2F2" w:themeFill="background1" w:themeFillShade="F2"/>
            <w:noWrap/>
            <w:tcMar>
              <w:top w:w="45" w:type="dxa"/>
              <w:bottom w:w="45" w:type="dxa"/>
            </w:tcMar>
            <w:hideMark/>
          </w:tcPr>
          <w:p w14:paraId="677F098A" w14:textId="77777777" w:rsidR="00D37533" w:rsidRPr="00C469B2" w:rsidRDefault="00D37533" w:rsidP="00C86F4A">
            <w:pPr>
              <w:pStyle w:val="TableTextLeft"/>
              <w:rPr>
                <w:szCs w:val="16"/>
              </w:rPr>
            </w:pPr>
            <w:r w:rsidRPr="00C469B2">
              <w:rPr>
                <w:szCs w:val="16"/>
              </w:rPr>
              <w:t>State and territory loan repayments</w:t>
            </w:r>
          </w:p>
        </w:tc>
        <w:tc>
          <w:tcPr>
            <w:tcW w:w="518" w:type="pct"/>
            <w:shd w:val="clear" w:color="auto" w:fill="F2F2F2" w:themeFill="background1" w:themeFillShade="F2"/>
            <w:noWrap/>
            <w:tcMar>
              <w:top w:w="45" w:type="dxa"/>
              <w:bottom w:w="45" w:type="dxa"/>
            </w:tcMar>
            <w:hideMark/>
          </w:tcPr>
          <w:p w14:paraId="0F9DD2E5"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34B053EA" w14:textId="77777777" w:rsidR="00D37533" w:rsidRPr="00C469B2" w:rsidRDefault="00D37533" w:rsidP="00C86F4A">
            <w:pPr>
              <w:pStyle w:val="TableTextRight"/>
              <w:rPr>
                <w:szCs w:val="16"/>
              </w:rPr>
            </w:pPr>
            <w:r>
              <w:rPr>
                <w:szCs w:val="16"/>
              </w:rPr>
              <w:t>92</w:t>
            </w:r>
          </w:p>
        </w:tc>
        <w:tc>
          <w:tcPr>
            <w:tcW w:w="833" w:type="pct"/>
            <w:shd w:val="clear" w:color="auto" w:fill="F2F2F2" w:themeFill="background1" w:themeFillShade="F2"/>
            <w:noWrap/>
            <w:tcMar>
              <w:top w:w="45" w:type="dxa"/>
              <w:bottom w:w="45" w:type="dxa"/>
            </w:tcMar>
            <w:hideMark/>
          </w:tcPr>
          <w:p w14:paraId="6B8FFEBD" w14:textId="77777777" w:rsidR="00D37533" w:rsidRPr="00C469B2" w:rsidRDefault="00D37533" w:rsidP="00C86F4A">
            <w:pPr>
              <w:pStyle w:val="TableTextRight"/>
              <w:rPr>
                <w:szCs w:val="16"/>
              </w:rPr>
            </w:pPr>
            <w:r w:rsidRPr="00C469B2">
              <w:rPr>
                <w:szCs w:val="16"/>
              </w:rPr>
              <w:t xml:space="preserve">94 </w:t>
            </w:r>
          </w:p>
        </w:tc>
        <w:tc>
          <w:tcPr>
            <w:tcW w:w="833" w:type="pct"/>
            <w:shd w:val="clear" w:color="auto" w:fill="F2F2F2" w:themeFill="background1" w:themeFillShade="F2"/>
            <w:tcMar>
              <w:top w:w="45" w:type="dxa"/>
              <w:bottom w:w="45" w:type="dxa"/>
            </w:tcMar>
          </w:tcPr>
          <w:p w14:paraId="0E2C847C" w14:textId="77777777" w:rsidR="00D37533" w:rsidRPr="00C469B2" w:rsidRDefault="00D37533" w:rsidP="00C86F4A">
            <w:pPr>
              <w:pStyle w:val="TableTextRight"/>
              <w:rPr>
                <w:szCs w:val="16"/>
              </w:rPr>
            </w:pPr>
            <w:r w:rsidRPr="00C469B2">
              <w:rPr>
                <w:szCs w:val="16"/>
              </w:rPr>
              <w:t>92</w:t>
            </w:r>
          </w:p>
        </w:tc>
      </w:tr>
      <w:tr w:rsidR="005D4330" w:rsidRPr="006534F5" w14:paraId="54B1EF9B" w14:textId="77777777" w:rsidTr="001F10B3">
        <w:tc>
          <w:tcPr>
            <w:tcW w:w="2056" w:type="pct"/>
            <w:shd w:val="clear" w:color="auto" w:fill="F2F2F2" w:themeFill="background1" w:themeFillShade="F2"/>
            <w:noWrap/>
            <w:tcMar>
              <w:top w:w="45" w:type="dxa"/>
              <w:bottom w:w="45" w:type="dxa"/>
            </w:tcMar>
          </w:tcPr>
          <w:p w14:paraId="16C91902" w14:textId="77777777" w:rsidR="00D37533" w:rsidRPr="00C469B2" w:rsidRDefault="00D37533" w:rsidP="00C86F4A">
            <w:pPr>
              <w:pStyle w:val="TableTextLeft"/>
              <w:rPr>
                <w:szCs w:val="16"/>
              </w:rPr>
            </w:pPr>
            <w:r w:rsidRPr="00C469B2">
              <w:rPr>
                <w:b/>
                <w:bCs/>
                <w:szCs w:val="16"/>
              </w:rPr>
              <w:t>Total cash received</w:t>
            </w:r>
          </w:p>
        </w:tc>
        <w:tc>
          <w:tcPr>
            <w:tcW w:w="518" w:type="pct"/>
            <w:shd w:val="clear" w:color="auto" w:fill="F2F2F2" w:themeFill="background1" w:themeFillShade="F2"/>
            <w:noWrap/>
            <w:tcMar>
              <w:top w:w="45" w:type="dxa"/>
              <w:bottom w:w="45" w:type="dxa"/>
            </w:tcMar>
          </w:tcPr>
          <w:p w14:paraId="3BD112A8"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5EC581F5" w14:textId="77777777" w:rsidR="00D37533" w:rsidRPr="00BF62BA" w:rsidRDefault="00D37533" w:rsidP="00C86F4A">
            <w:pPr>
              <w:pStyle w:val="TableTextRight"/>
              <w:rPr>
                <w:b/>
                <w:bCs/>
                <w:szCs w:val="16"/>
              </w:rPr>
            </w:pPr>
            <w:r>
              <w:rPr>
                <w:b/>
                <w:bCs/>
                <w:szCs w:val="16"/>
              </w:rPr>
              <w:t>1,286</w:t>
            </w:r>
          </w:p>
        </w:tc>
        <w:tc>
          <w:tcPr>
            <w:tcW w:w="833" w:type="pct"/>
            <w:shd w:val="clear" w:color="auto" w:fill="F2F2F2" w:themeFill="background1" w:themeFillShade="F2"/>
            <w:noWrap/>
            <w:tcMar>
              <w:top w:w="45" w:type="dxa"/>
              <w:bottom w:w="45" w:type="dxa"/>
            </w:tcMar>
          </w:tcPr>
          <w:p w14:paraId="5A17866B" w14:textId="77777777" w:rsidR="00D37533" w:rsidRPr="00C469B2" w:rsidRDefault="00D37533" w:rsidP="00C86F4A">
            <w:pPr>
              <w:pStyle w:val="TableTextRight"/>
              <w:rPr>
                <w:b/>
                <w:bCs/>
                <w:szCs w:val="16"/>
              </w:rPr>
            </w:pPr>
            <w:r w:rsidRPr="00C469B2">
              <w:rPr>
                <w:b/>
                <w:bCs/>
                <w:szCs w:val="16"/>
              </w:rPr>
              <w:t>6,425</w:t>
            </w:r>
          </w:p>
        </w:tc>
        <w:tc>
          <w:tcPr>
            <w:tcW w:w="833" w:type="pct"/>
            <w:shd w:val="clear" w:color="auto" w:fill="F2F2F2" w:themeFill="background1" w:themeFillShade="F2"/>
            <w:tcMar>
              <w:top w:w="45" w:type="dxa"/>
              <w:bottom w:w="45" w:type="dxa"/>
            </w:tcMar>
          </w:tcPr>
          <w:p w14:paraId="538C9EB9" w14:textId="77777777" w:rsidR="00D37533" w:rsidRPr="00C469B2" w:rsidRDefault="00D37533" w:rsidP="00C86F4A">
            <w:pPr>
              <w:pStyle w:val="TableTextRight"/>
              <w:rPr>
                <w:b/>
                <w:bCs/>
                <w:szCs w:val="16"/>
              </w:rPr>
            </w:pPr>
            <w:r w:rsidRPr="00C469B2">
              <w:rPr>
                <w:b/>
                <w:bCs/>
                <w:szCs w:val="16"/>
              </w:rPr>
              <w:t>325</w:t>
            </w:r>
          </w:p>
        </w:tc>
      </w:tr>
      <w:tr w:rsidR="005D4330" w:rsidRPr="006534F5" w14:paraId="47205ABD" w14:textId="77777777" w:rsidTr="001F10B3">
        <w:tc>
          <w:tcPr>
            <w:tcW w:w="2056" w:type="pct"/>
            <w:shd w:val="clear" w:color="auto" w:fill="F2F2F2" w:themeFill="background1" w:themeFillShade="F2"/>
            <w:noWrap/>
            <w:tcMar>
              <w:top w:w="45" w:type="dxa"/>
              <w:bottom w:w="45" w:type="dxa"/>
            </w:tcMar>
          </w:tcPr>
          <w:p w14:paraId="4941E353" w14:textId="77777777" w:rsidR="00D37533" w:rsidRPr="00C469B2" w:rsidRDefault="00D37533" w:rsidP="00C86F4A">
            <w:pPr>
              <w:pStyle w:val="TableTextLeft"/>
              <w:rPr>
                <w:szCs w:val="16"/>
              </w:rPr>
            </w:pPr>
            <w:r w:rsidRPr="00C469B2">
              <w:rPr>
                <w:b/>
                <w:bCs/>
                <w:szCs w:val="16"/>
              </w:rPr>
              <w:t>Cash used</w:t>
            </w:r>
          </w:p>
        </w:tc>
        <w:tc>
          <w:tcPr>
            <w:tcW w:w="518" w:type="pct"/>
            <w:shd w:val="clear" w:color="auto" w:fill="F2F2F2" w:themeFill="background1" w:themeFillShade="F2"/>
            <w:noWrap/>
            <w:tcMar>
              <w:top w:w="45" w:type="dxa"/>
              <w:bottom w:w="45" w:type="dxa"/>
            </w:tcMar>
          </w:tcPr>
          <w:p w14:paraId="7FBAD512"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3D8CFF49" w14:textId="77777777" w:rsidR="00D37533" w:rsidRPr="00C469B2" w:rsidRDefault="00D37533" w:rsidP="00C86F4A">
            <w:pPr>
              <w:pStyle w:val="TableTextRight"/>
              <w:rPr>
                <w:szCs w:val="16"/>
              </w:rPr>
            </w:pPr>
          </w:p>
        </w:tc>
        <w:tc>
          <w:tcPr>
            <w:tcW w:w="833" w:type="pct"/>
            <w:shd w:val="clear" w:color="auto" w:fill="F2F2F2" w:themeFill="background1" w:themeFillShade="F2"/>
            <w:noWrap/>
            <w:tcMar>
              <w:top w:w="45" w:type="dxa"/>
              <w:bottom w:w="45" w:type="dxa"/>
            </w:tcMar>
          </w:tcPr>
          <w:p w14:paraId="652A7526" w14:textId="77777777" w:rsidR="00D37533" w:rsidRPr="00C469B2" w:rsidRDefault="00D37533" w:rsidP="00C86F4A">
            <w:pPr>
              <w:pStyle w:val="TableTextRight"/>
              <w:rPr>
                <w:szCs w:val="16"/>
              </w:rPr>
            </w:pPr>
          </w:p>
        </w:tc>
        <w:tc>
          <w:tcPr>
            <w:tcW w:w="833" w:type="pct"/>
            <w:shd w:val="clear" w:color="auto" w:fill="F2F2F2" w:themeFill="background1" w:themeFillShade="F2"/>
            <w:tcMar>
              <w:top w:w="45" w:type="dxa"/>
              <w:bottom w:w="45" w:type="dxa"/>
            </w:tcMar>
          </w:tcPr>
          <w:p w14:paraId="28DD26A5" w14:textId="77777777" w:rsidR="00D37533" w:rsidRPr="00C469B2" w:rsidRDefault="00D37533" w:rsidP="00C86F4A">
            <w:pPr>
              <w:pStyle w:val="TableTextRight"/>
              <w:rPr>
                <w:szCs w:val="16"/>
              </w:rPr>
            </w:pPr>
          </w:p>
        </w:tc>
      </w:tr>
      <w:tr w:rsidR="005D4330" w:rsidRPr="006534F5" w14:paraId="45455A0A" w14:textId="77777777" w:rsidTr="001F10B3">
        <w:tc>
          <w:tcPr>
            <w:tcW w:w="2056" w:type="pct"/>
            <w:shd w:val="clear" w:color="auto" w:fill="F2F2F2" w:themeFill="background1" w:themeFillShade="F2"/>
            <w:noWrap/>
            <w:tcMar>
              <w:top w:w="45" w:type="dxa"/>
              <w:bottom w:w="45" w:type="dxa"/>
            </w:tcMar>
            <w:hideMark/>
          </w:tcPr>
          <w:p w14:paraId="3F45D37C" w14:textId="77777777" w:rsidR="00D37533" w:rsidRPr="00C469B2" w:rsidRDefault="00D37533" w:rsidP="00C86F4A">
            <w:pPr>
              <w:pStyle w:val="TableTextLeft"/>
              <w:rPr>
                <w:szCs w:val="16"/>
              </w:rPr>
            </w:pPr>
            <w:r w:rsidRPr="00C469B2">
              <w:rPr>
                <w:szCs w:val="16"/>
              </w:rPr>
              <w:t>Acquisition of structured finance securities</w:t>
            </w:r>
          </w:p>
        </w:tc>
        <w:tc>
          <w:tcPr>
            <w:tcW w:w="518" w:type="pct"/>
            <w:shd w:val="clear" w:color="auto" w:fill="F2F2F2" w:themeFill="background1" w:themeFillShade="F2"/>
            <w:noWrap/>
            <w:tcMar>
              <w:top w:w="45" w:type="dxa"/>
              <w:bottom w:w="45" w:type="dxa"/>
            </w:tcMar>
            <w:hideMark/>
          </w:tcPr>
          <w:p w14:paraId="74CF192E"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4805F172" w14:textId="77777777" w:rsidR="00D37533" w:rsidRPr="00C469B2" w:rsidRDefault="00D37533" w:rsidP="00C86F4A">
            <w:pPr>
              <w:pStyle w:val="TableTextRight"/>
              <w:rPr>
                <w:szCs w:val="16"/>
              </w:rPr>
            </w:pPr>
            <w:r>
              <w:rPr>
                <w:szCs w:val="16"/>
              </w:rPr>
              <w:t>(189)</w:t>
            </w:r>
          </w:p>
        </w:tc>
        <w:tc>
          <w:tcPr>
            <w:tcW w:w="833" w:type="pct"/>
            <w:shd w:val="clear" w:color="auto" w:fill="F2F2F2" w:themeFill="background1" w:themeFillShade="F2"/>
            <w:noWrap/>
            <w:tcMar>
              <w:top w:w="45" w:type="dxa"/>
              <w:bottom w:w="45" w:type="dxa"/>
            </w:tcMar>
            <w:hideMark/>
          </w:tcPr>
          <w:p w14:paraId="270C8672" w14:textId="77777777" w:rsidR="00D37533" w:rsidRPr="00C469B2" w:rsidRDefault="00D37533" w:rsidP="00C86F4A">
            <w:pPr>
              <w:pStyle w:val="TableTextRight"/>
              <w:rPr>
                <w:szCs w:val="16"/>
              </w:rPr>
            </w:pPr>
            <w:r w:rsidRPr="00C469B2">
              <w:rPr>
                <w:szCs w:val="16"/>
              </w:rPr>
              <w:t>(89)</w:t>
            </w:r>
          </w:p>
        </w:tc>
        <w:tc>
          <w:tcPr>
            <w:tcW w:w="833" w:type="pct"/>
            <w:shd w:val="clear" w:color="auto" w:fill="F2F2F2" w:themeFill="background1" w:themeFillShade="F2"/>
            <w:tcMar>
              <w:top w:w="45" w:type="dxa"/>
              <w:bottom w:w="45" w:type="dxa"/>
            </w:tcMar>
          </w:tcPr>
          <w:p w14:paraId="268E89B3" w14:textId="77777777" w:rsidR="00D37533" w:rsidRPr="00C469B2" w:rsidRDefault="00D37533" w:rsidP="00C86F4A">
            <w:pPr>
              <w:pStyle w:val="TableTextRight"/>
              <w:rPr>
                <w:szCs w:val="16"/>
              </w:rPr>
            </w:pPr>
            <w:r>
              <w:rPr>
                <w:szCs w:val="16"/>
              </w:rPr>
              <w:noBreakHyphen/>
            </w:r>
          </w:p>
        </w:tc>
      </w:tr>
      <w:tr w:rsidR="005D4330" w:rsidRPr="006534F5" w14:paraId="08AED5D0" w14:textId="77777777" w:rsidTr="001F10B3">
        <w:tc>
          <w:tcPr>
            <w:tcW w:w="2056" w:type="pct"/>
            <w:shd w:val="clear" w:color="auto" w:fill="F2F2F2" w:themeFill="background1" w:themeFillShade="F2"/>
            <w:noWrap/>
            <w:tcMar>
              <w:top w:w="45" w:type="dxa"/>
              <w:bottom w:w="45" w:type="dxa"/>
            </w:tcMar>
            <w:hideMark/>
          </w:tcPr>
          <w:p w14:paraId="109C0C73" w14:textId="77777777" w:rsidR="00D37533" w:rsidRPr="00C469B2" w:rsidRDefault="00D37533" w:rsidP="00C86F4A">
            <w:pPr>
              <w:pStyle w:val="TableTextLeft"/>
              <w:rPr>
                <w:szCs w:val="16"/>
              </w:rPr>
            </w:pPr>
            <w:r w:rsidRPr="00C469B2">
              <w:rPr>
                <w:szCs w:val="16"/>
              </w:rPr>
              <w:t>Securities lending principal payments</w:t>
            </w:r>
          </w:p>
        </w:tc>
        <w:tc>
          <w:tcPr>
            <w:tcW w:w="518" w:type="pct"/>
            <w:shd w:val="clear" w:color="auto" w:fill="F2F2F2" w:themeFill="background1" w:themeFillShade="F2"/>
            <w:noWrap/>
            <w:tcMar>
              <w:top w:w="45" w:type="dxa"/>
              <w:bottom w:w="45" w:type="dxa"/>
            </w:tcMar>
            <w:hideMark/>
          </w:tcPr>
          <w:p w14:paraId="4D9650F2" w14:textId="77777777" w:rsidR="00D37533" w:rsidRPr="005D4330" w:rsidRDefault="00D37533" w:rsidP="005D4330">
            <w:pPr>
              <w:pStyle w:val="TableTextCentered"/>
              <w:rPr>
                <w:b/>
                <w:bCs/>
              </w:rPr>
            </w:pPr>
            <w:r w:rsidRPr="005D4330">
              <w:rPr>
                <w:b/>
                <w:bCs/>
              </w:rPr>
              <w:t> </w:t>
            </w:r>
          </w:p>
        </w:tc>
        <w:tc>
          <w:tcPr>
            <w:tcW w:w="760" w:type="pct"/>
            <w:shd w:val="clear" w:color="auto" w:fill="F2F2F2" w:themeFill="background1" w:themeFillShade="F2"/>
            <w:noWrap/>
            <w:tcMar>
              <w:top w:w="45" w:type="dxa"/>
              <w:bottom w:w="45" w:type="dxa"/>
            </w:tcMar>
          </w:tcPr>
          <w:p w14:paraId="1AAC4475" w14:textId="77777777" w:rsidR="00D37533" w:rsidRPr="00C469B2" w:rsidRDefault="00D37533" w:rsidP="00C86F4A">
            <w:pPr>
              <w:pStyle w:val="TableTextRight"/>
              <w:rPr>
                <w:szCs w:val="16"/>
              </w:rPr>
            </w:pPr>
            <w:r>
              <w:rPr>
                <w:szCs w:val="16"/>
              </w:rPr>
              <w:t>(901)</w:t>
            </w:r>
          </w:p>
        </w:tc>
        <w:tc>
          <w:tcPr>
            <w:tcW w:w="833" w:type="pct"/>
            <w:shd w:val="clear" w:color="auto" w:fill="F2F2F2" w:themeFill="background1" w:themeFillShade="F2"/>
            <w:noWrap/>
            <w:tcMar>
              <w:top w:w="45" w:type="dxa"/>
              <w:bottom w:w="45" w:type="dxa"/>
            </w:tcMar>
            <w:hideMark/>
          </w:tcPr>
          <w:p w14:paraId="5DCB0F99" w14:textId="77777777" w:rsidR="00D37533" w:rsidRPr="00C469B2" w:rsidRDefault="00D37533" w:rsidP="00C86F4A">
            <w:pPr>
              <w:pStyle w:val="TableTextRight"/>
              <w:rPr>
                <w:szCs w:val="16"/>
              </w:rPr>
            </w:pPr>
            <w:r w:rsidRPr="00C469B2">
              <w:rPr>
                <w:szCs w:val="16"/>
              </w:rPr>
              <w:t>(5,905)</w:t>
            </w:r>
          </w:p>
        </w:tc>
        <w:tc>
          <w:tcPr>
            <w:tcW w:w="833" w:type="pct"/>
            <w:shd w:val="clear" w:color="auto" w:fill="F2F2F2" w:themeFill="background1" w:themeFillShade="F2"/>
            <w:tcMar>
              <w:top w:w="45" w:type="dxa"/>
              <w:bottom w:w="45" w:type="dxa"/>
            </w:tcMar>
          </w:tcPr>
          <w:p w14:paraId="52224B47" w14:textId="77777777" w:rsidR="00D37533" w:rsidRPr="00C469B2" w:rsidRDefault="00D37533" w:rsidP="00C86F4A">
            <w:pPr>
              <w:pStyle w:val="TableTextRight"/>
              <w:rPr>
                <w:szCs w:val="16"/>
              </w:rPr>
            </w:pPr>
            <w:r w:rsidRPr="00C469B2">
              <w:rPr>
                <w:szCs w:val="16"/>
              </w:rPr>
              <w:t>(593)</w:t>
            </w:r>
          </w:p>
        </w:tc>
      </w:tr>
      <w:tr w:rsidR="005D4330" w:rsidRPr="006534F5" w14:paraId="218D47F7" w14:textId="77777777" w:rsidTr="001F10B3">
        <w:tc>
          <w:tcPr>
            <w:tcW w:w="2056" w:type="pct"/>
            <w:shd w:val="clear" w:color="auto" w:fill="F2F2F2" w:themeFill="background1" w:themeFillShade="F2"/>
            <w:noWrap/>
            <w:tcMar>
              <w:top w:w="45" w:type="dxa"/>
              <w:bottom w:w="45" w:type="dxa"/>
            </w:tcMar>
          </w:tcPr>
          <w:p w14:paraId="364D3912" w14:textId="77777777" w:rsidR="00D37533" w:rsidRPr="00C469B2" w:rsidRDefault="00D37533" w:rsidP="00C86F4A">
            <w:pPr>
              <w:pStyle w:val="TableTextLeft"/>
              <w:rPr>
                <w:b/>
                <w:bCs/>
                <w:szCs w:val="16"/>
              </w:rPr>
            </w:pPr>
            <w:r w:rsidRPr="00C469B2">
              <w:rPr>
                <w:b/>
                <w:bCs/>
                <w:szCs w:val="16"/>
              </w:rPr>
              <w:t>Total cash used</w:t>
            </w:r>
          </w:p>
        </w:tc>
        <w:tc>
          <w:tcPr>
            <w:tcW w:w="518" w:type="pct"/>
            <w:shd w:val="clear" w:color="auto" w:fill="F2F2F2" w:themeFill="background1" w:themeFillShade="F2"/>
            <w:noWrap/>
            <w:tcMar>
              <w:top w:w="45" w:type="dxa"/>
              <w:bottom w:w="45" w:type="dxa"/>
            </w:tcMar>
          </w:tcPr>
          <w:p w14:paraId="4B933D55" w14:textId="77777777" w:rsidR="00D37533" w:rsidRPr="005D4330" w:rsidRDefault="00D37533" w:rsidP="005D4330">
            <w:pPr>
              <w:pStyle w:val="TableTextCentered"/>
              <w:rPr>
                <w:b/>
                <w:bCs/>
              </w:rPr>
            </w:pPr>
          </w:p>
        </w:tc>
        <w:tc>
          <w:tcPr>
            <w:tcW w:w="760" w:type="pct"/>
            <w:shd w:val="clear" w:color="auto" w:fill="F2F2F2" w:themeFill="background1" w:themeFillShade="F2"/>
            <w:noWrap/>
            <w:tcMar>
              <w:top w:w="45" w:type="dxa"/>
              <w:bottom w:w="45" w:type="dxa"/>
            </w:tcMar>
          </w:tcPr>
          <w:p w14:paraId="6AA4BEE4" w14:textId="77777777" w:rsidR="00D37533" w:rsidRPr="00BF62BA" w:rsidRDefault="00D37533" w:rsidP="00C86F4A">
            <w:pPr>
              <w:pStyle w:val="TableTextRight"/>
              <w:rPr>
                <w:b/>
                <w:bCs/>
                <w:szCs w:val="16"/>
              </w:rPr>
            </w:pPr>
            <w:r w:rsidRPr="00BF62BA">
              <w:rPr>
                <w:b/>
                <w:bCs/>
                <w:szCs w:val="16"/>
              </w:rPr>
              <w:t>(1,090)</w:t>
            </w:r>
          </w:p>
        </w:tc>
        <w:tc>
          <w:tcPr>
            <w:tcW w:w="833" w:type="pct"/>
            <w:shd w:val="clear" w:color="auto" w:fill="F2F2F2" w:themeFill="background1" w:themeFillShade="F2"/>
            <w:noWrap/>
            <w:tcMar>
              <w:top w:w="45" w:type="dxa"/>
              <w:bottom w:w="45" w:type="dxa"/>
            </w:tcMar>
          </w:tcPr>
          <w:p w14:paraId="4D3C28F0" w14:textId="77777777" w:rsidR="00D37533" w:rsidRPr="00C469B2" w:rsidRDefault="00D37533" w:rsidP="00C86F4A">
            <w:pPr>
              <w:pStyle w:val="TableTextRight"/>
              <w:rPr>
                <w:b/>
                <w:bCs/>
                <w:szCs w:val="16"/>
              </w:rPr>
            </w:pPr>
            <w:r w:rsidRPr="00C469B2">
              <w:rPr>
                <w:b/>
                <w:bCs/>
                <w:szCs w:val="16"/>
              </w:rPr>
              <w:t>(5,994)</w:t>
            </w:r>
          </w:p>
        </w:tc>
        <w:tc>
          <w:tcPr>
            <w:tcW w:w="833" w:type="pct"/>
            <w:shd w:val="clear" w:color="auto" w:fill="F2F2F2" w:themeFill="background1" w:themeFillShade="F2"/>
            <w:tcMar>
              <w:top w:w="45" w:type="dxa"/>
              <w:bottom w:w="45" w:type="dxa"/>
            </w:tcMar>
          </w:tcPr>
          <w:p w14:paraId="17FB5F8C" w14:textId="77777777" w:rsidR="00D37533" w:rsidRPr="00C469B2" w:rsidRDefault="00D37533" w:rsidP="00C86F4A">
            <w:pPr>
              <w:pStyle w:val="TableTextRight"/>
              <w:rPr>
                <w:b/>
                <w:bCs/>
                <w:szCs w:val="16"/>
              </w:rPr>
            </w:pPr>
            <w:r w:rsidRPr="00C469B2">
              <w:rPr>
                <w:b/>
                <w:bCs/>
                <w:szCs w:val="16"/>
              </w:rPr>
              <w:t>(593)</w:t>
            </w:r>
          </w:p>
        </w:tc>
      </w:tr>
      <w:tr w:rsidR="005D4330" w:rsidRPr="006534F5" w14:paraId="63683C12" w14:textId="77777777" w:rsidTr="001F10B3">
        <w:tc>
          <w:tcPr>
            <w:tcW w:w="2056" w:type="pct"/>
            <w:shd w:val="clear" w:color="auto" w:fill="F2F2F2" w:themeFill="background1" w:themeFillShade="F2"/>
            <w:noWrap/>
            <w:tcMar>
              <w:top w:w="45" w:type="dxa"/>
              <w:bottom w:w="45" w:type="dxa"/>
            </w:tcMar>
            <w:hideMark/>
          </w:tcPr>
          <w:p w14:paraId="440E9ADC" w14:textId="77777777" w:rsidR="00D37533" w:rsidRPr="00C469B2" w:rsidRDefault="00D37533" w:rsidP="00C86F4A">
            <w:pPr>
              <w:pStyle w:val="TableTextLeft"/>
              <w:rPr>
                <w:rStyle w:val="Strong"/>
                <w:szCs w:val="16"/>
              </w:rPr>
            </w:pPr>
            <w:r w:rsidRPr="00C469B2">
              <w:rPr>
                <w:rStyle w:val="Strong"/>
                <w:szCs w:val="16"/>
              </w:rPr>
              <w:t>Net cash from investing activities</w:t>
            </w:r>
          </w:p>
        </w:tc>
        <w:tc>
          <w:tcPr>
            <w:tcW w:w="518" w:type="pct"/>
            <w:shd w:val="clear" w:color="auto" w:fill="F2F2F2" w:themeFill="background1" w:themeFillShade="F2"/>
            <w:noWrap/>
            <w:tcMar>
              <w:top w:w="45" w:type="dxa"/>
              <w:bottom w:w="45" w:type="dxa"/>
            </w:tcMar>
            <w:hideMark/>
          </w:tcPr>
          <w:p w14:paraId="7F57B260" w14:textId="77777777" w:rsidR="00D37533" w:rsidRPr="005D4330" w:rsidRDefault="00D37533" w:rsidP="005D4330">
            <w:pPr>
              <w:pStyle w:val="TableTextCentered"/>
              <w:rPr>
                <w:rStyle w:val="Strong"/>
                <w:szCs w:val="16"/>
              </w:rPr>
            </w:pPr>
            <w:r w:rsidRPr="005D4330">
              <w:rPr>
                <w:rStyle w:val="Strong"/>
                <w:szCs w:val="16"/>
              </w:rPr>
              <w:t> </w:t>
            </w:r>
          </w:p>
        </w:tc>
        <w:tc>
          <w:tcPr>
            <w:tcW w:w="760" w:type="pct"/>
            <w:shd w:val="clear" w:color="auto" w:fill="F2F2F2" w:themeFill="background1" w:themeFillShade="F2"/>
            <w:noWrap/>
            <w:tcMar>
              <w:top w:w="45" w:type="dxa"/>
              <w:bottom w:w="45" w:type="dxa"/>
            </w:tcMar>
          </w:tcPr>
          <w:p w14:paraId="6262FF83" w14:textId="77777777" w:rsidR="00D37533" w:rsidRPr="00C469B2" w:rsidRDefault="00D37533" w:rsidP="00C86F4A">
            <w:pPr>
              <w:pStyle w:val="TableTextRight"/>
              <w:rPr>
                <w:rStyle w:val="Strong"/>
                <w:szCs w:val="16"/>
              </w:rPr>
            </w:pPr>
            <w:r>
              <w:rPr>
                <w:rStyle w:val="Strong"/>
                <w:szCs w:val="16"/>
              </w:rPr>
              <w:t>1</w:t>
            </w:r>
            <w:r>
              <w:rPr>
                <w:rStyle w:val="Strong"/>
              </w:rPr>
              <w:t>96</w:t>
            </w:r>
          </w:p>
        </w:tc>
        <w:tc>
          <w:tcPr>
            <w:tcW w:w="833" w:type="pct"/>
            <w:shd w:val="clear" w:color="auto" w:fill="F2F2F2" w:themeFill="background1" w:themeFillShade="F2"/>
            <w:noWrap/>
            <w:tcMar>
              <w:top w:w="45" w:type="dxa"/>
              <w:bottom w:w="45" w:type="dxa"/>
            </w:tcMar>
            <w:hideMark/>
          </w:tcPr>
          <w:p w14:paraId="0AF14180" w14:textId="77777777" w:rsidR="00D37533" w:rsidRPr="00C469B2" w:rsidRDefault="00D37533" w:rsidP="00C86F4A">
            <w:pPr>
              <w:pStyle w:val="TableTextRight"/>
              <w:rPr>
                <w:rStyle w:val="Strong"/>
                <w:szCs w:val="16"/>
              </w:rPr>
            </w:pPr>
            <w:r w:rsidRPr="00C469B2">
              <w:rPr>
                <w:rStyle w:val="Strong"/>
                <w:szCs w:val="16"/>
              </w:rPr>
              <w:t xml:space="preserve">431 </w:t>
            </w:r>
          </w:p>
        </w:tc>
        <w:tc>
          <w:tcPr>
            <w:tcW w:w="833" w:type="pct"/>
            <w:shd w:val="clear" w:color="auto" w:fill="F2F2F2" w:themeFill="background1" w:themeFillShade="F2"/>
            <w:tcMar>
              <w:top w:w="45" w:type="dxa"/>
              <w:bottom w:w="45" w:type="dxa"/>
            </w:tcMar>
          </w:tcPr>
          <w:p w14:paraId="646A771B" w14:textId="77777777" w:rsidR="00D37533" w:rsidRPr="00C469B2" w:rsidRDefault="00D37533" w:rsidP="00C86F4A">
            <w:pPr>
              <w:pStyle w:val="TableTextRight"/>
              <w:rPr>
                <w:rStyle w:val="Strong"/>
                <w:szCs w:val="16"/>
              </w:rPr>
            </w:pPr>
            <w:r w:rsidRPr="00C469B2">
              <w:rPr>
                <w:rStyle w:val="Strong"/>
                <w:szCs w:val="16"/>
              </w:rPr>
              <w:t>(26</w:t>
            </w:r>
            <w:r>
              <w:rPr>
                <w:rStyle w:val="Strong"/>
                <w:szCs w:val="16"/>
              </w:rPr>
              <w:t>7</w:t>
            </w:r>
            <w:r w:rsidRPr="00C469B2">
              <w:rPr>
                <w:rStyle w:val="Strong"/>
                <w:szCs w:val="16"/>
              </w:rPr>
              <w:t>)</w:t>
            </w:r>
          </w:p>
        </w:tc>
      </w:tr>
    </w:tbl>
    <w:p w14:paraId="30D562A5" w14:textId="77777777" w:rsidR="00D37533" w:rsidRPr="00E857FB" w:rsidRDefault="00D37533" w:rsidP="00D37533">
      <w:pPr>
        <w:pStyle w:val="ChartorTableNote"/>
      </w:pPr>
      <w:r w:rsidRPr="00A56CFD">
        <w:t>The above schedule should be read in conjunction with the accompanying notes.</w:t>
      </w:r>
      <w:r w:rsidRPr="00E857FB">
        <w:br w:type="page"/>
      </w:r>
    </w:p>
    <w:p w14:paraId="08031EA4" w14:textId="77777777" w:rsidR="006D2EDF" w:rsidRPr="006534F5" w:rsidRDefault="006D2EDF" w:rsidP="006D2EDF">
      <w:pPr>
        <w:pStyle w:val="Heading2"/>
      </w:pPr>
      <w:bookmarkStart w:id="1646" w:name="_Toc208914135"/>
      <w:bookmarkStart w:id="1647" w:name="_Toc209424532"/>
      <w:r>
        <w:lastRenderedPageBreak/>
        <w:t>Administered cash flow statement</w:t>
      </w:r>
      <w:bookmarkEnd w:id="1646"/>
      <w:bookmarkEnd w:id="1647"/>
    </w:p>
    <w:p w14:paraId="4C0B4F12" w14:textId="5DB8812F" w:rsidR="005D4330" w:rsidRPr="003946A9" w:rsidRDefault="005D4330" w:rsidP="005D4330">
      <w:pPr>
        <w:pStyle w:val="TableMainHeading"/>
      </w:pPr>
      <w:r w:rsidRPr="003946A9">
        <w:t>For the period ended 30 June 2025 (continued)</w:t>
      </w:r>
    </w:p>
    <w:tbl>
      <w:tblPr>
        <w:tblStyle w:val="AOFMTablemain"/>
        <w:tblW w:w="5000" w:type="pct"/>
        <w:tblLayout w:type="fixed"/>
        <w:tblLook w:val="06A0" w:firstRow="1" w:lastRow="0" w:firstColumn="1" w:lastColumn="0" w:noHBand="1" w:noVBand="1"/>
      </w:tblPr>
      <w:tblGrid>
        <w:gridCol w:w="3444"/>
        <w:gridCol w:w="689"/>
        <w:gridCol w:w="1192"/>
        <w:gridCol w:w="1194"/>
        <w:gridCol w:w="1192"/>
      </w:tblGrid>
      <w:tr w:rsidR="0048600D" w:rsidRPr="006534F5" w14:paraId="68FFA5AF" w14:textId="77777777" w:rsidTr="00BD7AD5">
        <w:trPr>
          <w:cnfStyle w:val="100000000000" w:firstRow="1" w:lastRow="0" w:firstColumn="0" w:lastColumn="0" w:oddVBand="0" w:evenVBand="0" w:oddHBand="0" w:evenHBand="0" w:firstRowFirstColumn="0" w:firstRowLastColumn="0" w:lastRowFirstColumn="0" w:lastRowLastColumn="0"/>
          <w:trHeight w:hRule="exact" w:val="857"/>
        </w:trPr>
        <w:tc>
          <w:tcPr>
            <w:tcW w:w="2233" w:type="pct"/>
            <w:tcBorders>
              <w:bottom w:val="single" w:sz="4" w:space="0" w:color="29114B" w:themeColor="text2"/>
            </w:tcBorders>
            <w:tcMar>
              <w:top w:w="57" w:type="dxa"/>
              <w:bottom w:w="57" w:type="dxa"/>
            </w:tcMar>
            <w:vAlign w:val="bottom"/>
            <w:hideMark/>
          </w:tcPr>
          <w:p w14:paraId="68E54C6A" w14:textId="77777777" w:rsidR="005D4330" w:rsidRPr="00C469B2" w:rsidRDefault="005D4330" w:rsidP="00C86F4A">
            <w:pPr>
              <w:pStyle w:val="TableColumnHeadingRight"/>
              <w:rPr>
                <w:szCs w:val="16"/>
              </w:rPr>
            </w:pPr>
            <w:r w:rsidRPr="00C469B2">
              <w:rPr>
                <w:szCs w:val="16"/>
              </w:rPr>
              <w:t> </w:t>
            </w:r>
          </w:p>
        </w:tc>
        <w:tc>
          <w:tcPr>
            <w:tcW w:w="447" w:type="pct"/>
            <w:tcBorders>
              <w:bottom w:val="single" w:sz="4" w:space="0" w:color="29114B" w:themeColor="text2"/>
            </w:tcBorders>
            <w:tcMar>
              <w:top w:w="57" w:type="dxa"/>
              <w:bottom w:w="57" w:type="dxa"/>
            </w:tcMar>
            <w:vAlign w:val="bottom"/>
            <w:hideMark/>
          </w:tcPr>
          <w:p w14:paraId="3FB16768" w14:textId="77777777" w:rsidR="005D4330" w:rsidRPr="00C469B2" w:rsidRDefault="005D4330" w:rsidP="00C86F4A">
            <w:pPr>
              <w:pStyle w:val="TableColumnHeadingRight"/>
              <w:rPr>
                <w:szCs w:val="16"/>
              </w:rPr>
            </w:pPr>
            <w:r w:rsidRPr="00C469B2">
              <w:rPr>
                <w:szCs w:val="16"/>
              </w:rPr>
              <w:t>Notes</w:t>
            </w:r>
          </w:p>
        </w:tc>
        <w:tc>
          <w:tcPr>
            <w:tcW w:w="773" w:type="pct"/>
            <w:tcBorders>
              <w:bottom w:val="single" w:sz="4" w:space="0" w:color="29114B" w:themeColor="text2"/>
            </w:tcBorders>
            <w:tcMar>
              <w:top w:w="57" w:type="dxa"/>
              <w:bottom w:w="57" w:type="dxa"/>
            </w:tcMar>
            <w:vAlign w:val="bottom"/>
            <w:hideMark/>
          </w:tcPr>
          <w:p w14:paraId="13D8E603" w14:textId="77777777" w:rsidR="005D4330" w:rsidRPr="00C469B2" w:rsidRDefault="005D4330" w:rsidP="00C86F4A">
            <w:pPr>
              <w:pStyle w:val="TableColumnHeadingRight"/>
              <w:rPr>
                <w:szCs w:val="16"/>
              </w:rPr>
            </w:pPr>
            <w:r w:rsidRPr="00C469B2">
              <w:rPr>
                <w:szCs w:val="16"/>
              </w:rPr>
              <w:t xml:space="preserve">2025 </w:t>
            </w:r>
          </w:p>
          <w:p w14:paraId="02FCC3C8" w14:textId="77777777" w:rsidR="005D4330" w:rsidRPr="00C469B2" w:rsidRDefault="005D4330" w:rsidP="00C86F4A">
            <w:pPr>
              <w:pStyle w:val="TableColumnHeadingRight"/>
              <w:rPr>
                <w:szCs w:val="16"/>
              </w:rPr>
            </w:pPr>
            <w:r w:rsidRPr="00C469B2">
              <w:rPr>
                <w:szCs w:val="16"/>
              </w:rPr>
              <w:t xml:space="preserve">($million) </w:t>
            </w:r>
          </w:p>
        </w:tc>
        <w:tc>
          <w:tcPr>
            <w:tcW w:w="774" w:type="pct"/>
            <w:tcBorders>
              <w:bottom w:val="single" w:sz="4" w:space="0" w:color="29114B" w:themeColor="text2"/>
            </w:tcBorders>
            <w:tcMar>
              <w:top w:w="57" w:type="dxa"/>
              <w:bottom w:w="57" w:type="dxa"/>
            </w:tcMar>
            <w:vAlign w:val="bottom"/>
            <w:hideMark/>
          </w:tcPr>
          <w:p w14:paraId="35EF7618" w14:textId="77777777" w:rsidR="005D4330" w:rsidRPr="00C469B2" w:rsidRDefault="005D4330" w:rsidP="00C86F4A">
            <w:pPr>
              <w:pStyle w:val="TableColumnHeadingRight"/>
              <w:rPr>
                <w:szCs w:val="16"/>
              </w:rPr>
            </w:pPr>
            <w:r w:rsidRPr="00C469B2">
              <w:rPr>
                <w:szCs w:val="16"/>
              </w:rPr>
              <w:t xml:space="preserve">2024 </w:t>
            </w:r>
          </w:p>
          <w:p w14:paraId="3E925787" w14:textId="77777777" w:rsidR="005D4330" w:rsidRPr="00C469B2" w:rsidRDefault="005D4330" w:rsidP="00C86F4A">
            <w:pPr>
              <w:pStyle w:val="TableColumnHeadingRight"/>
              <w:rPr>
                <w:szCs w:val="16"/>
              </w:rPr>
            </w:pPr>
            <w:r w:rsidRPr="00C469B2">
              <w:rPr>
                <w:szCs w:val="16"/>
              </w:rPr>
              <w:t>($million)</w:t>
            </w:r>
          </w:p>
        </w:tc>
        <w:tc>
          <w:tcPr>
            <w:tcW w:w="774" w:type="pct"/>
            <w:tcBorders>
              <w:bottom w:val="single" w:sz="4" w:space="0" w:color="29114B" w:themeColor="text2"/>
            </w:tcBorders>
            <w:tcMar>
              <w:top w:w="57" w:type="dxa"/>
              <w:bottom w:w="57" w:type="dxa"/>
            </w:tcMar>
            <w:vAlign w:val="bottom"/>
          </w:tcPr>
          <w:p w14:paraId="74E75047" w14:textId="2E717AFE" w:rsidR="005D4330" w:rsidRPr="00C469B2" w:rsidRDefault="005D4330" w:rsidP="005D4330">
            <w:pPr>
              <w:pStyle w:val="TableColumnHeadingRight"/>
              <w:rPr>
                <w:szCs w:val="16"/>
              </w:rPr>
            </w:pPr>
            <w:r w:rsidRPr="00C469B2">
              <w:rPr>
                <w:szCs w:val="16"/>
              </w:rPr>
              <w:t>Budget 2025 ($million)</w:t>
            </w:r>
          </w:p>
        </w:tc>
      </w:tr>
      <w:tr w:rsidR="005D4330" w:rsidRPr="006534F5" w14:paraId="120A7A27" w14:textId="77777777" w:rsidTr="00BD7AD5">
        <w:tc>
          <w:tcPr>
            <w:tcW w:w="2233"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hideMark/>
          </w:tcPr>
          <w:p w14:paraId="32840803" w14:textId="562472AF" w:rsidR="005D4330" w:rsidRPr="005D4330" w:rsidRDefault="005D4330" w:rsidP="005D4330">
            <w:pPr>
              <w:pStyle w:val="TableSecondHeading"/>
              <w:rPr>
                <w:rStyle w:val="Strong"/>
                <w:b w:val="0"/>
                <w:bCs w:val="0"/>
              </w:rPr>
            </w:pPr>
            <w:r w:rsidRPr="005D4330">
              <w:rPr>
                <w:rStyle w:val="Strong"/>
                <w:bCs w:val="0"/>
              </w:rPr>
              <w:t>Financing activities</w:t>
            </w:r>
          </w:p>
        </w:tc>
        <w:tc>
          <w:tcPr>
            <w:tcW w:w="44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hideMark/>
          </w:tcPr>
          <w:p w14:paraId="0E3421FA" w14:textId="77777777" w:rsidR="005D4330" w:rsidRPr="005D4330" w:rsidRDefault="005D4330" w:rsidP="005D4330">
            <w:pPr>
              <w:pStyle w:val="TableTextCentered"/>
              <w:rPr>
                <w:rStyle w:val="Strong"/>
                <w:b w:val="0"/>
                <w:bCs w:val="0"/>
                <w:szCs w:val="16"/>
              </w:rPr>
            </w:pPr>
            <w:r w:rsidRPr="005D4330">
              <w:rPr>
                <w:rStyle w:val="Strong"/>
                <w:b w:val="0"/>
                <w:bCs w:val="0"/>
                <w:szCs w:val="16"/>
              </w:rPr>
              <w:t> </w:t>
            </w:r>
          </w:p>
        </w:tc>
        <w:tc>
          <w:tcPr>
            <w:tcW w:w="77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hideMark/>
          </w:tcPr>
          <w:p w14:paraId="010820DB" w14:textId="77777777" w:rsidR="005D4330" w:rsidRPr="00C469B2" w:rsidRDefault="005D4330" w:rsidP="00C86F4A">
            <w:pPr>
              <w:pStyle w:val="TableTextRight"/>
              <w:rPr>
                <w:rStyle w:val="Strong"/>
                <w:szCs w:val="16"/>
              </w:rPr>
            </w:pPr>
          </w:p>
        </w:tc>
        <w:tc>
          <w:tcPr>
            <w:tcW w:w="77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hideMark/>
          </w:tcPr>
          <w:p w14:paraId="2FE12B68" w14:textId="77777777" w:rsidR="005D4330" w:rsidRPr="00C469B2" w:rsidRDefault="005D4330" w:rsidP="00C86F4A">
            <w:pPr>
              <w:pStyle w:val="TableTextRight"/>
              <w:rPr>
                <w:color w:val="202845"/>
                <w:szCs w:val="16"/>
              </w:rPr>
            </w:pPr>
            <w:r w:rsidRPr="00C469B2">
              <w:rPr>
                <w:rStyle w:val="Strong"/>
                <w:szCs w:val="16"/>
              </w:rPr>
              <w:t> </w:t>
            </w:r>
          </w:p>
        </w:tc>
        <w:tc>
          <w:tcPr>
            <w:tcW w:w="774"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tcPr>
          <w:p w14:paraId="6C4AF0F3" w14:textId="77777777" w:rsidR="005D4330" w:rsidRPr="00C469B2" w:rsidRDefault="005D4330" w:rsidP="00C86F4A">
            <w:pPr>
              <w:pStyle w:val="TableTextRight"/>
              <w:rPr>
                <w:rStyle w:val="Strong"/>
                <w:szCs w:val="16"/>
              </w:rPr>
            </w:pPr>
          </w:p>
        </w:tc>
      </w:tr>
      <w:tr w:rsidR="005D4330" w:rsidRPr="006534F5" w14:paraId="01060CCF" w14:textId="77777777" w:rsidTr="00A61C4D">
        <w:tc>
          <w:tcPr>
            <w:tcW w:w="2233" w:type="pct"/>
            <w:shd w:val="clear" w:color="auto" w:fill="F2F2F2" w:themeFill="background1" w:themeFillShade="F2"/>
            <w:tcMar>
              <w:top w:w="57" w:type="dxa"/>
              <w:bottom w:w="57" w:type="dxa"/>
            </w:tcMar>
          </w:tcPr>
          <w:p w14:paraId="36FCDA33" w14:textId="77777777" w:rsidR="005D4330" w:rsidRPr="003946A9" w:rsidRDefault="005D4330" w:rsidP="00C86F4A">
            <w:pPr>
              <w:pStyle w:val="TableTextLeft"/>
              <w:rPr>
                <w:b/>
                <w:bCs/>
              </w:rPr>
            </w:pPr>
            <w:r w:rsidRPr="003946A9">
              <w:rPr>
                <w:b/>
                <w:bCs/>
              </w:rPr>
              <w:t>Cash received</w:t>
            </w:r>
          </w:p>
        </w:tc>
        <w:tc>
          <w:tcPr>
            <w:tcW w:w="447" w:type="pct"/>
            <w:shd w:val="clear" w:color="auto" w:fill="F2F2F2" w:themeFill="background1" w:themeFillShade="F2"/>
            <w:tcMar>
              <w:top w:w="57" w:type="dxa"/>
              <w:bottom w:w="57" w:type="dxa"/>
            </w:tcMar>
          </w:tcPr>
          <w:p w14:paraId="1D4B9A91" w14:textId="77777777" w:rsidR="005D4330" w:rsidRPr="005D4330" w:rsidRDefault="005D4330" w:rsidP="005D4330">
            <w:pPr>
              <w:pStyle w:val="TableTextCentered"/>
              <w:rPr>
                <w:rStyle w:val="Strong"/>
                <w:b w:val="0"/>
                <w:bCs w:val="0"/>
                <w:szCs w:val="16"/>
              </w:rPr>
            </w:pPr>
          </w:p>
        </w:tc>
        <w:tc>
          <w:tcPr>
            <w:tcW w:w="773" w:type="pct"/>
            <w:shd w:val="clear" w:color="auto" w:fill="F2F2F2" w:themeFill="background1" w:themeFillShade="F2"/>
            <w:tcMar>
              <w:top w:w="57" w:type="dxa"/>
              <w:bottom w:w="57" w:type="dxa"/>
            </w:tcMar>
          </w:tcPr>
          <w:p w14:paraId="78755D73" w14:textId="77777777" w:rsidR="005D4330" w:rsidRPr="00C469B2" w:rsidRDefault="005D4330" w:rsidP="00C86F4A">
            <w:pPr>
              <w:pStyle w:val="TableTextRight"/>
              <w:rPr>
                <w:rStyle w:val="Strong"/>
                <w:szCs w:val="16"/>
              </w:rPr>
            </w:pPr>
          </w:p>
        </w:tc>
        <w:tc>
          <w:tcPr>
            <w:tcW w:w="774" w:type="pct"/>
            <w:shd w:val="clear" w:color="auto" w:fill="F2F2F2" w:themeFill="background1" w:themeFillShade="F2"/>
            <w:tcMar>
              <w:top w:w="57" w:type="dxa"/>
              <w:bottom w:w="57" w:type="dxa"/>
            </w:tcMar>
          </w:tcPr>
          <w:p w14:paraId="498F0E7F" w14:textId="77777777" w:rsidR="005D4330" w:rsidRPr="00C469B2" w:rsidRDefault="005D4330" w:rsidP="00C86F4A">
            <w:pPr>
              <w:pStyle w:val="TableTextRight"/>
              <w:rPr>
                <w:color w:val="202845"/>
                <w:szCs w:val="16"/>
              </w:rPr>
            </w:pPr>
          </w:p>
        </w:tc>
        <w:tc>
          <w:tcPr>
            <w:tcW w:w="774" w:type="pct"/>
            <w:shd w:val="clear" w:color="auto" w:fill="F2F2F2" w:themeFill="background1" w:themeFillShade="F2"/>
            <w:tcMar>
              <w:top w:w="57" w:type="dxa"/>
              <w:bottom w:w="57" w:type="dxa"/>
            </w:tcMar>
          </w:tcPr>
          <w:p w14:paraId="102BF296" w14:textId="77777777" w:rsidR="005D4330" w:rsidRPr="00C469B2" w:rsidRDefault="005D4330" w:rsidP="00C86F4A">
            <w:pPr>
              <w:pStyle w:val="TableTextRight"/>
              <w:rPr>
                <w:color w:val="202845"/>
                <w:szCs w:val="16"/>
              </w:rPr>
            </w:pPr>
          </w:p>
        </w:tc>
      </w:tr>
      <w:tr w:rsidR="005D4330" w:rsidRPr="006534F5" w14:paraId="2244F77A" w14:textId="77777777" w:rsidTr="00A61C4D">
        <w:tc>
          <w:tcPr>
            <w:tcW w:w="2233" w:type="pct"/>
            <w:shd w:val="clear" w:color="auto" w:fill="F2F2F2" w:themeFill="background1" w:themeFillShade="F2"/>
            <w:tcMar>
              <w:top w:w="57" w:type="dxa"/>
              <w:bottom w:w="57" w:type="dxa"/>
            </w:tcMar>
          </w:tcPr>
          <w:p w14:paraId="60260A09" w14:textId="77777777" w:rsidR="005D4330" w:rsidRPr="00C469B2" w:rsidRDefault="005D4330" w:rsidP="00C86F4A">
            <w:pPr>
              <w:pStyle w:val="TableTextLeft"/>
              <w:rPr>
                <w:rStyle w:val="Strong"/>
                <w:szCs w:val="16"/>
              </w:rPr>
            </w:pPr>
            <w:r w:rsidRPr="00C469B2">
              <w:rPr>
                <w:szCs w:val="16"/>
              </w:rPr>
              <w:t>Proceeds from borrowings</w:t>
            </w:r>
          </w:p>
        </w:tc>
        <w:tc>
          <w:tcPr>
            <w:tcW w:w="447" w:type="pct"/>
            <w:shd w:val="clear" w:color="auto" w:fill="F2F2F2" w:themeFill="background1" w:themeFillShade="F2"/>
            <w:tcMar>
              <w:top w:w="57" w:type="dxa"/>
              <w:bottom w:w="57" w:type="dxa"/>
            </w:tcMar>
          </w:tcPr>
          <w:p w14:paraId="2E5BD4E3" w14:textId="77777777" w:rsidR="005D4330" w:rsidRPr="005D4330" w:rsidRDefault="005D4330" w:rsidP="005D4330">
            <w:pPr>
              <w:pStyle w:val="TableTextCentered"/>
              <w:rPr>
                <w:rStyle w:val="Strong"/>
                <w:szCs w:val="16"/>
              </w:rPr>
            </w:pPr>
            <w:r w:rsidRPr="005D4330">
              <w:t> </w:t>
            </w:r>
          </w:p>
        </w:tc>
        <w:tc>
          <w:tcPr>
            <w:tcW w:w="773" w:type="pct"/>
            <w:shd w:val="clear" w:color="auto" w:fill="F2F2F2" w:themeFill="background1" w:themeFillShade="F2"/>
            <w:tcMar>
              <w:top w:w="57" w:type="dxa"/>
              <w:bottom w:w="57" w:type="dxa"/>
            </w:tcMar>
          </w:tcPr>
          <w:p w14:paraId="1402D0B3" w14:textId="77777777" w:rsidR="005D4330" w:rsidRPr="00D11135" w:rsidRDefault="005D4330" w:rsidP="00C86F4A">
            <w:pPr>
              <w:pStyle w:val="TableTextRight"/>
            </w:pPr>
            <w:r w:rsidRPr="00D11135">
              <w:t>210,732</w:t>
            </w:r>
          </w:p>
        </w:tc>
        <w:tc>
          <w:tcPr>
            <w:tcW w:w="774" w:type="pct"/>
            <w:shd w:val="clear" w:color="auto" w:fill="F2F2F2" w:themeFill="background1" w:themeFillShade="F2"/>
            <w:tcMar>
              <w:top w:w="57" w:type="dxa"/>
              <w:bottom w:w="57" w:type="dxa"/>
            </w:tcMar>
          </w:tcPr>
          <w:p w14:paraId="4B0D1A66" w14:textId="77777777" w:rsidR="005D4330" w:rsidRPr="00C469B2" w:rsidRDefault="005D4330" w:rsidP="00C86F4A">
            <w:pPr>
              <w:pStyle w:val="TableTextRight"/>
              <w:rPr>
                <w:color w:val="202845"/>
                <w:szCs w:val="16"/>
              </w:rPr>
            </w:pPr>
            <w:r w:rsidRPr="00C469B2">
              <w:rPr>
                <w:szCs w:val="16"/>
              </w:rPr>
              <w:t xml:space="preserve">145,172 </w:t>
            </w:r>
          </w:p>
        </w:tc>
        <w:tc>
          <w:tcPr>
            <w:tcW w:w="774" w:type="pct"/>
            <w:shd w:val="clear" w:color="auto" w:fill="F2F2F2" w:themeFill="background1" w:themeFillShade="F2"/>
            <w:tcMar>
              <w:top w:w="57" w:type="dxa"/>
              <w:bottom w:w="57" w:type="dxa"/>
            </w:tcMar>
          </w:tcPr>
          <w:p w14:paraId="50BA9DCF" w14:textId="77777777" w:rsidR="005D4330" w:rsidRPr="00C469B2" w:rsidRDefault="005D4330" w:rsidP="00C86F4A">
            <w:pPr>
              <w:pStyle w:val="TableTextRight"/>
              <w:rPr>
                <w:szCs w:val="16"/>
              </w:rPr>
            </w:pPr>
            <w:r w:rsidRPr="00C469B2">
              <w:rPr>
                <w:szCs w:val="16"/>
              </w:rPr>
              <w:t>527,745</w:t>
            </w:r>
          </w:p>
        </w:tc>
      </w:tr>
      <w:tr w:rsidR="005D4330" w:rsidRPr="006534F5" w14:paraId="10FA710B" w14:textId="77777777" w:rsidTr="00A61C4D">
        <w:tc>
          <w:tcPr>
            <w:tcW w:w="2233" w:type="pct"/>
            <w:shd w:val="clear" w:color="auto" w:fill="F2F2F2" w:themeFill="background1" w:themeFillShade="F2"/>
            <w:tcMar>
              <w:top w:w="57" w:type="dxa"/>
              <w:bottom w:w="57" w:type="dxa"/>
            </w:tcMar>
          </w:tcPr>
          <w:p w14:paraId="4AD6BEAA" w14:textId="77777777" w:rsidR="005D4330" w:rsidRPr="00C469B2" w:rsidRDefault="005D4330" w:rsidP="00C86F4A">
            <w:pPr>
              <w:pStyle w:val="TableTextLeft"/>
              <w:rPr>
                <w:rStyle w:val="Strong"/>
                <w:szCs w:val="16"/>
              </w:rPr>
            </w:pPr>
            <w:r w:rsidRPr="00C469B2">
              <w:rPr>
                <w:szCs w:val="16"/>
              </w:rPr>
              <w:t>Other receipts</w:t>
            </w:r>
          </w:p>
        </w:tc>
        <w:tc>
          <w:tcPr>
            <w:tcW w:w="447" w:type="pct"/>
            <w:shd w:val="clear" w:color="auto" w:fill="F2F2F2" w:themeFill="background1" w:themeFillShade="F2"/>
            <w:tcMar>
              <w:top w:w="57" w:type="dxa"/>
              <w:bottom w:w="57" w:type="dxa"/>
            </w:tcMar>
          </w:tcPr>
          <w:p w14:paraId="2B5D5434" w14:textId="77777777" w:rsidR="005D4330" w:rsidRPr="005D4330" w:rsidRDefault="005D4330" w:rsidP="005D4330">
            <w:pPr>
              <w:pStyle w:val="TableTextCentered"/>
              <w:rPr>
                <w:rStyle w:val="Strong"/>
                <w:szCs w:val="16"/>
              </w:rPr>
            </w:pPr>
            <w:r w:rsidRPr="005D4330">
              <w:t> </w:t>
            </w:r>
          </w:p>
        </w:tc>
        <w:tc>
          <w:tcPr>
            <w:tcW w:w="773" w:type="pct"/>
            <w:shd w:val="clear" w:color="auto" w:fill="F2F2F2" w:themeFill="background1" w:themeFillShade="F2"/>
            <w:tcMar>
              <w:top w:w="57" w:type="dxa"/>
              <w:bottom w:w="57" w:type="dxa"/>
            </w:tcMar>
          </w:tcPr>
          <w:p w14:paraId="36741D91" w14:textId="77777777" w:rsidR="005D4330" w:rsidRPr="00D11135" w:rsidRDefault="005D4330" w:rsidP="00C86F4A">
            <w:pPr>
              <w:pStyle w:val="TableTextRight"/>
            </w:pPr>
            <w:r w:rsidRPr="00D11135">
              <w:t>10</w:t>
            </w:r>
            <w:r>
              <w:t>6</w:t>
            </w:r>
          </w:p>
        </w:tc>
        <w:tc>
          <w:tcPr>
            <w:tcW w:w="774" w:type="pct"/>
            <w:shd w:val="clear" w:color="auto" w:fill="F2F2F2" w:themeFill="background1" w:themeFillShade="F2"/>
            <w:tcMar>
              <w:top w:w="57" w:type="dxa"/>
              <w:bottom w:w="57" w:type="dxa"/>
            </w:tcMar>
          </w:tcPr>
          <w:p w14:paraId="1F9F12E1" w14:textId="77777777" w:rsidR="005D4330" w:rsidRPr="00C469B2" w:rsidRDefault="005D4330" w:rsidP="00C86F4A">
            <w:pPr>
              <w:pStyle w:val="TableTextRight"/>
              <w:rPr>
                <w:color w:val="202845"/>
                <w:szCs w:val="16"/>
              </w:rPr>
            </w:pPr>
            <w:r w:rsidRPr="00C469B2">
              <w:rPr>
                <w:szCs w:val="16"/>
              </w:rPr>
              <w:t xml:space="preserve">86 </w:t>
            </w:r>
          </w:p>
        </w:tc>
        <w:tc>
          <w:tcPr>
            <w:tcW w:w="774" w:type="pct"/>
            <w:shd w:val="clear" w:color="auto" w:fill="F2F2F2" w:themeFill="background1" w:themeFillShade="F2"/>
            <w:tcMar>
              <w:top w:w="57" w:type="dxa"/>
              <w:bottom w:w="57" w:type="dxa"/>
            </w:tcMar>
          </w:tcPr>
          <w:p w14:paraId="34A3F4FE" w14:textId="77777777" w:rsidR="005D4330" w:rsidRPr="00C469B2" w:rsidRDefault="005D4330" w:rsidP="00C86F4A">
            <w:pPr>
              <w:pStyle w:val="TableTextRight"/>
              <w:rPr>
                <w:szCs w:val="16"/>
              </w:rPr>
            </w:pPr>
            <w:r w:rsidRPr="00C469B2">
              <w:rPr>
                <w:szCs w:val="16"/>
              </w:rPr>
              <w:t>128</w:t>
            </w:r>
          </w:p>
        </w:tc>
      </w:tr>
      <w:tr w:rsidR="005D4330" w:rsidRPr="006534F5" w14:paraId="50AC8D5A" w14:textId="77777777" w:rsidTr="00A61C4D">
        <w:tc>
          <w:tcPr>
            <w:tcW w:w="2233" w:type="pct"/>
            <w:shd w:val="clear" w:color="auto" w:fill="F2F2F2" w:themeFill="background1" w:themeFillShade="F2"/>
            <w:tcMar>
              <w:top w:w="57" w:type="dxa"/>
              <w:bottom w:w="57" w:type="dxa"/>
            </w:tcMar>
          </w:tcPr>
          <w:p w14:paraId="72CF7262" w14:textId="77777777" w:rsidR="005D4330" w:rsidRPr="00C469B2" w:rsidRDefault="005D4330" w:rsidP="00C86F4A">
            <w:pPr>
              <w:pStyle w:val="TableTextLeft"/>
              <w:rPr>
                <w:rStyle w:val="Strong"/>
                <w:szCs w:val="16"/>
              </w:rPr>
            </w:pPr>
            <w:r w:rsidRPr="00C469B2">
              <w:rPr>
                <w:b/>
                <w:bCs/>
                <w:szCs w:val="16"/>
              </w:rPr>
              <w:t>Total cash received</w:t>
            </w:r>
          </w:p>
        </w:tc>
        <w:tc>
          <w:tcPr>
            <w:tcW w:w="447" w:type="pct"/>
            <w:shd w:val="clear" w:color="auto" w:fill="F2F2F2" w:themeFill="background1" w:themeFillShade="F2"/>
            <w:tcMar>
              <w:top w:w="57" w:type="dxa"/>
              <w:bottom w:w="57" w:type="dxa"/>
            </w:tcMar>
          </w:tcPr>
          <w:p w14:paraId="1B640D12" w14:textId="77777777" w:rsidR="005D4330" w:rsidRPr="005D4330" w:rsidRDefault="005D4330" w:rsidP="005D4330">
            <w:pPr>
              <w:pStyle w:val="TableTextCentered"/>
              <w:rPr>
                <w:rStyle w:val="Strong"/>
                <w:b w:val="0"/>
                <w:bCs w:val="0"/>
                <w:szCs w:val="16"/>
              </w:rPr>
            </w:pPr>
          </w:p>
        </w:tc>
        <w:tc>
          <w:tcPr>
            <w:tcW w:w="773" w:type="pct"/>
            <w:shd w:val="clear" w:color="auto" w:fill="F2F2F2" w:themeFill="background1" w:themeFillShade="F2"/>
            <w:tcMar>
              <w:top w:w="57" w:type="dxa"/>
              <w:bottom w:w="57" w:type="dxa"/>
            </w:tcMar>
          </w:tcPr>
          <w:p w14:paraId="68561B91" w14:textId="77777777" w:rsidR="005D4330" w:rsidRPr="003946A9" w:rsidRDefault="005D4330" w:rsidP="00C86F4A">
            <w:pPr>
              <w:pStyle w:val="TableTextRight"/>
              <w:rPr>
                <w:b/>
                <w:bCs/>
              </w:rPr>
            </w:pPr>
            <w:r w:rsidRPr="003946A9">
              <w:rPr>
                <w:b/>
                <w:bCs/>
              </w:rPr>
              <w:t>210,83</w:t>
            </w:r>
            <w:r>
              <w:rPr>
                <w:b/>
                <w:bCs/>
              </w:rPr>
              <w:t>8</w:t>
            </w:r>
          </w:p>
        </w:tc>
        <w:tc>
          <w:tcPr>
            <w:tcW w:w="774" w:type="pct"/>
            <w:shd w:val="clear" w:color="auto" w:fill="F2F2F2" w:themeFill="background1" w:themeFillShade="F2"/>
            <w:tcMar>
              <w:top w:w="57" w:type="dxa"/>
              <w:bottom w:w="57" w:type="dxa"/>
            </w:tcMar>
          </w:tcPr>
          <w:p w14:paraId="4A6C7413" w14:textId="77777777" w:rsidR="005D4330" w:rsidRPr="00C469B2" w:rsidRDefault="005D4330" w:rsidP="00C86F4A">
            <w:pPr>
              <w:pStyle w:val="TableTextRight"/>
              <w:rPr>
                <w:color w:val="202845"/>
                <w:szCs w:val="16"/>
              </w:rPr>
            </w:pPr>
            <w:r w:rsidRPr="00C469B2">
              <w:rPr>
                <w:b/>
                <w:bCs/>
                <w:szCs w:val="16"/>
              </w:rPr>
              <w:t>145,258</w:t>
            </w:r>
          </w:p>
        </w:tc>
        <w:tc>
          <w:tcPr>
            <w:tcW w:w="774" w:type="pct"/>
            <w:shd w:val="clear" w:color="auto" w:fill="F2F2F2" w:themeFill="background1" w:themeFillShade="F2"/>
            <w:tcMar>
              <w:top w:w="57" w:type="dxa"/>
              <w:bottom w:w="57" w:type="dxa"/>
            </w:tcMar>
          </w:tcPr>
          <w:p w14:paraId="3DADD40B" w14:textId="77777777" w:rsidR="005D4330" w:rsidRPr="00C469B2" w:rsidRDefault="005D4330" w:rsidP="00C86F4A">
            <w:pPr>
              <w:pStyle w:val="TableTextRight"/>
              <w:rPr>
                <w:b/>
                <w:bCs/>
                <w:szCs w:val="16"/>
              </w:rPr>
            </w:pPr>
            <w:r w:rsidRPr="00C469B2">
              <w:rPr>
                <w:b/>
                <w:bCs/>
                <w:szCs w:val="16"/>
              </w:rPr>
              <w:t>527,873</w:t>
            </w:r>
          </w:p>
        </w:tc>
      </w:tr>
      <w:tr w:rsidR="005D4330" w:rsidRPr="006534F5" w14:paraId="4D431BC2" w14:textId="77777777" w:rsidTr="00A61C4D">
        <w:tc>
          <w:tcPr>
            <w:tcW w:w="2233" w:type="pct"/>
            <w:shd w:val="clear" w:color="auto" w:fill="F2F2F2" w:themeFill="background1" w:themeFillShade="F2"/>
            <w:tcMar>
              <w:top w:w="57" w:type="dxa"/>
              <w:bottom w:w="57" w:type="dxa"/>
            </w:tcMar>
          </w:tcPr>
          <w:p w14:paraId="06B789FE" w14:textId="77777777" w:rsidR="005D4330" w:rsidRPr="00C469B2" w:rsidRDefault="005D4330" w:rsidP="00C86F4A">
            <w:pPr>
              <w:pStyle w:val="TableTextLeft"/>
              <w:rPr>
                <w:rStyle w:val="Strong"/>
                <w:szCs w:val="16"/>
              </w:rPr>
            </w:pPr>
            <w:r w:rsidRPr="00C469B2">
              <w:rPr>
                <w:b/>
                <w:bCs/>
                <w:szCs w:val="16"/>
              </w:rPr>
              <w:t>Cash used</w:t>
            </w:r>
          </w:p>
        </w:tc>
        <w:tc>
          <w:tcPr>
            <w:tcW w:w="447" w:type="pct"/>
            <w:shd w:val="clear" w:color="auto" w:fill="F2F2F2" w:themeFill="background1" w:themeFillShade="F2"/>
            <w:tcMar>
              <w:top w:w="57" w:type="dxa"/>
              <w:bottom w:w="57" w:type="dxa"/>
            </w:tcMar>
          </w:tcPr>
          <w:p w14:paraId="4A359603" w14:textId="77777777" w:rsidR="005D4330" w:rsidRPr="005D4330" w:rsidRDefault="005D4330" w:rsidP="005D4330">
            <w:pPr>
              <w:pStyle w:val="TableTextCentered"/>
              <w:rPr>
                <w:rStyle w:val="Strong"/>
                <w:b w:val="0"/>
                <w:bCs w:val="0"/>
                <w:szCs w:val="16"/>
              </w:rPr>
            </w:pPr>
          </w:p>
        </w:tc>
        <w:tc>
          <w:tcPr>
            <w:tcW w:w="773" w:type="pct"/>
            <w:shd w:val="clear" w:color="auto" w:fill="F2F2F2" w:themeFill="background1" w:themeFillShade="F2"/>
            <w:tcMar>
              <w:top w:w="57" w:type="dxa"/>
              <w:bottom w:w="57" w:type="dxa"/>
            </w:tcMar>
          </w:tcPr>
          <w:p w14:paraId="04C8C889" w14:textId="77777777" w:rsidR="005D4330" w:rsidRPr="003946A9" w:rsidRDefault="005D4330" w:rsidP="00C86F4A">
            <w:pPr>
              <w:pStyle w:val="TableTextRight"/>
              <w:rPr>
                <w:b/>
                <w:bCs/>
              </w:rPr>
            </w:pPr>
          </w:p>
        </w:tc>
        <w:tc>
          <w:tcPr>
            <w:tcW w:w="774" w:type="pct"/>
            <w:shd w:val="clear" w:color="auto" w:fill="F2F2F2" w:themeFill="background1" w:themeFillShade="F2"/>
            <w:tcMar>
              <w:top w:w="57" w:type="dxa"/>
              <w:bottom w:w="57" w:type="dxa"/>
            </w:tcMar>
          </w:tcPr>
          <w:p w14:paraId="25C1E246" w14:textId="77777777" w:rsidR="005D4330" w:rsidRPr="00C469B2" w:rsidRDefault="005D4330" w:rsidP="00C86F4A">
            <w:pPr>
              <w:pStyle w:val="TableTextRight"/>
              <w:rPr>
                <w:color w:val="202845"/>
                <w:szCs w:val="16"/>
              </w:rPr>
            </w:pPr>
          </w:p>
        </w:tc>
        <w:tc>
          <w:tcPr>
            <w:tcW w:w="774" w:type="pct"/>
            <w:shd w:val="clear" w:color="auto" w:fill="F2F2F2" w:themeFill="background1" w:themeFillShade="F2"/>
            <w:tcMar>
              <w:top w:w="57" w:type="dxa"/>
              <w:bottom w:w="57" w:type="dxa"/>
            </w:tcMar>
          </w:tcPr>
          <w:p w14:paraId="1A125B3E" w14:textId="77777777" w:rsidR="005D4330" w:rsidRPr="00C469B2" w:rsidRDefault="005D4330" w:rsidP="00C86F4A">
            <w:pPr>
              <w:pStyle w:val="TableTextRight"/>
              <w:rPr>
                <w:color w:val="202845"/>
                <w:szCs w:val="16"/>
              </w:rPr>
            </w:pPr>
          </w:p>
        </w:tc>
      </w:tr>
      <w:tr w:rsidR="005D4330" w:rsidRPr="006534F5" w14:paraId="29E72BAD" w14:textId="77777777" w:rsidTr="00A61C4D">
        <w:tc>
          <w:tcPr>
            <w:tcW w:w="2233" w:type="pct"/>
            <w:shd w:val="clear" w:color="auto" w:fill="F2F2F2" w:themeFill="background1" w:themeFillShade="F2"/>
            <w:tcMar>
              <w:top w:w="57" w:type="dxa"/>
              <w:bottom w:w="57" w:type="dxa"/>
            </w:tcMar>
          </w:tcPr>
          <w:p w14:paraId="228CD132" w14:textId="77777777" w:rsidR="005D4330" w:rsidRPr="00C469B2" w:rsidRDefault="005D4330" w:rsidP="00C86F4A">
            <w:pPr>
              <w:pStyle w:val="TableTextLeft"/>
              <w:rPr>
                <w:rStyle w:val="Strong"/>
                <w:szCs w:val="16"/>
              </w:rPr>
            </w:pPr>
            <w:r w:rsidRPr="00C469B2">
              <w:rPr>
                <w:szCs w:val="16"/>
              </w:rPr>
              <w:t>Repayment of borrowings</w:t>
            </w:r>
          </w:p>
        </w:tc>
        <w:tc>
          <w:tcPr>
            <w:tcW w:w="447" w:type="pct"/>
            <w:shd w:val="clear" w:color="auto" w:fill="F2F2F2" w:themeFill="background1" w:themeFillShade="F2"/>
            <w:tcMar>
              <w:top w:w="57" w:type="dxa"/>
              <w:bottom w:w="57" w:type="dxa"/>
            </w:tcMar>
          </w:tcPr>
          <w:p w14:paraId="0F423E56" w14:textId="77777777" w:rsidR="005D4330" w:rsidRPr="005D4330" w:rsidRDefault="005D4330" w:rsidP="005D4330">
            <w:pPr>
              <w:pStyle w:val="TableTextCentered"/>
              <w:rPr>
                <w:rStyle w:val="Strong"/>
                <w:szCs w:val="16"/>
              </w:rPr>
            </w:pPr>
            <w:r w:rsidRPr="005D4330">
              <w:t> </w:t>
            </w:r>
          </w:p>
        </w:tc>
        <w:tc>
          <w:tcPr>
            <w:tcW w:w="773" w:type="pct"/>
            <w:shd w:val="clear" w:color="auto" w:fill="F2F2F2" w:themeFill="background1" w:themeFillShade="F2"/>
            <w:tcMar>
              <w:top w:w="57" w:type="dxa"/>
              <w:bottom w:w="57" w:type="dxa"/>
            </w:tcMar>
          </w:tcPr>
          <w:p w14:paraId="7B5E348B" w14:textId="77777777" w:rsidR="005D4330" w:rsidRPr="00D11135" w:rsidRDefault="005D4330" w:rsidP="00C86F4A">
            <w:pPr>
              <w:pStyle w:val="TableTextRight"/>
            </w:pPr>
            <w:r w:rsidRPr="00D11135">
              <w:t>(193,933)</w:t>
            </w:r>
          </w:p>
        </w:tc>
        <w:tc>
          <w:tcPr>
            <w:tcW w:w="774" w:type="pct"/>
            <w:shd w:val="clear" w:color="auto" w:fill="F2F2F2" w:themeFill="background1" w:themeFillShade="F2"/>
            <w:tcMar>
              <w:top w:w="57" w:type="dxa"/>
              <w:bottom w:w="57" w:type="dxa"/>
            </w:tcMar>
          </w:tcPr>
          <w:p w14:paraId="6812A763" w14:textId="77777777" w:rsidR="005D4330" w:rsidRPr="00C469B2" w:rsidRDefault="005D4330" w:rsidP="00C86F4A">
            <w:pPr>
              <w:pStyle w:val="TableTextRight"/>
              <w:rPr>
                <w:color w:val="202845"/>
                <w:szCs w:val="16"/>
              </w:rPr>
            </w:pPr>
            <w:r w:rsidRPr="00C469B2">
              <w:rPr>
                <w:szCs w:val="16"/>
              </w:rPr>
              <w:t>(130,314)</w:t>
            </w:r>
          </w:p>
        </w:tc>
        <w:tc>
          <w:tcPr>
            <w:tcW w:w="774" w:type="pct"/>
            <w:shd w:val="clear" w:color="auto" w:fill="F2F2F2" w:themeFill="background1" w:themeFillShade="F2"/>
            <w:tcMar>
              <w:top w:w="57" w:type="dxa"/>
              <w:bottom w:w="57" w:type="dxa"/>
            </w:tcMar>
          </w:tcPr>
          <w:p w14:paraId="2EAC7A93" w14:textId="77777777" w:rsidR="005D4330" w:rsidRPr="00C469B2" w:rsidRDefault="005D4330" w:rsidP="00C86F4A">
            <w:pPr>
              <w:pStyle w:val="TableTextRight"/>
              <w:rPr>
                <w:szCs w:val="16"/>
              </w:rPr>
            </w:pPr>
            <w:r w:rsidRPr="00C469B2">
              <w:rPr>
                <w:szCs w:val="16"/>
              </w:rPr>
              <w:t>(502,240)</w:t>
            </w:r>
          </w:p>
        </w:tc>
      </w:tr>
      <w:tr w:rsidR="005D4330" w:rsidRPr="006534F5" w14:paraId="150F99B4" w14:textId="77777777" w:rsidTr="00A61C4D">
        <w:tc>
          <w:tcPr>
            <w:tcW w:w="2233" w:type="pct"/>
            <w:shd w:val="clear" w:color="auto" w:fill="F2F2F2" w:themeFill="background1" w:themeFillShade="F2"/>
            <w:tcMar>
              <w:top w:w="57" w:type="dxa"/>
              <w:bottom w:w="57" w:type="dxa"/>
            </w:tcMar>
          </w:tcPr>
          <w:p w14:paraId="24835042" w14:textId="77777777" w:rsidR="005D4330" w:rsidRPr="00C469B2" w:rsidRDefault="005D4330" w:rsidP="00C86F4A">
            <w:pPr>
              <w:pStyle w:val="TableTextLeft"/>
              <w:rPr>
                <w:rStyle w:val="Strong"/>
                <w:szCs w:val="16"/>
              </w:rPr>
            </w:pPr>
            <w:r w:rsidRPr="00C469B2">
              <w:rPr>
                <w:szCs w:val="16"/>
              </w:rPr>
              <w:t>Other payments</w:t>
            </w:r>
          </w:p>
        </w:tc>
        <w:tc>
          <w:tcPr>
            <w:tcW w:w="447" w:type="pct"/>
            <w:shd w:val="clear" w:color="auto" w:fill="F2F2F2" w:themeFill="background1" w:themeFillShade="F2"/>
            <w:tcMar>
              <w:top w:w="57" w:type="dxa"/>
              <w:bottom w:w="57" w:type="dxa"/>
            </w:tcMar>
          </w:tcPr>
          <w:p w14:paraId="5CAAC798" w14:textId="77777777" w:rsidR="005D4330" w:rsidRPr="005D4330" w:rsidRDefault="005D4330" w:rsidP="005D4330">
            <w:pPr>
              <w:pStyle w:val="TableTextCentered"/>
              <w:rPr>
                <w:rStyle w:val="Strong"/>
                <w:szCs w:val="16"/>
              </w:rPr>
            </w:pPr>
            <w:r w:rsidRPr="005D4330">
              <w:t> </w:t>
            </w:r>
          </w:p>
        </w:tc>
        <w:tc>
          <w:tcPr>
            <w:tcW w:w="773" w:type="pct"/>
            <w:shd w:val="clear" w:color="auto" w:fill="F2F2F2" w:themeFill="background1" w:themeFillShade="F2"/>
            <w:tcMar>
              <w:top w:w="57" w:type="dxa"/>
              <w:bottom w:w="57" w:type="dxa"/>
            </w:tcMar>
          </w:tcPr>
          <w:p w14:paraId="1EB80756" w14:textId="77777777" w:rsidR="005D4330" w:rsidRPr="00D11135" w:rsidRDefault="005D4330" w:rsidP="00C86F4A">
            <w:pPr>
              <w:pStyle w:val="TableTextRight"/>
            </w:pPr>
            <w:r w:rsidRPr="00D11135">
              <w:t>(105)</w:t>
            </w:r>
          </w:p>
        </w:tc>
        <w:tc>
          <w:tcPr>
            <w:tcW w:w="774" w:type="pct"/>
            <w:shd w:val="clear" w:color="auto" w:fill="F2F2F2" w:themeFill="background1" w:themeFillShade="F2"/>
            <w:tcMar>
              <w:top w:w="57" w:type="dxa"/>
              <w:bottom w:w="57" w:type="dxa"/>
            </w:tcMar>
          </w:tcPr>
          <w:p w14:paraId="14FE1E0D" w14:textId="77777777" w:rsidR="005D4330" w:rsidRPr="00C469B2" w:rsidRDefault="005D4330" w:rsidP="00C86F4A">
            <w:pPr>
              <w:pStyle w:val="TableTextRight"/>
              <w:rPr>
                <w:color w:val="202845"/>
                <w:szCs w:val="16"/>
              </w:rPr>
            </w:pPr>
            <w:r w:rsidRPr="00C469B2">
              <w:rPr>
                <w:szCs w:val="16"/>
              </w:rPr>
              <w:t>(86)</w:t>
            </w:r>
          </w:p>
        </w:tc>
        <w:tc>
          <w:tcPr>
            <w:tcW w:w="774" w:type="pct"/>
            <w:shd w:val="clear" w:color="auto" w:fill="F2F2F2" w:themeFill="background1" w:themeFillShade="F2"/>
            <w:tcMar>
              <w:top w:w="57" w:type="dxa"/>
              <w:bottom w:w="57" w:type="dxa"/>
            </w:tcMar>
          </w:tcPr>
          <w:p w14:paraId="73D387DA" w14:textId="77777777" w:rsidR="005D4330" w:rsidRPr="00C469B2" w:rsidRDefault="005D4330" w:rsidP="00C86F4A">
            <w:pPr>
              <w:pStyle w:val="TableTextRight"/>
              <w:rPr>
                <w:szCs w:val="16"/>
              </w:rPr>
            </w:pPr>
            <w:r w:rsidRPr="00C469B2">
              <w:rPr>
                <w:szCs w:val="16"/>
              </w:rPr>
              <w:t>(128)</w:t>
            </w:r>
          </w:p>
        </w:tc>
      </w:tr>
      <w:tr w:rsidR="005D4330" w:rsidRPr="006534F5" w14:paraId="65813D0C" w14:textId="77777777" w:rsidTr="00A61C4D">
        <w:tc>
          <w:tcPr>
            <w:tcW w:w="2233" w:type="pct"/>
            <w:shd w:val="clear" w:color="auto" w:fill="F2F2F2" w:themeFill="background1" w:themeFillShade="F2"/>
            <w:tcMar>
              <w:top w:w="57" w:type="dxa"/>
              <w:bottom w:w="57" w:type="dxa"/>
            </w:tcMar>
          </w:tcPr>
          <w:p w14:paraId="12884A43" w14:textId="77777777" w:rsidR="005D4330" w:rsidRPr="00C469B2" w:rsidRDefault="005D4330" w:rsidP="00C86F4A">
            <w:pPr>
              <w:pStyle w:val="TableTextLeft"/>
              <w:rPr>
                <w:rStyle w:val="Strong"/>
                <w:szCs w:val="16"/>
              </w:rPr>
            </w:pPr>
            <w:r w:rsidRPr="00C469B2">
              <w:rPr>
                <w:b/>
                <w:bCs/>
                <w:szCs w:val="16"/>
              </w:rPr>
              <w:t>Total cash used</w:t>
            </w:r>
          </w:p>
        </w:tc>
        <w:tc>
          <w:tcPr>
            <w:tcW w:w="447" w:type="pct"/>
            <w:shd w:val="clear" w:color="auto" w:fill="F2F2F2" w:themeFill="background1" w:themeFillShade="F2"/>
            <w:tcMar>
              <w:top w:w="57" w:type="dxa"/>
              <w:bottom w:w="57" w:type="dxa"/>
            </w:tcMar>
          </w:tcPr>
          <w:p w14:paraId="1195A4D7" w14:textId="77777777" w:rsidR="005D4330" w:rsidRPr="005D4330" w:rsidRDefault="005D4330" w:rsidP="005D4330">
            <w:pPr>
              <w:pStyle w:val="TableTextCentered"/>
              <w:rPr>
                <w:rStyle w:val="Strong"/>
                <w:b w:val="0"/>
                <w:bCs w:val="0"/>
                <w:szCs w:val="16"/>
              </w:rPr>
            </w:pPr>
          </w:p>
        </w:tc>
        <w:tc>
          <w:tcPr>
            <w:tcW w:w="773" w:type="pct"/>
            <w:shd w:val="clear" w:color="auto" w:fill="F2F2F2" w:themeFill="background1" w:themeFillShade="F2"/>
            <w:tcMar>
              <w:top w:w="57" w:type="dxa"/>
              <w:bottom w:w="57" w:type="dxa"/>
            </w:tcMar>
          </w:tcPr>
          <w:p w14:paraId="34E17DEF" w14:textId="77777777" w:rsidR="005D4330" w:rsidRPr="003946A9" w:rsidRDefault="005D4330" w:rsidP="00C86F4A">
            <w:pPr>
              <w:pStyle w:val="TableTextRight"/>
              <w:rPr>
                <w:b/>
                <w:bCs/>
              </w:rPr>
            </w:pPr>
            <w:r w:rsidRPr="003946A9">
              <w:rPr>
                <w:b/>
                <w:bCs/>
              </w:rPr>
              <w:t>(194,038)</w:t>
            </w:r>
          </w:p>
        </w:tc>
        <w:tc>
          <w:tcPr>
            <w:tcW w:w="774" w:type="pct"/>
            <w:shd w:val="clear" w:color="auto" w:fill="F2F2F2" w:themeFill="background1" w:themeFillShade="F2"/>
            <w:tcMar>
              <w:top w:w="57" w:type="dxa"/>
              <w:bottom w:w="57" w:type="dxa"/>
            </w:tcMar>
          </w:tcPr>
          <w:p w14:paraId="49A90BA5" w14:textId="77777777" w:rsidR="005D4330" w:rsidRPr="00C469B2" w:rsidRDefault="005D4330" w:rsidP="00C86F4A">
            <w:pPr>
              <w:pStyle w:val="TableTextRight"/>
              <w:rPr>
                <w:color w:val="202845"/>
                <w:szCs w:val="16"/>
              </w:rPr>
            </w:pPr>
            <w:r w:rsidRPr="00C469B2">
              <w:rPr>
                <w:b/>
                <w:bCs/>
                <w:szCs w:val="16"/>
              </w:rPr>
              <w:t>(130,400)</w:t>
            </w:r>
          </w:p>
        </w:tc>
        <w:tc>
          <w:tcPr>
            <w:tcW w:w="774" w:type="pct"/>
            <w:shd w:val="clear" w:color="auto" w:fill="F2F2F2" w:themeFill="background1" w:themeFillShade="F2"/>
            <w:tcMar>
              <w:top w:w="57" w:type="dxa"/>
              <w:bottom w:w="57" w:type="dxa"/>
            </w:tcMar>
          </w:tcPr>
          <w:p w14:paraId="7530A044" w14:textId="77777777" w:rsidR="005D4330" w:rsidRPr="00C469B2" w:rsidRDefault="005D4330" w:rsidP="00C86F4A">
            <w:pPr>
              <w:pStyle w:val="TableTextRight"/>
              <w:rPr>
                <w:b/>
                <w:bCs/>
                <w:szCs w:val="16"/>
              </w:rPr>
            </w:pPr>
            <w:r w:rsidRPr="00C469B2">
              <w:rPr>
                <w:b/>
                <w:bCs/>
                <w:szCs w:val="16"/>
              </w:rPr>
              <w:t>(502,368)</w:t>
            </w:r>
          </w:p>
        </w:tc>
      </w:tr>
      <w:tr w:rsidR="005D4330" w:rsidRPr="006534F5" w14:paraId="380A0BC9" w14:textId="77777777" w:rsidTr="00A61C4D">
        <w:tc>
          <w:tcPr>
            <w:tcW w:w="2233" w:type="pct"/>
            <w:shd w:val="clear" w:color="auto" w:fill="F2F2F2" w:themeFill="background1" w:themeFillShade="F2"/>
            <w:tcMar>
              <w:top w:w="57" w:type="dxa"/>
              <w:bottom w:w="57" w:type="dxa"/>
            </w:tcMar>
          </w:tcPr>
          <w:p w14:paraId="2A0FE860" w14:textId="77777777" w:rsidR="005D4330" w:rsidRPr="003946A9" w:rsidRDefault="005D4330" w:rsidP="00C86F4A">
            <w:pPr>
              <w:pStyle w:val="TableTextLeft"/>
              <w:rPr>
                <w:b/>
                <w:bCs/>
              </w:rPr>
            </w:pPr>
            <w:r w:rsidRPr="003946A9">
              <w:rPr>
                <w:b/>
                <w:bCs/>
              </w:rPr>
              <w:t>Net cash from financing activities</w:t>
            </w:r>
          </w:p>
        </w:tc>
        <w:tc>
          <w:tcPr>
            <w:tcW w:w="447" w:type="pct"/>
            <w:shd w:val="clear" w:color="auto" w:fill="F2F2F2" w:themeFill="background1" w:themeFillShade="F2"/>
            <w:tcMar>
              <w:top w:w="57" w:type="dxa"/>
              <w:bottom w:w="57" w:type="dxa"/>
            </w:tcMar>
          </w:tcPr>
          <w:p w14:paraId="3F527DBF" w14:textId="77777777" w:rsidR="005D4330" w:rsidRPr="005D4330" w:rsidRDefault="005D4330" w:rsidP="005D4330">
            <w:pPr>
              <w:pStyle w:val="TableTextCentered"/>
              <w:rPr>
                <w:rStyle w:val="Strong"/>
                <w:b w:val="0"/>
                <w:bCs w:val="0"/>
                <w:szCs w:val="16"/>
              </w:rPr>
            </w:pPr>
            <w:r w:rsidRPr="005D4330">
              <w:rPr>
                <w:rStyle w:val="Strong"/>
                <w:b w:val="0"/>
                <w:bCs w:val="0"/>
                <w:szCs w:val="16"/>
              </w:rPr>
              <w:t> </w:t>
            </w:r>
          </w:p>
        </w:tc>
        <w:tc>
          <w:tcPr>
            <w:tcW w:w="773" w:type="pct"/>
            <w:shd w:val="clear" w:color="auto" w:fill="F2F2F2" w:themeFill="background1" w:themeFillShade="F2"/>
            <w:tcMar>
              <w:top w:w="57" w:type="dxa"/>
              <w:bottom w:w="57" w:type="dxa"/>
            </w:tcMar>
          </w:tcPr>
          <w:p w14:paraId="5AAEDE2E" w14:textId="77777777" w:rsidR="005D4330" w:rsidRPr="003946A9" w:rsidRDefault="005D4330" w:rsidP="00C86F4A">
            <w:pPr>
              <w:pStyle w:val="TableTextRight"/>
              <w:rPr>
                <w:b/>
                <w:bCs/>
              </w:rPr>
            </w:pPr>
            <w:r w:rsidRPr="003946A9">
              <w:rPr>
                <w:b/>
                <w:bCs/>
              </w:rPr>
              <w:t>16,80</w:t>
            </w:r>
            <w:r>
              <w:rPr>
                <w:b/>
                <w:bCs/>
              </w:rPr>
              <w:t>0</w:t>
            </w:r>
          </w:p>
        </w:tc>
        <w:tc>
          <w:tcPr>
            <w:tcW w:w="774" w:type="pct"/>
            <w:shd w:val="clear" w:color="auto" w:fill="F2F2F2" w:themeFill="background1" w:themeFillShade="F2"/>
            <w:tcMar>
              <w:top w:w="57" w:type="dxa"/>
              <w:bottom w:w="57" w:type="dxa"/>
            </w:tcMar>
          </w:tcPr>
          <w:p w14:paraId="018E63BB" w14:textId="77777777" w:rsidR="005D4330" w:rsidRPr="003946A9" w:rsidRDefault="005D4330" w:rsidP="00C86F4A">
            <w:pPr>
              <w:pStyle w:val="TableTextRight"/>
              <w:rPr>
                <w:b/>
                <w:bCs/>
              </w:rPr>
            </w:pPr>
            <w:r w:rsidRPr="003946A9">
              <w:rPr>
                <w:b/>
                <w:bCs/>
              </w:rPr>
              <w:t>14,858</w:t>
            </w:r>
          </w:p>
        </w:tc>
        <w:tc>
          <w:tcPr>
            <w:tcW w:w="774" w:type="pct"/>
            <w:shd w:val="clear" w:color="auto" w:fill="F2F2F2" w:themeFill="background1" w:themeFillShade="F2"/>
            <w:tcMar>
              <w:top w:w="57" w:type="dxa"/>
              <w:bottom w:w="57" w:type="dxa"/>
            </w:tcMar>
          </w:tcPr>
          <w:p w14:paraId="4E94A851" w14:textId="77777777" w:rsidR="005D4330" w:rsidRPr="003946A9" w:rsidRDefault="005D4330" w:rsidP="00C86F4A">
            <w:pPr>
              <w:pStyle w:val="TableTextRight"/>
              <w:rPr>
                <w:b/>
                <w:bCs/>
              </w:rPr>
            </w:pPr>
            <w:r w:rsidRPr="003946A9">
              <w:rPr>
                <w:b/>
                <w:bCs/>
              </w:rPr>
              <w:t>25,505</w:t>
            </w:r>
          </w:p>
        </w:tc>
      </w:tr>
      <w:tr w:rsidR="005D4330" w:rsidRPr="006534F5" w14:paraId="4026D01A" w14:textId="77777777" w:rsidTr="00A61C4D">
        <w:tc>
          <w:tcPr>
            <w:tcW w:w="2233" w:type="pct"/>
            <w:shd w:val="clear" w:color="auto" w:fill="F2F2F2" w:themeFill="background1" w:themeFillShade="F2"/>
            <w:tcMar>
              <w:top w:w="57" w:type="dxa"/>
              <w:bottom w:w="57" w:type="dxa"/>
            </w:tcMar>
          </w:tcPr>
          <w:p w14:paraId="7472F396" w14:textId="77777777" w:rsidR="005D4330" w:rsidRPr="003946A9" w:rsidRDefault="005D4330" w:rsidP="00C86F4A">
            <w:pPr>
              <w:pStyle w:val="TableTextLeft"/>
              <w:rPr>
                <w:b/>
                <w:bCs/>
              </w:rPr>
            </w:pPr>
            <w:r w:rsidRPr="003946A9">
              <w:rPr>
                <w:b/>
                <w:bCs/>
              </w:rPr>
              <w:t>Cash from Official Public Account</w:t>
            </w:r>
          </w:p>
        </w:tc>
        <w:tc>
          <w:tcPr>
            <w:tcW w:w="447" w:type="pct"/>
            <w:shd w:val="clear" w:color="auto" w:fill="F2F2F2" w:themeFill="background1" w:themeFillShade="F2"/>
            <w:tcMar>
              <w:top w:w="57" w:type="dxa"/>
              <w:bottom w:w="57" w:type="dxa"/>
            </w:tcMar>
          </w:tcPr>
          <w:p w14:paraId="78F7ABF6" w14:textId="77777777" w:rsidR="005D4330" w:rsidRPr="005D4330" w:rsidRDefault="005D4330" w:rsidP="005D4330">
            <w:pPr>
              <w:pStyle w:val="TableTextCentered"/>
              <w:rPr>
                <w:rStyle w:val="Strong"/>
                <w:b w:val="0"/>
                <w:bCs w:val="0"/>
                <w:szCs w:val="16"/>
              </w:rPr>
            </w:pPr>
          </w:p>
        </w:tc>
        <w:tc>
          <w:tcPr>
            <w:tcW w:w="773" w:type="pct"/>
            <w:shd w:val="clear" w:color="auto" w:fill="F2F2F2" w:themeFill="background1" w:themeFillShade="F2"/>
            <w:tcMar>
              <w:top w:w="57" w:type="dxa"/>
              <w:bottom w:w="57" w:type="dxa"/>
            </w:tcMar>
          </w:tcPr>
          <w:p w14:paraId="508D00EA" w14:textId="77777777" w:rsidR="005D4330" w:rsidRPr="00C469B2" w:rsidRDefault="005D4330" w:rsidP="00C86F4A">
            <w:pPr>
              <w:pStyle w:val="TableTextRight"/>
              <w:rPr>
                <w:rStyle w:val="Strong"/>
                <w:szCs w:val="16"/>
              </w:rPr>
            </w:pPr>
          </w:p>
        </w:tc>
        <w:tc>
          <w:tcPr>
            <w:tcW w:w="774" w:type="pct"/>
            <w:shd w:val="clear" w:color="auto" w:fill="F2F2F2" w:themeFill="background1" w:themeFillShade="F2"/>
            <w:tcMar>
              <w:top w:w="57" w:type="dxa"/>
              <w:bottom w:w="57" w:type="dxa"/>
            </w:tcMar>
          </w:tcPr>
          <w:p w14:paraId="4C68F749" w14:textId="77777777" w:rsidR="005D4330" w:rsidRPr="00C469B2" w:rsidRDefault="005D4330" w:rsidP="00C86F4A">
            <w:pPr>
              <w:pStyle w:val="TableTextRight"/>
              <w:rPr>
                <w:color w:val="202845"/>
                <w:szCs w:val="16"/>
              </w:rPr>
            </w:pPr>
          </w:p>
        </w:tc>
        <w:tc>
          <w:tcPr>
            <w:tcW w:w="774" w:type="pct"/>
            <w:shd w:val="clear" w:color="auto" w:fill="F2F2F2" w:themeFill="background1" w:themeFillShade="F2"/>
            <w:tcMar>
              <w:top w:w="57" w:type="dxa"/>
              <w:bottom w:w="57" w:type="dxa"/>
            </w:tcMar>
          </w:tcPr>
          <w:p w14:paraId="71E38308" w14:textId="77777777" w:rsidR="005D4330" w:rsidRPr="00C469B2" w:rsidRDefault="005D4330" w:rsidP="00C86F4A">
            <w:pPr>
              <w:pStyle w:val="TableTextRight"/>
              <w:rPr>
                <w:color w:val="202845"/>
                <w:szCs w:val="16"/>
              </w:rPr>
            </w:pPr>
          </w:p>
        </w:tc>
      </w:tr>
      <w:tr w:rsidR="005D4330" w:rsidRPr="006534F5" w14:paraId="0341D43F" w14:textId="77777777" w:rsidTr="00A61C4D">
        <w:tc>
          <w:tcPr>
            <w:tcW w:w="2233" w:type="pct"/>
            <w:shd w:val="clear" w:color="auto" w:fill="F2F2F2" w:themeFill="background1" w:themeFillShade="F2"/>
            <w:tcMar>
              <w:top w:w="57" w:type="dxa"/>
              <w:bottom w:w="57" w:type="dxa"/>
            </w:tcMar>
            <w:hideMark/>
          </w:tcPr>
          <w:p w14:paraId="2C0A5B93" w14:textId="77777777" w:rsidR="005D4330" w:rsidRPr="00C469B2" w:rsidRDefault="005D4330" w:rsidP="00C86F4A">
            <w:pPr>
              <w:pStyle w:val="TableTextLeft"/>
              <w:rPr>
                <w:szCs w:val="16"/>
              </w:rPr>
            </w:pPr>
            <w:r w:rsidRPr="00C469B2">
              <w:rPr>
                <w:szCs w:val="16"/>
              </w:rPr>
              <w:t>Cash management account transfers</w:t>
            </w:r>
          </w:p>
        </w:tc>
        <w:tc>
          <w:tcPr>
            <w:tcW w:w="447" w:type="pct"/>
            <w:shd w:val="clear" w:color="auto" w:fill="F2F2F2" w:themeFill="background1" w:themeFillShade="F2"/>
            <w:tcMar>
              <w:top w:w="57" w:type="dxa"/>
              <w:bottom w:w="57" w:type="dxa"/>
            </w:tcMar>
            <w:hideMark/>
          </w:tcPr>
          <w:p w14:paraId="2467DFFC" w14:textId="77777777" w:rsidR="005D4330" w:rsidRPr="005D4330" w:rsidRDefault="005D4330" w:rsidP="005D4330">
            <w:pPr>
              <w:pStyle w:val="TableTextCentered"/>
            </w:pPr>
            <w:r w:rsidRPr="005D4330">
              <w:t> </w:t>
            </w:r>
          </w:p>
        </w:tc>
        <w:tc>
          <w:tcPr>
            <w:tcW w:w="773" w:type="pct"/>
            <w:shd w:val="clear" w:color="auto" w:fill="F2F2F2" w:themeFill="background1" w:themeFillShade="F2"/>
            <w:tcMar>
              <w:top w:w="57" w:type="dxa"/>
              <w:bottom w:w="57" w:type="dxa"/>
            </w:tcMar>
          </w:tcPr>
          <w:p w14:paraId="40088842" w14:textId="77777777" w:rsidR="005D4330" w:rsidRPr="00C469B2" w:rsidRDefault="005D4330" w:rsidP="00C86F4A">
            <w:pPr>
              <w:pStyle w:val="TableTextRight"/>
              <w:rPr>
                <w:szCs w:val="16"/>
              </w:rPr>
            </w:pPr>
            <w:r>
              <w:rPr>
                <w:szCs w:val="16"/>
              </w:rPr>
              <w:noBreakHyphen/>
            </w:r>
          </w:p>
        </w:tc>
        <w:tc>
          <w:tcPr>
            <w:tcW w:w="774" w:type="pct"/>
            <w:shd w:val="clear" w:color="auto" w:fill="F2F2F2" w:themeFill="background1" w:themeFillShade="F2"/>
            <w:tcMar>
              <w:top w:w="57" w:type="dxa"/>
              <w:bottom w:w="57" w:type="dxa"/>
            </w:tcMar>
            <w:hideMark/>
          </w:tcPr>
          <w:p w14:paraId="22603148" w14:textId="77777777" w:rsidR="005D4330" w:rsidRPr="00C469B2" w:rsidRDefault="005D4330" w:rsidP="00C86F4A">
            <w:pPr>
              <w:pStyle w:val="TableTextRight"/>
              <w:rPr>
                <w:szCs w:val="16"/>
              </w:rPr>
            </w:pPr>
            <w:r w:rsidRPr="00C469B2">
              <w:rPr>
                <w:szCs w:val="16"/>
              </w:rPr>
              <w:t>3,345</w:t>
            </w:r>
          </w:p>
        </w:tc>
        <w:tc>
          <w:tcPr>
            <w:tcW w:w="774" w:type="pct"/>
            <w:shd w:val="clear" w:color="auto" w:fill="F2F2F2" w:themeFill="background1" w:themeFillShade="F2"/>
            <w:tcMar>
              <w:top w:w="57" w:type="dxa"/>
              <w:bottom w:w="57" w:type="dxa"/>
            </w:tcMar>
          </w:tcPr>
          <w:p w14:paraId="5F4F60CF" w14:textId="77777777" w:rsidR="005D4330" w:rsidRPr="00C469B2" w:rsidRDefault="005D4330" w:rsidP="00C86F4A">
            <w:pPr>
              <w:pStyle w:val="TableTextRight"/>
              <w:rPr>
                <w:szCs w:val="16"/>
              </w:rPr>
            </w:pPr>
            <w:r>
              <w:rPr>
                <w:szCs w:val="16"/>
              </w:rPr>
              <w:noBreakHyphen/>
            </w:r>
          </w:p>
        </w:tc>
      </w:tr>
      <w:tr w:rsidR="005D4330" w:rsidRPr="006534F5" w14:paraId="251D6A2F" w14:textId="77777777" w:rsidTr="00A61C4D">
        <w:tc>
          <w:tcPr>
            <w:tcW w:w="2233" w:type="pct"/>
            <w:shd w:val="clear" w:color="auto" w:fill="F2F2F2" w:themeFill="background1" w:themeFillShade="F2"/>
            <w:tcMar>
              <w:top w:w="57" w:type="dxa"/>
              <w:bottom w:w="57" w:type="dxa"/>
            </w:tcMar>
            <w:hideMark/>
          </w:tcPr>
          <w:p w14:paraId="0F782FB5" w14:textId="77777777" w:rsidR="005D4330" w:rsidRPr="00C469B2" w:rsidRDefault="005D4330" w:rsidP="00C86F4A">
            <w:pPr>
              <w:pStyle w:val="TableTextLeft"/>
              <w:rPr>
                <w:szCs w:val="16"/>
              </w:rPr>
            </w:pPr>
            <w:r w:rsidRPr="00C469B2">
              <w:rPr>
                <w:szCs w:val="16"/>
              </w:rPr>
              <w:t>Appropriations – unlimited special</w:t>
            </w:r>
          </w:p>
        </w:tc>
        <w:tc>
          <w:tcPr>
            <w:tcW w:w="447" w:type="pct"/>
            <w:shd w:val="clear" w:color="auto" w:fill="F2F2F2" w:themeFill="background1" w:themeFillShade="F2"/>
            <w:tcMar>
              <w:top w:w="57" w:type="dxa"/>
              <w:bottom w:w="57" w:type="dxa"/>
            </w:tcMar>
            <w:hideMark/>
          </w:tcPr>
          <w:p w14:paraId="10CAFCCA" w14:textId="77777777" w:rsidR="005D4330" w:rsidRPr="005D4330" w:rsidRDefault="005D4330" w:rsidP="005D4330">
            <w:pPr>
              <w:pStyle w:val="TableTextCentered"/>
            </w:pPr>
            <w:r w:rsidRPr="005D4330">
              <w:t>9</w:t>
            </w:r>
          </w:p>
        </w:tc>
        <w:tc>
          <w:tcPr>
            <w:tcW w:w="773" w:type="pct"/>
            <w:shd w:val="clear" w:color="auto" w:fill="F2F2F2" w:themeFill="background1" w:themeFillShade="F2"/>
            <w:tcMar>
              <w:top w:w="57" w:type="dxa"/>
              <w:bottom w:w="57" w:type="dxa"/>
            </w:tcMar>
          </w:tcPr>
          <w:p w14:paraId="5650872E" w14:textId="77777777" w:rsidR="005D4330" w:rsidRPr="00C469B2" w:rsidRDefault="005D4330" w:rsidP="00C86F4A">
            <w:pPr>
              <w:pStyle w:val="TableTextRight"/>
              <w:rPr>
                <w:szCs w:val="16"/>
              </w:rPr>
            </w:pPr>
            <w:r>
              <w:rPr>
                <w:szCs w:val="16"/>
              </w:rPr>
              <w:t>220,424</w:t>
            </w:r>
          </w:p>
        </w:tc>
        <w:tc>
          <w:tcPr>
            <w:tcW w:w="774" w:type="pct"/>
            <w:shd w:val="clear" w:color="auto" w:fill="F2F2F2" w:themeFill="background1" w:themeFillShade="F2"/>
            <w:tcMar>
              <w:top w:w="57" w:type="dxa"/>
              <w:bottom w:w="57" w:type="dxa"/>
            </w:tcMar>
            <w:hideMark/>
          </w:tcPr>
          <w:p w14:paraId="6A5ED995" w14:textId="77777777" w:rsidR="005D4330" w:rsidRPr="00C469B2" w:rsidRDefault="005D4330" w:rsidP="00C86F4A">
            <w:pPr>
              <w:pStyle w:val="TableTextRight"/>
              <w:rPr>
                <w:szCs w:val="16"/>
              </w:rPr>
            </w:pPr>
            <w:r w:rsidRPr="00C469B2">
              <w:rPr>
                <w:szCs w:val="16"/>
              </w:rPr>
              <w:t xml:space="preserve">159,646 </w:t>
            </w:r>
          </w:p>
        </w:tc>
        <w:tc>
          <w:tcPr>
            <w:tcW w:w="774" w:type="pct"/>
            <w:shd w:val="clear" w:color="auto" w:fill="F2F2F2" w:themeFill="background1" w:themeFillShade="F2"/>
            <w:tcMar>
              <w:top w:w="57" w:type="dxa"/>
              <w:bottom w:w="57" w:type="dxa"/>
            </w:tcMar>
          </w:tcPr>
          <w:p w14:paraId="53CE1C38" w14:textId="77777777" w:rsidR="005D4330" w:rsidRPr="00C469B2" w:rsidRDefault="005D4330" w:rsidP="00C86F4A">
            <w:pPr>
              <w:pStyle w:val="TableTextRight"/>
              <w:rPr>
                <w:szCs w:val="16"/>
              </w:rPr>
            </w:pPr>
            <w:r w:rsidRPr="00C469B2">
              <w:rPr>
                <w:szCs w:val="16"/>
              </w:rPr>
              <w:t>527,811</w:t>
            </w:r>
          </w:p>
        </w:tc>
      </w:tr>
      <w:tr w:rsidR="005D4330" w:rsidRPr="006534F5" w14:paraId="53AFE70A" w14:textId="77777777" w:rsidTr="00A61C4D">
        <w:tc>
          <w:tcPr>
            <w:tcW w:w="2233" w:type="pct"/>
            <w:shd w:val="clear" w:color="auto" w:fill="F2F2F2" w:themeFill="background1" w:themeFillShade="F2"/>
            <w:tcMar>
              <w:top w:w="57" w:type="dxa"/>
              <w:bottom w:w="57" w:type="dxa"/>
            </w:tcMar>
            <w:hideMark/>
          </w:tcPr>
          <w:p w14:paraId="747F5EBE" w14:textId="77777777" w:rsidR="005D4330" w:rsidRPr="00C469B2" w:rsidRDefault="005D4330" w:rsidP="00C86F4A">
            <w:pPr>
              <w:pStyle w:val="TableTextLeft"/>
              <w:rPr>
                <w:szCs w:val="16"/>
              </w:rPr>
            </w:pPr>
            <w:r w:rsidRPr="00C469B2">
              <w:rPr>
                <w:szCs w:val="16"/>
              </w:rPr>
              <w:t>Appropriations – special accounts</w:t>
            </w:r>
          </w:p>
        </w:tc>
        <w:tc>
          <w:tcPr>
            <w:tcW w:w="447" w:type="pct"/>
            <w:shd w:val="clear" w:color="auto" w:fill="F2F2F2" w:themeFill="background1" w:themeFillShade="F2"/>
            <w:tcMar>
              <w:top w:w="57" w:type="dxa"/>
              <w:bottom w:w="57" w:type="dxa"/>
            </w:tcMar>
            <w:hideMark/>
          </w:tcPr>
          <w:p w14:paraId="55629EC6" w14:textId="77777777" w:rsidR="005D4330" w:rsidRPr="005D4330" w:rsidRDefault="005D4330" w:rsidP="005D4330">
            <w:pPr>
              <w:pStyle w:val="TableTextCentered"/>
            </w:pPr>
            <w:r w:rsidRPr="005D4330">
              <w:t> </w:t>
            </w:r>
          </w:p>
        </w:tc>
        <w:tc>
          <w:tcPr>
            <w:tcW w:w="773" w:type="pct"/>
            <w:shd w:val="clear" w:color="auto" w:fill="F2F2F2" w:themeFill="background1" w:themeFillShade="F2"/>
            <w:tcMar>
              <w:top w:w="57" w:type="dxa"/>
              <w:bottom w:w="57" w:type="dxa"/>
            </w:tcMar>
          </w:tcPr>
          <w:p w14:paraId="43720698" w14:textId="77777777" w:rsidR="005D4330" w:rsidRPr="00C469B2" w:rsidRDefault="005D4330" w:rsidP="00C86F4A">
            <w:pPr>
              <w:pStyle w:val="TableTextRight"/>
              <w:rPr>
                <w:szCs w:val="16"/>
              </w:rPr>
            </w:pPr>
            <w:r>
              <w:rPr>
                <w:szCs w:val="16"/>
              </w:rPr>
              <w:t>189</w:t>
            </w:r>
          </w:p>
        </w:tc>
        <w:tc>
          <w:tcPr>
            <w:tcW w:w="774" w:type="pct"/>
            <w:shd w:val="clear" w:color="auto" w:fill="F2F2F2" w:themeFill="background1" w:themeFillShade="F2"/>
            <w:tcMar>
              <w:top w:w="57" w:type="dxa"/>
              <w:bottom w:w="57" w:type="dxa"/>
            </w:tcMar>
            <w:hideMark/>
          </w:tcPr>
          <w:p w14:paraId="0873C7F1" w14:textId="77777777" w:rsidR="005D4330" w:rsidRPr="00C469B2" w:rsidRDefault="005D4330" w:rsidP="00C86F4A">
            <w:pPr>
              <w:pStyle w:val="TableTextRight"/>
              <w:rPr>
                <w:szCs w:val="16"/>
              </w:rPr>
            </w:pPr>
            <w:r w:rsidRPr="00C469B2">
              <w:rPr>
                <w:szCs w:val="16"/>
              </w:rPr>
              <w:t xml:space="preserve">89 </w:t>
            </w:r>
          </w:p>
        </w:tc>
        <w:tc>
          <w:tcPr>
            <w:tcW w:w="774" w:type="pct"/>
            <w:shd w:val="clear" w:color="auto" w:fill="F2F2F2" w:themeFill="background1" w:themeFillShade="F2"/>
            <w:tcMar>
              <w:top w:w="57" w:type="dxa"/>
              <w:bottom w:w="57" w:type="dxa"/>
            </w:tcMar>
          </w:tcPr>
          <w:p w14:paraId="5CCA3068" w14:textId="77777777" w:rsidR="005D4330" w:rsidRPr="00C469B2" w:rsidRDefault="005D4330" w:rsidP="00C86F4A">
            <w:pPr>
              <w:pStyle w:val="TableTextRight"/>
              <w:rPr>
                <w:szCs w:val="16"/>
              </w:rPr>
            </w:pPr>
            <w:r w:rsidRPr="00C469B2">
              <w:rPr>
                <w:szCs w:val="16"/>
              </w:rPr>
              <w:t>593</w:t>
            </w:r>
          </w:p>
        </w:tc>
      </w:tr>
      <w:tr w:rsidR="005D4330" w:rsidRPr="006534F5" w14:paraId="2698C81B" w14:textId="77777777" w:rsidTr="00A61C4D">
        <w:tc>
          <w:tcPr>
            <w:tcW w:w="2233" w:type="pct"/>
            <w:shd w:val="clear" w:color="auto" w:fill="F2F2F2" w:themeFill="background1" w:themeFillShade="F2"/>
            <w:tcMar>
              <w:top w:w="57" w:type="dxa"/>
              <w:bottom w:w="57" w:type="dxa"/>
            </w:tcMar>
          </w:tcPr>
          <w:p w14:paraId="1E3F3BA2" w14:textId="77777777" w:rsidR="005D4330" w:rsidRPr="00C469B2" w:rsidRDefault="005D4330" w:rsidP="00C86F4A">
            <w:pPr>
              <w:pStyle w:val="TableTextLeft"/>
              <w:rPr>
                <w:b/>
                <w:bCs/>
                <w:szCs w:val="16"/>
              </w:rPr>
            </w:pPr>
            <w:r w:rsidRPr="00C469B2">
              <w:rPr>
                <w:b/>
                <w:bCs/>
                <w:szCs w:val="16"/>
              </w:rPr>
              <w:t>Total cash from Official Public Account</w:t>
            </w:r>
          </w:p>
        </w:tc>
        <w:tc>
          <w:tcPr>
            <w:tcW w:w="447" w:type="pct"/>
            <w:shd w:val="clear" w:color="auto" w:fill="F2F2F2" w:themeFill="background1" w:themeFillShade="F2"/>
            <w:tcMar>
              <w:top w:w="57" w:type="dxa"/>
              <w:bottom w:w="57" w:type="dxa"/>
            </w:tcMar>
          </w:tcPr>
          <w:p w14:paraId="7ADF76E3" w14:textId="77777777" w:rsidR="005D4330" w:rsidRPr="005D4330" w:rsidRDefault="005D4330" w:rsidP="005D4330">
            <w:pPr>
              <w:pStyle w:val="TableTextCentered"/>
            </w:pPr>
          </w:p>
        </w:tc>
        <w:tc>
          <w:tcPr>
            <w:tcW w:w="773" w:type="pct"/>
            <w:shd w:val="clear" w:color="auto" w:fill="F2F2F2" w:themeFill="background1" w:themeFillShade="F2"/>
            <w:tcMar>
              <w:top w:w="57" w:type="dxa"/>
              <w:bottom w:w="57" w:type="dxa"/>
            </w:tcMar>
          </w:tcPr>
          <w:p w14:paraId="69E0D5C7" w14:textId="77777777" w:rsidR="005D4330" w:rsidRPr="00BF62BA" w:rsidRDefault="005D4330" w:rsidP="00C86F4A">
            <w:pPr>
              <w:pStyle w:val="TableTextRight"/>
              <w:rPr>
                <w:b/>
                <w:bCs/>
                <w:szCs w:val="16"/>
              </w:rPr>
            </w:pPr>
            <w:r>
              <w:rPr>
                <w:b/>
                <w:bCs/>
                <w:szCs w:val="16"/>
              </w:rPr>
              <w:t>220,613</w:t>
            </w:r>
          </w:p>
        </w:tc>
        <w:tc>
          <w:tcPr>
            <w:tcW w:w="774" w:type="pct"/>
            <w:shd w:val="clear" w:color="auto" w:fill="F2F2F2" w:themeFill="background1" w:themeFillShade="F2"/>
            <w:tcMar>
              <w:top w:w="57" w:type="dxa"/>
              <w:bottom w:w="57" w:type="dxa"/>
            </w:tcMar>
          </w:tcPr>
          <w:p w14:paraId="7176221C" w14:textId="77777777" w:rsidR="005D4330" w:rsidRPr="00C469B2" w:rsidRDefault="005D4330" w:rsidP="00C86F4A">
            <w:pPr>
              <w:pStyle w:val="TableTextRight"/>
              <w:rPr>
                <w:b/>
                <w:bCs/>
                <w:szCs w:val="16"/>
              </w:rPr>
            </w:pPr>
            <w:r w:rsidRPr="00C469B2">
              <w:rPr>
                <w:b/>
                <w:bCs/>
                <w:szCs w:val="16"/>
              </w:rPr>
              <w:t>163,080</w:t>
            </w:r>
          </w:p>
        </w:tc>
        <w:tc>
          <w:tcPr>
            <w:tcW w:w="774" w:type="pct"/>
            <w:shd w:val="clear" w:color="auto" w:fill="F2F2F2" w:themeFill="background1" w:themeFillShade="F2"/>
            <w:tcMar>
              <w:top w:w="57" w:type="dxa"/>
              <w:bottom w:w="57" w:type="dxa"/>
            </w:tcMar>
          </w:tcPr>
          <w:p w14:paraId="5C077ED0" w14:textId="77777777" w:rsidR="005D4330" w:rsidRPr="00C469B2" w:rsidRDefault="005D4330" w:rsidP="00C86F4A">
            <w:pPr>
              <w:pStyle w:val="TableTextRight"/>
              <w:rPr>
                <w:b/>
                <w:bCs/>
                <w:szCs w:val="16"/>
              </w:rPr>
            </w:pPr>
            <w:r w:rsidRPr="00C469B2">
              <w:rPr>
                <w:b/>
                <w:bCs/>
                <w:szCs w:val="16"/>
              </w:rPr>
              <w:t>528,404</w:t>
            </w:r>
          </w:p>
        </w:tc>
      </w:tr>
      <w:tr w:rsidR="005D4330" w:rsidRPr="006534F5" w14:paraId="2EF48E82" w14:textId="77777777" w:rsidTr="00A61C4D">
        <w:tc>
          <w:tcPr>
            <w:tcW w:w="2233" w:type="pct"/>
            <w:shd w:val="clear" w:color="auto" w:fill="F2F2F2" w:themeFill="background1" w:themeFillShade="F2"/>
            <w:tcMar>
              <w:top w:w="57" w:type="dxa"/>
              <w:bottom w:w="57" w:type="dxa"/>
            </w:tcMar>
          </w:tcPr>
          <w:p w14:paraId="4E4185C8" w14:textId="77777777" w:rsidR="005D4330" w:rsidRPr="00C469B2" w:rsidRDefault="005D4330" w:rsidP="00C86F4A">
            <w:pPr>
              <w:pStyle w:val="TableTextLeft"/>
              <w:rPr>
                <w:b/>
                <w:bCs/>
                <w:szCs w:val="16"/>
              </w:rPr>
            </w:pPr>
            <w:r w:rsidRPr="00C469B2">
              <w:rPr>
                <w:b/>
                <w:bCs/>
                <w:szCs w:val="16"/>
              </w:rPr>
              <w:t>Cash to Official Public Account</w:t>
            </w:r>
          </w:p>
        </w:tc>
        <w:tc>
          <w:tcPr>
            <w:tcW w:w="447" w:type="pct"/>
            <w:shd w:val="clear" w:color="auto" w:fill="F2F2F2" w:themeFill="background1" w:themeFillShade="F2"/>
            <w:tcMar>
              <w:top w:w="57" w:type="dxa"/>
              <w:bottom w:w="57" w:type="dxa"/>
            </w:tcMar>
          </w:tcPr>
          <w:p w14:paraId="42B6188E" w14:textId="77777777" w:rsidR="005D4330" w:rsidRPr="005D4330" w:rsidRDefault="005D4330" w:rsidP="005D4330">
            <w:pPr>
              <w:pStyle w:val="TableTextCentered"/>
            </w:pPr>
          </w:p>
        </w:tc>
        <w:tc>
          <w:tcPr>
            <w:tcW w:w="773" w:type="pct"/>
            <w:shd w:val="clear" w:color="auto" w:fill="F2F2F2" w:themeFill="background1" w:themeFillShade="F2"/>
            <w:tcMar>
              <w:top w:w="57" w:type="dxa"/>
              <w:bottom w:w="57" w:type="dxa"/>
            </w:tcMar>
          </w:tcPr>
          <w:p w14:paraId="5ED8E3B0" w14:textId="77777777" w:rsidR="005D4330" w:rsidRPr="00C469B2" w:rsidRDefault="005D4330" w:rsidP="00C86F4A">
            <w:pPr>
              <w:pStyle w:val="TableTextRight"/>
              <w:rPr>
                <w:szCs w:val="16"/>
              </w:rPr>
            </w:pPr>
          </w:p>
        </w:tc>
        <w:tc>
          <w:tcPr>
            <w:tcW w:w="774" w:type="pct"/>
            <w:shd w:val="clear" w:color="auto" w:fill="F2F2F2" w:themeFill="background1" w:themeFillShade="F2"/>
            <w:tcMar>
              <w:top w:w="57" w:type="dxa"/>
              <w:bottom w:w="57" w:type="dxa"/>
            </w:tcMar>
          </w:tcPr>
          <w:p w14:paraId="41A3CA8D" w14:textId="77777777" w:rsidR="005D4330" w:rsidRPr="00C469B2" w:rsidRDefault="005D4330" w:rsidP="00C86F4A">
            <w:pPr>
              <w:pStyle w:val="TableTextRight"/>
              <w:rPr>
                <w:szCs w:val="16"/>
              </w:rPr>
            </w:pPr>
          </w:p>
        </w:tc>
        <w:tc>
          <w:tcPr>
            <w:tcW w:w="774" w:type="pct"/>
            <w:shd w:val="clear" w:color="auto" w:fill="F2F2F2" w:themeFill="background1" w:themeFillShade="F2"/>
            <w:tcMar>
              <w:top w:w="57" w:type="dxa"/>
              <w:bottom w:w="57" w:type="dxa"/>
            </w:tcMar>
          </w:tcPr>
          <w:p w14:paraId="439E677A" w14:textId="77777777" w:rsidR="005D4330" w:rsidRPr="00C469B2" w:rsidRDefault="005D4330" w:rsidP="00C86F4A">
            <w:pPr>
              <w:pStyle w:val="TableTextRight"/>
              <w:rPr>
                <w:szCs w:val="16"/>
              </w:rPr>
            </w:pPr>
          </w:p>
        </w:tc>
      </w:tr>
      <w:tr w:rsidR="005D4330" w:rsidRPr="006534F5" w14:paraId="2174F43C" w14:textId="77777777" w:rsidTr="00A61C4D">
        <w:tc>
          <w:tcPr>
            <w:tcW w:w="2233" w:type="pct"/>
            <w:shd w:val="clear" w:color="auto" w:fill="F2F2F2" w:themeFill="background1" w:themeFillShade="F2"/>
            <w:tcMar>
              <w:top w:w="57" w:type="dxa"/>
              <w:bottom w:w="57" w:type="dxa"/>
            </w:tcMar>
          </w:tcPr>
          <w:p w14:paraId="770BED3C" w14:textId="77777777" w:rsidR="005D4330" w:rsidRPr="00C469B2" w:rsidRDefault="005D4330" w:rsidP="00C86F4A">
            <w:pPr>
              <w:pStyle w:val="TableTextLeft"/>
              <w:rPr>
                <w:b/>
                <w:bCs/>
                <w:szCs w:val="16"/>
              </w:rPr>
            </w:pPr>
            <w:r w:rsidRPr="00C469B2">
              <w:rPr>
                <w:szCs w:val="16"/>
              </w:rPr>
              <w:t>Cash management account transfers</w:t>
            </w:r>
          </w:p>
        </w:tc>
        <w:tc>
          <w:tcPr>
            <w:tcW w:w="447" w:type="pct"/>
            <w:shd w:val="clear" w:color="auto" w:fill="F2F2F2" w:themeFill="background1" w:themeFillShade="F2"/>
            <w:tcMar>
              <w:top w:w="57" w:type="dxa"/>
              <w:bottom w:w="57" w:type="dxa"/>
            </w:tcMar>
          </w:tcPr>
          <w:p w14:paraId="1F991919" w14:textId="77777777" w:rsidR="005D4330" w:rsidRPr="005D4330" w:rsidRDefault="005D4330" w:rsidP="005D4330">
            <w:pPr>
              <w:pStyle w:val="TableTextCentered"/>
            </w:pPr>
          </w:p>
        </w:tc>
        <w:tc>
          <w:tcPr>
            <w:tcW w:w="773" w:type="pct"/>
            <w:shd w:val="clear" w:color="auto" w:fill="F2F2F2" w:themeFill="background1" w:themeFillShade="F2"/>
            <w:tcMar>
              <w:top w:w="57" w:type="dxa"/>
              <w:bottom w:w="57" w:type="dxa"/>
            </w:tcMar>
          </w:tcPr>
          <w:p w14:paraId="4F64A920" w14:textId="77777777" w:rsidR="005D4330" w:rsidRPr="00C469B2" w:rsidRDefault="005D4330" w:rsidP="00C86F4A">
            <w:pPr>
              <w:pStyle w:val="TableTextRight"/>
              <w:rPr>
                <w:szCs w:val="16"/>
              </w:rPr>
            </w:pPr>
            <w:r>
              <w:rPr>
                <w:szCs w:val="16"/>
              </w:rPr>
              <w:t>(17,172)</w:t>
            </w:r>
          </w:p>
        </w:tc>
        <w:tc>
          <w:tcPr>
            <w:tcW w:w="774" w:type="pct"/>
            <w:shd w:val="clear" w:color="auto" w:fill="F2F2F2" w:themeFill="background1" w:themeFillShade="F2"/>
            <w:tcMar>
              <w:top w:w="57" w:type="dxa"/>
              <w:bottom w:w="57" w:type="dxa"/>
            </w:tcMar>
          </w:tcPr>
          <w:p w14:paraId="63B910AE" w14:textId="77777777" w:rsidR="005D4330" w:rsidRPr="00C469B2" w:rsidRDefault="005D4330" w:rsidP="00C86F4A">
            <w:pPr>
              <w:pStyle w:val="TableTextRight"/>
              <w:rPr>
                <w:szCs w:val="16"/>
              </w:rPr>
            </w:pPr>
            <w:r>
              <w:rPr>
                <w:szCs w:val="16"/>
              </w:rPr>
              <w:noBreakHyphen/>
            </w:r>
          </w:p>
        </w:tc>
        <w:tc>
          <w:tcPr>
            <w:tcW w:w="774" w:type="pct"/>
            <w:shd w:val="clear" w:color="auto" w:fill="F2F2F2" w:themeFill="background1" w:themeFillShade="F2"/>
            <w:tcMar>
              <w:top w:w="57" w:type="dxa"/>
              <w:bottom w:w="57" w:type="dxa"/>
            </w:tcMar>
          </w:tcPr>
          <w:p w14:paraId="4DC1DE2B" w14:textId="77777777" w:rsidR="005D4330" w:rsidRPr="00C469B2" w:rsidRDefault="005D4330" w:rsidP="00C86F4A">
            <w:pPr>
              <w:pStyle w:val="TableTextRight"/>
              <w:rPr>
                <w:szCs w:val="16"/>
              </w:rPr>
            </w:pPr>
            <w:r w:rsidRPr="00C469B2">
              <w:rPr>
                <w:szCs w:val="16"/>
              </w:rPr>
              <w:t>(27,994)</w:t>
            </w:r>
          </w:p>
        </w:tc>
      </w:tr>
      <w:tr w:rsidR="005D4330" w:rsidRPr="006534F5" w14:paraId="38BC428F" w14:textId="77777777" w:rsidTr="00A61C4D">
        <w:tc>
          <w:tcPr>
            <w:tcW w:w="2233" w:type="pct"/>
            <w:shd w:val="clear" w:color="auto" w:fill="F2F2F2" w:themeFill="background1" w:themeFillShade="F2"/>
            <w:tcMar>
              <w:top w:w="57" w:type="dxa"/>
              <w:bottom w:w="57" w:type="dxa"/>
            </w:tcMar>
            <w:hideMark/>
          </w:tcPr>
          <w:p w14:paraId="1ECA68C2" w14:textId="77777777" w:rsidR="005D4330" w:rsidRPr="00C469B2" w:rsidRDefault="005D4330" w:rsidP="00C86F4A">
            <w:pPr>
              <w:pStyle w:val="TableTextLeft"/>
              <w:rPr>
                <w:szCs w:val="16"/>
              </w:rPr>
            </w:pPr>
            <w:r w:rsidRPr="00C469B2">
              <w:rPr>
                <w:szCs w:val="16"/>
              </w:rPr>
              <w:t>Receipts to OPA – special accounts</w:t>
            </w:r>
          </w:p>
        </w:tc>
        <w:tc>
          <w:tcPr>
            <w:tcW w:w="447" w:type="pct"/>
            <w:shd w:val="clear" w:color="auto" w:fill="F2F2F2" w:themeFill="background1" w:themeFillShade="F2"/>
            <w:tcMar>
              <w:top w:w="57" w:type="dxa"/>
              <w:bottom w:w="57" w:type="dxa"/>
            </w:tcMar>
            <w:hideMark/>
          </w:tcPr>
          <w:p w14:paraId="56218E7A" w14:textId="77777777" w:rsidR="005D4330" w:rsidRPr="005D4330" w:rsidRDefault="005D4330" w:rsidP="005D4330">
            <w:pPr>
              <w:pStyle w:val="TableTextCentered"/>
            </w:pPr>
            <w:r w:rsidRPr="005D4330">
              <w:t> </w:t>
            </w:r>
          </w:p>
        </w:tc>
        <w:tc>
          <w:tcPr>
            <w:tcW w:w="773" w:type="pct"/>
            <w:shd w:val="clear" w:color="auto" w:fill="F2F2F2" w:themeFill="background1" w:themeFillShade="F2"/>
            <w:tcMar>
              <w:top w:w="57" w:type="dxa"/>
              <w:bottom w:w="57" w:type="dxa"/>
            </w:tcMar>
          </w:tcPr>
          <w:p w14:paraId="6063BA68" w14:textId="77777777" w:rsidR="005D4330" w:rsidRPr="00C469B2" w:rsidRDefault="005D4330" w:rsidP="00C86F4A">
            <w:pPr>
              <w:pStyle w:val="TableTextRight"/>
              <w:rPr>
                <w:szCs w:val="16"/>
              </w:rPr>
            </w:pPr>
            <w:r>
              <w:rPr>
                <w:szCs w:val="16"/>
              </w:rPr>
              <w:t>(309)</w:t>
            </w:r>
          </w:p>
        </w:tc>
        <w:tc>
          <w:tcPr>
            <w:tcW w:w="774" w:type="pct"/>
            <w:shd w:val="clear" w:color="auto" w:fill="F2F2F2" w:themeFill="background1" w:themeFillShade="F2"/>
            <w:tcMar>
              <w:top w:w="57" w:type="dxa"/>
              <w:bottom w:w="57" w:type="dxa"/>
            </w:tcMar>
            <w:hideMark/>
          </w:tcPr>
          <w:p w14:paraId="6CF30AAF" w14:textId="77777777" w:rsidR="005D4330" w:rsidRPr="00C469B2" w:rsidRDefault="005D4330" w:rsidP="00C86F4A">
            <w:pPr>
              <w:pStyle w:val="TableTextRight"/>
              <w:rPr>
                <w:szCs w:val="16"/>
              </w:rPr>
            </w:pPr>
            <w:r w:rsidRPr="00C469B2">
              <w:rPr>
                <w:szCs w:val="16"/>
              </w:rPr>
              <w:t>(461)</w:t>
            </w:r>
          </w:p>
        </w:tc>
        <w:tc>
          <w:tcPr>
            <w:tcW w:w="774" w:type="pct"/>
            <w:shd w:val="clear" w:color="auto" w:fill="F2F2F2" w:themeFill="background1" w:themeFillShade="F2"/>
            <w:tcMar>
              <w:top w:w="57" w:type="dxa"/>
              <w:bottom w:w="57" w:type="dxa"/>
            </w:tcMar>
          </w:tcPr>
          <w:p w14:paraId="42EDD2C9" w14:textId="77777777" w:rsidR="005D4330" w:rsidRPr="00C469B2" w:rsidRDefault="005D4330" w:rsidP="00C86F4A">
            <w:pPr>
              <w:pStyle w:val="TableTextRight"/>
              <w:rPr>
                <w:szCs w:val="16"/>
              </w:rPr>
            </w:pPr>
            <w:r w:rsidRPr="00C469B2">
              <w:rPr>
                <w:szCs w:val="16"/>
              </w:rPr>
              <w:t>(276)</w:t>
            </w:r>
          </w:p>
        </w:tc>
      </w:tr>
      <w:tr w:rsidR="005D4330" w:rsidRPr="006534F5" w14:paraId="4C814F43" w14:textId="77777777" w:rsidTr="00A61C4D">
        <w:tc>
          <w:tcPr>
            <w:tcW w:w="2233" w:type="pct"/>
            <w:shd w:val="clear" w:color="auto" w:fill="F2F2F2" w:themeFill="background1" w:themeFillShade="F2"/>
            <w:tcMar>
              <w:top w:w="57" w:type="dxa"/>
              <w:bottom w:w="57" w:type="dxa"/>
            </w:tcMar>
            <w:hideMark/>
          </w:tcPr>
          <w:p w14:paraId="2952441D" w14:textId="77777777" w:rsidR="005D4330" w:rsidRPr="00C469B2" w:rsidRDefault="005D4330" w:rsidP="00C86F4A">
            <w:pPr>
              <w:pStyle w:val="TableTextLeft"/>
              <w:rPr>
                <w:szCs w:val="16"/>
              </w:rPr>
            </w:pPr>
            <w:r w:rsidRPr="00C469B2">
              <w:rPr>
                <w:szCs w:val="16"/>
              </w:rPr>
              <w:t>Receipts to OPA – other</w:t>
            </w:r>
          </w:p>
        </w:tc>
        <w:tc>
          <w:tcPr>
            <w:tcW w:w="447" w:type="pct"/>
            <w:shd w:val="clear" w:color="auto" w:fill="F2F2F2" w:themeFill="background1" w:themeFillShade="F2"/>
            <w:tcMar>
              <w:top w:w="57" w:type="dxa"/>
              <w:bottom w:w="57" w:type="dxa"/>
            </w:tcMar>
            <w:hideMark/>
          </w:tcPr>
          <w:p w14:paraId="540BD00B" w14:textId="77777777" w:rsidR="005D4330" w:rsidRPr="005D4330" w:rsidRDefault="005D4330" w:rsidP="005D4330">
            <w:pPr>
              <w:pStyle w:val="TableTextCentered"/>
            </w:pPr>
            <w:r w:rsidRPr="005D4330">
              <w:t> </w:t>
            </w:r>
          </w:p>
        </w:tc>
        <w:tc>
          <w:tcPr>
            <w:tcW w:w="773" w:type="pct"/>
            <w:shd w:val="clear" w:color="auto" w:fill="F2F2F2" w:themeFill="background1" w:themeFillShade="F2"/>
            <w:tcMar>
              <w:top w:w="57" w:type="dxa"/>
              <w:bottom w:w="57" w:type="dxa"/>
            </w:tcMar>
          </w:tcPr>
          <w:p w14:paraId="64392916" w14:textId="77777777" w:rsidR="005D4330" w:rsidRPr="00C469B2" w:rsidRDefault="005D4330" w:rsidP="00C86F4A">
            <w:pPr>
              <w:pStyle w:val="TableTextRight"/>
              <w:rPr>
                <w:szCs w:val="16"/>
              </w:rPr>
            </w:pPr>
            <w:r>
              <w:rPr>
                <w:szCs w:val="16"/>
              </w:rPr>
              <w:t>(215,615)</w:t>
            </w:r>
          </w:p>
        </w:tc>
        <w:tc>
          <w:tcPr>
            <w:tcW w:w="774" w:type="pct"/>
            <w:shd w:val="clear" w:color="auto" w:fill="F2F2F2" w:themeFill="background1" w:themeFillShade="F2"/>
            <w:tcMar>
              <w:top w:w="57" w:type="dxa"/>
              <w:bottom w:w="57" w:type="dxa"/>
            </w:tcMar>
            <w:hideMark/>
          </w:tcPr>
          <w:p w14:paraId="7FEA0AD4" w14:textId="77777777" w:rsidR="005D4330" w:rsidRPr="00C469B2" w:rsidRDefault="005D4330" w:rsidP="00C86F4A">
            <w:pPr>
              <w:pStyle w:val="TableTextRight"/>
              <w:rPr>
                <w:szCs w:val="16"/>
              </w:rPr>
            </w:pPr>
            <w:r w:rsidRPr="00C469B2">
              <w:rPr>
                <w:szCs w:val="16"/>
              </w:rPr>
              <w:t>(154,602)</w:t>
            </w:r>
          </w:p>
        </w:tc>
        <w:tc>
          <w:tcPr>
            <w:tcW w:w="774" w:type="pct"/>
            <w:shd w:val="clear" w:color="auto" w:fill="F2F2F2" w:themeFill="background1" w:themeFillShade="F2"/>
            <w:tcMar>
              <w:top w:w="57" w:type="dxa"/>
              <w:bottom w:w="57" w:type="dxa"/>
            </w:tcMar>
          </w:tcPr>
          <w:p w14:paraId="50AE5F0D" w14:textId="77777777" w:rsidR="005D4330" w:rsidRPr="00C469B2" w:rsidRDefault="005D4330" w:rsidP="00C86F4A">
            <w:pPr>
              <w:pStyle w:val="TableTextRight"/>
              <w:rPr>
                <w:szCs w:val="16"/>
              </w:rPr>
            </w:pPr>
            <w:r w:rsidRPr="00C469B2">
              <w:rPr>
                <w:szCs w:val="16"/>
              </w:rPr>
              <w:t>(530,83</w:t>
            </w:r>
            <w:r>
              <w:rPr>
                <w:szCs w:val="16"/>
              </w:rPr>
              <w:t>4</w:t>
            </w:r>
            <w:r w:rsidRPr="00C469B2">
              <w:rPr>
                <w:szCs w:val="16"/>
              </w:rPr>
              <w:t>)</w:t>
            </w:r>
          </w:p>
        </w:tc>
      </w:tr>
      <w:tr w:rsidR="005D4330" w:rsidRPr="006534F5" w14:paraId="5E95CCB0" w14:textId="77777777" w:rsidTr="00BD7AD5">
        <w:tc>
          <w:tcPr>
            <w:tcW w:w="2233" w:type="pct"/>
            <w:tcBorders>
              <w:bottom w:val="single" w:sz="4" w:space="0" w:color="29114B" w:themeColor="text2"/>
            </w:tcBorders>
            <w:shd w:val="clear" w:color="auto" w:fill="F2F2F2" w:themeFill="background1" w:themeFillShade="F2"/>
            <w:tcMar>
              <w:top w:w="57" w:type="dxa"/>
              <w:bottom w:w="57" w:type="dxa"/>
            </w:tcMar>
          </w:tcPr>
          <w:p w14:paraId="17CA9981" w14:textId="77777777" w:rsidR="005D4330" w:rsidRPr="00C469B2" w:rsidRDefault="005D4330" w:rsidP="00C86F4A">
            <w:pPr>
              <w:pStyle w:val="TableTextLeft"/>
              <w:rPr>
                <w:szCs w:val="16"/>
              </w:rPr>
            </w:pPr>
            <w:r w:rsidRPr="00C469B2">
              <w:rPr>
                <w:b/>
                <w:bCs/>
                <w:szCs w:val="16"/>
              </w:rPr>
              <w:t>Total cash to Official Public Account</w:t>
            </w:r>
          </w:p>
        </w:tc>
        <w:tc>
          <w:tcPr>
            <w:tcW w:w="447" w:type="pct"/>
            <w:tcBorders>
              <w:bottom w:val="single" w:sz="4" w:space="0" w:color="29114B" w:themeColor="text2"/>
            </w:tcBorders>
            <w:shd w:val="clear" w:color="auto" w:fill="F2F2F2" w:themeFill="background1" w:themeFillShade="F2"/>
            <w:tcMar>
              <w:top w:w="57" w:type="dxa"/>
              <w:bottom w:w="57" w:type="dxa"/>
            </w:tcMar>
          </w:tcPr>
          <w:p w14:paraId="526FAD5F" w14:textId="77777777" w:rsidR="005D4330" w:rsidRPr="005D4330" w:rsidRDefault="005D4330" w:rsidP="005D4330">
            <w:pPr>
              <w:pStyle w:val="TableTextCentered"/>
            </w:pPr>
          </w:p>
        </w:tc>
        <w:tc>
          <w:tcPr>
            <w:tcW w:w="773" w:type="pct"/>
            <w:tcBorders>
              <w:bottom w:val="single" w:sz="4" w:space="0" w:color="29114B" w:themeColor="text2"/>
            </w:tcBorders>
            <w:shd w:val="clear" w:color="auto" w:fill="F2F2F2" w:themeFill="background1" w:themeFillShade="F2"/>
            <w:tcMar>
              <w:top w:w="57" w:type="dxa"/>
              <w:bottom w:w="57" w:type="dxa"/>
            </w:tcMar>
          </w:tcPr>
          <w:p w14:paraId="215B089B" w14:textId="77777777" w:rsidR="005D4330" w:rsidRPr="00BF62BA" w:rsidRDefault="005D4330" w:rsidP="00C86F4A">
            <w:pPr>
              <w:pStyle w:val="TableTextRight"/>
              <w:rPr>
                <w:b/>
                <w:bCs/>
                <w:szCs w:val="16"/>
              </w:rPr>
            </w:pPr>
            <w:r w:rsidRPr="00BF62BA">
              <w:rPr>
                <w:b/>
                <w:bCs/>
                <w:szCs w:val="16"/>
              </w:rPr>
              <w:t>(233,09</w:t>
            </w:r>
            <w:r>
              <w:rPr>
                <w:b/>
                <w:bCs/>
                <w:szCs w:val="16"/>
              </w:rPr>
              <w:t>6</w:t>
            </w:r>
            <w:r w:rsidRPr="00BF62BA">
              <w:rPr>
                <w:b/>
                <w:bCs/>
                <w:szCs w:val="16"/>
              </w:rPr>
              <w:t>)</w:t>
            </w:r>
          </w:p>
        </w:tc>
        <w:tc>
          <w:tcPr>
            <w:tcW w:w="774" w:type="pct"/>
            <w:tcBorders>
              <w:bottom w:val="single" w:sz="4" w:space="0" w:color="29114B" w:themeColor="text2"/>
            </w:tcBorders>
            <w:shd w:val="clear" w:color="auto" w:fill="F2F2F2" w:themeFill="background1" w:themeFillShade="F2"/>
            <w:tcMar>
              <w:top w:w="57" w:type="dxa"/>
              <w:bottom w:w="57" w:type="dxa"/>
            </w:tcMar>
          </w:tcPr>
          <w:p w14:paraId="3C65D5C9" w14:textId="77777777" w:rsidR="005D4330" w:rsidRPr="00C469B2" w:rsidRDefault="005D4330" w:rsidP="00C86F4A">
            <w:pPr>
              <w:pStyle w:val="TableTextRight"/>
              <w:rPr>
                <w:b/>
                <w:bCs/>
                <w:szCs w:val="16"/>
              </w:rPr>
            </w:pPr>
            <w:r w:rsidRPr="00C469B2">
              <w:rPr>
                <w:b/>
                <w:bCs/>
                <w:szCs w:val="16"/>
              </w:rPr>
              <w:t>(155,063)</w:t>
            </w:r>
          </w:p>
        </w:tc>
        <w:tc>
          <w:tcPr>
            <w:tcW w:w="774" w:type="pct"/>
            <w:tcBorders>
              <w:bottom w:val="single" w:sz="4" w:space="0" w:color="29114B" w:themeColor="text2"/>
            </w:tcBorders>
            <w:shd w:val="clear" w:color="auto" w:fill="F2F2F2" w:themeFill="background1" w:themeFillShade="F2"/>
            <w:tcMar>
              <w:top w:w="57" w:type="dxa"/>
              <w:bottom w:w="57" w:type="dxa"/>
            </w:tcMar>
          </w:tcPr>
          <w:p w14:paraId="29C751B1" w14:textId="77777777" w:rsidR="005D4330" w:rsidRPr="00C469B2" w:rsidRDefault="005D4330" w:rsidP="00C86F4A">
            <w:pPr>
              <w:pStyle w:val="TableTextRight"/>
              <w:rPr>
                <w:b/>
                <w:bCs/>
                <w:szCs w:val="16"/>
              </w:rPr>
            </w:pPr>
            <w:r w:rsidRPr="00C469B2">
              <w:rPr>
                <w:b/>
                <w:bCs/>
                <w:szCs w:val="16"/>
              </w:rPr>
              <w:t>(559,10</w:t>
            </w:r>
            <w:r>
              <w:rPr>
                <w:b/>
                <w:bCs/>
                <w:szCs w:val="16"/>
              </w:rPr>
              <w:t>4</w:t>
            </w:r>
            <w:r w:rsidRPr="00C469B2">
              <w:rPr>
                <w:b/>
                <w:bCs/>
                <w:szCs w:val="16"/>
              </w:rPr>
              <w:t>)</w:t>
            </w:r>
          </w:p>
        </w:tc>
      </w:tr>
      <w:tr w:rsidR="005D4330" w:rsidRPr="006534F5" w14:paraId="0058CFD7" w14:textId="77777777" w:rsidTr="00BD7AD5">
        <w:tc>
          <w:tcPr>
            <w:tcW w:w="2233"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tcPr>
          <w:p w14:paraId="33DA7087" w14:textId="77777777" w:rsidR="005D4330" w:rsidRPr="00C469B2" w:rsidRDefault="005D4330" w:rsidP="00C86F4A">
            <w:pPr>
              <w:pStyle w:val="TableTextLeft"/>
              <w:rPr>
                <w:rStyle w:val="Strong"/>
                <w:szCs w:val="16"/>
              </w:rPr>
            </w:pPr>
          </w:p>
        </w:tc>
        <w:tc>
          <w:tcPr>
            <w:tcW w:w="44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tcPr>
          <w:p w14:paraId="5E1BB6CB" w14:textId="77777777" w:rsidR="005D4330" w:rsidRPr="005D4330" w:rsidRDefault="005D4330" w:rsidP="005D4330">
            <w:pPr>
              <w:pStyle w:val="TableTextCentered"/>
              <w:rPr>
                <w:rStyle w:val="Strong"/>
                <w:b w:val="0"/>
                <w:bCs w:val="0"/>
                <w:szCs w:val="16"/>
              </w:rPr>
            </w:pPr>
          </w:p>
        </w:tc>
        <w:tc>
          <w:tcPr>
            <w:tcW w:w="77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tcPr>
          <w:p w14:paraId="68407C16" w14:textId="77777777" w:rsidR="005D4330" w:rsidRPr="00C469B2" w:rsidRDefault="005D4330" w:rsidP="00C86F4A">
            <w:pPr>
              <w:pStyle w:val="TableTextRight"/>
              <w:rPr>
                <w:rStyle w:val="Strong"/>
                <w:szCs w:val="16"/>
              </w:rPr>
            </w:pPr>
          </w:p>
        </w:tc>
        <w:tc>
          <w:tcPr>
            <w:tcW w:w="77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tcPr>
          <w:p w14:paraId="0CE538E1" w14:textId="77777777" w:rsidR="005D4330" w:rsidRPr="00C469B2" w:rsidRDefault="005D4330" w:rsidP="00C86F4A">
            <w:pPr>
              <w:pStyle w:val="TableTextRight"/>
              <w:rPr>
                <w:rStyle w:val="Strong"/>
                <w:szCs w:val="16"/>
              </w:rPr>
            </w:pPr>
          </w:p>
        </w:tc>
        <w:tc>
          <w:tcPr>
            <w:tcW w:w="774"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tcPr>
          <w:p w14:paraId="50C3BDE5" w14:textId="77777777" w:rsidR="005D4330" w:rsidRPr="00C469B2" w:rsidRDefault="005D4330" w:rsidP="00C86F4A">
            <w:pPr>
              <w:pStyle w:val="TableTextRight"/>
              <w:rPr>
                <w:rStyle w:val="Strong"/>
                <w:szCs w:val="16"/>
              </w:rPr>
            </w:pPr>
          </w:p>
        </w:tc>
      </w:tr>
      <w:tr w:rsidR="005D4330" w:rsidRPr="006534F5" w14:paraId="75A05B75" w14:textId="77777777" w:rsidTr="00A61C4D">
        <w:tc>
          <w:tcPr>
            <w:tcW w:w="2233" w:type="pct"/>
            <w:shd w:val="clear" w:color="auto" w:fill="F2F2F2" w:themeFill="background1" w:themeFillShade="F2"/>
            <w:tcMar>
              <w:top w:w="57" w:type="dxa"/>
              <w:bottom w:w="57" w:type="dxa"/>
            </w:tcMar>
            <w:hideMark/>
          </w:tcPr>
          <w:p w14:paraId="6A2A0FD1" w14:textId="77777777" w:rsidR="005D4330" w:rsidRPr="003946A9" w:rsidRDefault="005D4330" w:rsidP="00C86F4A">
            <w:pPr>
              <w:pStyle w:val="TableTextLeft"/>
              <w:rPr>
                <w:b/>
                <w:bCs/>
              </w:rPr>
            </w:pPr>
            <w:r w:rsidRPr="003946A9">
              <w:rPr>
                <w:b/>
                <w:bCs/>
              </w:rPr>
              <w:t>Net (decrease)/increase in cash held</w:t>
            </w:r>
          </w:p>
        </w:tc>
        <w:tc>
          <w:tcPr>
            <w:tcW w:w="447" w:type="pct"/>
            <w:shd w:val="clear" w:color="auto" w:fill="F2F2F2" w:themeFill="background1" w:themeFillShade="F2"/>
            <w:tcMar>
              <w:top w:w="57" w:type="dxa"/>
              <w:bottom w:w="57" w:type="dxa"/>
            </w:tcMar>
            <w:hideMark/>
          </w:tcPr>
          <w:p w14:paraId="6AADC547" w14:textId="77777777" w:rsidR="005D4330" w:rsidRPr="005D4330" w:rsidRDefault="005D4330" w:rsidP="005D4330">
            <w:pPr>
              <w:pStyle w:val="TableTextCentered"/>
              <w:rPr>
                <w:rStyle w:val="Strong"/>
                <w:b w:val="0"/>
                <w:bCs w:val="0"/>
                <w:szCs w:val="16"/>
              </w:rPr>
            </w:pPr>
            <w:r w:rsidRPr="005D4330">
              <w:rPr>
                <w:rStyle w:val="Strong"/>
                <w:b w:val="0"/>
                <w:bCs w:val="0"/>
                <w:szCs w:val="16"/>
              </w:rPr>
              <w:t> </w:t>
            </w:r>
          </w:p>
        </w:tc>
        <w:tc>
          <w:tcPr>
            <w:tcW w:w="773" w:type="pct"/>
            <w:shd w:val="clear" w:color="auto" w:fill="F2F2F2" w:themeFill="background1" w:themeFillShade="F2"/>
            <w:tcMar>
              <w:top w:w="57" w:type="dxa"/>
              <w:bottom w:w="57" w:type="dxa"/>
            </w:tcMar>
          </w:tcPr>
          <w:p w14:paraId="277622CA" w14:textId="77777777" w:rsidR="005D4330" w:rsidRPr="003946A9" w:rsidRDefault="005D4330" w:rsidP="00C86F4A">
            <w:pPr>
              <w:pStyle w:val="TableTextRight"/>
              <w:rPr>
                <w:b/>
                <w:bCs/>
              </w:rPr>
            </w:pPr>
            <w:r w:rsidRPr="003946A9">
              <w:rPr>
                <w:b/>
                <w:bCs/>
              </w:rPr>
              <w:t>(17,173)</w:t>
            </w:r>
          </w:p>
        </w:tc>
        <w:tc>
          <w:tcPr>
            <w:tcW w:w="774" w:type="pct"/>
            <w:shd w:val="clear" w:color="auto" w:fill="F2F2F2" w:themeFill="background1" w:themeFillShade="F2"/>
            <w:tcMar>
              <w:top w:w="57" w:type="dxa"/>
              <w:bottom w:w="57" w:type="dxa"/>
            </w:tcMar>
            <w:hideMark/>
          </w:tcPr>
          <w:p w14:paraId="7A216BBB" w14:textId="77777777" w:rsidR="005D4330" w:rsidRPr="003946A9" w:rsidRDefault="005D4330" w:rsidP="00C86F4A">
            <w:pPr>
              <w:pStyle w:val="TableTextRight"/>
              <w:rPr>
                <w:b/>
                <w:bCs/>
              </w:rPr>
            </w:pPr>
            <w:r w:rsidRPr="003946A9">
              <w:rPr>
                <w:b/>
                <w:bCs/>
              </w:rPr>
              <w:t>3,345</w:t>
            </w:r>
          </w:p>
        </w:tc>
        <w:tc>
          <w:tcPr>
            <w:tcW w:w="774" w:type="pct"/>
            <w:shd w:val="clear" w:color="auto" w:fill="F2F2F2" w:themeFill="background1" w:themeFillShade="F2"/>
            <w:tcMar>
              <w:top w:w="57" w:type="dxa"/>
              <w:bottom w:w="57" w:type="dxa"/>
            </w:tcMar>
          </w:tcPr>
          <w:p w14:paraId="6F2EE8A8" w14:textId="77777777" w:rsidR="005D4330" w:rsidRPr="003946A9" w:rsidRDefault="005D4330" w:rsidP="00C86F4A">
            <w:pPr>
              <w:pStyle w:val="TableTextRight"/>
              <w:rPr>
                <w:b/>
                <w:bCs/>
              </w:rPr>
            </w:pPr>
            <w:r w:rsidRPr="003946A9">
              <w:rPr>
                <w:b/>
                <w:bCs/>
              </w:rPr>
              <w:t>(27,994)</w:t>
            </w:r>
          </w:p>
        </w:tc>
      </w:tr>
      <w:tr w:rsidR="005D4330" w:rsidRPr="006534F5" w14:paraId="2B13001F" w14:textId="77777777" w:rsidTr="00A61C4D">
        <w:tc>
          <w:tcPr>
            <w:tcW w:w="2233" w:type="pct"/>
            <w:shd w:val="clear" w:color="auto" w:fill="F2F2F2" w:themeFill="background1" w:themeFillShade="F2"/>
            <w:tcMar>
              <w:top w:w="57" w:type="dxa"/>
              <w:bottom w:w="57" w:type="dxa"/>
            </w:tcMar>
            <w:hideMark/>
          </w:tcPr>
          <w:p w14:paraId="23E17D09" w14:textId="77777777" w:rsidR="005D4330" w:rsidRPr="00C469B2" w:rsidRDefault="005D4330" w:rsidP="00C86F4A">
            <w:pPr>
              <w:pStyle w:val="TableTextLeft"/>
              <w:rPr>
                <w:szCs w:val="16"/>
              </w:rPr>
            </w:pPr>
            <w:r w:rsidRPr="00C469B2">
              <w:rPr>
                <w:szCs w:val="16"/>
              </w:rPr>
              <w:t>Cash at the beginning of the reporting period</w:t>
            </w:r>
          </w:p>
        </w:tc>
        <w:tc>
          <w:tcPr>
            <w:tcW w:w="447" w:type="pct"/>
            <w:shd w:val="clear" w:color="auto" w:fill="F2F2F2" w:themeFill="background1" w:themeFillShade="F2"/>
            <w:tcMar>
              <w:top w:w="57" w:type="dxa"/>
              <w:bottom w:w="57" w:type="dxa"/>
            </w:tcMar>
            <w:hideMark/>
          </w:tcPr>
          <w:p w14:paraId="1C867A8B" w14:textId="77777777" w:rsidR="005D4330" w:rsidRPr="005D4330" w:rsidRDefault="005D4330" w:rsidP="005D4330">
            <w:pPr>
              <w:pStyle w:val="TableTextCentered"/>
            </w:pPr>
            <w:r w:rsidRPr="005D4330">
              <w:t> </w:t>
            </w:r>
          </w:p>
        </w:tc>
        <w:tc>
          <w:tcPr>
            <w:tcW w:w="773" w:type="pct"/>
            <w:shd w:val="clear" w:color="auto" w:fill="F2F2F2" w:themeFill="background1" w:themeFillShade="F2"/>
            <w:tcMar>
              <w:top w:w="57" w:type="dxa"/>
              <w:bottom w:w="57" w:type="dxa"/>
            </w:tcMar>
          </w:tcPr>
          <w:p w14:paraId="6E17E9C7" w14:textId="77777777" w:rsidR="005D4330" w:rsidRPr="00C469B2" w:rsidRDefault="005D4330" w:rsidP="00C86F4A">
            <w:pPr>
              <w:pStyle w:val="TableTextRight"/>
              <w:rPr>
                <w:szCs w:val="16"/>
              </w:rPr>
            </w:pPr>
            <w:r w:rsidRPr="00C469B2">
              <w:rPr>
                <w:szCs w:val="16"/>
              </w:rPr>
              <w:t>85,553</w:t>
            </w:r>
          </w:p>
        </w:tc>
        <w:tc>
          <w:tcPr>
            <w:tcW w:w="774" w:type="pct"/>
            <w:shd w:val="clear" w:color="auto" w:fill="F2F2F2" w:themeFill="background1" w:themeFillShade="F2"/>
            <w:tcMar>
              <w:top w:w="57" w:type="dxa"/>
              <w:bottom w:w="57" w:type="dxa"/>
            </w:tcMar>
            <w:hideMark/>
          </w:tcPr>
          <w:p w14:paraId="26707BD8" w14:textId="77777777" w:rsidR="005D4330" w:rsidRPr="00C469B2" w:rsidRDefault="005D4330" w:rsidP="00C86F4A">
            <w:pPr>
              <w:pStyle w:val="TableTextRight"/>
              <w:rPr>
                <w:szCs w:val="16"/>
              </w:rPr>
            </w:pPr>
            <w:r w:rsidRPr="00C469B2">
              <w:rPr>
                <w:szCs w:val="16"/>
              </w:rPr>
              <w:t xml:space="preserve">82,208 </w:t>
            </w:r>
          </w:p>
        </w:tc>
        <w:tc>
          <w:tcPr>
            <w:tcW w:w="774" w:type="pct"/>
            <w:shd w:val="clear" w:color="auto" w:fill="F2F2F2" w:themeFill="background1" w:themeFillShade="F2"/>
            <w:tcMar>
              <w:top w:w="57" w:type="dxa"/>
              <w:bottom w:w="57" w:type="dxa"/>
            </w:tcMar>
          </w:tcPr>
          <w:p w14:paraId="444BCD62" w14:textId="77777777" w:rsidR="005D4330" w:rsidRPr="00C469B2" w:rsidRDefault="005D4330" w:rsidP="00C86F4A">
            <w:pPr>
              <w:pStyle w:val="TableTextRight"/>
              <w:rPr>
                <w:szCs w:val="16"/>
              </w:rPr>
            </w:pPr>
            <w:r w:rsidRPr="00C469B2">
              <w:rPr>
                <w:szCs w:val="16"/>
              </w:rPr>
              <w:t>78,389</w:t>
            </w:r>
          </w:p>
        </w:tc>
      </w:tr>
      <w:tr w:rsidR="005D4330" w:rsidRPr="006534F5" w14:paraId="3BDBD07E" w14:textId="77777777" w:rsidTr="00A61C4D">
        <w:tc>
          <w:tcPr>
            <w:tcW w:w="2233" w:type="pct"/>
            <w:shd w:val="clear" w:color="auto" w:fill="F2F2F2" w:themeFill="background1" w:themeFillShade="F2"/>
            <w:tcMar>
              <w:top w:w="57" w:type="dxa"/>
              <w:bottom w:w="57" w:type="dxa"/>
            </w:tcMar>
            <w:hideMark/>
          </w:tcPr>
          <w:p w14:paraId="12F85EBC" w14:textId="77777777" w:rsidR="005D4330" w:rsidRPr="003946A9" w:rsidRDefault="005D4330" w:rsidP="00C86F4A">
            <w:pPr>
              <w:pStyle w:val="TableTextLeft"/>
              <w:rPr>
                <w:b/>
                <w:bCs/>
              </w:rPr>
            </w:pPr>
            <w:r w:rsidRPr="003946A9">
              <w:rPr>
                <w:b/>
                <w:bCs/>
              </w:rPr>
              <w:t xml:space="preserve">Cash held at the end of the reporting period </w:t>
            </w:r>
          </w:p>
        </w:tc>
        <w:tc>
          <w:tcPr>
            <w:tcW w:w="447" w:type="pct"/>
            <w:shd w:val="clear" w:color="auto" w:fill="F2F2F2" w:themeFill="background1" w:themeFillShade="F2"/>
            <w:tcMar>
              <w:top w:w="57" w:type="dxa"/>
              <w:bottom w:w="57" w:type="dxa"/>
            </w:tcMar>
            <w:hideMark/>
          </w:tcPr>
          <w:p w14:paraId="5D5711FC" w14:textId="77777777" w:rsidR="005D4330" w:rsidRPr="005D4330" w:rsidRDefault="005D4330" w:rsidP="005D4330">
            <w:pPr>
              <w:pStyle w:val="TableTextCentered"/>
              <w:rPr>
                <w:rStyle w:val="Strong"/>
                <w:b w:val="0"/>
                <w:bCs w:val="0"/>
                <w:szCs w:val="16"/>
              </w:rPr>
            </w:pPr>
            <w:r w:rsidRPr="005D4330">
              <w:rPr>
                <w:rStyle w:val="Strong"/>
                <w:b w:val="0"/>
                <w:bCs w:val="0"/>
                <w:szCs w:val="16"/>
              </w:rPr>
              <w:t> </w:t>
            </w:r>
          </w:p>
        </w:tc>
        <w:tc>
          <w:tcPr>
            <w:tcW w:w="773" w:type="pct"/>
            <w:shd w:val="clear" w:color="auto" w:fill="F2F2F2" w:themeFill="background1" w:themeFillShade="F2"/>
            <w:tcMar>
              <w:top w:w="57" w:type="dxa"/>
              <w:bottom w:w="57" w:type="dxa"/>
            </w:tcMar>
          </w:tcPr>
          <w:p w14:paraId="7059D985" w14:textId="77777777" w:rsidR="005D4330" w:rsidRPr="003946A9" w:rsidRDefault="005D4330" w:rsidP="00C86F4A">
            <w:pPr>
              <w:pStyle w:val="TableTextRight"/>
              <w:rPr>
                <w:b/>
                <w:bCs/>
              </w:rPr>
            </w:pPr>
            <w:r w:rsidRPr="003946A9">
              <w:rPr>
                <w:b/>
                <w:bCs/>
              </w:rPr>
              <w:t>68,380</w:t>
            </w:r>
          </w:p>
        </w:tc>
        <w:tc>
          <w:tcPr>
            <w:tcW w:w="774" w:type="pct"/>
            <w:shd w:val="clear" w:color="auto" w:fill="F2F2F2" w:themeFill="background1" w:themeFillShade="F2"/>
            <w:tcMar>
              <w:top w:w="57" w:type="dxa"/>
              <w:bottom w:w="57" w:type="dxa"/>
            </w:tcMar>
            <w:hideMark/>
          </w:tcPr>
          <w:p w14:paraId="41FAAF83" w14:textId="77777777" w:rsidR="005D4330" w:rsidRPr="003946A9" w:rsidRDefault="005D4330" w:rsidP="00C86F4A">
            <w:pPr>
              <w:pStyle w:val="TableTextRight"/>
              <w:rPr>
                <w:b/>
                <w:bCs/>
              </w:rPr>
            </w:pPr>
            <w:r w:rsidRPr="003946A9">
              <w:rPr>
                <w:b/>
                <w:bCs/>
              </w:rPr>
              <w:t xml:space="preserve">85,553 </w:t>
            </w:r>
          </w:p>
        </w:tc>
        <w:tc>
          <w:tcPr>
            <w:tcW w:w="774" w:type="pct"/>
            <w:shd w:val="clear" w:color="auto" w:fill="F2F2F2" w:themeFill="background1" w:themeFillShade="F2"/>
            <w:tcMar>
              <w:top w:w="57" w:type="dxa"/>
              <w:bottom w:w="57" w:type="dxa"/>
            </w:tcMar>
          </w:tcPr>
          <w:p w14:paraId="492C1985" w14:textId="77777777" w:rsidR="005D4330" w:rsidRPr="003946A9" w:rsidRDefault="005D4330" w:rsidP="00C86F4A">
            <w:pPr>
              <w:pStyle w:val="TableTextRight"/>
              <w:rPr>
                <w:b/>
                <w:bCs/>
              </w:rPr>
            </w:pPr>
            <w:r w:rsidRPr="003946A9">
              <w:rPr>
                <w:b/>
                <w:bCs/>
              </w:rPr>
              <w:t>50,395</w:t>
            </w:r>
          </w:p>
        </w:tc>
      </w:tr>
    </w:tbl>
    <w:p w14:paraId="7ADA4F0E" w14:textId="77777777" w:rsidR="005D4330" w:rsidRPr="003946A9" w:rsidRDefault="005D4330" w:rsidP="005D4330">
      <w:pPr>
        <w:pStyle w:val="ChartorTableNote"/>
      </w:pPr>
      <w:r w:rsidRPr="003946A9">
        <w:t>The above schedule should be read in conjunction with the accompanying notes.</w:t>
      </w:r>
    </w:p>
    <w:p w14:paraId="2417D1C3" w14:textId="77777777" w:rsidR="005D4330" w:rsidRPr="00E857FB" w:rsidRDefault="005D4330" w:rsidP="005D4330">
      <w:pPr>
        <w:rPr>
          <w:rFonts w:eastAsiaTheme="majorEastAsia"/>
        </w:rPr>
      </w:pPr>
      <w:r w:rsidRPr="00E857FB">
        <w:br w:type="page"/>
      </w:r>
    </w:p>
    <w:p w14:paraId="2FD7301C" w14:textId="77777777" w:rsidR="00531012" w:rsidRPr="006534F5" w:rsidRDefault="00531012" w:rsidP="00531012">
      <w:pPr>
        <w:pStyle w:val="Heading2"/>
      </w:pPr>
      <w:bookmarkStart w:id="1648" w:name="_Toc146112226"/>
      <w:bookmarkStart w:id="1649" w:name="_Toc207792931"/>
      <w:bookmarkStart w:id="1650" w:name="_Toc207793971"/>
      <w:bookmarkStart w:id="1651" w:name="_Toc207796127"/>
      <w:bookmarkStart w:id="1652" w:name="_Toc207796975"/>
      <w:bookmarkStart w:id="1653" w:name="_Toc207800278"/>
      <w:bookmarkStart w:id="1654" w:name="_Toc207810856"/>
      <w:bookmarkStart w:id="1655" w:name="_Toc208914136"/>
      <w:bookmarkStart w:id="1656" w:name="_Toc209424533"/>
      <w:r w:rsidRPr="006534F5">
        <w:lastRenderedPageBreak/>
        <w:t>Note 1: Financial risk management</w:t>
      </w:r>
      <w:bookmarkEnd w:id="1648"/>
      <w:bookmarkEnd w:id="1649"/>
      <w:bookmarkEnd w:id="1650"/>
      <w:bookmarkEnd w:id="1651"/>
      <w:bookmarkEnd w:id="1652"/>
      <w:bookmarkEnd w:id="1653"/>
      <w:bookmarkEnd w:id="1654"/>
      <w:bookmarkEnd w:id="1655"/>
      <w:bookmarkEnd w:id="1656"/>
    </w:p>
    <w:p w14:paraId="6D5D678E" w14:textId="77777777" w:rsidR="00531012" w:rsidRPr="00F93D99" w:rsidRDefault="00531012" w:rsidP="00531012">
      <w:pPr>
        <w:rPr>
          <w:lang w:eastAsia="en-AU"/>
        </w:rPr>
      </w:pPr>
      <w:r w:rsidRPr="00F93D99">
        <w:t xml:space="preserve">The </w:t>
      </w:r>
      <w:r>
        <w:t>G</w:t>
      </w:r>
      <w:r w:rsidRPr="00F93D99">
        <w:t xml:space="preserve">overnment is exposed to financial risks arising from its portfolio of financial assets and liabilities – interest rate risk, inflation risk, credit risk, liquidity risk and refinancing risk. The AOFM – overseen by the CEO and senior management – manages these risks within a financial risk management framework. This framework comprises directions from the Treasurer, as well as policies and limits approved by the Secretary of the Treasury. </w:t>
      </w:r>
    </w:p>
    <w:p w14:paraId="335A9412" w14:textId="77777777" w:rsidR="00531012" w:rsidRPr="006534F5" w:rsidRDefault="00531012" w:rsidP="00531012">
      <w:pPr>
        <w:pStyle w:val="Heading3"/>
      </w:pPr>
      <w:bookmarkStart w:id="1657" w:name="_Toc146112227"/>
      <w:bookmarkStart w:id="1658" w:name="_Toc207796128"/>
      <w:r w:rsidRPr="006534F5">
        <w:t>Interest rate risk</w:t>
      </w:r>
      <w:bookmarkEnd w:id="1657"/>
      <w:bookmarkEnd w:id="1658"/>
    </w:p>
    <w:p w14:paraId="34EF3627" w14:textId="77777777" w:rsidR="00531012" w:rsidRPr="00F93D99" w:rsidRDefault="00531012" w:rsidP="00531012">
      <w:r w:rsidRPr="00F93D99">
        <w:t>Interest rate risk refers to the risk that the fair value of future cash flows of a financial instrument will fluctuate because of changes in market interest rates.</w:t>
      </w:r>
    </w:p>
    <w:p w14:paraId="57FD582C" w14:textId="77777777" w:rsidR="00531012" w:rsidRPr="00F93D99" w:rsidRDefault="00531012" w:rsidP="00531012">
      <w:r w:rsidRPr="00F93D99">
        <w:t xml:space="preserve">In its ordinary course of business, the AOFM’s primary measure of interest rate risk is the accrual basis of accounting under the historic cost accounting convention. Fair value measures of interest rate risk </w:t>
      </w:r>
      <w:proofErr w:type="gramStart"/>
      <w:r w:rsidRPr="00F93D99">
        <w:t>are considered to be</w:t>
      </w:r>
      <w:proofErr w:type="gramEnd"/>
      <w:r w:rsidRPr="00F93D99">
        <w:t xml:space="preserve"> secondary.</w:t>
      </w:r>
    </w:p>
    <w:p w14:paraId="2D2C804E" w14:textId="77777777" w:rsidR="00531012" w:rsidRDefault="00531012" w:rsidP="00531012">
      <w:r w:rsidRPr="00F93D99">
        <w:t>Financial instruments with a fixed interest rate expose the portfolio to changes in fair value with changes in interest rates, while financial instruments at floating interest rates expose the portfolio to changes in debt servicing costs with changes in interest rates. The extent to which the AOFM can match the repricing profile of financial liabilities with financial assets is limited due to the significant differences in the volumes and the need for assets to be available for cash management or other purposes. The interest rate exposure is predominately to fixed interest instruments.</w:t>
      </w:r>
    </w:p>
    <w:p w14:paraId="1F42EE87" w14:textId="77777777" w:rsidR="00531012" w:rsidRDefault="00531012" w:rsidP="00531012">
      <w:r w:rsidRPr="003F4550">
        <w:t>The AOFM does not use financial derivatives such as interest rate swaps to manage interest rate risk.</w:t>
      </w:r>
    </w:p>
    <w:p w14:paraId="65C581BD" w14:textId="77777777" w:rsidR="00531012" w:rsidRPr="00AF6A78" w:rsidRDefault="00531012" w:rsidP="00531012">
      <w:pPr>
        <w:pStyle w:val="TableMainHeading"/>
      </w:pPr>
      <w:r w:rsidRPr="00AF6A78">
        <w:t xml:space="preserve">Interest exposure of assets and liabilities </w:t>
      </w:r>
    </w:p>
    <w:tbl>
      <w:tblPr>
        <w:tblStyle w:val="AOFMTablemain"/>
        <w:tblW w:w="5000" w:type="pct"/>
        <w:tblLook w:val="06A0" w:firstRow="1" w:lastRow="0" w:firstColumn="1" w:lastColumn="0" w:noHBand="1" w:noVBand="1"/>
      </w:tblPr>
      <w:tblGrid>
        <w:gridCol w:w="5177"/>
        <w:gridCol w:w="1268"/>
        <w:gridCol w:w="1266"/>
      </w:tblGrid>
      <w:tr w:rsidR="0048600D" w:rsidRPr="006534F5" w14:paraId="347BA579" w14:textId="77777777" w:rsidTr="00EC03D4">
        <w:trPr>
          <w:cnfStyle w:val="100000000000" w:firstRow="1" w:lastRow="0" w:firstColumn="0" w:lastColumn="0" w:oddVBand="0" w:evenVBand="0" w:oddHBand="0" w:evenHBand="0" w:firstRowFirstColumn="0" w:firstRowLastColumn="0" w:lastRowFirstColumn="0" w:lastRowLastColumn="0"/>
          <w:trHeight w:hRule="exact" w:val="567"/>
        </w:trPr>
        <w:tc>
          <w:tcPr>
            <w:tcW w:w="3357" w:type="pct"/>
            <w:noWrap/>
            <w:tcMar>
              <w:top w:w="57" w:type="dxa"/>
              <w:bottom w:w="57" w:type="dxa"/>
            </w:tcMar>
            <w:hideMark/>
          </w:tcPr>
          <w:p w14:paraId="650F218D" w14:textId="77777777" w:rsidR="00531012" w:rsidRPr="00B22CE3" w:rsidRDefault="00531012" w:rsidP="00C86F4A">
            <w:pPr>
              <w:pStyle w:val="TableColumnHeadingRight"/>
            </w:pPr>
            <w:r w:rsidRPr="00B22CE3">
              <w:t> </w:t>
            </w:r>
          </w:p>
        </w:tc>
        <w:tc>
          <w:tcPr>
            <w:tcW w:w="822" w:type="pct"/>
            <w:noWrap/>
            <w:tcMar>
              <w:top w:w="57" w:type="dxa"/>
              <w:bottom w:w="57" w:type="dxa"/>
            </w:tcMar>
            <w:hideMark/>
          </w:tcPr>
          <w:p w14:paraId="1086FBA9" w14:textId="77777777" w:rsidR="00531012" w:rsidRDefault="00531012" w:rsidP="00C86F4A">
            <w:pPr>
              <w:pStyle w:val="TableColumnHeadingRight"/>
            </w:pPr>
            <w:r w:rsidRPr="003B5C88">
              <w:t>202</w:t>
            </w:r>
            <w:r>
              <w:t xml:space="preserve">5 </w:t>
            </w:r>
          </w:p>
          <w:p w14:paraId="25714947" w14:textId="77777777" w:rsidR="00531012" w:rsidRPr="00B22CE3" w:rsidRDefault="00531012" w:rsidP="00C86F4A">
            <w:pPr>
              <w:pStyle w:val="TableColumnHeadingRight"/>
            </w:pPr>
            <w:r>
              <w:t>($million)</w:t>
            </w:r>
            <w:r w:rsidRPr="003B5C88">
              <w:t xml:space="preserve"> </w:t>
            </w:r>
          </w:p>
        </w:tc>
        <w:tc>
          <w:tcPr>
            <w:tcW w:w="821" w:type="pct"/>
            <w:noWrap/>
            <w:tcMar>
              <w:top w:w="57" w:type="dxa"/>
              <w:bottom w:w="57" w:type="dxa"/>
            </w:tcMar>
            <w:hideMark/>
          </w:tcPr>
          <w:p w14:paraId="0614FC31" w14:textId="77777777" w:rsidR="00531012" w:rsidRDefault="00531012" w:rsidP="00C86F4A">
            <w:pPr>
              <w:pStyle w:val="TableColumnHeadingRight"/>
            </w:pPr>
            <w:r w:rsidRPr="003B5C88">
              <w:t>202</w:t>
            </w:r>
            <w:r>
              <w:t>4</w:t>
            </w:r>
            <w:r w:rsidRPr="003B5C88">
              <w:t xml:space="preserve"> </w:t>
            </w:r>
          </w:p>
          <w:p w14:paraId="6E1B9DA5" w14:textId="77777777" w:rsidR="00531012" w:rsidRPr="00B22CE3" w:rsidRDefault="00531012" w:rsidP="00C86F4A">
            <w:pPr>
              <w:pStyle w:val="TableColumnHeadingRight"/>
            </w:pPr>
            <w:r>
              <w:t>($million)</w:t>
            </w:r>
          </w:p>
        </w:tc>
      </w:tr>
      <w:tr w:rsidR="00531012" w:rsidRPr="006534F5" w14:paraId="7681ACFB" w14:textId="77777777" w:rsidTr="00A61C4D">
        <w:trPr>
          <w:trHeight w:hRule="exact" w:val="300"/>
        </w:trPr>
        <w:tc>
          <w:tcPr>
            <w:tcW w:w="3357" w:type="pct"/>
            <w:shd w:val="clear" w:color="auto" w:fill="F2F2F2" w:themeFill="background1" w:themeFillShade="F2"/>
            <w:noWrap/>
            <w:tcMar>
              <w:top w:w="57" w:type="dxa"/>
              <w:bottom w:w="57" w:type="dxa"/>
            </w:tcMar>
            <w:hideMark/>
          </w:tcPr>
          <w:p w14:paraId="0687E768" w14:textId="77777777" w:rsidR="00531012" w:rsidRPr="00AF6A78" w:rsidRDefault="00531012" w:rsidP="00C86F4A">
            <w:pPr>
              <w:pStyle w:val="TableTextLeft"/>
              <w:rPr>
                <w:b/>
                <w:bCs/>
              </w:rPr>
            </w:pPr>
            <w:r w:rsidRPr="00AF6A78">
              <w:rPr>
                <w:b/>
                <w:bCs/>
              </w:rPr>
              <w:t>Fixed interest rate exposures</w:t>
            </w:r>
          </w:p>
        </w:tc>
        <w:tc>
          <w:tcPr>
            <w:tcW w:w="822" w:type="pct"/>
            <w:shd w:val="clear" w:color="auto" w:fill="F2F2F2" w:themeFill="background1" w:themeFillShade="F2"/>
            <w:noWrap/>
            <w:tcMar>
              <w:top w:w="57" w:type="dxa"/>
              <w:bottom w:w="57" w:type="dxa"/>
            </w:tcMar>
            <w:hideMark/>
          </w:tcPr>
          <w:p w14:paraId="26C52918" w14:textId="77777777" w:rsidR="00531012" w:rsidRPr="00B22CE3" w:rsidRDefault="00531012" w:rsidP="00C86F4A">
            <w:pPr>
              <w:pStyle w:val="TableTextRight"/>
              <w:jc w:val="left"/>
              <w:rPr>
                <w:rStyle w:val="Strong"/>
              </w:rPr>
            </w:pPr>
            <w:r w:rsidRPr="00B22CE3">
              <w:rPr>
                <w:rStyle w:val="Strong"/>
              </w:rPr>
              <w:t> </w:t>
            </w:r>
          </w:p>
        </w:tc>
        <w:tc>
          <w:tcPr>
            <w:tcW w:w="821" w:type="pct"/>
            <w:shd w:val="clear" w:color="auto" w:fill="F2F2F2" w:themeFill="background1" w:themeFillShade="F2"/>
            <w:noWrap/>
            <w:tcMar>
              <w:top w:w="57" w:type="dxa"/>
              <w:bottom w:w="57" w:type="dxa"/>
            </w:tcMar>
            <w:hideMark/>
          </w:tcPr>
          <w:p w14:paraId="74C64CEA" w14:textId="77777777" w:rsidR="00531012" w:rsidRPr="00B22CE3" w:rsidRDefault="00531012" w:rsidP="00C86F4A">
            <w:pPr>
              <w:pStyle w:val="TableTextRight"/>
              <w:jc w:val="left"/>
              <w:rPr>
                <w:rStyle w:val="Strong"/>
              </w:rPr>
            </w:pPr>
            <w:r w:rsidRPr="00B22CE3">
              <w:rPr>
                <w:rStyle w:val="Strong"/>
              </w:rPr>
              <w:t> </w:t>
            </w:r>
          </w:p>
        </w:tc>
      </w:tr>
      <w:tr w:rsidR="00531012" w:rsidRPr="006534F5" w14:paraId="39075591" w14:textId="77777777" w:rsidTr="00A61C4D">
        <w:trPr>
          <w:trHeight w:hRule="exact" w:val="300"/>
        </w:trPr>
        <w:tc>
          <w:tcPr>
            <w:tcW w:w="3357" w:type="pct"/>
            <w:shd w:val="clear" w:color="auto" w:fill="F2F2F2" w:themeFill="background1" w:themeFillShade="F2"/>
            <w:noWrap/>
            <w:tcMar>
              <w:top w:w="57" w:type="dxa"/>
              <w:bottom w:w="57" w:type="dxa"/>
            </w:tcMar>
            <w:hideMark/>
          </w:tcPr>
          <w:p w14:paraId="67D622AD" w14:textId="77777777" w:rsidR="00531012" w:rsidRPr="00AE665D" w:rsidRDefault="00531012" w:rsidP="00C86F4A">
            <w:pPr>
              <w:pStyle w:val="TableTextLeft"/>
            </w:pPr>
            <w:r w:rsidRPr="00AE665D">
              <w:t xml:space="preserve">Assets </w:t>
            </w:r>
          </w:p>
        </w:tc>
        <w:tc>
          <w:tcPr>
            <w:tcW w:w="822" w:type="pct"/>
            <w:shd w:val="clear" w:color="auto" w:fill="F2F2F2" w:themeFill="background1" w:themeFillShade="F2"/>
            <w:noWrap/>
            <w:tcMar>
              <w:top w:w="57" w:type="dxa"/>
              <w:bottom w:w="57" w:type="dxa"/>
            </w:tcMar>
          </w:tcPr>
          <w:p w14:paraId="1CFD2CAD" w14:textId="77777777" w:rsidR="00531012" w:rsidRPr="00AE665D" w:rsidRDefault="00531012" w:rsidP="00C86F4A">
            <w:pPr>
              <w:pStyle w:val="TableTextRight"/>
            </w:pPr>
            <w:r>
              <w:t>1,319</w:t>
            </w:r>
          </w:p>
        </w:tc>
        <w:tc>
          <w:tcPr>
            <w:tcW w:w="821" w:type="pct"/>
            <w:shd w:val="clear" w:color="auto" w:fill="F2F2F2" w:themeFill="background1" w:themeFillShade="F2"/>
            <w:noWrap/>
            <w:tcMar>
              <w:top w:w="57" w:type="dxa"/>
              <w:bottom w:w="57" w:type="dxa"/>
            </w:tcMar>
            <w:hideMark/>
          </w:tcPr>
          <w:p w14:paraId="37A7BCEB" w14:textId="77777777" w:rsidR="00531012" w:rsidRPr="00AE665D" w:rsidRDefault="00531012" w:rsidP="00C86F4A">
            <w:pPr>
              <w:pStyle w:val="TableTextRight"/>
            </w:pPr>
            <w:r>
              <w:t>1,466</w:t>
            </w:r>
            <w:r w:rsidRPr="00AE665D">
              <w:t xml:space="preserve"> </w:t>
            </w:r>
          </w:p>
        </w:tc>
      </w:tr>
      <w:tr w:rsidR="00531012" w:rsidRPr="006534F5" w14:paraId="53825225" w14:textId="77777777" w:rsidTr="00A61C4D">
        <w:trPr>
          <w:trHeight w:hRule="exact" w:val="300"/>
        </w:trPr>
        <w:tc>
          <w:tcPr>
            <w:tcW w:w="3357" w:type="pct"/>
            <w:shd w:val="clear" w:color="auto" w:fill="F2F2F2" w:themeFill="background1" w:themeFillShade="F2"/>
            <w:noWrap/>
            <w:tcMar>
              <w:top w:w="57" w:type="dxa"/>
              <w:bottom w:w="57" w:type="dxa"/>
            </w:tcMar>
            <w:hideMark/>
          </w:tcPr>
          <w:p w14:paraId="696A7F7A" w14:textId="77777777" w:rsidR="00531012" w:rsidRPr="00AE665D" w:rsidRDefault="00531012" w:rsidP="00C86F4A">
            <w:pPr>
              <w:pStyle w:val="TableTextLeft"/>
            </w:pPr>
            <w:r w:rsidRPr="00AE665D">
              <w:t>Liabilities</w:t>
            </w:r>
          </w:p>
        </w:tc>
        <w:tc>
          <w:tcPr>
            <w:tcW w:w="822" w:type="pct"/>
            <w:shd w:val="clear" w:color="auto" w:fill="F2F2F2" w:themeFill="background1" w:themeFillShade="F2"/>
            <w:noWrap/>
            <w:tcMar>
              <w:top w:w="57" w:type="dxa"/>
              <w:bottom w:w="57" w:type="dxa"/>
            </w:tcMar>
          </w:tcPr>
          <w:p w14:paraId="35A9696D" w14:textId="77777777" w:rsidR="00531012" w:rsidRPr="00AE665D" w:rsidRDefault="00531012" w:rsidP="00C86F4A">
            <w:pPr>
              <w:pStyle w:val="TableTextRight"/>
            </w:pPr>
            <w:r>
              <w:t>(887,016)</w:t>
            </w:r>
          </w:p>
        </w:tc>
        <w:tc>
          <w:tcPr>
            <w:tcW w:w="821" w:type="pct"/>
            <w:shd w:val="clear" w:color="auto" w:fill="F2F2F2" w:themeFill="background1" w:themeFillShade="F2"/>
            <w:noWrap/>
            <w:tcMar>
              <w:top w:w="57" w:type="dxa"/>
              <w:bottom w:w="57" w:type="dxa"/>
            </w:tcMar>
            <w:hideMark/>
          </w:tcPr>
          <w:p w14:paraId="3F3E48F9" w14:textId="77777777" w:rsidR="00531012" w:rsidRPr="00AE665D" w:rsidRDefault="00531012" w:rsidP="00C86F4A">
            <w:pPr>
              <w:pStyle w:val="TableTextRight"/>
            </w:pPr>
            <w:r w:rsidRPr="00AE665D">
              <w:t>(</w:t>
            </w:r>
            <w:r>
              <w:t>844,234</w:t>
            </w:r>
            <w:r w:rsidRPr="00AE665D">
              <w:t>)</w:t>
            </w:r>
          </w:p>
        </w:tc>
      </w:tr>
      <w:tr w:rsidR="00531012" w:rsidRPr="006534F5" w14:paraId="3F146402" w14:textId="77777777" w:rsidTr="00A61C4D">
        <w:trPr>
          <w:trHeight w:hRule="exact" w:val="320"/>
        </w:trPr>
        <w:tc>
          <w:tcPr>
            <w:tcW w:w="3357" w:type="pct"/>
            <w:shd w:val="clear" w:color="auto" w:fill="F2F2F2" w:themeFill="background1" w:themeFillShade="F2"/>
            <w:noWrap/>
            <w:tcMar>
              <w:top w:w="57" w:type="dxa"/>
              <w:bottom w:w="57" w:type="dxa"/>
            </w:tcMar>
            <w:hideMark/>
          </w:tcPr>
          <w:p w14:paraId="49963F8A" w14:textId="77777777" w:rsidR="00531012" w:rsidRPr="0055359C" w:rsidRDefault="00531012" w:rsidP="00C86F4A">
            <w:pPr>
              <w:pStyle w:val="TableTextLeft"/>
              <w:rPr>
                <w:b/>
                <w:bCs/>
              </w:rPr>
            </w:pPr>
            <w:r w:rsidRPr="0055359C">
              <w:rPr>
                <w:b/>
                <w:bCs/>
              </w:rPr>
              <w:t>Floating interest rate or non</w:t>
            </w:r>
            <w:r w:rsidRPr="0055359C">
              <w:rPr>
                <w:b/>
                <w:bCs/>
              </w:rPr>
              <w:noBreakHyphen/>
              <w:t>interest bearing exposures</w:t>
            </w:r>
          </w:p>
        </w:tc>
        <w:tc>
          <w:tcPr>
            <w:tcW w:w="822" w:type="pct"/>
            <w:shd w:val="clear" w:color="auto" w:fill="F2F2F2" w:themeFill="background1" w:themeFillShade="F2"/>
            <w:noWrap/>
            <w:tcMar>
              <w:top w:w="57" w:type="dxa"/>
              <w:bottom w:w="57" w:type="dxa"/>
            </w:tcMar>
          </w:tcPr>
          <w:p w14:paraId="241072C4" w14:textId="77777777" w:rsidR="00531012" w:rsidRPr="00AE665D" w:rsidRDefault="00531012" w:rsidP="00C86F4A">
            <w:pPr>
              <w:pStyle w:val="TableTextRight"/>
              <w:jc w:val="left"/>
              <w:rPr>
                <w:rStyle w:val="Strong"/>
              </w:rPr>
            </w:pPr>
          </w:p>
        </w:tc>
        <w:tc>
          <w:tcPr>
            <w:tcW w:w="821" w:type="pct"/>
            <w:shd w:val="clear" w:color="auto" w:fill="F2F2F2" w:themeFill="background1" w:themeFillShade="F2"/>
            <w:noWrap/>
            <w:tcMar>
              <w:top w:w="57" w:type="dxa"/>
              <w:bottom w:w="57" w:type="dxa"/>
            </w:tcMar>
            <w:hideMark/>
          </w:tcPr>
          <w:p w14:paraId="260F96AE" w14:textId="77777777" w:rsidR="00531012" w:rsidRPr="00AE665D" w:rsidRDefault="00531012" w:rsidP="00C86F4A">
            <w:pPr>
              <w:pStyle w:val="TableTextRight"/>
              <w:jc w:val="left"/>
              <w:rPr>
                <w:rStyle w:val="Strong"/>
              </w:rPr>
            </w:pPr>
            <w:r w:rsidRPr="00AE665D">
              <w:rPr>
                <w:rStyle w:val="Strong"/>
              </w:rPr>
              <w:t> </w:t>
            </w:r>
          </w:p>
        </w:tc>
      </w:tr>
      <w:tr w:rsidR="00531012" w:rsidRPr="006534F5" w14:paraId="0822DAA1" w14:textId="77777777" w:rsidTr="00A61C4D">
        <w:trPr>
          <w:trHeight w:hRule="exact" w:val="300"/>
        </w:trPr>
        <w:tc>
          <w:tcPr>
            <w:tcW w:w="3357" w:type="pct"/>
            <w:shd w:val="clear" w:color="auto" w:fill="F2F2F2" w:themeFill="background1" w:themeFillShade="F2"/>
            <w:noWrap/>
            <w:tcMar>
              <w:top w:w="57" w:type="dxa"/>
              <w:bottom w:w="57" w:type="dxa"/>
            </w:tcMar>
            <w:hideMark/>
          </w:tcPr>
          <w:p w14:paraId="0C4D6F8E" w14:textId="77777777" w:rsidR="00531012" w:rsidRPr="00B22CE3" w:rsidRDefault="00531012" w:rsidP="00C86F4A">
            <w:pPr>
              <w:pStyle w:val="TableTextLeft"/>
            </w:pPr>
            <w:r w:rsidRPr="00B22CE3">
              <w:t>Assets</w:t>
            </w:r>
          </w:p>
        </w:tc>
        <w:tc>
          <w:tcPr>
            <w:tcW w:w="822" w:type="pct"/>
            <w:shd w:val="clear" w:color="auto" w:fill="F2F2F2" w:themeFill="background1" w:themeFillShade="F2"/>
            <w:noWrap/>
            <w:tcMar>
              <w:top w:w="57" w:type="dxa"/>
              <w:bottom w:w="57" w:type="dxa"/>
            </w:tcMar>
          </w:tcPr>
          <w:p w14:paraId="11BD515D" w14:textId="77777777" w:rsidR="00531012" w:rsidRPr="00AE665D" w:rsidRDefault="00531012" w:rsidP="00C86F4A">
            <w:pPr>
              <w:pStyle w:val="TableTextRight"/>
            </w:pPr>
            <w:r>
              <w:t>68,599</w:t>
            </w:r>
          </w:p>
        </w:tc>
        <w:tc>
          <w:tcPr>
            <w:tcW w:w="821" w:type="pct"/>
            <w:shd w:val="clear" w:color="auto" w:fill="F2F2F2" w:themeFill="background1" w:themeFillShade="F2"/>
            <w:noWrap/>
            <w:tcMar>
              <w:top w:w="57" w:type="dxa"/>
              <w:bottom w:w="57" w:type="dxa"/>
            </w:tcMar>
            <w:hideMark/>
          </w:tcPr>
          <w:p w14:paraId="26E707CC" w14:textId="77777777" w:rsidR="00531012" w:rsidRPr="00AE665D" w:rsidRDefault="00531012" w:rsidP="00C86F4A">
            <w:pPr>
              <w:pStyle w:val="TableTextRight"/>
            </w:pPr>
            <w:r>
              <w:t>85,875</w:t>
            </w:r>
            <w:r w:rsidRPr="00AE665D">
              <w:t xml:space="preserve"> </w:t>
            </w:r>
          </w:p>
        </w:tc>
      </w:tr>
      <w:tr w:rsidR="00531012" w:rsidRPr="006534F5" w14:paraId="2C9DAE9B" w14:textId="77777777" w:rsidTr="00A61C4D">
        <w:trPr>
          <w:trHeight w:hRule="exact" w:val="300"/>
        </w:trPr>
        <w:tc>
          <w:tcPr>
            <w:tcW w:w="3357" w:type="pct"/>
            <w:shd w:val="clear" w:color="auto" w:fill="F2F2F2" w:themeFill="background1" w:themeFillShade="F2"/>
            <w:noWrap/>
            <w:tcMar>
              <w:top w:w="57" w:type="dxa"/>
              <w:bottom w:w="57" w:type="dxa"/>
            </w:tcMar>
            <w:hideMark/>
          </w:tcPr>
          <w:p w14:paraId="3C2A0AD6" w14:textId="77777777" w:rsidR="00531012" w:rsidRPr="00B22CE3" w:rsidRDefault="00531012" w:rsidP="00C86F4A">
            <w:pPr>
              <w:pStyle w:val="TableTextLeft"/>
            </w:pPr>
            <w:r w:rsidRPr="00B22CE3">
              <w:t>Liabilities</w:t>
            </w:r>
          </w:p>
        </w:tc>
        <w:tc>
          <w:tcPr>
            <w:tcW w:w="822" w:type="pct"/>
            <w:shd w:val="clear" w:color="auto" w:fill="F2F2F2" w:themeFill="background1" w:themeFillShade="F2"/>
            <w:noWrap/>
            <w:tcMar>
              <w:top w:w="57" w:type="dxa"/>
              <w:bottom w:w="57" w:type="dxa"/>
            </w:tcMar>
          </w:tcPr>
          <w:p w14:paraId="33EE7DFF" w14:textId="77777777" w:rsidR="00531012" w:rsidRPr="00AE665D" w:rsidRDefault="00531012" w:rsidP="00C86F4A">
            <w:pPr>
              <w:pStyle w:val="TableTextRight"/>
            </w:pPr>
            <w:r>
              <w:t>(5)</w:t>
            </w:r>
          </w:p>
        </w:tc>
        <w:tc>
          <w:tcPr>
            <w:tcW w:w="821" w:type="pct"/>
            <w:shd w:val="clear" w:color="auto" w:fill="F2F2F2" w:themeFill="background1" w:themeFillShade="F2"/>
            <w:noWrap/>
            <w:tcMar>
              <w:top w:w="57" w:type="dxa"/>
              <w:bottom w:w="57" w:type="dxa"/>
            </w:tcMar>
            <w:hideMark/>
          </w:tcPr>
          <w:p w14:paraId="5F6479B3" w14:textId="77777777" w:rsidR="00531012" w:rsidRPr="00AE665D" w:rsidRDefault="00531012" w:rsidP="00C86F4A">
            <w:pPr>
              <w:pStyle w:val="TableTextRight"/>
            </w:pPr>
            <w:r w:rsidRPr="00AE665D">
              <w:t>(</w:t>
            </w:r>
            <w:r>
              <w:t>5</w:t>
            </w:r>
            <w:r w:rsidRPr="00AE665D">
              <w:t>)</w:t>
            </w:r>
          </w:p>
        </w:tc>
      </w:tr>
    </w:tbl>
    <w:p w14:paraId="38403D56" w14:textId="6A426D6B" w:rsidR="00531012" w:rsidRDefault="00531012" w:rsidP="00531012"/>
    <w:p w14:paraId="2A243576" w14:textId="77777777" w:rsidR="006B21C0" w:rsidRPr="00353E73" w:rsidRDefault="006B21C0" w:rsidP="006B21C0">
      <w:r w:rsidRPr="00353E73">
        <w:lastRenderedPageBreak/>
        <w:t>The following sensitivity analysis illustrates the interest rate risk sensitivity of administered financial instruments and the financial impact on profit or loss and equity to financial positions held as at period end.</w:t>
      </w:r>
    </w:p>
    <w:p w14:paraId="4A23C0B7" w14:textId="77777777" w:rsidR="006B21C0" w:rsidRPr="00353E73" w:rsidRDefault="006B21C0" w:rsidP="006B21C0">
      <w:pPr>
        <w:rPr>
          <w:rFonts w:eastAsiaTheme="majorEastAsia"/>
        </w:rPr>
      </w:pPr>
      <w:r w:rsidRPr="00353E73">
        <w:t>A sensitivity of 132 basis points (136 basis points for 2023–24) has been used for domestic interest rates as per standard parameters mandated by the Department of Finance.</w:t>
      </w:r>
    </w:p>
    <w:p w14:paraId="58A505F2" w14:textId="77777777" w:rsidR="006B21C0" w:rsidRPr="006534F5" w:rsidRDefault="006B21C0" w:rsidP="006B21C0">
      <w:pPr>
        <w:pStyle w:val="TableMainHeading"/>
        <w:keepLines/>
        <w:rPr>
          <w:rFonts w:asciiTheme="minorHAnsi" w:hAnsiTheme="minorHAnsi" w:cstheme="minorBidi"/>
          <w:lang w:eastAsia="en-US"/>
        </w:rPr>
      </w:pPr>
      <w:r w:rsidRPr="006534F5">
        <w:t xml:space="preserve">Sensitivity of 30 June balances to a </w:t>
      </w:r>
      <w:r>
        <w:t>132</w:t>
      </w:r>
      <w:r w:rsidRPr="006534F5">
        <w:t xml:space="preserve"> basis points rise in interest rates</w:t>
      </w:r>
      <w:r>
        <w:t> </w:t>
      </w:r>
      <w:r>
        <w:br/>
      </w:r>
      <w:r w:rsidRPr="006534F5">
        <w:t>(202</w:t>
      </w:r>
      <w:r>
        <w:t>3</w:t>
      </w:r>
      <w:r w:rsidRPr="0084380D">
        <w:t>–</w:t>
      </w:r>
      <w:r>
        <w:t>24</w:t>
      </w:r>
      <w:r w:rsidRPr="006534F5">
        <w:t xml:space="preserve">: </w:t>
      </w:r>
      <w:r>
        <w:t>136 basis points</w:t>
      </w:r>
      <w:r w:rsidRPr="006534F5">
        <w:t>)</w:t>
      </w:r>
    </w:p>
    <w:tbl>
      <w:tblPr>
        <w:tblStyle w:val="AOFMTablemain"/>
        <w:tblW w:w="5000" w:type="pct"/>
        <w:tblCellMar>
          <w:top w:w="57" w:type="dxa"/>
          <w:bottom w:w="57" w:type="dxa"/>
        </w:tblCellMar>
        <w:tblLook w:val="06A0" w:firstRow="1" w:lastRow="0" w:firstColumn="1" w:lastColumn="0" w:noHBand="1" w:noVBand="1"/>
      </w:tblPr>
      <w:tblGrid>
        <w:gridCol w:w="4545"/>
        <w:gridCol w:w="1653"/>
        <w:gridCol w:w="1513"/>
      </w:tblGrid>
      <w:tr w:rsidR="00E15250" w:rsidRPr="006534F5" w14:paraId="108ECF3F" w14:textId="77777777" w:rsidTr="00EC03D4">
        <w:trPr>
          <w:cnfStyle w:val="100000000000" w:firstRow="1" w:lastRow="0" w:firstColumn="0" w:lastColumn="0" w:oddVBand="0" w:evenVBand="0" w:oddHBand="0" w:evenHBand="0" w:firstRowFirstColumn="0" w:firstRowLastColumn="0" w:lastRowFirstColumn="0" w:lastRowLastColumn="0"/>
          <w:cantSplit/>
        </w:trPr>
        <w:tc>
          <w:tcPr>
            <w:tcW w:w="2947" w:type="pct"/>
            <w:noWrap/>
            <w:tcMar>
              <w:top w:w="57" w:type="dxa"/>
              <w:bottom w:w="57" w:type="dxa"/>
            </w:tcMar>
            <w:hideMark/>
          </w:tcPr>
          <w:p w14:paraId="4DE1EA1B" w14:textId="77777777" w:rsidR="006B21C0" w:rsidRPr="00B22CE3" w:rsidRDefault="006B21C0" w:rsidP="00C86F4A">
            <w:pPr>
              <w:pStyle w:val="TableTextLeft"/>
              <w:rPr>
                <w:color w:val="FFFFFF" w:themeColor="background1"/>
              </w:rPr>
            </w:pPr>
            <w:r w:rsidRPr="00B22CE3">
              <w:rPr>
                <w:color w:val="FFFFFF" w:themeColor="background1"/>
              </w:rPr>
              <w:t> </w:t>
            </w:r>
          </w:p>
        </w:tc>
        <w:tc>
          <w:tcPr>
            <w:tcW w:w="1072" w:type="pct"/>
            <w:noWrap/>
            <w:tcMar>
              <w:top w:w="57" w:type="dxa"/>
              <w:bottom w:w="57" w:type="dxa"/>
            </w:tcMar>
            <w:hideMark/>
          </w:tcPr>
          <w:p w14:paraId="6EDEFBCD" w14:textId="77777777" w:rsidR="006B21C0" w:rsidRDefault="006B21C0" w:rsidP="00C86F4A">
            <w:pPr>
              <w:pStyle w:val="TableColumnHeadingRight"/>
            </w:pPr>
            <w:r w:rsidRPr="003B5C88">
              <w:t>202</w:t>
            </w:r>
            <w:r>
              <w:t xml:space="preserve">5 </w:t>
            </w:r>
          </w:p>
          <w:p w14:paraId="7B6EDA2F" w14:textId="77777777" w:rsidR="006B21C0" w:rsidRPr="00B22CE3" w:rsidRDefault="006B21C0" w:rsidP="00C86F4A">
            <w:pPr>
              <w:pStyle w:val="TableColumnHeadingRight"/>
            </w:pPr>
            <w:r>
              <w:t>($million)</w:t>
            </w:r>
            <w:r w:rsidRPr="003B5C88">
              <w:t xml:space="preserve"> </w:t>
            </w:r>
          </w:p>
        </w:tc>
        <w:tc>
          <w:tcPr>
            <w:tcW w:w="981" w:type="pct"/>
            <w:noWrap/>
            <w:tcMar>
              <w:top w:w="57" w:type="dxa"/>
              <w:bottom w:w="57" w:type="dxa"/>
            </w:tcMar>
            <w:hideMark/>
          </w:tcPr>
          <w:p w14:paraId="66B540DF" w14:textId="77777777" w:rsidR="006B21C0" w:rsidRDefault="006B21C0" w:rsidP="00C86F4A">
            <w:pPr>
              <w:pStyle w:val="TableColumnHeadingRight"/>
            </w:pPr>
            <w:r w:rsidRPr="003B5C88">
              <w:t>202</w:t>
            </w:r>
            <w:r>
              <w:t>4</w:t>
            </w:r>
            <w:r w:rsidRPr="003B5C88">
              <w:t xml:space="preserve"> </w:t>
            </w:r>
          </w:p>
          <w:p w14:paraId="52869855" w14:textId="77777777" w:rsidR="006B21C0" w:rsidRPr="00B22CE3" w:rsidRDefault="006B21C0" w:rsidP="00C86F4A">
            <w:pPr>
              <w:pStyle w:val="TableColumnHeadingRight"/>
            </w:pPr>
            <w:r>
              <w:t>($million)</w:t>
            </w:r>
          </w:p>
        </w:tc>
      </w:tr>
      <w:tr w:rsidR="006B21C0" w:rsidRPr="006534F5" w14:paraId="3B7CFE80" w14:textId="77777777" w:rsidTr="00A61C4D">
        <w:trPr>
          <w:cantSplit/>
        </w:trPr>
        <w:tc>
          <w:tcPr>
            <w:tcW w:w="2947" w:type="pct"/>
            <w:shd w:val="clear" w:color="auto" w:fill="F2F2F2" w:themeFill="background1" w:themeFillShade="F2"/>
            <w:noWrap/>
            <w:tcMar>
              <w:top w:w="57" w:type="dxa"/>
              <w:bottom w:w="57" w:type="dxa"/>
            </w:tcMar>
            <w:hideMark/>
          </w:tcPr>
          <w:p w14:paraId="51B1599C" w14:textId="77777777" w:rsidR="006B21C0" w:rsidRPr="00E322CA" w:rsidRDefault="006B21C0" w:rsidP="00C86F4A">
            <w:pPr>
              <w:pStyle w:val="TableTextLeft"/>
              <w:rPr>
                <w:b/>
                <w:bCs/>
              </w:rPr>
            </w:pPr>
            <w:r w:rsidRPr="00E322CA">
              <w:rPr>
                <w:b/>
                <w:bCs/>
              </w:rPr>
              <w:t>Financial Liabilities</w:t>
            </w:r>
          </w:p>
        </w:tc>
        <w:tc>
          <w:tcPr>
            <w:tcW w:w="1072" w:type="pct"/>
            <w:shd w:val="clear" w:color="auto" w:fill="F2F2F2" w:themeFill="background1" w:themeFillShade="F2"/>
            <w:noWrap/>
            <w:tcMar>
              <w:top w:w="57" w:type="dxa"/>
              <w:bottom w:w="57" w:type="dxa"/>
            </w:tcMar>
            <w:hideMark/>
          </w:tcPr>
          <w:p w14:paraId="1BC79894" w14:textId="77777777" w:rsidR="006B21C0" w:rsidRPr="00B22CE3" w:rsidRDefault="006B21C0" w:rsidP="00C86F4A">
            <w:pPr>
              <w:pStyle w:val="TableTextRight"/>
              <w:rPr>
                <w:rStyle w:val="Strong"/>
              </w:rPr>
            </w:pPr>
            <w:r w:rsidRPr="00B22CE3">
              <w:rPr>
                <w:rStyle w:val="Strong"/>
              </w:rPr>
              <w:t> </w:t>
            </w:r>
          </w:p>
        </w:tc>
        <w:tc>
          <w:tcPr>
            <w:tcW w:w="981" w:type="pct"/>
            <w:shd w:val="clear" w:color="auto" w:fill="F2F2F2" w:themeFill="background1" w:themeFillShade="F2"/>
            <w:noWrap/>
            <w:tcMar>
              <w:top w:w="57" w:type="dxa"/>
              <w:bottom w:w="57" w:type="dxa"/>
            </w:tcMar>
            <w:hideMark/>
          </w:tcPr>
          <w:p w14:paraId="5335369D" w14:textId="77777777" w:rsidR="006B21C0" w:rsidRPr="00B22CE3" w:rsidRDefault="006B21C0" w:rsidP="00C86F4A">
            <w:pPr>
              <w:pStyle w:val="TableTextRight"/>
              <w:rPr>
                <w:rStyle w:val="Strong"/>
              </w:rPr>
            </w:pPr>
            <w:r w:rsidRPr="00B22CE3">
              <w:rPr>
                <w:rStyle w:val="Strong"/>
              </w:rPr>
              <w:t> </w:t>
            </w:r>
          </w:p>
        </w:tc>
      </w:tr>
      <w:tr w:rsidR="006B21C0" w:rsidRPr="006534F5" w14:paraId="26C84EBB" w14:textId="77777777" w:rsidTr="00A61C4D">
        <w:trPr>
          <w:cantSplit/>
        </w:trPr>
        <w:tc>
          <w:tcPr>
            <w:tcW w:w="2947" w:type="pct"/>
            <w:shd w:val="clear" w:color="auto" w:fill="F2F2F2" w:themeFill="background1" w:themeFillShade="F2"/>
            <w:noWrap/>
            <w:tcMar>
              <w:top w:w="57" w:type="dxa"/>
              <w:bottom w:w="57" w:type="dxa"/>
            </w:tcMar>
            <w:hideMark/>
          </w:tcPr>
          <w:p w14:paraId="453C49B2" w14:textId="77777777" w:rsidR="006B21C0" w:rsidRPr="00E322CA" w:rsidRDefault="006B21C0" w:rsidP="00C86F4A">
            <w:pPr>
              <w:pStyle w:val="TableTextLeft"/>
              <w:rPr>
                <w:b/>
                <w:bCs/>
              </w:rPr>
            </w:pPr>
            <w:r w:rsidRPr="00E322CA">
              <w:rPr>
                <w:b/>
                <w:bCs/>
              </w:rPr>
              <w:t>Changes in fair value:</w:t>
            </w:r>
          </w:p>
        </w:tc>
        <w:tc>
          <w:tcPr>
            <w:tcW w:w="1072" w:type="pct"/>
            <w:shd w:val="clear" w:color="auto" w:fill="F2F2F2" w:themeFill="background1" w:themeFillShade="F2"/>
            <w:noWrap/>
            <w:tcMar>
              <w:top w:w="57" w:type="dxa"/>
              <w:bottom w:w="57" w:type="dxa"/>
            </w:tcMar>
            <w:hideMark/>
          </w:tcPr>
          <w:p w14:paraId="34E3F94C" w14:textId="77777777" w:rsidR="006B21C0" w:rsidRPr="00B22CE3" w:rsidRDefault="006B21C0" w:rsidP="00C86F4A">
            <w:pPr>
              <w:pStyle w:val="TableTextRight"/>
              <w:rPr>
                <w:rStyle w:val="Strong"/>
              </w:rPr>
            </w:pPr>
            <w:r w:rsidRPr="00B22CE3">
              <w:rPr>
                <w:rStyle w:val="Strong"/>
              </w:rPr>
              <w:t> </w:t>
            </w:r>
          </w:p>
        </w:tc>
        <w:tc>
          <w:tcPr>
            <w:tcW w:w="981" w:type="pct"/>
            <w:shd w:val="clear" w:color="auto" w:fill="F2F2F2" w:themeFill="background1" w:themeFillShade="F2"/>
            <w:noWrap/>
            <w:tcMar>
              <w:top w:w="57" w:type="dxa"/>
              <w:bottom w:w="57" w:type="dxa"/>
            </w:tcMar>
            <w:hideMark/>
          </w:tcPr>
          <w:p w14:paraId="28DFA4F7" w14:textId="77777777" w:rsidR="006B21C0" w:rsidRPr="00B22CE3" w:rsidRDefault="006B21C0" w:rsidP="00C86F4A">
            <w:pPr>
              <w:pStyle w:val="TableTextRight"/>
              <w:rPr>
                <w:rStyle w:val="Strong"/>
              </w:rPr>
            </w:pPr>
            <w:r w:rsidRPr="00B22CE3">
              <w:rPr>
                <w:rStyle w:val="Strong"/>
              </w:rPr>
              <w:t> </w:t>
            </w:r>
          </w:p>
        </w:tc>
      </w:tr>
      <w:tr w:rsidR="006B21C0" w:rsidRPr="006534F5" w14:paraId="10C39250" w14:textId="77777777" w:rsidTr="00A61C4D">
        <w:trPr>
          <w:cantSplit/>
        </w:trPr>
        <w:tc>
          <w:tcPr>
            <w:tcW w:w="2947" w:type="pct"/>
            <w:shd w:val="clear" w:color="auto" w:fill="F2F2F2" w:themeFill="background1" w:themeFillShade="F2"/>
            <w:noWrap/>
            <w:tcMar>
              <w:top w:w="57" w:type="dxa"/>
              <w:bottom w:w="57" w:type="dxa"/>
            </w:tcMar>
            <w:hideMark/>
          </w:tcPr>
          <w:p w14:paraId="6D811BD8" w14:textId="77777777" w:rsidR="006B21C0" w:rsidRPr="00E322CA" w:rsidRDefault="006B21C0" w:rsidP="00C86F4A">
            <w:pPr>
              <w:pStyle w:val="TableTextLeft"/>
            </w:pPr>
            <w:r w:rsidRPr="00E322CA">
              <w:t>Treasury Bonds</w:t>
            </w:r>
          </w:p>
        </w:tc>
        <w:tc>
          <w:tcPr>
            <w:tcW w:w="1072" w:type="pct"/>
            <w:shd w:val="clear" w:color="auto" w:fill="F2F2F2" w:themeFill="background1" w:themeFillShade="F2"/>
            <w:noWrap/>
            <w:tcMar>
              <w:top w:w="57" w:type="dxa"/>
              <w:bottom w:w="57" w:type="dxa"/>
            </w:tcMar>
          </w:tcPr>
          <w:p w14:paraId="0D162B5A" w14:textId="77777777" w:rsidR="006B21C0" w:rsidRPr="00AE665D" w:rsidRDefault="006B21C0" w:rsidP="00C86F4A">
            <w:pPr>
              <w:pStyle w:val="TableTextRight"/>
            </w:pPr>
            <w:r>
              <w:t>52,337</w:t>
            </w:r>
          </w:p>
        </w:tc>
        <w:tc>
          <w:tcPr>
            <w:tcW w:w="981" w:type="pct"/>
            <w:shd w:val="clear" w:color="auto" w:fill="F2F2F2" w:themeFill="background1" w:themeFillShade="F2"/>
            <w:noWrap/>
            <w:tcMar>
              <w:top w:w="57" w:type="dxa"/>
              <w:bottom w:w="57" w:type="dxa"/>
            </w:tcMar>
            <w:hideMark/>
          </w:tcPr>
          <w:p w14:paraId="2689D52B" w14:textId="77777777" w:rsidR="006B21C0" w:rsidRPr="00AE665D" w:rsidRDefault="006B21C0" w:rsidP="00C86F4A">
            <w:pPr>
              <w:pStyle w:val="TableTextRight"/>
            </w:pPr>
            <w:r>
              <w:t>51,639</w:t>
            </w:r>
            <w:r w:rsidRPr="00AE665D">
              <w:t xml:space="preserve"> </w:t>
            </w:r>
          </w:p>
        </w:tc>
      </w:tr>
      <w:tr w:rsidR="006B21C0" w:rsidRPr="006534F5" w14:paraId="5AF1F941" w14:textId="77777777" w:rsidTr="00A61C4D">
        <w:trPr>
          <w:cantSplit/>
        </w:trPr>
        <w:tc>
          <w:tcPr>
            <w:tcW w:w="2947" w:type="pct"/>
            <w:shd w:val="clear" w:color="auto" w:fill="F2F2F2" w:themeFill="background1" w:themeFillShade="F2"/>
            <w:noWrap/>
            <w:tcMar>
              <w:top w:w="57" w:type="dxa"/>
              <w:bottom w:w="57" w:type="dxa"/>
            </w:tcMar>
            <w:hideMark/>
          </w:tcPr>
          <w:p w14:paraId="39D0C9AD" w14:textId="77777777" w:rsidR="006B21C0" w:rsidRPr="00E322CA" w:rsidRDefault="006B21C0" w:rsidP="00C86F4A">
            <w:pPr>
              <w:pStyle w:val="TableTextLeft"/>
            </w:pPr>
            <w:r w:rsidRPr="00E322CA">
              <w:t>Treasury Indexed Bonds</w:t>
            </w:r>
          </w:p>
        </w:tc>
        <w:tc>
          <w:tcPr>
            <w:tcW w:w="1072" w:type="pct"/>
            <w:shd w:val="clear" w:color="auto" w:fill="F2F2F2" w:themeFill="background1" w:themeFillShade="F2"/>
            <w:noWrap/>
            <w:tcMar>
              <w:top w:w="57" w:type="dxa"/>
              <w:bottom w:w="57" w:type="dxa"/>
            </w:tcMar>
          </w:tcPr>
          <w:p w14:paraId="19D5B7AF" w14:textId="77777777" w:rsidR="006B21C0" w:rsidRPr="00CC18F5" w:rsidRDefault="006B21C0" w:rsidP="00C86F4A">
            <w:pPr>
              <w:pStyle w:val="TableTextRight"/>
            </w:pPr>
            <w:r w:rsidRPr="00CC18F5">
              <w:t>4,667</w:t>
            </w:r>
          </w:p>
        </w:tc>
        <w:tc>
          <w:tcPr>
            <w:tcW w:w="981" w:type="pct"/>
            <w:shd w:val="clear" w:color="auto" w:fill="F2F2F2" w:themeFill="background1" w:themeFillShade="F2"/>
            <w:noWrap/>
            <w:tcMar>
              <w:top w:w="57" w:type="dxa"/>
              <w:bottom w:w="57" w:type="dxa"/>
            </w:tcMar>
            <w:hideMark/>
          </w:tcPr>
          <w:p w14:paraId="36F47324" w14:textId="77777777" w:rsidR="006B21C0" w:rsidRPr="00AE665D" w:rsidRDefault="006B21C0" w:rsidP="00C86F4A">
            <w:pPr>
              <w:pStyle w:val="TableTextRight"/>
            </w:pPr>
            <w:r>
              <w:t>5,011</w:t>
            </w:r>
            <w:r w:rsidRPr="00AE665D">
              <w:t xml:space="preserve"> </w:t>
            </w:r>
          </w:p>
        </w:tc>
      </w:tr>
      <w:tr w:rsidR="006B21C0" w:rsidRPr="006534F5" w14:paraId="1AFE8332" w14:textId="77777777" w:rsidTr="00A61C4D">
        <w:trPr>
          <w:cantSplit/>
        </w:trPr>
        <w:tc>
          <w:tcPr>
            <w:tcW w:w="2947" w:type="pct"/>
            <w:shd w:val="clear" w:color="auto" w:fill="F2F2F2" w:themeFill="background1" w:themeFillShade="F2"/>
            <w:noWrap/>
            <w:tcMar>
              <w:top w:w="57" w:type="dxa"/>
              <w:bottom w:w="57" w:type="dxa"/>
            </w:tcMar>
            <w:hideMark/>
          </w:tcPr>
          <w:p w14:paraId="0FF40FE7" w14:textId="77777777" w:rsidR="006B21C0" w:rsidRPr="00E322CA" w:rsidRDefault="006B21C0" w:rsidP="00C86F4A">
            <w:pPr>
              <w:pStyle w:val="TableTextLeft"/>
            </w:pPr>
            <w:r w:rsidRPr="00E322CA">
              <w:t>Treasury Notes</w:t>
            </w:r>
          </w:p>
        </w:tc>
        <w:tc>
          <w:tcPr>
            <w:tcW w:w="1072" w:type="pct"/>
            <w:shd w:val="clear" w:color="auto" w:fill="F2F2F2" w:themeFill="background1" w:themeFillShade="F2"/>
            <w:noWrap/>
            <w:tcMar>
              <w:top w:w="57" w:type="dxa"/>
              <w:bottom w:w="57" w:type="dxa"/>
            </w:tcMar>
          </w:tcPr>
          <w:p w14:paraId="2112C9DE" w14:textId="77777777" w:rsidR="006B21C0" w:rsidRPr="00AE665D" w:rsidRDefault="006B21C0" w:rsidP="00C86F4A">
            <w:pPr>
              <w:pStyle w:val="TableTextRight"/>
            </w:pPr>
            <w:r>
              <w:t>62</w:t>
            </w:r>
          </w:p>
        </w:tc>
        <w:tc>
          <w:tcPr>
            <w:tcW w:w="981" w:type="pct"/>
            <w:shd w:val="clear" w:color="auto" w:fill="F2F2F2" w:themeFill="background1" w:themeFillShade="F2"/>
            <w:noWrap/>
            <w:tcMar>
              <w:top w:w="57" w:type="dxa"/>
              <w:bottom w:w="57" w:type="dxa"/>
            </w:tcMar>
            <w:hideMark/>
          </w:tcPr>
          <w:p w14:paraId="68D6FEEC" w14:textId="77777777" w:rsidR="006B21C0" w:rsidRPr="00AE665D" w:rsidRDefault="006B21C0" w:rsidP="00C86F4A">
            <w:pPr>
              <w:pStyle w:val="TableTextRight"/>
            </w:pPr>
            <w:r>
              <w:t>55</w:t>
            </w:r>
          </w:p>
        </w:tc>
      </w:tr>
      <w:tr w:rsidR="006B21C0" w:rsidRPr="006534F5" w14:paraId="439E1162" w14:textId="77777777" w:rsidTr="00A61C4D">
        <w:trPr>
          <w:cantSplit/>
        </w:trPr>
        <w:tc>
          <w:tcPr>
            <w:tcW w:w="2947" w:type="pct"/>
            <w:shd w:val="clear" w:color="auto" w:fill="F2F2F2" w:themeFill="background1" w:themeFillShade="F2"/>
            <w:noWrap/>
            <w:tcMar>
              <w:top w:w="57" w:type="dxa"/>
              <w:bottom w:w="57" w:type="dxa"/>
            </w:tcMar>
            <w:hideMark/>
          </w:tcPr>
          <w:p w14:paraId="30FBD860" w14:textId="77777777" w:rsidR="006B21C0" w:rsidRPr="00E322CA" w:rsidRDefault="006B21C0" w:rsidP="00C86F4A">
            <w:pPr>
              <w:pStyle w:val="TableTextLeft"/>
              <w:rPr>
                <w:b/>
                <w:bCs/>
              </w:rPr>
            </w:pPr>
            <w:r w:rsidRPr="00E322CA">
              <w:rPr>
                <w:b/>
                <w:bCs/>
              </w:rPr>
              <w:t>Financial Assets</w:t>
            </w:r>
          </w:p>
        </w:tc>
        <w:tc>
          <w:tcPr>
            <w:tcW w:w="1072" w:type="pct"/>
            <w:shd w:val="clear" w:color="auto" w:fill="F2F2F2" w:themeFill="background1" w:themeFillShade="F2"/>
            <w:noWrap/>
            <w:tcMar>
              <w:top w:w="57" w:type="dxa"/>
              <w:bottom w:w="57" w:type="dxa"/>
            </w:tcMar>
          </w:tcPr>
          <w:p w14:paraId="48A8B217" w14:textId="77777777" w:rsidR="006B21C0" w:rsidRPr="00AE665D" w:rsidRDefault="006B21C0" w:rsidP="00C86F4A">
            <w:pPr>
              <w:pStyle w:val="TableTextRight"/>
              <w:rPr>
                <w:rStyle w:val="Strong"/>
              </w:rPr>
            </w:pPr>
          </w:p>
        </w:tc>
        <w:tc>
          <w:tcPr>
            <w:tcW w:w="981" w:type="pct"/>
            <w:shd w:val="clear" w:color="auto" w:fill="F2F2F2" w:themeFill="background1" w:themeFillShade="F2"/>
            <w:noWrap/>
            <w:tcMar>
              <w:top w:w="57" w:type="dxa"/>
              <w:bottom w:w="57" w:type="dxa"/>
            </w:tcMar>
            <w:hideMark/>
          </w:tcPr>
          <w:p w14:paraId="0AC506AF" w14:textId="77777777" w:rsidR="006B21C0" w:rsidRPr="00AE665D" w:rsidRDefault="006B21C0" w:rsidP="00C86F4A">
            <w:pPr>
              <w:pStyle w:val="TableTextRight"/>
              <w:rPr>
                <w:rStyle w:val="Strong"/>
              </w:rPr>
            </w:pPr>
          </w:p>
        </w:tc>
      </w:tr>
      <w:tr w:rsidR="006B21C0" w:rsidRPr="006534F5" w14:paraId="3A5E18B6" w14:textId="77777777" w:rsidTr="00A61C4D">
        <w:trPr>
          <w:cantSplit/>
        </w:trPr>
        <w:tc>
          <w:tcPr>
            <w:tcW w:w="2947" w:type="pct"/>
            <w:shd w:val="clear" w:color="auto" w:fill="F2F2F2" w:themeFill="background1" w:themeFillShade="F2"/>
            <w:noWrap/>
            <w:tcMar>
              <w:top w:w="57" w:type="dxa"/>
              <w:bottom w:w="57" w:type="dxa"/>
            </w:tcMar>
            <w:hideMark/>
          </w:tcPr>
          <w:p w14:paraId="220DC414" w14:textId="77777777" w:rsidR="006B21C0" w:rsidRPr="00E322CA" w:rsidRDefault="006B21C0" w:rsidP="00C86F4A">
            <w:pPr>
              <w:pStyle w:val="TableTextLeft"/>
              <w:rPr>
                <w:b/>
                <w:bCs/>
              </w:rPr>
            </w:pPr>
            <w:r w:rsidRPr="00E322CA">
              <w:rPr>
                <w:b/>
                <w:bCs/>
              </w:rPr>
              <w:t>Changes in interest revenue:</w:t>
            </w:r>
          </w:p>
        </w:tc>
        <w:tc>
          <w:tcPr>
            <w:tcW w:w="1072" w:type="pct"/>
            <w:shd w:val="clear" w:color="auto" w:fill="F2F2F2" w:themeFill="background1" w:themeFillShade="F2"/>
            <w:noWrap/>
            <w:tcMar>
              <w:top w:w="57" w:type="dxa"/>
              <w:bottom w:w="57" w:type="dxa"/>
            </w:tcMar>
          </w:tcPr>
          <w:p w14:paraId="05280730" w14:textId="77777777" w:rsidR="006B21C0" w:rsidRPr="00AE665D" w:rsidRDefault="006B21C0" w:rsidP="00C86F4A">
            <w:pPr>
              <w:pStyle w:val="TableTextRight"/>
              <w:rPr>
                <w:rStyle w:val="Strong"/>
              </w:rPr>
            </w:pPr>
          </w:p>
        </w:tc>
        <w:tc>
          <w:tcPr>
            <w:tcW w:w="981" w:type="pct"/>
            <w:shd w:val="clear" w:color="auto" w:fill="F2F2F2" w:themeFill="background1" w:themeFillShade="F2"/>
            <w:noWrap/>
            <w:tcMar>
              <w:top w:w="57" w:type="dxa"/>
              <w:bottom w:w="57" w:type="dxa"/>
            </w:tcMar>
            <w:hideMark/>
          </w:tcPr>
          <w:p w14:paraId="6BA880B2" w14:textId="77777777" w:rsidR="006B21C0" w:rsidRPr="00AE665D" w:rsidRDefault="006B21C0" w:rsidP="00C86F4A">
            <w:pPr>
              <w:pStyle w:val="TableTextRight"/>
              <w:rPr>
                <w:rStyle w:val="Strong"/>
              </w:rPr>
            </w:pPr>
          </w:p>
        </w:tc>
      </w:tr>
      <w:tr w:rsidR="006B21C0" w:rsidRPr="006534F5" w14:paraId="159A9417" w14:textId="77777777" w:rsidTr="00A61C4D">
        <w:trPr>
          <w:cantSplit/>
        </w:trPr>
        <w:tc>
          <w:tcPr>
            <w:tcW w:w="2947" w:type="pct"/>
            <w:shd w:val="clear" w:color="auto" w:fill="F2F2F2" w:themeFill="background1" w:themeFillShade="F2"/>
            <w:noWrap/>
            <w:tcMar>
              <w:top w:w="57" w:type="dxa"/>
              <w:bottom w:w="57" w:type="dxa"/>
            </w:tcMar>
            <w:hideMark/>
          </w:tcPr>
          <w:p w14:paraId="46E6D542" w14:textId="77777777" w:rsidR="006B21C0" w:rsidRPr="006534F5" w:rsidRDefault="006B21C0" w:rsidP="00C86F4A">
            <w:pPr>
              <w:pStyle w:val="TableTextLeft"/>
              <w:rPr>
                <w:color w:val="202845"/>
              </w:rPr>
            </w:pPr>
            <w:r w:rsidRPr="00E322CA">
              <w:t>Structured</w:t>
            </w:r>
            <w:r w:rsidRPr="00AE665D">
              <w:t xml:space="preserve"> finance securities</w:t>
            </w:r>
          </w:p>
        </w:tc>
        <w:tc>
          <w:tcPr>
            <w:tcW w:w="1072" w:type="pct"/>
            <w:shd w:val="clear" w:color="auto" w:fill="F2F2F2" w:themeFill="background1" w:themeFillShade="F2"/>
            <w:noWrap/>
            <w:tcMar>
              <w:top w:w="57" w:type="dxa"/>
              <w:bottom w:w="57" w:type="dxa"/>
            </w:tcMar>
          </w:tcPr>
          <w:p w14:paraId="20902855" w14:textId="77777777" w:rsidR="006B21C0" w:rsidRPr="00AE665D" w:rsidRDefault="006B21C0" w:rsidP="00C86F4A">
            <w:pPr>
              <w:pStyle w:val="TableTextRight"/>
            </w:pPr>
            <w:r>
              <w:t>3</w:t>
            </w:r>
          </w:p>
        </w:tc>
        <w:tc>
          <w:tcPr>
            <w:tcW w:w="981" w:type="pct"/>
            <w:shd w:val="clear" w:color="auto" w:fill="F2F2F2" w:themeFill="background1" w:themeFillShade="F2"/>
            <w:noWrap/>
            <w:tcMar>
              <w:top w:w="57" w:type="dxa"/>
              <w:bottom w:w="57" w:type="dxa"/>
            </w:tcMar>
            <w:hideMark/>
          </w:tcPr>
          <w:p w14:paraId="5568192C" w14:textId="77777777" w:rsidR="006B21C0" w:rsidRPr="00AE665D" w:rsidRDefault="006B21C0" w:rsidP="00C86F4A">
            <w:pPr>
              <w:pStyle w:val="TableTextRight"/>
            </w:pPr>
            <w:r>
              <w:t>2</w:t>
            </w:r>
          </w:p>
        </w:tc>
      </w:tr>
    </w:tbl>
    <w:p w14:paraId="662FE76E" w14:textId="77777777" w:rsidR="006B21C0" w:rsidRPr="006534F5" w:rsidRDefault="006B21C0" w:rsidP="006B21C0">
      <w:pPr>
        <w:spacing w:after="0" w:line="240" w:lineRule="auto"/>
        <w:rPr>
          <w:rFonts w:cs="Times New Roman (Body CS)"/>
          <w:sz w:val="16"/>
          <w:szCs w:val="16"/>
        </w:rPr>
      </w:pPr>
    </w:p>
    <w:p w14:paraId="56CE6630" w14:textId="77777777" w:rsidR="006B21C0" w:rsidRPr="006534F5" w:rsidRDefault="006B21C0" w:rsidP="006B21C0">
      <w:pPr>
        <w:pStyle w:val="TableMainHeading"/>
        <w:keepLines/>
        <w:rPr>
          <w:rFonts w:asciiTheme="minorHAnsi" w:hAnsiTheme="minorHAnsi" w:cstheme="minorBidi"/>
          <w:lang w:eastAsia="en-US"/>
        </w:rPr>
      </w:pPr>
      <w:r w:rsidRPr="006534F5">
        <w:t xml:space="preserve">Sensitivity of 30 June balances to a </w:t>
      </w:r>
      <w:r>
        <w:t>132</w:t>
      </w:r>
      <w:r w:rsidRPr="006534F5">
        <w:t xml:space="preserve"> basis points fall in interest rates</w:t>
      </w:r>
      <w:r>
        <w:br/>
      </w:r>
      <w:r w:rsidRPr="006534F5">
        <w:t>(202</w:t>
      </w:r>
      <w:r>
        <w:t>3</w:t>
      </w:r>
      <w:r w:rsidRPr="0084380D">
        <w:t>–</w:t>
      </w:r>
      <w:r>
        <w:t>24</w:t>
      </w:r>
      <w:r w:rsidRPr="006534F5">
        <w:t xml:space="preserve">: </w:t>
      </w:r>
      <w:r>
        <w:t>136 basis points</w:t>
      </w:r>
      <w:r w:rsidRPr="006534F5">
        <w:t>)</w:t>
      </w:r>
    </w:p>
    <w:tbl>
      <w:tblPr>
        <w:tblStyle w:val="AOFMTablemain"/>
        <w:tblW w:w="5000" w:type="pct"/>
        <w:tblLook w:val="06A0" w:firstRow="1" w:lastRow="0" w:firstColumn="1" w:lastColumn="0" w:noHBand="1" w:noVBand="1"/>
      </w:tblPr>
      <w:tblGrid>
        <w:gridCol w:w="4545"/>
        <w:gridCol w:w="1706"/>
        <w:gridCol w:w="1460"/>
      </w:tblGrid>
      <w:tr w:rsidR="0048600D" w:rsidRPr="006534F5" w14:paraId="2A917957" w14:textId="77777777" w:rsidTr="00EC03D4">
        <w:trPr>
          <w:cnfStyle w:val="100000000000" w:firstRow="1" w:lastRow="0" w:firstColumn="0" w:lastColumn="0" w:oddVBand="0" w:evenVBand="0" w:oddHBand="0" w:evenHBand="0" w:firstRowFirstColumn="0" w:firstRowLastColumn="0" w:lastRowFirstColumn="0" w:lastRowLastColumn="0"/>
          <w:trHeight w:val="361"/>
        </w:trPr>
        <w:tc>
          <w:tcPr>
            <w:tcW w:w="2947" w:type="pct"/>
            <w:noWrap/>
            <w:tcMar>
              <w:top w:w="57" w:type="dxa"/>
              <w:bottom w:w="57" w:type="dxa"/>
            </w:tcMar>
            <w:hideMark/>
          </w:tcPr>
          <w:p w14:paraId="4733299C" w14:textId="77777777" w:rsidR="006B21C0" w:rsidRPr="00B22CE3" w:rsidRDefault="006B21C0" w:rsidP="00C86F4A">
            <w:pPr>
              <w:pStyle w:val="TableColumnHeadingRight"/>
            </w:pPr>
            <w:r w:rsidRPr="00B22CE3">
              <w:t> </w:t>
            </w:r>
          </w:p>
        </w:tc>
        <w:tc>
          <w:tcPr>
            <w:tcW w:w="1106" w:type="pct"/>
            <w:noWrap/>
            <w:tcMar>
              <w:top w:w="57" w:type="dxa"/>
              <w:bottom w:w="57" w:type="dxa"/>
            </w:tcMar>
            <w:hideMark/>
          </w:tcPr>
          <w:p w14:paraId="10D02E46" w14:textId="77777777" w:rsidR="006B21C0" w:rsidRDefault="006B21C0" w:rsidP="00C86F4A">
            <w:pPr>
              <w:pStyle w:val="TableColumnHeadingRight"/>
            </w:pPr>
            <w:r w:rsidRPr="003B5C88">
              <w:t>202</w:t>
            </w:r>
            <w:r>
              <w:t xml:space="preserve">5 </w:t>
            </w:r>
          </w:p>
          <w:p w14:paraId="1D8BFCC9" w14:textId="77777777" w:rsidR="006B21C0" w:rsidRPr="00B22CE3" w:rsidRDefault="006B21C0" w:rsidP="00C86F4A">
            <w:pPr>
              <w:pStyle w:val="TableColumnHeadingRight"/>
            </w:pPr>
            <w:r>
              <w:t>($million)</w:t>
            </w:r>
            <w:r w:rsidRPr="003B5C88">
              <w:t xml:space="preserve"> </w:t>
            </w:r>
          </w:p>
        </w:tc>
        <w:tc>
          <w:tcPr>
            <w:tcW w:w="947" w:type="pct"/>
            <w:noWrap/>
            <w:tcMar>
              <w:top w:w="57" w:type="dxa"/>
              <w:bottom w:w="57" w:type="dxa"/>
            </w:tcMar>
            <w:hideMark/>
          </w:tcPr>
          <w:p w14:paraId="1E6D7E31" w14:textId="77777777" w:rsidR="006B21C0" w:rsidRDefault="006B21C0" w:rsidP="00C86F4A">
            <w:pPr>
              <w:pStyle w:val="TableColumnHeadingRight"/>
            </w:pPr>
            <w:r w:rsidRPr="003B5C88">
              <w:t>202</w:t>
            </w:r>
            <w:r>
              <w:t>4</w:t>
            </w:r>
            <w:r w:rsidRPr="003B5C88">
              <w:t xml:space="preserve"> </w:t>
            </w:r>
          </w:p>
          <w:p w14:paraId="698EE91A" w14:textId="77777777" w:rsidR="006B21C0" w:rsidRPr="00B22CE3" w:rsidRDefault="006B21C0" w:rsidP="00C86F4A">
            <w:pPr>
              <w:pStyle w:val="TableColumnHeadingRight"/>
            </w:pPr>
            <w:r>
              <w:t>($million)</w:t>
            </w:r>
          </w:p>
        </w:tc>
      </w:tr>
      <w:tr w:rsidR="006B21C0" w:rsidRPr="004C50FD" w14:paraId="2C8CF3FC" w14:textId="77777777" w:rsidTr="00A61C4D">
        <w:tc>
          <w:tcPr>
            <w:tcW w:w="2947" w:type="pct"/>
            <w:shd w:val="clear" w:color="auto" w:fill="F2F2F2" w:themeFill="background1" w:themeFillShade="F2"/>
            <w:noWrap/>
            <w:tcMar>
              <w:top w:w="57" w:type="dxa"/>
              <w:bottom w:w="57" w:type="dxa"/>
            </w:tcMar>
            <w:hideMark/>
          </w:tcPr>
          <w:p w14:paraId="29E8D1DA" w14:textId="77777777" w:rsidR="006B21C0" w:rsidRPr="00E322CA" w:rsidRDefault="006B21C0" w:rsidP="00C86F4A">
            <w:pPr>
              <w:pStyle w:val="TableTextLeft"/>
              <w:rPr>
                <w:b/>
                <w:bCs/>
              </w:rPr>
            </w:pPr>
            <w:r w:rsidRPr="00E322CA">
              <w:rPr>
                <w:b/>
                <w:bCs/>
              </w:rPr>
              <w:t>Financial Liabilities</w:t>
            </w:r>
          </w:p>
        </w:tc>
        <w:tc>
          <w:tcPr>
            <w:tcW w:w="1106" w:type="pct"/>
            <w:shd w:val="clear" w:color="auto" w:fill="F2F2F2" w:themeFill="background1" w:themeFillShade="F2"/>
            <w:noWrap/>
            <w:tcMar>
              <w:top w:w="57" w:type="dxa"/>
              <w:bottom w:w="57" w:type="dxa"/>
            </w:tcMar>
            <w:hideMark/>
          </w:tcPr>
          <w:p w14:paraId="63C76A77" w14:textId="77777777" w:rsidR="006B21C0" w:rsidRPr="00AE665D" w:rsidRDefault="006B21C0" w:rsidP="00C86F4A">
            <w:pPr>
              <w:pStyle w:val="TableTextRight"/>
            </w:pPr>
            <w:r w:rsidRPr="00AE665D">
              <w:t> </w:t>
            </w:r>
          </w:p>
        </w:tc>
        <w:tc>
          <w:tcPr>
            <w:tcW w:w="947" w:type="pct"/>
            <w:shd w:val="clear" w:color="auto" w:fill="F2F2F2" w:themeFill="background1" w:themeFillShade="F2"/>
            <w:noWrap/>
            <w:tcMar>
              <w:top w:w="57" w:type="dxa"/>
              <w:bottom w:w="57" w:type="dxa"/>
            </w:tcMar>
            <w:hideMark/>
          </w:tcPr>
          <w:p w14:paraId="744C4200" w14:textId="77777777" w:rsidR="006B21C0" w:rsidRPr="00AE665D" w:rsidRDefault="006B21C0" w:rsidP="00C86F4A">
            <w:pPr>
              <w:pStyle w:val="TableTextRight"/>
            </w:pPr>
            <w:r w:rsidRPr="00AE665D">
              <w:t> </w:t>
            </w:r>
          </w:p>
        </w:tc>
      </w:tr>
      <w:tr w:rsidR="006B21C0" w:rsidRPr="004C50FD" w14:paraId="5271AB86" w14:textId="77777777" w:rsidTr="00A61C4D">
        <w:tc>
          <w:tcPr>
            <w:tcW w:w="2947" w:type="pct"/>
            <w:shd w:val="clear" w:color="auto" w:fill="F2F2F2" w:themeFill="background1" w:themeFillShade="F2"/>
            <w:noWrap/>
            <w:tcMar>
              <w:top w:w="57" w:type="dxa"/>
              <w:bottom w:w="57" w:type="dxa"/>
            </w:tcMar>
            <w:hideMark/>
          </w:tcPr>
          <w:p w14:paraId="3678D94C" w14:textId="77777777" w:rsidR="006B21C0" w:rsidRPr="00E322CA" w:rsidRDefault="006B21C0" w:rsidP="00C86F4A">
            <w:pPr>
              <w:pStyle w:val="TableTextLeft"/>
              <w:rPr>
                <w:b/>
                <w:bCs/>
              </w:rPr>
            </w:pPr>
            <w:r w:rsidRPr="00E322CA">
              <w:rPr>
                <w:b/>
                <w:bCs/>
              </w:rPr>
              <w:t>Changes in fair value:</w:t>
            </w:r>
          </w:p>
        </w:tc>
        <w:tc>
          <w:tcPr>
            <w:tcW w:w="1106" w:type="pct"/>
            <w:shd w:val="clear" w:color="auto" w:fill="F2F2F2" w:themeFill="background1" w:themeFillShade="F2"/>
            <w:noWrap/>
            <w:tcMar>
              <w:top w:w="57" w:type="dxa"/>
              <w:bottom w:w="57" w:type="dxa"/>
            </w:tcMar>
            <w:hideMark/>
          </w:tcPr>
          <w:p w14:paraId="55350EC7" w14:textId="77777777" w:rsidR="006B21C0" w:rsidRPr="0055359C" w:rsidRDefault="006B21C0" w:rsidP="00C86F4A">
            <w:pPr>
              <w:pStyle w:val="TableTextRight"/>
            </w:pPr>
            <w:r w:rsidRPr="0055359C">
              <w:t> </w:t>
            </w:r>
          </w:p>
        </w:tc>
        <w:tc>
          <w:tcPr>
            <w:tcW w:w="947" w:type="pct"/>
            <w:shd w:val="clear" w:color="auto" w:fill="F2F2F2" w:themeFill="background1" w:themeFillShade="F2"/>
            <w:noWrap/>
            <w:tcMar>
              <w:top w:w="57" w:type="dxa"/>
              <w:bottom w:w="57" w:type="dxa"/>
            </w:tcMar>
            <w:hideMark/>
          </w:tcPr>
          <w:p w14:paraId="6F84BDC9" w14:textId="77777777" w:rsidR="006B21C0" w:rsidRPr="0055359C" w:rsidRDefault="006B21C0" w:rsidP="00C86F4A">
            <w:pPr>
              <w:pStyle w:val="TableTextRight"/>
            </w:pPr>
            <w:r w:rsidRPr="0055359C">
              <w:t> </w:t>
            </w:r>
          </w:p>
        </w:tc>
      </w:tr>
      <w:tr w:rsidR="006B21C0" w:rsidRPr="004C50FD" w14:paraId="47CB3DA6" w14:textId="77777777" w:rsidTr="00A61C4D">
        <w:tc>
          <w:tcPr>
            <w:tcW w:w="2947" w:type="pct"/>
            <w:shd w:val="clear" w:color="auto" w:fill="F2F2F2" w:themeFill="background1" w:themeFillShade="F2"/>
            <w:noWrap/>
            <w:tcMar>
              <w:top w:w="57" w:type="dxa"/>
              <w:bottom w:w="57" w:type="dxa"/>
            </w:tcMar>
            <w:hideMark/>
          </w:tcPr>
          <w:p w14:paraId="6DCE15E9" w14:textId="77777777" w:rsidR="006B21C0" w:rsidRPr="00AE665D" w:rsidRDefault="006B21C0" w:rsidP="00C86F4A">
            <w:pPr>
              <w:pStyle w:val="TableTextLeft"/>
            </w:pPr>
            <w:r w:rsidRPr="00AE665D">
              <w:t>Treasury Bonds</w:t>
            </w:r>
          </w:p>
        </w:tc>
        <w:tc>
          <w:tcPr>
            <w:tcW w:w="1106" w:type="pct"/>
            <w:shd w:val="clear" w:color="auto" w:fill="F2F2F2" w:themeFill="background1" w:themeFillShade="F2"/>
            <w:noWrap/>
            <w:tcMar>
              <w:top w:w="57" w:type="dxa"/>
              <w:bottom w:w="57" w:type="dxa"/>
            </w:tcMar>
          </w:tcPr>
          <w:p w14:paraId="162B6A82" w14:textId="77777777" w:rsidR="006B21C0" w:rsidRPr="00AE665D" w:rsidRDefault="006B21C0" w:rsidP="00C86F4A">
            <w:pPr>
              <w:pStyle w:val="TableTextRight"/>
            </w:pPr>
            <w:r>
              <w:t>(59,108)</w:t>
            </w:r>
          </w:p>
        </w:tc>
        <w:tc>
          <w:tcPr>
            <w:tcW w:w="947" w:type="pct"/>
            <w:shd w:val="clear" w:color="auto" w:fill="F2F2F2" w:themeFill="background1" w:themeFillShade="F2"/>
            <w:noWrap/>
            <w:tcMar>
              <w:top w:w="57" w:type="dxa"/>
              <w:bottom w:w="57" w:type="dxa"/>
            </w:tcMar>
            <w:hideMark/>
          </w:tcPr>
          <w:p w14:paraId="1AA1AF35" w14:textId="77777777" w:rsidR="006B21C0" w:rsidRPr="00AE665D" w:rsidRDefault="006B21C0" w:rsidP="00C86F4A">
            <w:pPr>
              <w:pStyle w:val="TableTextRight"/>
            </w:pPr>
            <w:r w:rsidRPr="00AE665D">
              <w:t>(</w:t>
            </w:r>
            <w:r>
              <w:t>58,764</w:t>
            </w:r>
            <w:r w:rsidRPr="00AE665D">
              <w:t>)</w:t>
            </w:r>
          </w:p>
        </w:tc>
      </w:tr>
      <w:tr w:rsidR="006B21C0" w:rsidRPr="004C50FD" w14:paraId="692B8197" w14:textId="77777777" w:rsidTr="00A61C4D">
        <w:tc>
          <w:tcPr>
            <w:tcW w:w="2947" w:type="pct"/>
            <w:shd w:val="clear" w:color="auto" w:fill="F2F2F2" w:themeFill="background1" w:themeFillShade="F2"/>
            <w:noWrap/>
            <w:tcMar>
              <w:top w:w="57" w:type="dxa"/>
              <w:bottom w:w="57" w:type="dxa"/>
            </w:tcMar>
            <w:hideMark/>
          </w:tcPr>
          <w:p w14:paraId="5B08E863" w14:textId="77777777" w:rsidR="006B21C0" w:rsidRPr="00AE665D" w:rsidRDefault="006B21C0" w:rsidP="00C86F4A">
            <w:pPr>
              <w:pStyle w:val="TableTextLeft"/>
            </w:pPr>
            <w:r w:rsidRPr="00AE665D">
              <w:t>Treasury Indexed Bonds</w:t>
            </w:r>
          </w:p>
        </w:tc>
        <w:tc>
          <w:tcPr>
            <w:tcW w:w="1106" w:type="pct"/>
            <w:shd w:val="clear" w:color="auto" w:fill="F2F2F2" w:themeFill="background1" w:themeFillShade="F2"/>
            <w:noWrap/>
            <w:tcMar>
              <w:top w:w="57" w:type="dxa"/>
              <w:bottom w:w="57" w:type="dxa"/>
            </w:tcMar>
          </w:tcPr>
          <w:p w14:paraId="7FC80B0F" w14:textId="77777777" w:rsidR="006B21C0" w:rsidRPr="00AE665D" w:rsidRDefault="006B21C0" w:rsidP="00C86F4A">
            <w:pPr>
              <w:pStyle w:val="TableTextRight"/>
            </w:pPr>
            <w:r>
              <w:t>(5,517)</w:t>
            </w:r>
          </w:p>
        </w:tc>
        <w:tc>
          <w:tcPr>
            <w:tcW w:w="947" w:type="pct"/>
            <w:shd w:val="clear" w:color="auto" w:fill="F2F2F2" w:themeFill="background1" w:themeFillShade="F2"/>
            <w:noWrap/>
            <w:tcMar>
              <w:top w:w="57" w:type="dxa"/>
              <w:bottom w:w="57" w:type="dxa"/>
            </w:tcMar>
            <w:hideMark/>
          </w:tcPr>
          <w:p w14:paraId="385D2A46" w14:textId="77777777" w:rsidR="006B21C0" w:rsidRPr="00AE665D" w:rsidRDefault="006B21C0" w:rsidP="00C86F4A">
            <w:pPr>
              <w:pStyle w:val="TableTextRight"/>
            </w:pPr>
            <w:r w:rsidRPr="00AE665D">
              <w:t>(</w:t>
            </w:r>
            <w:r>
              <w:t>6,006</w:t>
            </w:r>
            <w:r w:rsidRPr="00AE665D">
              <w:t>)</w:t>
            </w:r>
          </w:p>
        </w:tc>
      </w:tr>
      <w:tr w:rsidR="006B21C0" w:rsidRPr="004C50FD" w14:paraId="1C2D5A6E" w14:textId="77777777" w:rsidTr="00A61C4D">
        <w:tc>
          <w:tcPr>
            <w:tcW w:w="2947" w:type="pct"/>
            <w:shd w:val="clear" w:color="auto" w:fill="F2F2F2" w:themeFill="background1" w:themeFillShade="F2"/>
            <w:noWrap/>
            <w:tcMar>
              <w:top w:w="57" w:type="dxa"/>
              <w:bottom w:w="57" w:type="dxa"/>
            </w:tcMar>
            <w:hideMark/>
          </w:tcPr>
          <w:p w14:paraId="4517669B" w14:textId="77777777" w:rsidR="006B21C0" w:rsidRPr="00AE665D" w:rsidRDefault="006B21C0" w:rsidP="00C86F4A">
            <w:pPr>
              <w:pStyle w:val="TableTextLeft"/>
            </w:pPr>
            <w:r w:rsidRPr="00AE665D">
              <w:t>Treasury Notes</w:t>
            </w:r>
          </w:p>
        </w:tc>
        <w:tc>
          <w:tcPr>
            <w:tcW w:w="1106" w:type="pct"/>
            <w:shd w:val="clear" w:color="auto" w:fill="F2F2F2" w:themeFill="background1" w:themeFillShade="F2"/>
            <w:noWrap/>
            <w:tcMar>
              <w:top w:w="57" w:type="dxa"/>
              <w:bottom w:w="57" w:type="dxa"/>
            </w:tcMar>
          </w:tcPr>
          <w:p w14:paraId="2DC81F9A" w14:textId="77777777" w:rsidR="006B21C0" w:rsidRPr="00AE665D" w:rsidRDefault="006B21C0" w:rsidP="00C86F4A">
            <w:pPr>
              <w:pStyle w:val="TableTextRight"/>
            </w:pPr>
            <w:r>
              <w:t>(63)</w:t>
            </w:r>
          </w:p>
        </w:tc>
        <w:tc>
          <w:tcPr>
            <w:tcW w:w="947" w:type="pct"/>
            <w:shd w:val="clear" w:color="auto" w:fill="F2F2F2" w:themeFill="background1" w:themeFillShade="F2"/>
            <w:noWrap/>
            <w:tcMar>
              <w:top w:w="57" w:type="dxa"/>
              <w:bottom w:w="57" w:type="dxa"/>
            </w:tcMar>
            <w:hideMark/>
          </w:tcPr>
          <w:p w14:paraId="717121DF" w14:textId="77777777" w:rsidR="006B21C0" w:rsidRPr="00AE665D" w:rsidRDefault="006B21C0" w:rsidP="00C86F4A">
            <w:pPr>
              <w:pStyle w:val="TableTextRight"/>
            </w:pPr>
            <w:r w:rsidRPr="00AE665D">
              <w:t>(</w:t>
            </w:r>
            <w:r>
              <w:t>55</w:t>
            </w:r>
            <w:r w:rsidRPr="00AE665D">
              <w:t>)</w:t>
            </w:r>
          </w:p>
        </w:tc>
      </w:tr>
      <w:tr w:rsidR="006B21C0" w:rsidRPr="004C50FD" w14:paraId="706608E8" w14:textId="77777777" w:rsidTr="00A61C4D">
        <w:tc>
          <w:tcPr>
            <w:tcW w:w="2947" w:type="pct"/>
            <w:shd w:val="clear" w:color="auto" w:fill="F2F2F2" w:themeFill="background1" w:themeFillShade="F2"/>
            <w:noWrap/>
            <w:tcMar>
              <w:top w:w="57" w:type="dxa"/>
              <w:bottom w:w="57" w:type="dxa"/>
            </w:tcMar>
            <w:hideMark/>
          </w:tcPr>
          <w:p w14:paraId="12F2EF87" w14:textId="77777777" w:rsidR="006B21C0" w:rsidRPr="00E322CA" w:rsidRDefault="006B21C0" w:rsidP="00C86F4A">
            <w:pPr>
              <w:pStyle w:val="TableTextLeft"/>
              <w:rPr>
                <w:b/>
                <w:bCs/>
              </w:rPr>
            </w:pPr>
            <w:r w:rsidRPr="00E322CA">
              <w:rPr>
                <w:b/>
                <w:bCs/>
              </w:rPr>
              <w:t>Financial Assets</w:t>
            </w:r>
          </w:p>
        </w:tc>
        <w:tc>
          <w:tcPr>
            <w:tcW w:w="1106" w:type="pct"/>
            <w:shd w:val="clear" w:color="auto" w:fill="F2F2F2" w:themeFill="background1" w:themeFillShade="F2"/>
            <w:noWrap/>
            <w:tcMar>
              <w:top w:w="57" w:type="dxa"/>
              <w:bottom w:w="57" w:type="dxa"/>
            </w:tcMar>
          </w:tcPr>
          <w:p w14:paraId="0CDBBF0D" w14:textId="77777777" w:rsidR="006B21C0" w:rsidRPr="0055359C" w:rsidRDefault="006B21C0" w:rsidP="00C86F4A">
            <w:pPr>
              <w:pStyle w:val="TableTextRight"/>
            </w:pPr>
          </w:p>
        </w:tc>
        <w:tc>
          <w:tcPr>
            <w:tcW w:w="947" w:type="pct"/>
            <w:shd w:val="clear" w:color="auto" w:fill="F2F2F2" w:themeFill="background1" w:themeFillShade="F2"/>
            <w:noWrap/>
            <w:tcMar>
              <w:top w:w="57" w:type="dxa"/>
              <w:bottom w:w="57" w:type="dxa"/>
            </w:tcMar>
            <w:hideMark/>
          </w:tcPr>
          <w:p w14:paraId="653D0141" w14:textId="77777777" w:rsidR="006B21C0" w:rsidRPr="0055359C" w:rsidRDefault="006B21C0" w:rsidP="00C86F4A">
            <w:pPr>
              <w:pStyle w:val="TableTextRight"/>
            </w:pPr>
          </w:p>
        </w:tc>
      </w:tr>
      <w:tr w:rsidR="006B21C0" w:rsidRPr="004C50FD" w14:paraId="1137A308" w14:textId="77777777" w:rsidTr="00A61C4D">
        <w:tc>
          <w:tcPr>
            <w:tcW w:w="2947" w:type="pct"/>
            <w:shd w:val="clear" w:color="auto" w:fill="F2F2F2" w:themeFill="background1" w:themeFillShade="F2"/>
            <w:noWrap/>
            <w:tcMar>
              <w:top w:w="57" w:type="dxa"/>
              <w:bottom w:w="57" w:type="dxa"/>
            </w:tcMar>
            <w:hideMark/>
          </w:tcPr>
          <w:p w14:paraId="15709482" w14:textId="77777777" w:rsidR="006B21C0" w:rsidRPr="00E322CA" w:rsidRDefault="006B21C0" w:rsidP="00C86F4A">
            <w:pPr>
              <w:pStyle w:val="TableTextLeft"/>
              <w:rPr>
                <w:b/>
                <w:bCs/>
              </w:rPr>
            </w:pPr>
            <w:r w:rsidRPr="00E322CA">
              <w:rPr>
                <w:b/>
                <w:bCs/>
              </w:rPr>
              <w:t>Changes in interest revenue:</w:t>
            </w:r>
          </w:p>
        </w:tc>
        <w:tc>
          <w:tcPr>
            <w:tcW w:w="1106" w:type="pct"/>
            <w:shd w:val="clear" w:color="auto" w:fill="F2F2F2" w:themeFill="background1" w:themeFillShade="F2"/>
            <w:noWrap/>
            <w:tcMar>
              <w:top w:w="57" w:type="dxa"/>
              <w:bottom w:w="57" w:type="dxa"/>
            </w:tcMar>
          </w:tcPr>
          <w:p w14:paraId="1AFE0C2E" w14:textId="77777777" w:rsidR="006B21C0" w:rsidRPr="0055359C" w:rsidRDefault="006B21C0" w:rsidP="00C86F4A">
            <w:pPr>
              <w:pStyle w:val="TableTextRight"/>
            </w:pPr>
          </w:p>
        </w:tc>
        <w:tc>
          <w:tcPr>
            <w:tcW w:w="947" w:type="pct"/>
            <w:shd w:val="clear" w:color="auto" w:fill="F2F2F2" w:themeFill="background1" w:themeFillShade="F2"/>
            <w:noWrap/>
            <w:tcMar>
              <w:top w:w="57" w:type="dxa"/>
              <w:bottom w:w="57" w:type="dxa"/>
            </w:tcMar>
            <w:hideMark/>
          </w:tcPr>
          <w:p w14:paraId="1F260918" w14:textId="77777777" w:rsidR="006B21C0" w:rsidRPr="0055359C" w:rsidRDefault="006B21C0" w:rsidP="00C86F4A">
            <w:pPr>
              <w:pStyle w:val="TableTextRight"/>
            </w:pPr>
          </w:p>
        </w:tc>
      </w:tr>
      <w:tr w:rsidR="006B21C0" w:rsidRPr="004C50FD" w14:paraId="22E53057" w14:textId="77777777" w:rsidTr="00A61C4D">
        <w:tc>
          <w:tcPr>
            <w:tcW w:w="2947" w:type="pct"/>
            <w:shd w:val="clear" w:color="auto" w:fill="F2F2F2" w:themeFill="background1" w:themeFillShade="F2"/>
            <w:noWrap/>
            <w:tcMar>
              <w:top w:w="57" w:type="dxa"/>
              <w:bottom w:w="57" w:type="dxa"/>
            </w:tcMar>
            <w:hideMark/>
          </w:tcPr>
          <w:p w14:paraId="1E761E0F" w14:textId="77777777" w:rsidR="006B21C0" w:rsidRPr="00AE665D" w:rsidRDefault="006B21C0" w:rsidP="00C86F4A">
            <w:pPr>
              <w:pStyle w:val="TableTextLeft"/>
            </w:pPr>
            <w:r w:rsidRPr="00AE665D">
              <w:t>Structured finance securities</w:t>
            </w:r>
          </w:p>
        </w:tc>
        <w:tc>
          <w:tcPr>
            <w:tcW w:w="1106" w:type="pct"/>
            <w:shd w:val="clear" w:color="auto" w:fill="F2F2F2" w:themeFill="background1" w:themeFillShade="F2"/>
            <w:noWrap/>
            <w:tcMar>
              <w:top w:w="57" w:type="dxa"/>
              <w:bottom w:w="57" w:type="dxa"/>
            </w:tcMar>
          </w:tcPr>
          <w:p w14:paraId="346BE91C" w14:textId="77777777" w:rsidR="006B21C0" w:rsidRPr="00AE665D" w:rsidRDefault="006B21C0" w:rsidP="00C86F4A">
            <w:pPr>
              <w:pStyle w:val="TableTextRight"/>
            </w:pPr>
            <w:r>
              <w:t>(3)</w:t>
            </w:r>
          </w:p>
        </w:tc>
        <w:tc>
          <w:tcPr>
            <w:tcW w:w="947" w:type="pct"/>
            <w:shd w:val="clear" w:color="auto" w:fill="F2F2F2" w:themeFill="background1" w:themeFillShade="F2"/>
            <w:noWrap/>
            <w:tcMar>
              <w:top w:w="57" w:type="dxa"/>
              <w:bottom w:w="57" w:type="dxa"/>
            </w:tcMar>
            <w:hideMark/>
          </w:tcPr>
          <w:p w14:paraId="2ADAB1D6" w14:textId="77777777" w:rsidR="006B21C0" w:rsidRPr="00AE665D" w:rsidRDefault="006B21C0" w:rsidP="00C86F4A">
            <w:pPr>
              <w:pStyle w:val="TableTextRight"/>
            </w:pPr>
            <w:r w:rsidRPr="00AE665D">
              <w:t>(</w:t>
            </w:r>
            <w:r>
              <w:t>2</w:t>
            </w:r>
            <w:r w:rsidRPr="00AE665D">
              <w:t>)</w:t>
            </w:r>
          </w:p>
        </w:tc>
      </w:tr>
    </w:tbl>
    <w:p w14:paraId="4D7C4C07" w14:textId="77777777" w:rsidR="006B21C0" w:rsidRDefault="006B21C0" w:rsidP="006B21C0"/>
    <w:p w14:paraId="347D7AE4" w14:textId="77777777" w:rsidR="006B21C0" w:rsidRDefault="006B21C0" w:rsidP="006B21C0">
      <w:pPr>
        <w:spacing w:after="0" w:line="240" w:lineRule="auto"/>
        <w:rPr>
          <w:rFonts w:cs="Times New Roman (Body CS)"/>
          <w:szCs w:val="16"/>
        </w:rPr>
      </w:pPr>
      <w:r>
        <w:br w:type="page"/>
      </w:r>
    </w:p>
    <w:p w14:paraId="5DA4AFA5" w14:textId="77777777" w:rsidR="006B21C0" w:rsidRPr="00D360E9" w:rsidRDefault="006B21C0" w:rsidP="006B21C0">
      <w:r w:rsidRPr="00D360E9">
        <w:lastRenderedPageBreak/>
        <w:t>In undertaking the sensitivity analysis, a parallel shift in interest rates (real and nominal) is applied to instruments with all other variables held constant.</w:t>
      </w:r>
    </w:p>
    <w:p w14:paraId="11F3359F" w14:textId="77777777" w:rsidR="006B21C0" w:rsidRPr="00D360E9" w:rsidRDefault="006B21C0" w:rsidP="006B21C0">
      <w:r w:rsidRPr="00D360E9">
        <w:t xml:space="preserve">For fixed rate instruments, a shift in market interest rates on balances </w:t>
      </w:r>
      <w:proofErr w:type="gramStart"/>
      <w:r w:rsidRPr="00D360E9">
        <w:t>at</w:t>
      </w:r>
      <w:proofErr w:type="gramEnd"/>
      <w:r w:rsidRPr="00D360E9">
        <w:t xml:space="preserve"> 30 June only influences those instruments carried at fair value, by altering their fair value carrying amount</w:t>
      </w:r>
      <w:r>
        <w:t>.</w:t>
      </w:r>
      <w:r w:rsidRPr="00D360E9">
        <w:t xml:space="preserve"> Fixed rate instruments carried at fair value include Treasury Bonds and Treasury Indexed Bonds.</w:t>
      </w:r>
    </w:p>
    <w:p w14:paraId="3A5CBEB9" w14:textId="77777777" w:rsidR="006B21C0" w:rsidRPr="00D360E9" w:rsidRDefault="006B21C0" w:rsidP="006B21C0">
      <w:r w:rsidRPr="00D360E9">
        <w:t xml:space="preserve">For floating rate instruments, the impact on interest revenue or interest expense represents an annualised estimate calculated as if the positions as </w:t>
      </w:r>
      <w:proofErr w:type="gramStart"/>
      <w:r w:rsidRPr="00D360E9">
        <w:t>at</w:t>
      </w:r>
      <w:proofErr w:type="gramEnd"/>
      <w:r w:rsidRPr="00D360E9">
        <w:t xml:space="preserve"> </w:t>
      </w:r>
      <w:r>
        <w:t>30 June</w:t>
      </w:r>
      <w:r w:rsidRPr="00D360E9">
        <w:t xml:space="preserve"> were outstanding for the entire year.</w:t>
      </w:r>
    </w:p>
    <w:p w14:paraId="130D8E42" w14:textId="77777777" w:rsidR="006B21C0" w:rsidRPr="00D360E9" w:rsidRDefault="006B21C0" w:rsidP="006B21C0">
      <w:r w:rsidRPr="00D360E9">
        <w:t>Cash and cash equivalents are excluded from the analysis.</w:t>
      </w:r>
    </w:p>
    <w:p w14:paraId="0A1745A8" w14:textId="77777777" w:rsidR="006B21C0" w:rsidRPr="006534F5" w:rsidRDefault="006B21C0" w:rsidP="006B21C0">
      <w:pPr>
        <w:pStyle w:val="Heading3"/>
      </w:pPr>
      <w:bookmarkStart w:id="1659" w:name="_Toc146112228"/>
      <w:bookmarkStart w:id="1660" w:name="_Toc207796129"/>
      <w:r w:rsidRPr="006534F5">
        <w:t>Interest rate benchmarks</w:t>
      </w:r>
      <w:bookmarkEnd w:id="1659"/>
      <w:bookmarkEnd w:id="1660"/>
    </w:p>
    <w:p w14:paraId="39D8030A" w14:textId="77777777" w:rsidR="006B21C0" w:rsidRPr="00653CA6" w:rsidRDefault="006B21C0" w:rsidP="006B21C0">
      <w:r>
        <w:t>Interest rate</w:t>
      </w:r>
      <w:r w:rsidRPr="00653CA6">
        <w:t xml:space="preserve"> benchmarks are referenced in a wide range of financial products and are vital for supporting the smooth operation of financial markets.</w:t>
      </w:r>
    </w:p>
    <w:p w14:paraId="2EF97BA3" w14:textId="77777777" w:rsidR="006B21C0" w:rsidRPr="00653CA6" w:rsidRDefault="006B21C0" w:rsidP="006B21C0">
      <w:bookmarkStart w:id="1661" w:name="_Toc146112229"/>
      <w:r w:rsidRPr="00653CA6">
        <w:t xml:space="preserve">In Australia, the bank bill swap rate (BBSW) is the major interest rate benchmark for Australian dollar (AUD) denominated debt instruments of tenors from </w:t>
      </w:r>
      <w:r>
        <w:t xml:space="preserve">one </w:t>
      </w:r>
      <w:r w:rsidRPr="00653CA6">
        <w:t xml:space="preserve">month to </w:t>
      </w:r>
      <w:r>
        <w:t xml:space="preserve">six </w:t>
      </w:r>
      <w:r w:rsidRPr="00653CA6">
        <w:t>months. In structured finance contracts the basis for determining contractual interest flows remains the 1</w:t>
      </w:r>
      <w:r>
        <w:noBreakHyphen/>
      </w:r>
      <w:r w:rsidRPr="00653CA6">
        <w:t xml:space="preserve">month BBSW. This has not changed </w:t>
      </w:r>
      <w:proofErr w:type="gramStart"/>
      <w:r w:rsidRPr="00653CA6">
        <w:t>as a result of</w:t>
      </w:r>
      <w:proofErr w:type="gramEnd"/>
      <w:r w:rsidRPr="00653CA6">
        <w:t xml:space="preserve"> the financial benchmark reforms. However, contractual fall</w:t>
      </w:r>
      <w:r>
        <w:noBreakHyphen/>
      </w:r>
      <w:r w:rsidRPr="00653CA6">
        <w:t>backs are in place should BBSW cease to be a suitable reference rate in the future.</w:t>
      </w:r>
    </w:p>
    <w:p w14:paraId="3408F05C" w14:textId="77777777" w:rsidR="006B21C0" w:rsidRPr="006534F5" w:rsidRDefault="006B21C0" w:rsidP="006B21C0">
      <w:pPr>
        <w:pStyle w:val="Heading3"/>
      </w:pPr>
      <w:bookmarkStart w:id="1662" w:name="_Toc207796130"/>
      <w:r w:rsidRPr="006534F5">
        <w:t>Inflation risk</w:t>
      </w:r>
      <w:bookmarkEnd w:id="1661"/>
      <w:bookmarkEnd w:id="1662"/>
    </w:p>
    <w:p w14:paraId="55F9D296" w14:textId="77777777" w:rsidR="006B21C0" w:rsidRDefault="006B21C0" w:rsidP="006B21C0">
      <w:r w:rsidRPr="00653CA6">
        <w:t xml:space="preserve">Treasury Indexed Bonds have their principal value indexed on a quarterly basis following the release of the </w:t>
      </w:r>
      <w:r>
        <w:t>‘A</w:t>
      </w:r>
      <w:r w:rsidRPr="00653CA6">
        <w:t xml:space="preserve">ll </w:t>
      </w:r>
      <w:r>
        <w:t>g</w:t>
      </w:r>
      <w:r w:rsidRPr="00653CA6">
        <w:t>roups Australian Consumer Price Index</w:t>
      </w:r>
      <w:r>
        <w:t>’</w:t>
      </w:r>
      <w:r w:rsidRPr="00653CA6">
        <w:t xml:space="preserve"> (CPI). Interest is paid quarterly at a fixed rate on the accreted principal value. Accordingly, these debt instruments expose the </w:t>
      </w:r>
      <w:r>
        <w:t>G</w:t>
      </w:r>
      <w:r w:rsidRPr="00653CA6">
        <w:t>overnment to inflation risk on interest payments, and on the value of principal payable on redemption. There is a six</w:t>
      </w:r>
      <w:r>
        <w:noBreakHyphen/>
      </w:r>
      <w:r w:rsidRPr="00653CA6">
        <w:t>month lag between the calculation period for the CPI and its impact on the value of interest and principal.</w:t>
      </w:r>
    </w:p>
    <w:p w14:paraId="6C10A42C" w14:textId="77777777" w:rsidR="006B21C0" w:rsidRDefault="006B21C0" w:rsidP="006B21C0">
      <w:pPr>
        <w:spacing w:after="0" w:line="240" w:lineRule="auto"/>
      </w:pPr>
      <w:r>
        <w:br w:type="page"/>
      </w:r>
    </w:p>
    <w:p w14:paraId="39B33FA4" w14:textId="77777777" w:rsidR="006B21C0" w:rsidRPr="006534F5" w:rsidRDefault="006B21C0" w:rsidP="006B21C0">
      <w:pPr>
        <w:pStyle w:val="TableMainHeading"/>
        <w:keepNext w:val="0"/>
        <w:keepLines/>
        <w:rPr>
          <w:rFonts w:asciiTheme="minorHAnsi" w:hAnsiTheme="minorHAnsi" w:cstheme="minorBidi"/>
          <w:lang w:eastAsia="en-US"/>
        </w:rPr>
      </w:pPr>
      <w:r w:rsidRPr="006534F5">
        <w:lastRenderedPageBreak/>
        <w:t>Treasury Indexed Bonds index value</w:t>
      </w:r>
      <w:r>
        <w:t>s</w:t>
      </w:r>
      <w:r w:rsidRPr="006534F5">
        <w:t xml:space="preserve"> for next interest payment as </w:t>
      </w:r>
      <w:proofErr w:type="gramStart"/>
      <w:r w:rsidRPr="006534F5">
        <w:t>at</w:t>
      </w:r>
      <w:proofErr w:type="gramEnd"/>
      <w:r w:rsidRPr="006534F5">
        <w:t xml:space="preserve"> 30 June</w:t>
      </w:r>
      <w:r>
        <w:br/>
        <w:t>(Per $100 of face value)</w:t>
      </w:r>
    </w:p>
    <w:tbl>
      <w:tblPr>
        <w:tblStyle w:val="AOFMTablemain"/>
        <w:tblW w:w="4912" w:type="pct"/>
        <w:tblLook w:val="06A0" w:firstRow="1" w:lastRow="0" w:firstColumn="1" w:lastColumn="0" w:noHBand="1" w:noVBand="1"/>
      </w:tblPr>
      <w:tblGrid>
        <w:gridCol w:w="2327"/>
        <w:gridCol w:w="1247"/>
        <w:gridCol w:w="1264"/>
        <w:gridCol w:w="1368"/>
        <w:gridCol w:w="1369"/>
      </w:tblGrid>
      <w:tr w:rsidR="00843643" w:rsidRPr="006534F5" w14:paraId="1DE0F0E8" w14:textId="77777777" w:rsidTr="006B21C0">
        <w:trPr>
          <w:cnfStyle w:val="100000000000" w:firstRow="1" w:lastRow="0" w:firstColumn="0" w:lastColumn="0" w:oddVBand="0" w:evenVBand="0" w:oddHBand="0" w:evenHBand="0" w:firstRowFirstColumn="0" w:firstRowLastColumn="0" w:lastRowFirstColumn="0" w:lastRowLastColumn="0"/>
          <w:trHeight w:hRule="exact" w:val="340"/>
        </w:trPr>
        <w:tc>
          <w:tcPr>
            <w:tcW w:w="1542" w:type="pct"/>
            <w:noWrap/>
            <w:hideMark/>
          </w:tcPr>
          <w:p w14:paraId="2C9D42EE" w14:textId="77777777" w:rsidR="006B21C0" w:rsidRPr="00B22CE3" w:rsidRDefault="006B21C0" w:rsidP="00C86F4A">
            <w:pPr>
              <w:pStyle w:val="TableColumnHeadingRight"/>
            </w:pPr>
            <w:r w:rsidRPr="00B22CE3">
              <w:t> </w:t>
            </w:r>
          </w:p>
        </w:tc>
        <w:tc>
          <w:tcPr>
            <w:tcW w:w="800" w:type="pct"/>
            <w:noWrap/>
            <w:hideMark/>
          </w:tcPr>
          <w:p w14:paraId="281D81D3" w14:textId="77777777" w:rsidR="006B21C0" w:rsidRPr="00B22CE3" w:rsidRDefault="006B21C0" w:rsidP="00C86F4A">
            <w:pPr>
              <w:pStyle w:val="TableColumnHeadingRight"/>
            </w:pPr>
            <w:r w:rsidRPr="00B22CE3">
              <w:t xml:space="preserve"> First issued </w:t>
            </w:r>
          </w:p>
        </w:tc>
        <w:tc>
          <w:tcPr>
            <w:tcW w:w="840" w:type="pct"/>
            <w:noWrap/>
            <w:hideMark/>
          </w:tcPr>
          <w:p w14:paraId="0F0A3B92" w14:textId="77777777" w:rsidR="006B21C0" w:rsidRPr="00B22CE3" w:rsidRDefault="006B21C0" w:rsidP="00C86F4A">
            <w:pPr>
              <w:pStyle w:val="TableColumnHeadingRight"/>
              <w:rPr>
                <w:bCs/>
              </w:rPr>
            </w:pPr>
            <w:r w:rsidRPr="00B22CE3">
              <w:rPr>
                <w:bCs/>
              </w:rPr>
              <w:t>202</w:t>
            </w:r>
            <w:r>
              <w:rPr>
                <w:bCs/>
              </w:rPr>
              <w:t>5</w:t>
            </w:r>
            <w:r w:rsidRPr="00B22CE3">
              <w:rPr>
                <w:bCs/>
              </w:rPr>
              <w:t xml:space="preserve"> </w:t>
            </w:r>
          </w:p>
        </w:tc>
        <w:tc>
          <w:tcPr>
            <w:tcW w:w="909" w:type="pct"/>
            <w:noWrap/>
            <w:hideMark/>
          </w:tcPr>
          <w:p w14:paraId="169C0132" w14:textId="77777777" w:rsidR="006B21C0" w:rsidRPr="00B22CE3" w:rsidRDefault="006B21C0" w:rsidP="00C86F4A">
            <w:pPr>
              <w:pStyle w:val="TableColumnHeadingRight"/>
            </w:pPr>
            <w:r w:rsidRPr="00B22CE3">
              <w:t>202</w:t>
            </w:r>
            <w:r>
              <w:t>4</w:t>
            </w:r>
            <w:r w:rsidRPr="00B22CE3">
              <w:t xml:space="preserve"> </w:t>
            </w:r>
          </w:p>
        </w:tc>
        <w:tc>
          <w:tcPr>
            <w:tcW w:w="909" w:type="pct"/>
            <w:noWrap/>
            <w:hideMark/>
          </w:tcPr>
          <w:p w14:paraId="79E694A1" w14:textId="77777777" w:rsidR="006B21C0" w:rsidRPr="00B22CE3" w:rsidRDefault="006B21C0" w:rsidP="00C86F4A">
            <w:pPr>
              <w:pStyle w:val="TableColumnHeadingRight"/>
            </w:pPr>
            <w:r w:rsidRPr="00B22CE3">
              <w:t>202</w:t>
            </w:r>
            <w:r>
              <w:t>3</w:t>
            </w:r>
          </w:p>
        </w:tc>
      </w:tr>
      <w:tr w:rsidR="006B21C0" w:rsidRPr="004C50FD" w14:paraId="1B910C86" w14:textId="77777777" w:rsidTr="00A61C4D">
        <w:trPr>
          <w:trHeight w:hRule="exact" w:val="329"/>
        </w:trPr>
        <w:tc>
          <w:tcPr>
            <w:tcW w:w="1542" w:type="pct"/>
            <w:shd w:val="clear" w:color="auto" w:fill="F2F2F2" w:themeFill="background1" w:themeFillShade="F2"/>
            <w:noWrap/>
            <w:hideMark/>
          </w:tcPr>
          <w:p w14:paraId="5986B70B" w14:textId="77777777" w:rsidR="006B21C0" w:rsidRPr="00E322CA" w:rsidRDefault="006B21C0" w:rsidP="00C86F4A">
            <w:pPr>
              <w:pStyle w:val="TableTextLeft"/>
            </w:pPr>
            <w:r w:rsidRPr="00E322CA">
              <w:t xml:space="preserve">20 Sep 25 – 3.00% </w:t>
            </w:r>
          </w:p>
        </w:tc>
        <w:tc>
          <w:tcPr>
            <w:tcW w:w="800" w:type="pct"/>
            <w:shd w:val="clear" w:color="auto" w:fill="F2F2F2" w:themeFill="background1" w:themeFillShade="F2"/>
            <w:noWrap/>
            <w:hideMark/>
          </w:tcPr>
          <w:p w14:paraId="2028F4C5" w14:textId="77777777" w:rsidR="006B21C0" w:rsidRPr="00E322CA" w:rsidRDefault="006B21C0" w:rsidP="00C86F4A">
            <w:pPr>
              <w:pStyle w:val="TableTextRight"/>
            </w:pPr>
            <w:r w:rsidRPr="00E322CA">
              <w:t>Sep 2009</w:t>
            </w:r>
          </w:p>
        </w:tc>
        <w:tc>
          <w:tcPr>
            <w:tcW w:w="840" w:type="pct"/>
            <w:shd w:val="clear" w:color="auto" w:fill="F2F2F2" w:themeFill="background1" w:themeFillShade="F2"/>
            <w:noWrap/>
          </w:tcPr>
          <w:p w14:paraId="5E42DFE3" w14:textId="77777777" w:rsidR="006B21C0" w:rsidRPr="00AE665D" w:rsidRDefault="006B21C0" w:rsidP="00C86F4A">
            <w:pPr>
              <w:pStyle w:val="TableTextRight"/>
              <w:rPr>
                <w:b/>
                <w:bCs/>
              </w:rPr>
            </w:pPr>
            <w:r>
              <w:rPr>
                <w:b/>
                <w:bCs/>
              </w:rPr>
              <w:t>151.78</w:t>
            </w:r>
          </w:p>
        </w:tc>
        <w:tc>
          <w:tcPr>
            <w:tcW w:w="909" w:type="pct"/>
            <w:shd w:val="clear" w:color="auto" w:fill="F2F2F2" w:themeFill="background1" w:themeFillShade="F2"/>
            <w:noWrap/>
            <w:hideMark/>
          </w:tcPr>
          <w:p w14:paraId="4693FBC1" w14:textId="77777777" w:rsidR="006B21C0" w:rsidRPr="007063B3" w:rsidRDefault="006B21C0" w:rsidP="00C86F4A">
            <w:pPr>
              <w:pStyle w:val="TableTextRight"/>
            </w:pPr>
            <w:r>
              <w:t>148.17</w:t>
            </w:r>
          </w:p>
        </w:tc>
        <w:tc>
          <w:tcPr>
            <w:tcW w:w="909" w:type="pct"/>
            <w:shd w:val="clear" w:color="auto" w:fill="F2F2F2" w:themeFill="background1" w:themeFillShade="F2"/>
            <w:noWrap/>
            <w:hideMark/>
          </w:tcPr>
          <w:p w14:paraId="362DF15B" w14:textId="77777777" w:rsidR="006B21C0" w:rsidRPr="00AE665D" w:rsidRDefault="006B21C0" w:rsidP="00C86F4A">
            <w:pPr>
              <w:pStyle w:val="TableTextRight"/>
            </w:pPr>
            <w:r>
              <w:t>142.66</w:t>
            </w:r>
            <w:r w:rsidRPr="00AE665D">
              <w:t xml:space="preserve"> </w:t>
            </w:r>
          </w:p>
        </w:tc>
      </w:tr>
      <w:tr w:rsidR="006B21C0" w:rsidRPr="004C50FD" w14:paraId="78CE9D68" w14:textId="77777777" w:rsidTr="00A61C4D">
        <w:trPr>
          <w:trHeight w:hRule="exact" w:val="329"/>
        </w:trPr>
        <w:tc>
          <w:tcPr>
            <w:tcW w:w="1542" w:type="pct"/>
            <w:shd w:val="clear" w:color="auto" w:fill="F2F2F2" w:themeFill="background1" w:themeFillShade="F2"/>
            <w:noWrap/>
            <w:hideMark/>
          </w:tcPr>
          <w:p w14:paraId="269A29B4" w14:textId="77777777" w:rsidR="006B21C0" w:rsidRPr="00E322CA" w:rsidRDefault="006B21C0" w:rsidP="00C86F4A">
            <w:pPr>
              <w:pStyle w:val="TableTextLeft"/>
            </w:pPr>
            <w:r w:rsidRPr="00E322CA">
              <w:t>21 Nov 27 – 0.75%</w:t>
            </w:r>
          </w:p>
        </w:tc>
        <w:tc>
          <w:tcPr>
            <w:tcW w:w="800" w:type="pct"/>
            <w:shd w:val="clear" w:color="auto" w:fill="F2F2F2" w:themeFill="background1" w:themeFillShade="F2"/>
            <w:noWrap/>
            <w:hideMark/>
          </w:tcPr>
          <w:p w14:paraId="033E9AA3" w14:textId="77777777" w:rsidR="006B21C0" w:rsidRPr="00E322CA" w:rsidRDefault="006B21C0" w:rsidP="00C86F4A">
            <w:pPr>
              <w:pStyle w:val="TableTextRight"/>
            </w:pPr>
            <w:r w:rsidRPr="00E322CA">
              <w:t>Aug 2017</w:t>
            </w:r>
          </w:p>
        </w:tc>
        <w:tc>
          <w:tcPr>
            <w:tcW w:w="840" w:type="pct"/>
            <w:shd w:val="clear" w:color="auto" w:fill="F2F2F2" w:themeFill="background1" w:themeFillShade="F2"/>
            <w:noWrap/>
          </w:tcPr>
          <w:p w14:paraId="13BF1431" w14:textId="77777777" w:rsidR="006B21C0" w:rsidRPr="00AE665D" w:rsidRDefault="006B21C0" w:rsidP="00C86F4A">
            <w:pPr>
              <w:pStyle w:val="TableTextRight"/>
              <w:rPr>
                <w:b/>
                <w:bCs/>
              </w:rPr>
            </w:pPr>
            <w:r>
              <w:rPr>
                <w:b/>
                <w:bCs/>
              </w:rPr>
              <w:t>127.24</w:t>
            </w:r>
          </w:p>
        </w:tc>
        <w:tc>
          <w:tcPr>
            <w:tcW w:w="909" w:type="pct"/>
            <w:shd w:val="clear" w:color="auto" w:fill="F2F2F2" w:themeFill="background1" w:themeFillShade="F2"/>
            <w:noWrap/>
            <w:hideMark/>
          </w:tcPr>
          <w:p w14:paraId="24765F64" w14:textId="77777777" w:rsidR="006B21C0" w:rsidRPr="007063B3" w:rsidRDefault="006B21C0" w:rsidP="00C86F4A">
            <w:pPr>
              <w:pStyle w:val="TableTextRight"/>
            </w:pPr>
            <w:r>
              <w:t>124.22</w:t>
            </w:r>
          </w:p>
        </w:tc>
        <w:tc>
          <w:tcPr>
            <w:tcW w:w="909" w:type="pct"/>
            <w:shd w:val="clear" w:color="auto" w:fill="F2F2F2" w:themeFill="background1" w:themeFillShade="F2"/>
            <w:noWrap/>
            <w:hideMark/>
          </w:tcPr>
          <w:p w14:paraId="6C3643A9" w14:textId="77777777" w:rsidR="006B21C0" w:rsidRPr="00AE665D" w:rsidRDefault="006B21C0" w:rsidP="00C86F4A">
            <w:pPr>
              <w:pStyle w:val="TableTextRight"/>
            </w:pPr>
            <w:r>
              <w:t>119.60</w:t>
            </w:r>
            <w:r w:rsidRPr="00AE665D">
              <w:t xml:space="preserve"> </w:t>
            </w:r>
          </w:p>
        </w:tc>
      </w:tr>
      <w:tr w:rsidR="006B21C0" w:rsidRPr="004C50FD" w14:paraId="20DE0048" w14:textId="77777777" w:rsidTr="00A61C4D">
        <w:trPr>
          <w:trHeight w:hRule="exact" w:val="329"/>
        </w:trPr>
        <w:tc>
          <w:tcPr>
            <w:tcW w:w="1542" w:type="pct"/>
            <w:shd w:val="clear" w:color="auto" w:fill="F2F2F2" w:themeFill="background1" w:themeFillShade="F2"/>
            <w:noWrap/>
            <w:hideMark/>
          </w:tcPr>
          <w:p w14:paraId="29799818" w14:textId="77777777" w:rsidR="006B21C0" w:rsidRPr="00E322CA" w:rsidRDefault="006B21C0" w:rsidP="00C86F4A">
            <w:pPr>
              <w:pStyle w:val="TableTextLeft"/>
            </w:pPr>
            <w:r w:rsidRPr="00E322CA">
              <w:t xml:space="preserve">20 Sep 30 – 2.50% </w:t>
            </w:r>
          </w:p>
        </w:tc>
        <w:tc>
          <w:tcPr>
            <w:tcW w:w="800" w:type="pct"/>
            <w:shd w:val="clear" w:color="auto" w:fill="F2F2F2" w:themeFill="background1" w:themeFillShade="F2"/>
            <w:noWrap/>
            <w:hideMark/>
          </w:tcPr>
          <w:p w14:paraId="38CC8731" w14:textId="77777777" w:rsidR="006B21C0" w:rsidRPr="00E322CA" w:rsidRDefault="006B21C0" w:rsidP="00C86F4A">
            <w:pPr>
              <w:pStyle w:val="TableTextRight"/>
            </w:pPr>
            <w:r w:rsidRPr="00E322CA">
              <w:t>Sep 2010</w:t>
            </w:r>
          </w:p>
        </w:tc>
        <w:tc>
          <w:tcPr>
            <w:tcW w:w="840" w:type="pct"/>
            <w:shd w:val="clear" w:color="auto" w:fill="F2F2F2" w:themeFill="background1" w:themeFillShade="F2"/>
            <w:noWrap/>
          </w:tcPr>
          <w:p w14:paraId="196B3EAA" w14:textId="77777777" w:rsidR="006B21C0" w:rsidRPr="00AE665D" w:rsidRDefault="006B21C0" w:rsidP="00C86F4A">
            <w:pPr>
              <w:pStyle w:val="TableTextRight"/>
              <w:rPr>
                <w:b/>
                <w:bCs/>
              </w:rPr>
            </w:pPr>
            <w:r>
              <w:rPr>
                <w:b/>
                <w:bCs/>
              </w:rPr>
              <w:t>148.06</w:t>
            </w:r>
          </w:p>
        </w:tc>
        <w:tc>
          <w:tcPr>
            <w:tcW w:w="909" w:type="pct"/>
            <w:shd w:val="clear" w:color="auto" w:fill="F2F2F2" w:themeFill="background1" w:themeFillShade="F2"/>
            <w:noWrap/>
            <w:hideMark/>
          </w:tcPr>
          <w:p w14:paraId="424FCDC2" w14:textId="77777777" w:rsidR="006B21C0" w:rsidRPr="007063B3" w:rsidRDefault="006B21C0" w:rsidP="00C86F4A">
            <w:pPr>
              <w:pStyle w:val="TableTextRight"/>
            </w:pPr>
            <w:r>
              <w:t>144.55</w:t>
            </w:r>
          </w:p>
        </w:tc>
        <w:tc>
          <w:tcPr>
            <w:tcW w:w="909" w:type="pct"/>
            <w:shd w:val="clear" w:color="auto" w:fill="F2F2F2" w:themeFill="background1" w:themeFillShade="F2"/>
            <w:noWrap/>
            <w:hideMark/>
          </w:tcPr>
          <w:p w14:paraId="0A9568B1" w14:textId="77777777" w:rsidR="006B21C0" w:rsidRPr="00AE665D" w:rsidRDefault="006B21C0" w:rsidP="00C86F4A">
            <w:pPr>
              <w:pStyle w:val="TableTextRight"/>
            </w:pPr>
            <w:r>
              <w:t>139.17</w:t>
            </w:r>
            <w:r w:rsidRPr="00AE665D">
              <w:t xml:space="preserve"> </w:t>
            </w:r>
          </w:p>
        </w:tc>
      </w:tr>
      <w:tr w:rsidR="006B21C0" w:rsidRPr="004C50FD" w14:paraId="290331CB" w14:textId="77777777" w:rsidTr="00A61C4D">
        <w:trPr>
          <w:trHeight w:hRule="exact" w:val="329"/>
        </w:trPr>
        <w:tc>
          <w:tcPr>
            <w:tcW w:w="1542" w:type="pct"/>
            <w:shd w:val="clear" w:color="auto" w:fill="F2F2F2" w:themeFill="background1" w:themeFillShade="F2"/>
            <w:noWrap/>
            <w:hideMark/>
          </w:tcPr>
          <w:p w14:paraId="7FBD838C" w14:textId="77777777" w:rsidR="006B21C0" w:rsidRPr="00E322CA" w:rsidRDefault="006B21C0" w:rsidP="00C86F4A">
            <w:pPr>
              <w:pStyle w:val="TableTextLeft"/>
            </w:pPr>
            <w:r w:rsidRPr="00E322CA">
              <w:t>21 Nov 32 – 0.25%</w:t>
            </w:r>
          </w:p>
        </w:tc>
        <w:tc>
          <w:tcPr>
            <w:tcW w:w="800" w:type="pct"/>
            <w:shd w:val="clear" w:color="auto" w:fill="F2F2F2" w:themeFill="background1" w:themeFillShade="F2"/>
            <w:noWrap/>
            <w:hideMark/>
          </w:tcPr>
          <w:p w14:paraId="246C974F" w14:textId="77777777" w:rsidR="006B21C0" w:rsidRPr="00E322CA" w:rsidRDefault="006B21C0" w:rsidP="00C86F4A">
            <w:pPr>
              <w:pStyle w:val="TableTextRight"/>
            </w:pPr>
            <w:r w:rsidRPr="00E322CA">
              <w:t>Aug 2021</w:t>
            </w:r>
          </w:p>
        </w:tc>
        <w:tc>
          <w:tcPr>
            <w:tcW w:w="840" w:type="pct"/>
            <w:shd w:val="clear" w:color="auto" w:fill="F2F2F2" w:themeFill="background1" w:themeFillShade="F2"/>
            <w:noWrap/>
          </w:tcPr>
          <w:p w14:paraId="74F57881" w14:textId="77777777" w:rsidR="006B21C0" w:rsidRPr="00AE665D" w:rsidRDefault="006B21C0" w:rsidP="00C86F4A">
            <w:pPr>
              <w:pStyle w:val="TableTextRight"/>
              <w:rPr>
                <w:b/>
                <w:bCs/>
              </w:rPr>
            </w:pPr>
            <w:r>
              <w:rPr>
                <w:b/>
                <w:bCs/>
              </w:rPr>
              <w:t>119.30</w:t>
            </w:r>
          </w:p>
        </w:tc>
        <w:tc>
          <w:tcPr>
            <w:tcW w:w="909" w:type="pct"/>
            <w:shd w:val="clear" w:color="auto" w:fill="F2F2F2" w:themeFill="background1" w:themeFillShade="F2"/>
            <w:noWrap/>
            <w:hideMark/>
          </w:tcPr>
          <w:p w14:paraId="081CDFA8" w14:textId="77777777" w:rsidR="006B21C0" w:rsidRPr="007063B3" w:rsidRDefault="006B21C0" w:rsidP="00C86F4A">
            <w:pPr>
              <w:pStyle w:val="TableTextRight"/>
            </w:pPr>
            <w:r>
              <w:t>116.47</w:t>
            </w:r>
          </w:p>
        </w:tc>
        <w:tc>
          <w:tcPr>
            <w:tcW w:w="909" w:type="pct"/>
            <w:shd w:val="clear" w:color="auto" w:fill="F2F2F2" w:themeFill="background1" w:themeFillShade="F2"/>
            <w:noWrap/>
            <w:hideMark/>
          </w:tcPr>
          <w:p w14:paraId="56BCEDFF" w14:textId="77777777" w:rsidR="006B21C0" w:rsidRPr="00AE665D" w:rsidRDefault="006B21C0" w:rsidP="00C86F4A">
            <w:pPr>
              <w:pStyle w:val="TableTextRight"/>
            </w:pPr>
            <w:r>
              <w:t>112.14</w:t>
            </w:r>
            <w:r w:rsidRPr="00AE665D">
              <w:t xml:space="preserve"> </w:t>
            </w:r>
          </w:p>
        </w:tc>
      </w:tr>
      <w:tr w:rsidR="006B21C0" w:rsidRPr="004C50FD" w14:paraId="613C460B" w14:textId="77777777" w:rsidTr="00A61C4D">
        <w:trPr>
          <w:trHeight w:hRule="exact" w:val="329"/>
        </w:trPr>
        <w:tc>
          <w:tcPr>
            <w:tcW w:w="1542" w:type="pct"/>
            <w:shd w:val="clear" w:color="auto" w:fill="F2F2F2" w:themeFill="background1" w:themeFillShade="F2"/>
            <w:noWrap/>
            <w:hideMark/>
          </w:tcPr>
          <w:p w14:paraId="7A9A10A2" w14:textId="77777777" w:rsidR="006B21C0" w:rsidRPr="00E322CA" w:rsidRDefault="006B21C0" w:rsidP="00C86F4A">
            <w:pPr>
              <w:pStyle w:val="TableTextLeft"/>
            </w:pPr>
            <w:r w:rsidRPr="00E322CA">
              <w:t xml:space="preserve">21 Aug 35 – 2.00% </w:t>
            </w:r>
          </w:p>
        </w:tc>
        <w:tc>
          <w:tcPr>
            <w:tcW w:w="800" w:type="pct"/>
            <w:shd w:val="clear" w:color="auto" w:fill="F2F2F2" w:themeFill="background1" w:themeFillShade="F2"/>
            <w:noWrap/>
            <w:hideMark/>
          </w:tcPr>
          <w:p w14:paraId="037D1988" w14:textId="77777777" w:rsidR="006B21C0" w:rsidRPr="00E322CA" w:rsidRDefault="006B21C0" w:rsidP="00C86F4A">
            <w:pPr>
              <w:pStyle w:val="TableTextRight"/>
            </w:pPr>
            <w:r w:rsidRPr="00E322CA">
              <w:t>Sep 2013</w:t>
            </w:r>
          </w:p>
        </w:tc>
        <w:tc>
          <w:tcPr>
            <w:tcW w:w="840" w:type="pct"/>
            <w:shd w:val="clear" w:color="auto" w:fill="F2F2F2" w:themeFill="background1" w:themeFillShade="F2"/>
            <w:noWrap/>
          </w:tcPr>
          <w:p w14:paraId="7149217D" w14:textId="77777777" w:rsidR="006B21C0" w:rsidRPr="00AE665D" w:rsidRDefault="006B21C0" w:rsidP="00C86F4A">
            <w:pPr>
              <w:pStyle w:val="TableTextRight"/>
              <w:rPr>
                <w:b/>
                <w:bCs/>
              </w:rPr>
            </w:pPr>
            <w:r>
              <w:rPr>
                <w:b/>
                <w:bCs/>
              </w:rPr>
              <w:t>137.25</w:t>
            </w:r>
          </w:p>
        </w:tc>
        <w:tc>
          <w:tcPr>
            <w:tcW w:w="909" w:type="pct"/>
            <w:shd w:val="clear" w:color="auto" w:fill="F2F2F2" w:themeFill="background1" w:themeFillShade="F2"/>
            <w:noWrap/>
            <w:hideMark/>
          </w:tcPr>
          <w:p w14:paraId="1D96A343" w14:textId="77777777" w:rsidR="006B21C0" w:rsidRPr="007063B3" w:rsidRDefault="006B21C0" w:rsidP="00C86F4A">
            <w:pPr>
              <w:pStyle w:val="TableTextRight"/>
            </w:pPr>
            <w:r>
              <w:t>133.99</w:t>
            </w:r>
          </w:p>
        </w:tc>
        <w:tc>
          <w:tcPr>
            <w:tcW w:w="909" w:type="pct"/>
            <w:shd w:val="clear" w:color="auto" w:fill="F2F2F2" w:themeFill="background1" w:themeFillShade="F2"/>
            <w:noWrap/>
            <w:hideMark/>
          </w:tcPr>
          <w:p w14:paraId="3701F5B7" w14:textId="77777777" w:rsidR="006B21C0" w:rsidRPr="00AE665D" w:rsidRDefault="006B21C0" w:rsidP="00C86F4A">
            <w:pPr>
              <w:pStyle w:val="TableTextRight"/>
            </w:pPr>
            <w:r>
              <w:t>129.00</w:t>
            </w:r>
            <w:r w:rsidRPr="00AE665D">
              <w:t xml:space="preserve"> </w:t>
            </w:r>
          </w:p>
        </w:tc>
      </w:tr>
      <w:tr w:rsidR="006B21C0" w:rsidRPr="004C50FD" w14:paraId="5DE1DCA0" w14:textId="77777777" w:rsidTr="00A61C4D">
        <w:trPr>
          <w:trHeight w:hRule="exact" w:val="329"/>
        </w:trPr>
        <w:tc>
          <w:tcPr>
            <w:tcW w:w="1542" w:type="pct"/>
            <w:shd w:val="clear" w:color="auto" w:fill="F2F2F2" w:themeFill="background1" w:themeFillShade="F2"/>
            <w:noWrap/>
            <w:hideMark/>
          </w:tcPr>
          <w:p w14:paraId="605808A8" w14:textId="77777777" w:rsidR="006B21C0" w:rsidRPr="00E322CA" w:rsidRDefault="006B21C0" w:rsidP="00C86F4A">
            <w:pPr>
              <w:pStyle w:val="TableTextLeft"/>
            </w:pPr>
            <w:r w:rsidRPr="00E322CA">
              <w:t xml:space="preserve">21 Aug 40 – 1.25% </w:t>
            </w:r>
          </w:p>
        </w:tc>
        <w:tc>
          <w:tcPr>
            <w:tcW w:w="800" w:type="pct"/>
            <w:shd w:val="clear" w:color="auto" w:fill="F2F2F2" w:themeFill="background1" w:themeFillShade="F2"/>
            <w:noWrap/>
            <w:hideMark/>
          </w:tcPr>
          <w:p w14:paraId="2C510E1E" w14:textId="77777777" w:rsidR="006B21C0" w:rsidRPr="00E322CA" w:rsidRDefault="006B21C0" w:rsidP="00C86F4A">
            <w:pPr>
              <w:pStyle w:val="TableTextRight"/>
            </w:pPr>
            <w:r w:rsidRPr="00E322CA">
              <w:t>Aug 2015</w:t>
            </w:r>
          </w:p>
        </w:tc>
        <w:tc>
          <w:tcPr>
            <w:tcW w:w="840" w:type="pct"/>
            <w:shd w:val="clear" w:color="auto" w:fill="F2F2F2" w:themeFill="background1" w:themeFillShade="F2"/>
            <w:noWrap/>
          </w:tcPr>
          <w:p w14:paraId="3C975CC1" w14:textId="77777777" w:rsidR="006B21C0" w:rsidRPr="00AE665D" w:rsidRDefault="006B21C0" w:rsidP="00C86F4A">
            <w:pPr>
              <w:pStyle w:val="TableTextRight"/>
              <w:rPr>
                <w:b/>
                <w:bCs/>
              </w:rPr>
            </w:pPr>
            <w:r>
              <w:rPr>
                <w:b/>
                <w:bCs/>
              </w:rPr>
              <w:t>131.70</w:t>
            </w:r>
          </w:p>
        </w:tc>
        <w:tc>
          <w:tcPr>
            <w:tcW w:w="909" w:type="pct"/>
            <w:shd w:val="clear" w:color="auto" w:fill="F2F2F2" w:themeFill="background1" w:themeFillShade="F2"/>
            <w:noWrap/>
            <w:hideMark/>
          </w:tcPr>
          <w:p w14:paraId="15CE3960" w14:textId="77777777" w:rsidR="006B21C0" w:rsidRPr="007063B3" w:rsidRDefault="006B21C0" w:rsidP="00C86F4A">
            <w:pPr>
              <w:pStyle w:val="TableTextRight"/>
            </w:pPr>
            <w:r>
              <w:t>128.57</w:t>
            </w:r>
          </w:p>
        </w:tc>
        <w:tc>
          <w:tcPr>
            <w:tcW w:w="909" w:type="pct"/>
            <w:shd w:val="clear" w:color="auto" w:fill="F2F2F2" w:themeFill="background1" w:themeFillShade="F2"/>
            <w:noWrap/>
            <w:hideMark/>
          </w:tcPr>
          <w:p w14:paraId="237BC283" w14:textId="77777777" w:rsidR="006B21C0" w:rsidRPr="00AE665D" w:rsidRDefault="006B21C0" w:rsidP="00C86F4A">
            <w:pPr>
              <w:pStyle w:val="TableTextRight"/>
            </w:pPr>
            <w:r>
              <w:t>123.78</w:t>
            </w:r>
            <w:r w:rsidRPr="00AE665D">
              <w:t xml:space="preserve"> </w:t>
            </w:r>
          </w:p>
        </w:tc>
      </w:tr>
      <w:tr w:rsidR="006B21C0" w:rsidRPr="004C50FD" w14:paraId="749EECDC" w14:textId="77777777" w:rsidTr="00A61C4D">
        <w:trPr>
          <w:trHeight w:hRule="exact" w:val="329"/>
        </w:trPr>
        <w:tc>
          <w:tcPr>
            <w:tcW w:w="1542" w:type="pct"/>
            <w:shd w:val="clear" w:color="auto" w:fill="F2F2F2" w:themeFill="background1" w:themeFillShade="F2"/>
            <w:noWrap/>
            <w:hideMark/>
          </w:tcPr>
          <w:p w14:paraId="3CD9D971" w14:textId="77777777" w:rsidR="006B21C0" w:rsidRPr="00E322CA" w:rsidRDefault="006B21C0" w:rsidP="00C86F4A">
            <w:pPr>
              <w:pStyle w:val="TableTextLeft"/>
            </w:pPr>
            <w:r w:rsidRPr="00E322CA">
              <w:t xml:space="preserve">21 Feb 50 – 1.00% </w:t>
            </w:r>
          </w:p>
        </w:tc>
        <w:tc>
          <w:tcPr>
            <w:tcW w:w="800" w:type="pct"/>
            <w:shd w:val="clear" w:color="auto" w:fill="F2F2F2" w:themeFill="background1" w:themeFillShade="F2"/>
            <w:noWrap/>
            <w:hideMark/>
          </w:tcPr>
          <w:p w14:paraId="0C778C6F" w14:textId="77777777" w:rsidR="006B21C0" w:rsidRPr="00E322CA" w:rsidRDefault="006B21C0" w:rsidP="00C86F4A">
            <w:pPr>
              <w:pStyle w:val="TableTextRight"/>
            </w:pPr>
            <w:r w:rsidRPr="00E322CA">
              <w:t>Sep 2018</w:t>
            </w:r>
          </w:p>
        </w:tc>
        <w:tc>
          <w:tcPr>
            <w:tcW w:w="840" w:type="pct"/>
            <w:shd w:val="clear" w:color="auto" w:fill="F2F2F2" w:themeFill="background1" w:themeFillShade="F2"/>
            <w:noWrap/>
          </w:tcPr>
          <w:p w14:paraId="615343A2" w14:textId="77777777" w:rsidR="006B21C0" w:rsidRPr="00AE665D" w:rsidRDefault="006B21C0" w:rsidP="00C86F4A">
            <w:pPr>
              <w:pStyle w:val="TableTextRight"/>
              <w:rPr>
                <w:b/>
                <w:bCs/>
              </w:rPr>
            </w:pPr>
            <w:r>
              <w:rPr>
                <w:b/>
                <w:bCs/>
              </w:rPr>
              <w:t>124.82</w:t>
            </w:r>
          </w:p>
        </w:tc>
        <w:tc>
          <w:tcPr>
            <w:tcW w:w="909" w:type="pct"/>
            <w:shd w:val="clear" w:color="auto" w:fill="F2F2F2" w:themeFill="background1" w:themeFillShade="F2"/>
            <w:noWrap/>
            <w:hideMark/>
          </w:tcPr>
          <w:p w14:paraId="5256785D" w14:textId="77777777" w:rsidR="006B21C0" w:rsidRPr="007063B3" w:rsidRDefault="006B21C0" w:rsidP="00C86F4A">
            <w:pPr>
              <w:pStyle w:val="TableTextRight"/>
            </w:pPr>
            <w:r>
              <w:t>121.86</w:t>
            </w:r>
          </w:p>
        </w:tc>
        <w:tc>
          <w:tcPr>
            <w:tcW w:w="909" w:type="pct"/>
            <w:shd w:val="clear" w:color="auto" w:fill="F2F2F2" w:themeFill="background1" w:themeFillShade="F2"/>
            <w:noWrap/>
            <w:hideMark/>
          </w:tcPr>
          <w:p w14:paraId="5A5471CF" w14:textId="77777777" w:rsidR="006B21C0" w:rsidRPr="00AE665D" w:rsidRDefault="006B21C0" w:rsidP="00C86F4A">
            <w:pPr>
              <w:pStyle w:val="TableTextRight"/>
            </w:pPr>
            <w:r>
              <w:t>117.33</w:t>
            </w:r>
            <w:r w:rsidRPr="00AE665D">
              <w:t xml:space="preserve"> </w:t>
            </w:r>
          </w:p>
        </w:tc>
      </w:tr>
    </w:tbl>
    <w:p w14:paraId="0FF1ABE3" w14:textId="77777777" w:rsidR="006B21C0" w:rsidRPr="00BE6E39" w:rsidRDefault="006B21C0" w:rsidP="006B21C0">
      <w:pPr>
        <w:pStyle w:val="Heading3"/>
      </w:pPr>
      <w:bookmarkStart w:id="1663" w:name="_Toc146112230"/>
      <w:bookmarkStart w:id="1664" w:name="_Toc207796131"/>
      <w:r w:rsidRPr="006534F5">
        <w:t>Credit risk</w:t>
      </w:r>
      <w:bookmarkEnd w:id="1663"/>
      <w:bookmarkEnd w:id="1664"/>
    </w:p>
    <w:p w14:paraId="455BCF99" w14:textId="77777777" w:rsidR="006B21C0" w:rsidRPr="001F57AF" w:rsidRDefault="006B21C0" w:rsidP="006B21C0">
      <w:r w:rsidRPr="001F57AF">
        <w:t>Credit risk is the risk of non</w:t>
      </w:r>
      <w:r>
        <w:noBreakHyphen/>
      </w:r>
      <w:r w:rsidRPr="001F57AF">
        <w:t>performance (including partial performance) by a counterparty to a financial contract, leading to a financial loss for the creditor.</w:t>
      </w:r>
    </w:p>
    <w:p w14:paraId="6E37F9E5" w14:textId="77777777" w:rsidR="006B21C0" w:rsidRPr="001F57AF" w:rsidRDefault="006B21C0" w:rsidP="006B21C0">
      <w:r w:rsidRPr="001F57AF">
        <w:t>The AOFM</w:t>
      </w:r>
      <w:r>
        <w:t>’</w:t>
      </w:r>
      <w:r w:rsidRPr="001F57AF">
        <w:t>s investment activity comprise</w:t>
      </w:r>
      <w:r>
        <w:t xml:space="preserve">s </w:t>
      </w:r>
      <w:r w:rsidRPr="001F57AF">
        <w:t xml:space="preserve">balances </w:t>
      </w:r>
      <w:r>
        <w:t>used</w:t>
      </w:r>
      <w:r w:rsidRPr="001F57AF">
        <w:t xml:space="preserve"> for cash management purposes and structured (securitisation) finance securities to support the purposes of the ABSF and SFSF.</w:t>
      </w:r>
    </w:p>
    <w:p w14:paraId="747AB3CF" w14:textId="77777777" w:rsidR="006B21C0" w:rsidRPr="001F57AF" w:rsidRDefault="006B21C0" w:rsidP="006B21C0">
      <w:r>
        <w:t>C</w:t>
      </w:r>
      <w:r w:rsidRPr="001F57AF">
        <w:t xml:space="preserve">ash management investments </w:t>
      </w:r>
      <w:r>
        <w:t>are</w:t>
      </w:r>
      <w:r w:rsidRPr="001F57AF">
        <w:t xml:space="preserve"> restricted to deposits with the RBA through a cash management account. Cash deposits with the RBA are considered to carry zero credit risk.</w:t>
      </w:r>
    </w:p>
    <w:p w14:paraId="22510283" w14:textId="77777777" w:rsidR="006B21C0" w:rsidRPr="001F57AF" w:rsidRDefault="006B21C0" w:rsidP="006B21C0">
      <w:r w:rsidRPr="001F57AF">
        <w:t xml:space="preserve">For </w:t>
      </w:r>
      <w:r>
        <w:t xml:space="preserve">current and </w:t>
      </w:r>
      <w:r w:rsidRPr="001F57AF">
        <w:t>proposed investments in structured finance securities, the AOFM uses credit rating assessments by a credit rating agency. Where a structured finance security is not rated by a credit rating agency, the AOFM will engage an advisor to conduct a credit risk assessment, and/or it will evaluate the credit risk internally using other available resources and information.</w:t>
      </w:r>
    </w:p>
    <w:p w14:paraId="18DA2E3D" w14:textId="77777777" w:rsidR="006B21C0" w:rsidRPr="001F57AF" w:rsidRDefault="006B21C0" w:rsidP="006B21C0">
      <w:r>
        <w:t>The AOFM also conducts p</w:t>
      </w:r>
      <w:r w:rsidRPr="001F57AF">
        <w:t>ost</w:t>
      </w:r>
      <w:r>
        <w:noBreakHyphen/>
      </w:r>
      <w:r w:rsidRPr="001F57AF">
        <w:t xml:space="preserve">trade performance monitoring, including defaults, prepayment rates, losses, profitability, and level of credit enhancement. The actual historical performance of loan pools may guide revisions </w:t>
      </w:r>
      <w:r>
        <w:t>to</w:t>
      </w:r>
      <w:r w:rsidRPr="001F57AF">
        <w:t xml:space="preserve"> expected future performance. Th</w:t>
      </w:r>
      <w:r>
        <w:t xml:space="preserve">e AOFM uses this </w:t>
      </w:r>
      <w:r w:rsidRPr="001F57AF">
        <w:t>information to gauge whether credit risk has increased significantly since acquisition; and to provide an estimate as to expected future credit losses (either for the next 12 months or full life to maturity, depending on the circumstances).</w:t>
      </w:r>
    </w:p>
    <w:p w14:paraId="052C9B0D" w14:textId="77777777" w:rsidR="006B21C0" w:rsidRDefault="006B21C0" w:rsidP="006B21C0">
      <w:r w:rsidRPr="001F57AF">
        <w:lastRenderedPageBreak/>
        <w:t xml:space="preserve">The maximum credit exposure of structured (securitisation) finance securities acquired is the principal outstanding, plus the total amount of undrawn commitments remaining over the life of the respective facilities. However, the likely amount of loss arising from undrawn commitments may be less than the total amount committed, as the commitments are contingent on </w:t>
      </w:r>
      <w:r>
        <w:t xml:space="preserve">the </w:t>
      </w:r>
      <w:r w:rsidRPr="001F57AF">
        <w:t>maintenance of specific standards.</w:t>
      </w:r>
    </w:p>
    <w:p w14:paraId="177C47E3" w14:textId="77777777" w:rsidR="005E20ED" w:rsidRDefault="005E20ED" w:rsidP="005E20ED">
      <w:r w:rsidRPr="001F57AF">
        <w:t>The table below shows the credit exposure to structured (securitisation) finance facilities as at period end:</w:t>
      </w:r>
    </w:p>
    <w:p w14:paraId="15DE851E" w14:textId="77777777" w:rsidR="005E20ED" w:rsidRPr="005006A1" w:rsidRDefault="005E20ED" w:rsidP="005E20ED">
      <w:pPr>
        <w:pStyle w:val="TableMainHeading"/>
      </w:pPr>
      <w:r w:rsidRPr="005006A1">
        <w:t xml:space="preserve">Credit exposure to structured (securitisation) finance facilities as </w:t>
      </w:r>
      <w:proofErr w:type="gramStart"/>
      <w:r w:rsidRPr="005006A1">
        <w:t>at</w:t>
      </w:r>
      <w:proofErr w:type="gramEnd"/>
      <w:r w:rsidRPr="005006A1">
        <w:t xml:space="preserve"> 30 June 2025</w:t>
      </w:r>
    </w:p>
    <w:tbl>
      <w:tblPr>
        <w:tblStyle w:val="AOFMTablemain"/>
        <w:tblW w:w="5001" w:type="pct"/>
        <w:tblLayout w:type="fixed"/>
        <w:tblLook w:val="06A0" w:firstRow="1" w:lastRow="0" w:firstColumn="1" w:lastColumn="0" w:noHBand="1" w:noVBand="1"/>
      </w:tblPr>
      <w:tblGrid>
        <w:gridCol w:w="3968"/>
        <w:gridCol w:w="1128"/>
        <w:gridCol w:w="1378"/>
        <w:gridCol w:w="1239"/>
      </w:tblGrid>
      <w:tr w:rsidR="006C235E" w:rsidRPr="006534F5" w14:paraId="68E7BE67" w14:textId="77777777" w:rsidTr="004D302A">
        <w:trPr>
          <w:cnfStyle w:val="100000000000" w:firstRow="1" w:lastRow="0" w:firstColumn="0" w:lastColumn="0" w:oddVBand="0" w:evenVBand="0" w:oddHBand="0" w:evenHBand="0" w:firstRowFirstColumn="0" w:firstRowLastColumn="0" w:lastRowFirstColumn="0" w:lastRowLastColumn="0"/>
        </w:trPr>
        <w:tc>
          <w:tcPr>
            <w:tcW w:w="2573" w:type="pct"/>
            <w:tcBorders>
              <w:bottom w:val="single" w:sz="4" w:space="0" w:color="29114B" w:themeColor="text2"/>
            </w:tcBorders>
            <w:noWrap/>
            <w:tcMar>
              <w:top w:w="57" w:type="dxa"/>
              <w:bottom w:w="57" w:type="dxa"/>
            </w:tcMar>
            <w:vAlign w:val="bottom"/>
            <w:hideMark/>
          </w:tcPr>
          <w:p w14:paraId="14A5857A" w14:textId="77777777" w:rsidR="005E20ED" w:rsidRPr="00EF25A3" w:rsidRDefault="005E20ED" w:rsidP="00C86F4A">
            <w:pPr>
              <w:pStyle w:val="TableColumnHeadingLeft"/>
            </w:pPr>
            <w:r w:rsidRPr="00DC0BEE">
              <w:t>Exposure</w:t>
            </w:r>
            <w:r w:rsidRPr="00EF25A3">
              <w:t xml:space="preserve"> by fund</w:t>
            </w:r>
          </w:p>
        </w:tc>
        <w:tc>
          <w:tcPr>
            <w:tcW w:w="731" w:type="pct"/>
            <w:tcBorders>
              <w:bottom w:val="single" w:sz="4" w:space="0" w:color="29114B" w:themeColor="text2"/>
            </w:tcBorders>
            <w:tcMar>
              <w:top w:w="57" w:type="dxa"/>
              <w:bottom w:w="57" w:type="dxa"/>
            </w:tcMar>
            <w:vAlign w:val="bottom"/>
            <w:hideMark/>
          </w:tcPr>
          <w:p w14:paraId="2CFE47ED" w14:textId="77777777" w:rsidR="005E20ED" w:rsidRPr="00EF25A3" w:rsidRDefault="005E20ED" w:rsidP="009556C5">
            <w:pPr>
              <w:pStyle w:val="TableColumnHeadingRight"/>
            </w:pPr>
            <w:r w:rsidRPr="00EF25A3">
              <w:t xml:space="preserve">Current </w:t>
            </w:r>
            <w:r w:rsidRPr="00EF25A3">
              <w:br/>
              <w:t>exposure</w:t>
            </w:r>
            <w:r>
              <w:t xml:space="preserve"> ($million)</w:t>
            </w:r>
          </w:p>
        </w:tc>
        <w:tc>
          <w:tcPr>
            <w:tcW w:w="893" w:type="pct"/>
            <w:tcBorders>
              <w:bottom w:val="single" w:sz="4" w:space="0" w:color="29114B" w:themeColor="text2"/>
            </w:tcBorders>
            <w:tcMar>
              <w:top w:w="57" w:type="dxa"/>
              <w:bottom w:w="57" w:type="dxa"/>
            </w:tcMar>
            <w:vAlign w:val="bottom"/>
            <w:hideMark/>
          </w:tcPr>
          <w:p w14:paraId="321A2830" w14:textId="77777777" w:rsidR="005E20ED" w:rsidRPr="00EF25A3" w:rsidRDefault="005E20ED" w:rsidP="009556C5">
            <w:pPr>
              <w:pStyle w:val="TableColumnHeadingRight"/>
            </w:pPr>
            <w:r w:rsidRPr="00EF25A3">
              <w:t xml:space="preserve">Undrawn </w:t>
            </w:r>
            <w:r w:rsidRPr="00EF25A3">
              <w:br/>
              <w:t>commitments</w:t>
            </w:r>
            <w:r>
              <w:t xml:space="preserve"> ($million)</w:t>
            </w:r>
          </w:p>
        </w:tc>
        <w:tc>
          <w:tcPr>
            <w:tcW w:w="803" w:type="pct"/>
            <w:tcBorders>
              <w:bottom w:val="single" w:sz="4" w:space="0" w:color="29114B" w:themeColor="text2"/>
            </w:tcBorders>
            <w:tcMar>
              <w:top w:w="57" w:type="dxa"/>
              <w:bottom w:w="57" w:type="dxa"/>
            </w:tcMar>
            <w:vAlign w:val="bottom"/>
            <w:hideMark/>
          </w:tcPr>
          <w:p w14:paraId="30849227" w14:textId="77777777" w:rsidR="005E20ED" w:rsidRPr="00EF25A3" w:rsidRDefault="005E20ED" w:rsidP="009556C5">
            <w:pPr>
              <w:pStyle w:val="TableColumnHeadingRight"/>
            </w:pPr>
            <w:r w:rsidRPr="00EF25A3">
              <w:t xml:space="preserve">Total credit </w:t>
            </w:r>
            <w:r w:rsidRPr="00EF25A3">
              <w:br/>
              <w:t>committed</w:t>
            </w:r>
            <w:r>
              <w:t xml:space="preserve"> ($million)</w:t>
            </w:r>
          </w:p>
        </w:tc>
      </w:tr>
      <w:tr w:rsidR="005E20ED" w:rsidRPr="006534F5" w14:paraId="021AD7DE" w14:textId="77777777" w:rsidTr="004D302A">
        <w:tc>
          <w:tcPr>
            <w:tcW w:w="2573"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1D806643" w14:textId="77777777" w:rsidR="005E20ED" w:rsidRPr="009556C5" w:rsidRDefault="005E20ED" w:rsidP="009556C5">
            <w:pPr>
              <w:pStyle w:val="TableSecondHeading"/>
              <w:rPr>
                <w:rStyle w:val="Strong"/>
                <w:b w:val="0"/>
                <w:bCs w:val="0"/>
              </w:rPr>
            </w:pPr>
            <w:r w:rsidRPr="009556C5">
              <w:rPr>
                <w:rStyle w:val="Strong"/>
                <w:bCs w:val="0"/>
              </w:rPr>
              <w:t>Australian Business Securitisation Fund (ABSF)</w:t>
            </w:r>
          </w:p>
        </w:tc>
        <w:tc>
          <w:tcPr>
            <w:tcW w:w="731"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61DFE0F2" w14:textId="77777777" w:rsidR="005E20ED" w:rsidRPr="00DC0BEE" w:rsidRDefault="005E20ED" w:rsidP="00C86F4A">
            <w:pPr>
              <w:pStyle w:val="TableTextRight"/>
              <w:rPr>
                <w:b/>
                <w:bCs/>
              </w:rPr>
            </w:pPr>
            <w:r w:rsidRPr="00DC0BEE">
              <w:rPr>
                <w:b/>
                <w:bCs/>
              </w:rPr>
              <w:t> </w:t>
            </w:r>
          </w:p>
        </w:tc>
        <w:tc>
          <w:tcPr>
            <w:tcW w:w="89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64C57E20" w14:textId="77777777" w:rsidR="005E20ED" w:rsidRPr="00DC0BEE" w:rsidRDefault="005E20ED" w:rsidP="00C86F4A">
            <w:pPr>
              <w:pStyle w:val="TableTextRight"/>
              <w:rPr>
                <w:b/>
                <w:bCs/>
              </w:rPr>
            </w:pPr>
            <w:r w:rsidRPr="00DC0BEE">
              <w:rPr>
                <w:b/>
                <w:bCs/>
              </w:rPr>
              <w:t> </w:t>
            </w:r>
          </w:p>
        </w:tc>
        <w:tc>
          <w:tcPr>
            <w:tcW w:w="803"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07848624" w14:textId="77777777" w:rsidR="005E20ED" w:rsidRPr="00DC0BEE" w:rsidRDefault="005E20ED" w:rsidP="00C86F4A">
            <w:pPr>
              <w:pStyle w:val="TableTextRight"/>
              <w:rPr>
                <w:b/>
                <w:bCs/>
              </w:rPr>
            </w:pPr>
            <w:r w:rsidRPr="00DC0BEE">
              <w:rPr>
                <w:b/>
                <w:bCs/>
              </w:rPr>
              <w:t> </w:t>
            </w:r>
          </w:p>
        </w:tc>
      </w:tr>
      <w:tr w:rsidR="005E20ED" w:rsidRPr="006534F5" w14:paraId="0F316A4A" w14:textId="77777777" w:rsidTr="004D302A">
        <w:tc>
          <w:tcPr>
            <w:tcW w:w="2573" w:type="pct"/>
            <w:shd w:val="clear" w:color="auto" w:fill="F2F2F2" w:themeFill="background1" w:themeFillShade="F2"/>
            <w:noWrap/>
            <w:tcMar>
              <w:top w:w="57" w:type="dxa"/>
              <w:bottom w:w="57" w:type="dxa"/>
            </w:tcMar>
            <w:hideMark/>
          </w:tcPr>
          <w:p w14:paraId="5AD80962" w14:textId="77777777" w:rsidR="005E20ED" w:rsidRPr="00BE6E39" w:rsidRDefault="005E20ED" w:rsidP="00C86F4A">
            <w:pPr>
              <w:pStyle w:val="TableTextLeft"/>
            </w:pPr>
            <w:r w:rsidRPr="00BE6E39">
              <w:t>Public term transactions (a)</w:t>
            </w:r>
          </w:p>
        </w:tc>
        <w:tc>
          <w:tcPr>
            <w:tcW w:w="731" w:type="pct"/>
            <w:shd w:val="clear" w:color="auto" w:fill="F2F2F2" w:themeFill="background1" w:themeFillShade="F2"/>
            <w:noWrap/>
            <w:tcMar>
              <w:top w:w="57" w:type="dxa"/>
              <w:bottom w:w="57" w:type="dxa"/>
            </w:tcMar>
          </w:tcPr>
          <w:p w14:paraId="2CECD51D" w14:textId="77777777" w:rsidR="005E20ED" w:rsidRPr="0091435A" w:rsidRDefault="005E20ED" w:rsidP="00C86F4A">
            <w:pPr>
              <w:pStyle w:val="TableTextRight"/>
            </w:pPr>
            <w:r w:rsidRPr="0091435A">
              <w:t>46</w:t>
            </w:r>
          </w:p>
        </w:tc>
        <w:tc>
          <w:tcPr>
            <w:tcW w:w="893" w:type="pct"/>
            <w:shd w:val="clear" w:color="auto" w:fill="F2F2F2" w:themeFill="background1" w:themeFillShade="F2"/>
            <w:noWrap/>
            <w:tcMar>
              <w:top w:w="57" w:type="dxa"/>
              <w:bottom w:w="57" w:type="dxa"/>
            </w:tcMar>
          </w:tcPr>
          <w:p w14:paraId="14B88238" w14:textId="77777777" w:rsidR="005E20ED" w:rsidRPr="0091435A" w:rsidRDefault="005E20ED" w:rsidP="00C86F4A">
            <w:pPr>
              <w:pStyle w:val="TableTextRight"/>
            </w:pPr>
            <w:r w:rsidRPr="0091435A">
              <w:noBreakHyphen/>
            </w:r>
          </w:p>
        </w:tc>
        <w:tc>
          <w:tcPr>
            <w:tcW w:w="803" w:type="pct"/>
            <w:shd w:val="clear" w:color="auto" w:fill="F2F2F2" w:themeFill="background1" w:themeFillShade="F2"/>
            <w:noWrap/>
            <w:tcMar>
              <w:top w:w="57" w:type="dxa"/>
              <w:bottom w:w="57" w:type="dxa"/>
            </w:tcMar>
          </w:tcPr>
          <w:p w14:paraId="0568592B" w14:textId="77777777" w:rsidR="005E20ED" w:rsidRPr="0091435A" w:rsidRDefault="005E20ED" w:rsidP="00C86F4A">
            <w:pPr>
              <w:pStyle w:val="TableTextRight"/>
            </w:pPr>
            <w:r w:rsidRPr="0091435A">
              <w:t>46</w:t>
            </w:r>
          </w:p>
        </w:tc>
      </w:tr>
      <w:tr w:rsidR="005E20ED" w:rsidRPr="006534F5" w14:paraId="4A18E88B" w14:textId="77777777" w:rsidTr="004D302A">
        <w:tc>
          <w:tcPr>
            <w:tcW w:w="2573" w:type="pct"/>
            <w:shd w:val="clear" w:color="auto" w:fill="F2F2F2" w:themeFill="background1" w:themeFillShade="F2"/>
            <w:noWrap/>
            <w:tcMar>
              <w:top w:w="57" w:type="dxa"/>
              <w:bottom w:w="57" w:type="dxa"/>
            </w:tcMar>
            <w:hideMark/>
          </w:tcPr>
          <w:p w14:paraId="75C75E0A" w14:textId="77777777" w:rsidR="005E20ED" w:rsidRPr="00BE6E39" w:rsidRDefault="005E20ED" w:rsidP="00C86F4A">
            <w:pPr>
              <w:pStyle w:val="TableTextLeft"/>
            </w:pPr>
            <w:r w:rsidRPr="00BE6E39">
              <w:t>Private warehouse transactions (b)</w:t>
            </w:r>
          </w:p>
        </w:tc>
        <w:tc>
          <w:tcPr>
            <w:tcW w:w="731" w:type="pct"/>
            <w:shd w:val="clear" w:color="auto" w:fill="F2F2F2" w:themeFill="background1" w:themeFillShade="F2"/>
            <w:noWrap/>
            <w:tcMar>
              <w:top w:w="57" w:type="dxa"/>
              <w:bottom w:w="57" w:type="dxa"/>
            </w:tcMar>
          </w:tcPr>
          <w:p w14:paraId="7C6F9892" w14:textId="77777777" w:rsidR="005E20ED" w:rsidRPr="00162D7C" w:rsidRDefault="005E20ED" w:rsidP="00C86F4A">
            <w:pPr>
              <w:pStyle w:val="TableTextRight"/>
            </w:pPr>
            <w:r>
              <w:t>173</w:t>
            </w:r>
          </w:p>
        </w:tc>
        <w:tc>
          <w:tcPr>
            <w:tcW w:w="893" w:type="pct"/>
            <w:shd w:val="clear" w:color="auto" w:fill="F2F2F2" w:themeFill="background1" w:themeFillShade="F2"/>
            <w:noWrap/>
            <w:tcMar>
              <w:top w:w="57" w:type="dxa"/>
              <w:bottom w:w="57" w:type="dxa"/>
            </w:tcMar>
          </w:tcPr>
          <w:p w14:paraId="603D0B74" w14:textId="77777777" w:rsidR="005E20ED" w:rsidRPr="00162D7C" w:rsidRDefault="005E20ED" w:rsidP="00C86F4A">
            <w:pPr>
              <w:pStyle w:val="TableTextRight"/>
            </w:pPr>
            <w:r>
              <w:t>174</w:t>
            </w:r>
          </w:p>
        </w:tc>
        <w:tc>
          <w:tcPr>
            <w:tcW w:w="803" w:type="pct"/>
            <w:shd w:val="clear" w:color="auto" w:fill="F2F2F2" w:themeFill="background1" w:themeFillShade="F2"/>
            <w:noWrap/>
            <w:tcMar>
              <w:top w:w="57" w:type="dxa"/>
              <w:bottom w:w="57" w:type="dxa"/>
            </w:tcMar>
          </w:tcPr>
          <w:p w14:paraId="20ED4912" w14:textId="77777777" w:rsidR="005E20ED" w:rsidRPr="00162D7C" w:rsidRDefault="005E20ED" w:rsidP="00C86F4A">
            <w:pPr>
              <w:pStyle w:val="TableTextRight"/>
            </w:pPr>
            <w:r>
              <w:t>347</w:t>
            </w:r>
          </w:p>
        </w:tc>
      </w:tr>
      <w:tr w:rsidR="005E20ED" w:rsidRPr="006534F5" w14:paraId="2E8DD7CC" w14:textId="77777777" w:rsidTr="004D302A">
        <w:tc>
          <w:tcPr>
            <w:tcW w:w="2573" w:type="pct"/>
            <w:tcBorders>
              <w:bottom w:val="single" w:sz="4" w:space="0" w:color="29114B" w:themeColor="text2"/>
            </w:tcBorders>
            <w:shd w:val="clear" w:color="auto" w:fill="F2F2F2" w:themeFill="background1" w:themeFillShade="F2"/>
            <w:noWrap/>
            <w:tcMar>
              <w:top w:w="57" w:type="dxa"/>
              <w:bottom w:w="57" w:type="dxa"/>
            </w:tcMar>
            <w:hideMark/>
          </w:tcPr>
          <w:p w14:paraId="389DEE65" w14:textId="77777777" w:rsidR="005E20ED" w:rsidRPr="00BE6E39" w:rsidRDefault="005E20ED" w:rsidP="00C86F4A">
            <w:pPr>
              <w:pStyle w:val="TableTextLeft"/>
              <w:rPr>
                <w:b/>
                <w:bCs/>
              </w:rPr>
            </w:pPr>
            <w:r w:rsidRPr="00BE6E39">
              <w:rPr>
                <w:b/>
                <w:bCs/>
              </w:rPr>
              <w:t>Sub</w:t>
            </w:r>
            <w:r w:rsidRPr="00BE6E39">
              <w:rPr>
                <w:b/>
                <w:bCs/>
              </w:rPr>
              <w:noBreakHyphen/>
              <w:t>total</w:t>
            </w:r>
          </w:p>
        </w:tc>
        <w:tc>
          <w:tcPr>
            <w:tcW w:w="731" w:type="pct"/>
            <w:tcBorders>
              <w:bottom w:val="single" w:sz="4" w:space="0" w:color="29114B" w:themeColor="text2"/>
            </w:tcBorders>
            <w:shd w:val="clear" w:color="auto" w:fill="F2F2F2" w:themeFill="background1" w:themeFillShade="F2"/>
            <w:noWrap/>
            <w:tcMar>
              <w:top w:w="57" w:type="dxa"/>
              <w:bottom w:w="57" w:type="dxa"/>
            </w:tcMar>
          </w:tcPr>
          <w:p w14:paraId="1DCF60A0" w14:textId="77777777" w:rsidR="005E20ED" w:rsidRPr="00DC0BEE" w:rsidRDefault="005E20ED" w:rsidP="00C86F4A">
            <w:pPr>
              <w:pStyle w:val="TableTextRight"/>
              <w:rPr>
                <w:b/>
                <w:bCs/>
              </w:rPr>
            </w:pPr>
            <w:r w:rsidRPr="00DC0BEE">
              <w:rPr>
                <w:b/>
                <w:bCs/>
              </w:rPr>
              <w:t>219</w:t>
            </w:r>
          </w:p>
        </w:tc>
        <w:tc>
          <w:tcPr>
            <w:tcW w:w="893" w:type="pct"/>
            <w:tcBorders>
              <w:bottom w:val="single" w:sz="4" w:space="0" w:color="29114B" w:themeColor="text2"/>
            </w:tcBorders>
            <w:shd w:val="clear" w:color="auto" w:fill="F2F2F2" w:themeFill="background1" w:themeFillShade="F2"/>
            <w:noWrap/>
            <w:tcMar>
              <w:top w:w="57" w:type="dxa"/>
              <w:bottom w:w="57" w:type="dxa"/>
            </w:tcMar>
          </w:tcPr>
          <w:p w14:paraId="37BA9BFD" w14:textId="77777777" w:rsidR="005E20ED" w:rsidRPr="00DC0BEE" w:rsidRDefault="005E20ED" w:rsidP="00C86F4A">
            <w:pPr>
              <w:pStyle w:val="TableTextRight"/>
              <w:rPr>
                <w:b/>
                <w:bCs/>
              </w:rPr>
            </w:pPr>
            <w:r w:rsidRPr="00DC0BEE">
              <w:rPr>
                <w:b/>
                <w:bCs/>
              </w:rPr>
              <w:t>174</w:t>
            </w:r>
          </w:p>
        </w:tc>
        <w:tc>
          <w:tcPr>
            <w:tcW w:w="803" w:type="pct"/>
            <w:tcBorders>
              <w:bottom w:val="single" w:sz="4" w:space="0" w:color="29114B" w:themeColor="text2"/>
            </w:tcBorders>
            <w:shd w:val="clear" w:color="auto" w:fill="F2F2F2" w:themeFill="background1" w:themeFillShade="F2"/>
            <w:noWrap/>
            <w:tcMar>
              <w:top w:w="57" w:type="dxa"/>
              <w:bottom w:w="57" w:type="dxa"/>
            </w:tcMar>
          </w:tcPr>
          <w:p w14:paraId="0CFF05CA" w14:textId="77777777" w:rsidR="005E20ED" w:rsidRPr="00DC0BEE" w:rsidRDefault="005E20ED" w:rsidP="00C86F4A">
            <w:pPr>
              <w:pStyle w:val="TableTextRight"/>
              <w:rPr>
                <w:b/>
                <w:bCs/>
              </w:rPr>
            </w:pPr>
            <w:r w:rsidRPr="00DC0BEE">
              <w:rPr>
                <w:b/>
                <w:bCs/>
              </w:rPr>
              <w:t>393</w:t>
            </w:r>
          </w:p>
        </w:tc>
      </w:tr>
      <w:tr w:rsidR="005E20ED" w:rsidRPr="006534F5" w14:paraId="40B20246" w14:textId="77777777" w:rsidTr="004D302A">
        <w:tc>
          <w:tcPr>
            <w:tcW w:w="2573"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129C768B" w14:textId="77777777" w:rsidR="005E20ED" w:rsidRPr="00BD7AD5" w:rsidRDefault="005E20ED" w:rsidP="009556C5">
            <w:pPr>
              <w:pStyle w:val="TableSecondHeading"/>
              <w:rPr>
                <w:b/>
                <w:bCs/>
              </w:rPr>
            </w:pPr>
            <w:r w:rsidRPr="00BD7AD5">
              <w:rPr>
                <w:b/>
                <w:bCs/>
              </w:rPr>
              <w:t>Structured Finance Support Fund (SFSF)</w:t>
            </w:r>
          </w:p>
        </w:tc>
        <w:tc>
          <w:tcPr>
            <w:tcW w:w="731"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177C6646" w14:textId="77777777" w:rsidR="005E20ED" w:rsidRPr="00AE665D" w:rsidRDefault="005E20ED" w:rsidP="00C86F4A">
            <w:pPr>
              <w:pStyle w:val="TableTextRight"/>
            </w:pPr>
          </w:p>
        </w:tc>
        <w:tc>
          <w:tcPr>
            <w:tcW w:w="89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1A6C529D" w14:textId="77777777" w:rsidR="005E20ED" w:rsidRPr="00AE665D" w:rsidRDefault="005E20ED" w:rsidP="00C86F4A">
            <w:pPr>
              <w:pStyle w:val="TableTextRight"/>
            </w:pPr>
          </w:p>
        </w:tc>
        <w:tc>
          <w:tcPr>
            <w:tcW w:w="803"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48AA19F1" w14:textId="77777777" w:rsidR="005E20ED" w:rsidRPr="00AE665D" w:rsidRDefault="005E20ED" w:rsidP="00C86F4A">
            <w:pPr>
              <w:pStyle w:val="TableTextRight"/>
            </w:pPr>
          </w:p>
        </w:tc>
      </w:tr>
      <w:tr w:rsidR="005E20ED" w:rsidRPr="006534F5" w14:paraId="25559537" w14:textId="77777777" w:rsidTr="004D302A">
        <w:tc>
          <w:tcPr>
            <w:tcW w:w="2573" w:type="pct"/>
            <w:shd w:val="clear" w:color="auto" w:fill="F2F2F2" w:themeFill="background1" w:themeFillShade="F2"/>
            <w:noWrap/>
            <w:tcMar>
              <w:top w:w="57" w:type="dxa"/>
              <w:bottom w:w="57" w:type="dxa"/>
            </w:tcMar>
            <w:hideMark/>
          </w:tcPr>
          <w:p w14:paraId="080E1B76" w14:textId="77777777" w:rsidR="005E20ED" w:rsidRPr="00BE6E39" w:rsidRDefault="005E20ED" w:rsidP="00C86F4A">
            <w:pPr>
              <w:pStyle w:val="TableTextLeft"/>
              <w:rPr>
                <w:b/>
                <w:bCs/>
              </w:rPr>
            </w:pPr>
            <w:r w:rsidRPr="00BE6E39">
              <w:rPr>
                <w:b/>
                <w:bCs/>
              </w:rPr>
              <w:t>Sub</w:t>
            </w:r>
            <w:r w:rsidRPr="00BE6E39">
              <w:rPr>
                <w:b/>
                <w:bCs/>
              </w:rPr>
              <w:noBreakHyphen/>
              <w:t>total</w:t>
            </w:r>
          </w:p>
        </w:tc>
        <w:tc>
          <w:tcPr>
            <w:tcW w:w="731" w:type="pct"/>
            <w:shd w:val="clear" w:color="auto" w:fill="F2F2F2" w:themeFill="background1" w:themeFillShade="F2"/>
            <w:noWrap/>
            <w:tcMar>
              <w:top w:w="57" w:type="dxa"/>
              <w:bottom w:w="57" w:type="dxa"/>
            </w:tcMar>
          </w:tcPr>
          <w:p w14:paraId="20404427" w14:textId="77777777" w:rsidR="005E20ED" w:rsidRPr="00AE665D" w:rsidRDefault="005E20ED" w:rsidP="00C86F4A">
            <w:pPr>
              <w:pStyle w:val="TableTextRight"/>
              <w:rPr>
                <w:rStyle w:val="Strong"/>
              </w:rPr>
            </w:pPr>
            <w:r>
              <w:rPr>
                <w:rStyle w:val="Strong"/>
              </w:rPr>
              <w:noBreakHyphen/>
            </w:r>
          </w:p>
        </w:tc>
        <w:tc>
          <w:tcPr>
            <w:tcW w:w="893" w:type="pct"/>
            <w:shd w:val="clear" w:color="auto" w:fill="F2F2F2" w:themeFill="background1" w:themeFillShade="F2"/>
            <w:noWrap/>
            <w:tcMar>
              <w:top w:w="57" w:type="dxa"/>
              <w:bottom w:w="57" w:type="dxa"/>
            </w:tcMar>
          </w:tcPr>
          <w:p w14:paraId="5C834E2E" w14:textId="77777777" w:rsidR="005E20ED" w:rsidRPr="00AE665D" w:rsidRDefault="005E20ED" w:rsidP="00C86F4A">
            <w:pPr>
              <w:pStyle w:val="TableTextRight"/>
              <w:rPr>
                <w:rStyle w:val="Strong"/>
              </w:rPr>
            </w:pPr>
            <w:r>
              <w:rPr>
                <w:rStyle w:val="Strong"/>
              </w:rPr>
              <w:noBreakHyphen/>
            </w:r>
          </w:p>
        </w:tc>
        <w:tc>
          <w:tcPr>
            <w:tcW w:w="803" w:type="pct"/>
            <w:shd w:val="clear" w:color="auto" w:fill="F2F2F2" w:themeFill="background1" w:themeFillShade="F2"/>
            <w:noWrap/>
            <w:tcMar>
              <w:top w:w="57" w:type="dxa"/>
              <w:bottom w:w="57" w:type="dxa"/>
            </w:tcMar>
          </w:tcPr>
          <w:p w14:paraId="345B1586" w14:textId="77777777" w:rsidR="005E20ED" w:rsidRPr="00AE665D" w:rsidRDefault="005E20ED" w:rsidP="00C86F4A">
            <w:pPr>
              <w:pStyle w:val="TableTextRight"/>
              <w:rPr>
                <w:rStyle w:val="Strong"/>
              </w:rPr>
            </w:pPr>
            <w:r>
              <w:rPr>
                <w:rStyle w:val="Strong"/>
              </w:rPr>
              <w:noBreakHyphen/>
            </w:r>
          </w:p>
        </w:tc>
      </w:tr>
      <w:tr w:rsidR="005E20ED" w:rsidRPr="006534F5" w14:paraId="12B95C07" w14:textId="77777777" w:rsidTr="004D302A">
        <w:tc>
          <w:tcPr>
            <w:tcW w:w="2573" w:type="pct"/>
            <w:shd w:val="clear" w:color="auto" w:fill="F2F2F2" w:themeFill="background1" w:themeFillShade="F2"/>
            <w:noWrap/>
            <w:tcMar>
              <w:top w:w="57" w:type="dxa"/>
              <w:bottom w:w="57" w:type="dxa"/>
            </w:tcMar>
            <w:hideMark/>
          </w:tcPr>
          <w:p w14:paraId="5F4A2928" w14:textId="77777777" w:rsidR="005E20ED" w:rsidRPr="00BE6E39" w:rsidRDefault="005E20ED" w:rsidP="00C86F4A">
            <w:pPr>
              <w:pStyle w:val="TableTextLeft"/>
              <w:rPr>
                <w:b/>
                <w:bCs/>
              </w:rPr>
            </w:pPr>
            <w:r w:rsidRPr="00BE6E39">
              <w:rPr>
                <w:b/>
                <w:bCs/>
              </w:rPr>
              <w:t>Total</w:t>
            </w:r>
          </w:p>
        </w:tc>
        <w:tc>
          <w:tcPr>
            <w:tcW w:w="731" w:type="pct"/>
            <w:shd w:val="clear" w:color="auto" w:fill="F2F2F2" w:themeFill="background1" w:themeFillShade="F2"/>
            <w:noWrap/>
            <w:tcMar>
              <w:top w:w="57" w:type="dxa"/>
              <w:bottom w:w="57" w:type="dxa"/>
            </w:tcMar>
          </w:tcPr>
          <w:p w14:paraId="3B19DCFE" w14:textId="77777777" w:rsidR="005E20ED" w:rsidRPr="00DC0BEE" w:rsidRDefault="005E20ED" w:rsidP="00C86F4A">
            <w:pPr>
              <w:pStyle w:val="TableTextRight"/>
              <w:rPr>
                <w:b/>
                <w:bCs/>
              </w:rPr>
            </w:pPr>
            <w:r w:rsidRPr="00DC0BEE">
              <w:rPr>
                <w:b/>
                <w:bCs/>
              </w:rPr>
              <w:t>219</w:t>
            </w:r>
          </w:p>
        </w:tc>
        <w:tc>
          <w:tcPr>
            <w:tcW w:w="893" w:type="pct"/>
            <w:shd w:val="clear" w:color="auto" w:fill="F2F2F2" w:themeFill="background1" w:themeFillShade="F2"/>
            <w:noWrap/>
            <w:tcMar>
              <w:top w:w="57" w:type="dxa"/>
              <w:bottom w:w="57" w:type="dxa"/>
            </w:tcMar>
          </w:tcPr>
          <w:p w14:paraId="6A3FC09B" w14:textId="77777777" w:rsidR="005E20ED" w:rsidRPr="00DC0BEE" w:rsidRDefault="005E20ED" w:rsidP="00C86F4A">
            <w:pPr>
              <w:pStyle w:val="TableTextRight"/>
              <w:rPr>
                <w:b/>
                <w:bCs/>
              </w:rPr>
            </w:pPr>
            <w:r w:rsidRPr="00DC0BEE">
              <w:rPr>
                <w:b/>
                <w:bCs/>
              </w:rPr>
              <w:t>174</w:t>
            </w:r>
          </w:p>
        </w:tc>
        <w:tc>
          <w:tcPr>
            <w:tcW w:w="803" w:type="pct"/>
            <w:shd w:val="clear" w:color="auto" w:fill="F2F2F2" w:themeFill="background1" w:themeFillShade="F2"/>
            <w:noWrap/>
            <w:tcMar>
              <w:top w:w="57" w:type="dxa"/>
              <w:bottom w:w="57" w:type="dxa"/>
            </w:tcMar>
          </w:tcPr>
          <w:p w14:paraId="2ACCED53" w14:textId="77777777" w:rsidR="005E20ED" w:rsidRPr="00DC0BEE" w:rsidRDefault="005E20ED" w:rsidP="00C86F4A">
            <w:pPr>
              <w:pStyle w:val="TableTextRight"/>
              <w:rPr>
                <w:b/>
                <w:bCs/>
              </w:rPr>
            </w:pPr>
            <w:r w:rsidRPr="00DC0BEE">
              <w:rPr>
                <w:b/>
                <w:bCs/>
              </w:rPr>
              <w:t>393</w:t>
            </w:r>
          </w:p>
        </w:tc>
      </w:tr>
    </w:tbl>
    <w:p w14:paraId="6C0C27F8" w14:textId="77777777" w:rsidR="005E20ED" w:rsidRDefault="005E20ED" w:rsidP="005E20ED"/>
    <w:p w14:paraId="35536AED" w14:textId="77777777" w:rsidR="00BD7AD5" w:rsidRDefault="00BD7AD5">
      <w:pPr>
        <w:spacing w:after="0" w:line="240" w:lineRule="auto"/>
        <w:rPr>
          <w:b/>
          <w:lang w:eastAsia="en-AU"/>
        </w:rPr>
      </w:pPr>
      <w:r>
        <w:br w:type="page"/>
      </w:r>
    </w:p>
    <w:p w14:paraId="29665479" w14:textId="42544121" w:rsidR="005E20ED" w:rsidRPr="005006A1" w:rsidRDefault="005E20ED" w:rsidP="005E20ED">
      <w:pPr>
        <w:pStyle w:val="TableMainHeading"/>
      </w:pPr>
      <w:r w:rsidRPr="005006A1">
        <w:lastRenderedPageBreak/>
        <w:t xml:space="preserve">Credit exposure to structured (securitisation) finance facilities as </w:t>
      </w:r>
      <w:proofErr w:type="gramStart"/>
      <w:r w:rsidRPr="005006A1">
        <w:t>at</w:t>
      </w:r>
      <w:proofErr w:type="gramEnd"/>
      <w:r w:rsidRPr="005006A1">
        <w:t xml:space="preserve"> 30 June 2024 </w:t>
      </w:r>
    </w:p>
    <w:tbl>
      <w:tblPr>
        <w:tblStyle w:val="AOFMTablemain"/>
        <w:tblW w:w="5004" w:type="pct"/>
        <w:tblLayout w:type="fixed"/>
        <w:tblLook w:val="06A0" w:firstRow="1" w:lastRow="0" w:firstColumn="1" w:lastColumn="0" w:noHBand="1" w:noVBand="1"/>
      </w:tblPr>
      <w:tblGrid>
        <w:gridCol w:w="3970"/>
        <w:gridCol w:w="1130"/>
        <w:gridCol w:w="1381"/>
        <w:gridCol w:w="1236"/>
      </w:tblGrid>
      <w:tr w:rsidR="006C235E" w:rsidRPr="006534F5" w14:paraId="00FFDC66" w14:textId="77777777" w:rsidTr="004D302A">
        <w:trPr>
          <w:cnfStyle w:val="100000000000" w:firstRow="1" w:lastRow="0" w:firstColumn="0" w:lastColumn="0" w:oddVBand="0" w:evenVBand="0" w:oddHBand="0" w:evenHBand="0" w:firstRowFirstColumn="0" w:firstRowLastColumn="0" w:lastRowFirstColumn="0" w:lastRowLastColumn="0"/>
        </w:trPr>
        <w:tc>
          <w:tcPr>
            <w:tcW w:w="2572" w:type="pct"/>
            <w:tcBorders>
              <w:bottom w:val="single" w:sz="4" w:space="0" w:color="29114B" w:themeColor="text2"/>
            </w:tcBorders>
            <w:noWrap/>
            <w:vAlign w:val="bottom"/>
            <w:hideMark/>
          </w:tcPr>
          <w:p w14:paraId="55C377B4" w14:textId="77777777" w:rsidR="005E20ED" w:rsidRPr="00293455" w:rsidRDefault="005E20ED" w:rsidP="009556C5">
            <w:pPr>
              <w:pStyle w:val="TableColumnHeadingLeft"/>
            </w:pPr>
            <w:r w:rsidRPr="00293455">
              <w:t>Exposure by fund</w:t>
            </w:r>
          </w:p>
        </w:tc>
        <w:tc>
          <w:tcPr>
            <w:tcW w:w="732" w:type="pct"/>
            <w:tcBorders>
              <w:bottom w:val="single" w:sz="4" w:space="0" w:color="29114B" w:themeColor="text2"/>
            </w:tcBorders>
            <w:vAlign w:val="bottom"/>
            <w:hideMark/>
          </w:tcPr>
          <w:p w14:paraId="46D414C0" w14:textId="77777777" w:rsidR="005E20ED" w:rsidRPr="00293455" w:rsidRDefault="005E20ED" w:rsidP="009556C5">
            <w:pPr>
              <w:pStyle w:val="TableColumnHeadingRight"/>
              <w:jc w:val="left"/>
            </w:pPr>
            <w:r w:rsidRPr="00EF25A3">
              <w:t xml:space="preserve">Current </w:t>
            </w:r>
            <w:r w:rsidRPr="00EF25A3">
              <w:br/>
              <w:t>exposure</w:t>
            </w:r>
            <w:r>
              <w:t xml:space="preserve"> ($million)</w:t>
            </w:r>
          </w:p>
        </w:tc>
        <w:tc>
          <w:tcPr>
            <w:tcW w:w="895" w:type="pct"/>
            <w:tcBorders>
              <w:bottom w:val="single" w:sz="4" w:space="0" w:color="29114B" w:themeColor="text2"/>
            </w:tcBorders>
            <w:vAlign w:val="bottom"/>
            <w:hideMark/>
          </w:tcPr>
          <w:p w14:paraId="512CD3DA" w14:textId="77777777" w:rsidR="005E20ED" w:rsidRPr="00293455" w:rsidRDefault="005E20ED" w:rsidP="004D302A">
            <w:pPr>
              <w:pStyle w:val="TableColumnHeadingRight"/>
            </w:pPr>
            <w:r w:rsidRPr="00EF25A3">
              <w:t xml:space="preserve">Undrawn </w:t>
            </w:r>
            <w:r w:rsidRPr="00EF25A3">
              <w:br/>
            </w:r>
            <w:r w:rsidRPr="004D302A">
              <w:t>commitments</w:t>
            </w:r>
            <w:r>
              <w:t xml:space="preserve"> ($million)</w:t>
            </w:r>
          </w:p>
        </w:tc>
        <w:tc>
          <w:tcPr>
            <w:tcW w:w="802" w:type="pct"/>
            <w:tcBorders>
              <w:bottom w:val="single" w:sz="4" w:space="0" w:color="29114B" w:themeColor="text2"/>
            </w:tcBorders>
            <w:hideMark/>
          </w:tcPr>
          <w:p w14:paraId="3FC844B0" w14:textId="77777777" w:rsidR="005E20ED" w:rsidRPr="00293455" w:rsidRDefault="005E20ED" w:rsidP="00C86F4A">
            <w:pPr>
              <w:pStyle w:val="TableColumnHeadingRight"/>
            </w:pPr>
            <w:r w:rsidRPr="00EF25A3">
              <w:t xml:space="preserve">Total credit </w:t>
            </w:r>
            <w:r w:rsidRPr="00EF25A3">
              <w:br/>
              <w:t>committed</w:t>
            </w:r>
            <w:r>
              <w:t xml:space="preserve"> ($million)</w:t>
            </w:r>
          </w:p>
        </w:tc>
      </w:tr>
      <w:tr w:rsidR="005E20ED" w:rsidRPr="006534F5" w14:paraId="092394DE" w14:textId="77777777" w:rsidTr="004D302A">
        <w:tc>
          <w:tcPr>
            <w:tcW w:w="2572"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72B6DAF7" w14:textId="77777777" w:rsidR="005E20ED" w:rsidRPr="00BD7AD5" w:rsidRDefault="005E20ED" w:rsidP="009556C5">
            <w:pPr>
              <w:pStyle w:val="TableSecondHeading"/>
              <w:rPr>
                <w:b/>
                <w:bCs/>
              </w:rPr>
            </w:pPr>
            <w:r w:rsidRPr="00BD7AD5">
              <w:rPr>
                <w:b/>
                <w:bCs/>
              </w:rPr>
              <w:t>Australian Business Securitisation Fund (ABSF)</w:t>
            </w:r>
          </w:p>
        </w:tc>
        <w:tc>
          <w:tcPr>
            <w:tcW w:w="73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hideMark/>
          </w:tcPr>
          <w:p w14:paraId="6BFB327C" w14:textId="77777777" w:rsidR="005E20ED" w:rsidRPr="00BD7AD5" w:rsidRDefault="005E20ED" w:rsidP="00C86F4A">
            <w:pPr>
              <w:pStyle w:val="TableTextRight"/>
              <w:rPr>
                <w:rStyle w:val="Strong"/>
              </w:rPr>
            </w:pPr>
            <w:r w:rsidRPr="00BD7AD5">
              <w:rPr>
                <w:rStyle w:val="Strong"/>
              </w:rPr>
              <w:t> </w:t>
            </w:r>
          </w:p>
        </w:tc>
        <w:tc>
          <w:tcPr>
            <w:tcW w:w="895"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hideMark/>
          </w:tcPr>
          <w:p w14:paraId="1ECCB510" w14:textId="77777777" w:rsidR="005E20ED" w:rsidRPr="00BD7AD5" w:rsidRDefault="005E20ED" w:rsidP="00C86F4A">
            <w:pPr>
              <w:pStyle w:val="TableTextRight"/>
              <w:rPr>
                <w:rStyle w:val="Strong"/>
              </w:rPr>
            </w:pPr>
            <w:r w:rsidRPr="00BD7AD5">
              <w:rPr>
                <w:rStyle w:val="Strong"/>
              </w:rPr>
              <w:t> </w:t>
            </w:r>
          </w:p>
        </w:tc>
        <w:tc>
          <w:tcPr>
            <w:tcW w:w="802"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2E4ADD96" w14:textId="77777777" w:rsidR="005E20ED" w:rsidRPr="00BD7AD5" w:rsidRDefault="005E20ED" w:rsidP="00C86F4A">
            <w:pPr>
              <w:pStyle w:val="TableTextRight"/>
              <w:rPr>
                <w:rStyle w:val="Strong"/>
              </w:rPr>
            </w:pPr>
            <w:r w:rsidRPr="00BD7AD5">
              <w:rPr>
                <w:rStyle w:val="Strong"/>
              </w:rPr>
              <w:t> </w:t>
            </w:r>
          </w:p>
        </w:tc>
      </w:tr>
      <w:tr w:rsidR="005E20ED" w:rsidRPr="004C4A3D" w14:paraId="0A818046" w14:textId="77777777" w:rsidTr="004D302A">
        <w:tc>
          <w:tcPr>
            <w:tcW w:w="2572" w:type="pct"/>
            <w:shd w:val="clear" w:color="auto" w:fill="F2F2F2" w:themeFill="background1" w:themeFillShade="F2"/>
            <w:noWrap/>
            <w:hideMark/>
          </w:tcPr>
          <w:p w14:paraId="3512C62A" w14:textId="77777777" w:rsidR="005E20ED" w:rsidRPr="00AE665D" w:rsidRDefault="005E20ED" w:rsidP="00C86F4A">
            <w:pPr>
              <w:pStyle w:val="TableTextLeft"/>
            </w:pPr>
            <w:r w:rsidRPr="00AE665D">
              <w:t>Public term transactions (a)</w:t>
            </w:r>
          </w:p>
        </w:tc>
        <w:tc>
          <w:tcPr>
            <w:tcW w:w="732" w:type="pct"/>
            <w:shd w:val="clear" w:color="auto" w:fill="F2F2F2" w:themeFill="background1" w:themeFillShade="F2"/>
            <w:noWrap/>
          </w:tcPr>
          <w:p w14:paraId="2C4917F8" w14:textId="77777777" w:rsidR="005E20ED" w:rsidRPr="00AE665D" w:rsidRDefault="005E20ED" w:rsidP="00C86F4A">
            <w:pPr>
              <w:pStyle w:val="TableTextRight"/>
            </w:pPr>
            <w:r>
              <w:t>48</w:t>
            </w:r>
          </w:p>
        </w:tc>
        <w:tc>
          <w:tcPr>
            <w:tcW w:w="895" w:type="pct"/>
            <w:shd w:val="clear" w:color="auto" w:fill="F2F2F2" w:themeFill="background1" w:themeFillShade="F2"/>
            <w:noWrap/>
          </w:tcPr>
          <w:p w14:paraId="0B294F5A" w14:textId="77777777" w:rsidR="005E20ED" w:rsidRPr="00AE665D" w:rsidRDefault="005E20ED" w:rsidP="00C86F4A">
            <w:pPr>
              <w:pStyle w:val="TableTextRight"/>
            </w:pPr>
            <w:r>
              <w:noBreakHyphen/>
            </w:r>
          </w:p>
        </w:tc>
        <w:tc>
          <w:tcPr>
            <w:tcW w:w="802" w:type="pct"/>
            <w:shd w:val="clear" w:color="auto" w:fill="F2F2F2" w:themeFill="background1" w:themeFillShade="F2"/>
            <w:noWrap/>
          </w:tcPr>
          <w:p w14:paraId="4AD5E365" w14:textId="77777777" w:rsidR="005E20ED" w:rsidRPr="00AE665D" w:rsidRDefault="005E20ED" w:rsidP="00C86F4A">
            <w:pPr>
              <w:pStyle w:val="TableTextRight"/>
            </w:pPr>
            <w:r>
              <w:t>48</w:t>
            </w:r>
          </w:p>
        </w:tc>
      </w:tr>
      <w:tr w:rsidR="005E20ED" w:rsidRPr="004C4A3D" w14:paraId="4A643815" w14:textId="77777777" w:rsidTr="004D302A">
        <w:tc>
          <w:tcPr>
            <w:tcW w:w="2572" w:type="pct"/>
            <w:shd w:val="clear" w:color="auto" w:fill="F2F2F2" w:themeFill="background1" w:themeFillShade="F2"/>
            <w:noWrap/>
            <w:hideMark/>
          </w:tcPr>
          <w:p w14:paraId="2522A418" w14:textId="77777777" w:rsidR="005E20ED" w:rsidRPr="00AE665D" w:rsidRDefault="005E20ED" w:rsidP="00C86F4A">
            <w:pPr>
              <w:pStyle w:val="TableTextLeft"/>
            </w:pPr>
            <w:r w:rsidRPr="00AE665D">
              <w:t>Private warehouse transactions (b)</w:t>
            </w:r>
          </w:p>
        </w:tc>
        <w:tc>
          <w:tcPr>
            <w:tcW w:w="732" w:type="pct"/>
            <w:shd w:val="clear" w:color="auto" w:fill="F2F2F2" w:themeFill="background1" w:themeFillShade="F2"/>
            <w:noWrap/>
          </w:tcPr>
          <w:p w14:paraId="3CFDFC11" w14:textId="77777777" w:rsidR="005E20ED" w:rsidRPr="00AE665D" w:rsidRDefault="005E20ED" w:rsidP="00C86F4A">
            <w:pPr>
              <w:pStyle w:val="TableTextRight"/>
            </w:pPr>
            <w:r>
              <w:t>113</w:t>
            </w:r>
          </w:p>
        </w:tc>
        <w:tc>
          <w:tcPr>
            <w:tcW w:w="895" w:type="pct"/>
            <w:shd w:val="clear" w:color="auto" w:fill="F2F2F2" w:themeFill="background1" w:themeFillShade="F2"/>
            <w:noWrap/>
          </w:tcPr>
          <w:p w14:paraId="76BBFFB9" w14:textId="77777777" w:rsidR="005E20ED" w:rsidRPr="00AE665D" w:rsidRDefault="005E20ED" w:rsidP="00C86F4A">
            <w:pPr>
              <w:pStyle w:val="TableTextRight"/>
            </w:pPr>
            <w:r>
              <w:t>295</w:t>
            </w:r>
          </w:p>
        </w:tc>
        <w:tc>
          <w:tcPr>
            <w:tcW w:w="802" w:type="pct"/>
            <w:shd w:val="clear" w:color="auto" w:fill="F2F2F2" w:themeFill="background1" w:themeFillShade="F2"/>
            <w:noWrap/>
          </w:tcPr>
          <w:p w14:paraId="254E5D76" w14:textId="77777777" w:rsidR="005E20ED" w:rsidRPr="00AE665D" w:rsidRDefault="005E20ED" w:rsidP="00C86F4A">
            <w:pPr>
              <w:pStyle w:val="TableTextRight"/>
            </w:pPr>
            <w:r>
              <w:t>408</w:t>
            </w:r>
          </w:p>
        </w:tc>
      </w:tr>
      <w:tr w:rsidR="005E20ED" w:rsidRPr="004C4A3D" w14:paraId="311A7BBD" w14:textId="77777777" w:rsidTr="004D302A">
        <w:tc>
          <w:tcPr>
            <w:tcW w:w="2572" w:type="pct"/>
            <w:tcBorders>
              <w:bottom w:val="single" w:sz="4" w:space="0" w:color="29114B" w:themeColor="text2"/>
            </w:tcBorders>
            <w:shd w:val="clear" w:color="auto" w:fill="F2F2F2" w:themeFill="background1" w:themeFillShade="F2"/>
            <w:noWrap/>
            <w:hideMark/>
          </w:tcPr>
          <w:p w14:paraId="01C84AA9" w14:textId="77777777" w:rsidR="005E20ED" w:rsidRPr="00ED6BCD" w:rsidRDefault="005E20ED" w:rsidP="00C86F4A">
            <w:pPr>
              <w:pStyle w:val="TableTextLeft"/>
              <w:rPr>
                <w:b/>
                <w:bCs/>
              </w:rPr>
            </w:pPr>
            <w:r w:rsidRPr="00ED6BCD">
              <w:rPr>
                <w:b/>
                <w:bCs/>
              </w:rPr>
              <w:t>Sub</w:t>
            </w:r>
            <w:r w:rsidRPr="00ED6BCD">
              <w:rPr>
                <w:b/>
                <w:bCs/>
              </w:rPr>
              <w:noBreakHyphen/>
              <w:t>total</w:t>
            </w:r>
          </w:p>
        </w:tc>
        <w:tc>
          <w:tcPr>
            <w:tcW w:w="732" w:type="pct"/>
            <w:tcBorders>
              <w:bottom w:val="single" w:sz="4" w:space="0" w:color="29114B" w:themeColor="text2"/>
            </w:tcBorders>
            <w:shd w:val="clear" w:color="auto" w:fill="F2F2F2" w:themeFill="background1" w:themeFillShade="F2"/>
            <w:noWrap/>
          </w:tcPr>
          <w:p w14:paraId="7BE4DE61" w14:textId="77777777" w:rsidR="005E20ED" w:rsidRPr="00ED6BCD" w:rsidRDefault="005E20ED" w:rsidP="00C86F4A">
            <w:pPr>
              <w:pStyle w:val="TableTextRight"/>
              <w:rPr>
                <w:b/>
                <w:bCs/>
              </w:rPr>
            </w:pPr>
            <w:r w:rsidRPr="00ED6BCD">
              <w:rPr>
                <w:b/>
                <w:bCs/>
              </w:rPr>
              <w:t>161</w:t>
            </w:r>
          </w:p>
        </w:tc>
        <w:tc>
          <w:tcPr>
            <w:tcW w:w="895" w:type="pct"/>
            <w:tcBorders>
              <w:bottom w:val="single" w:sz="4" w:space="0" w:color="29114B" w:themeColor="text2"/>
            </w:tcBorders>
            <w:shd w:val="clear" w:color="auto" w:fill="F2F2F2" w:themeFill="background1" w:themeFillShade="F2"/>
            <w:noWrap/>
          </w:tcPr>
          <w:p w14:paraId="163416CB" w14:textId="77777777" w:rsidR="005E20ED" w:rsidRPr="00ED6BCD" w:rsidRDefault="005E20ED" w:rsidP="00C86F4A">
            <w:pPr>
              <w:pStyle w:val="TableTextRight"/>
              <w:rPr>
                <w:b/>
                <w:bCs/>
              </w:rPr>
            </w:pPr>
            <w:r w:rsidRPr="00ED6BCD">
              <w:rPr>
                <w:b/>
                <w:bCs/>
              </w:rPr>
              <w:t>295</w:t>
            </w:r>
          </w:p>
        </w:tc>
        <w:tc>
          <w:tcPr>
            <w:tcW w:w="802" w:type="pct"/>
            <w:tcBorders>
              <w:bottom w:val="single" w:sz="4" w:space="0" w:color="29114B" w:themeColor="text2"/>
            </w:tcBorders>
            <w:shd w:val="clear" w:color="auto" w:fill="F2F2F2" w:themeFill="background1" w:themeFillShade="F2"/>
            <w:noWrap/>
          </w:tcPr>
          <w:p w14:paraId="675B3559" w14:textId="77777777" w:rsidR="005E20ED" w:rsidRPr="00ED6BCD" w:rsidRDefault="005E20ED" w:rsidP="00C86F4A">
            <w:pPr>
              <w:pStyle w:val="TableTextRight"/>
              <w:rPr>
                <w:b/>
                <w:bCs/>
              </w:rPr>
            </w:pPr>
            <w:r w:rsidRPr="00ED6BCD">
              <w:rPr>
                <w:b/>
                <w:bCs/>
              </w:rPr>
              <w:t>456</w:t>
            </w:r>
          </w:p>
        </w:tc>
      </w:tr>
      <w:tr w:rsidR="005E20ED" w:rsidRPr="006534F5" w14:paraId="3630C46B" w14:textId="77777777" w:rsidTr="004D302A">
        <w:tc>
          <w:tcPr>
            <w:tcW w:w="2572"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6009C46B" w14:textId="77777777" w:rsidR="005E20ED" w:rsidRPr="00BD7AD5" w:rsidRDefault="005E20ED" w:rsidP="009556C5">
            <w:pPr>
              <w:pStyle w:val="TableSecondHeading"/>
              <w:rPr>
                <w:b/>
                <w:bCs/>
              </w:rPr>
            </w:pPr>
            <w:r w:rsidRPr="00BD7AD5">
              <w:rPr>
                <w:b/>
                <w:bCs/>
              </w:rPr>
              <w:t>Structured Finance Support Fund (SFSF)</w:t>
            </w:r>
          </w:p>
        </w:tc>
        <w:tc>
          <w:tcPr>
            <w:tcW w:w="73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71C13700" w14:textId="77777777" w:rsidR="005E20ED" w:rsidRPr="00BD7AD5" w:rsidRDefault="005E20ED" w:rsidP="00C86F4A">
            <w:pPr>
              <w:pStyle w:val="TableTextRight"/>
              <w:rPr>
                <w:rStyle w:val="Strong"/>
              </w:rPr>
            </w:pPr>
          </w:p>
        </w:tc>
        <w:tc>
          <w:tcPr>
            <w:tcW w:w="895"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1C67FE0D" w14:textId="77777777" w:rsidR="005E20ED" w:rsidRPr="00BD7AD5" w:rsidRDefault="005E20ED" w:rsidP="00C86F4A">
            <w:pPr>
              <w:pStyle w:val="TableTextRight"/>
              <w:rPr>
                <w:rStyle w:val="Strong"/>
              </w:rPr>
            </w:pPr>
          </w:p>
        </w:tc>
        <w:tc>
          <w:tcPr>
            <w:tcW w:w="802" w:type="pct"/>
            <w:tcBorders>
              <w:top w:val="single" w:sz="4" w:space="0" w:color="29114B" w:themeColor="text2"/>
              <w:left w:val="single" w:sz="4" w:space="0" w:color="F2F2F2" w:themeColor="background1" w:themeShade="F2"/>
            </w:tcBorders>
            <w:shd w:val="clear" w:color="auto" w:fill="F2F2F2" w:themeFill="background1" w:themeFillShade="F2"/>
            <w:noWrap/>
          </w:tcPr>
          <w:p w14:paraId="5C8A06B9" w14:textId="77777777" w:rsidR="005E20ED" w:rsidRPr="00BD7AD5" w:rsidRDefault="005E20ED" w:rsidP="00C86F4A">
            <w:pPr>
              <w:pStyle w:val="TableTextRight"/>
              <w:rPr>
                <w:b/>
                <w:bCs/>
              </w:rPr>
            </w:pPr>
          </w:p>
        </w:tc>
      </w:tr>
      <w:tr w:rsidR="005E20ED" w:rsidRPr="006534F5" w14:paraId="52653FE7" w14:textId="77777777" w:rsidTr="004D302A">
        <w:tc>
          <w:tcPr>
            <w:tcW w:w="2572" w:type="pct"/>
            <w:shd w:val="clear" w:color="auto" w:fill="F2F2F2" w:themeFill="background1" w:themeFillShade="F2"/>
            <w:noWrap/>
            <w:hideMark/>
          </w:tcPr>
          <w:p w14:paraId="07EC1537" w14:textId="77777777" w:rsidR="005E20ED" w:rsidRPr="00AE665D" w:rsidRDefault="005E20ED" w:rsidP="00C86F4A">
            <w:pPr>
              <w:pStyle w:val="TableTextLeft"/>
            </w:pPr>
            <w:r w:rsidRPr="00AE665D">
              <w:t>Public term transactions (a)</w:t>
            </w:r>
          </w:p>
        </w:tc>
        <w:tc>
          <w:tcPr>
            <w:tcW w:w="732" w:type="pct"/>
            <w:shd w:val="clear" w:color="auto" w:fill="F2F2F2" w:themeFill="background1" w:themeFillShade="F2"/>
            <w:noWrap/>
          </w:tcPr>
          <w:p w14:paraId="06F69861" w14:textId="77777777" w:rsidR="005E20ED" w:rsidRPr="00AE665D" w:rsidRDefault="005E20ED" w:rsidP="00C86F4A">
            <w:pPr>
              <w:pStyle w:val="TableTextRight"/>
            </w:pPr>
            <w:r>
              <w:t>104</w:t>
            </w:r>
          </w:p>
        </w:tc>
        <w:tc>
          <w:tcPr>
            <w:tcW w:w="895" w:type="pct"/>
            <w:shd w:val="clear" w:color="auto" w:fill="F2F2F2" w:themeFill="background1" w:themeFillShade="F2"/>
            <w:noWrap/>
          </w:tcPr>
          <w:p w14:paraId="3D4079F6" w14:textId="77777777" w:rsidR="005E20ED" w:rsidRPr="00AE665D" w:rsidRDefault="005E20ED" w:rsidP="00C86F4A">
            <w:pPr>
              <w:pStyle w:val="TableTextRight"/>
            </w:pPr>
            <w:r>
              <w:noBreakHyphen/>
            </w:r>
          </w:p>
        </w:tc>
        <w:tc>
          <w:tcPr>
            <w:tcW w:w="802" w:type="pct"/>
            <w:shd w:val="clear" w:color="auto" w:fill="F2F2F2" w:themeFill="background1" w:themeFillShade="F2"/>
            <w:noWrap/>
          </w:tcPr>
          <w:p w14:paraId="6D939919" w14:textId="77777777" w:rsidR="005E20ED" w:rsidRPr="00AE665D" w:rsidRDefault="005E20ED" w:rsidP="00C86F4A">
            <w:pPr>
              <w:pStyle w:val="TableTextRight"/>
            </w:pPr>
            <w:r>
              <w:t>104</w:t>
            </w:r>
          </w:p>
        </w:tc>
      </w:tr>
      <w:tr w:rsidR="005E20ED" w:rsidRPr="006534F5" w14:paraId="7BAB3959" w14:textId="77777777" w:rsidTr="004D302A">
        <w:tc>
          <w:tcPr>
            <w:tcW w:w="2572" w:type="pct"/>
            <w:shd w:val="clear" w:color="auto" w:fill="F2F2F2" w:themeFill="background1" w:themeFillShade="F2"/>
            <w:noWrap/>
            <w:hideMark/>
          </w:tcPr>
          <w:p w14:paraId="11516972" w14:textId="77777777" w:rsidR="005E20ED" w:rsidRPr="00AE665D" w:rsidRDefault="005E20ED" w:rsidP="00C86F4A">
            <w:pPr>
              <w:pStyle w:val="TableTextLeft"/>
            </w:pPr>
            <w:r w:rsidRPr="00AE665D">
              <w:t>Private warehouse transactions (b)</w:t>
            </w:r>
          </w:p>
        </w:tc>
        <w:tc>
          <w:tcPr>
            <w:tcW w:w="732" w:type="pct"/>
            <w:shd w:val="clear" w:color="auto" w:fill="F2F2F2" w:themeFill="background1" w:themeFillShade="F2"/>
            <w:noWrap/>
          </w:tcPr>
          <w:p w14:paraId="7B46FCCC" w14:textId="77777777" w:rsidR="005E20ED" w:rsidRPr="00AE665D" w:rsidRDefault="005E20ED" w:rsidP="00C86F4A">
            <w:pPr>
              <w:pStyle w:val="TableTextRight"/>
            </w:pPr>
            <w:r>
              <w:t>50</w:t>
            </w:r>
          </w:p>
        </w:tc>
        <w:tc>
          <w:tcPr>
            <w:tcW w:w="895" w:type="pct"/>
            <w:shd w:val="clear" w:color="auto" w:fill="F2F2F2" w:themeFill="background1" w:themeFillShade="F2"/>
            <w:noWrap/>
          </w:tcPr>
          <w:p w14:paraId="6D5D1BC3" w14:textId="77777777" w:rsidR="005E20ED" w:rsidRPr="00AE665D" w:rsidRDefault="005E20ED" w:rsidP="00C86F4A">
            <w:pPr>
              <w:pStyle w:val="TableTextRight"/>
            </w:pPr>
            <w:r>
              <w:noBreakHyphen/>
            </w:r>
          </w:p>
        </w:tc>
        <w:tc>
          <w:tcPr>
            <w:tcW w:w="802" w:type="pct"/>
            <w:shd w:val="clear" w:color="auto" w:fill="F2F2F2" w:themeFill="background1" w:themeFillShade="F2"/>
            <w:noWrap/>
          </w:tcPr>
          <w:p w14:paraId="27FEF935" w14:textId="77777777" w:rsidR="005E20ED" w:rsidRPr="00AE665D" w:rsidRDefault="005E20ED" w:rsidP="00C86F4A">
            <w:pPr>
              <w:pStyle w:val="TableTextRight"/>
            </w:pPr>
            <w:r>
              <w:t>50</w:t>
            </w:r>
          </w:p>
        </w:tc>
      </w:tr>
      <w:tr w:rsidR="005E20ED" w:rsidRPr="006534F5" w14:paraId="409ACF89" w14:textId="77777777" w:rsidTr="004D302A">
        <w:tc>
          <w:tcPr>
            <w:tcW w:w="2572" w:type="pct"/>
            <w:shd w:val="clear" w:color="auto" w:fill="F2F2F2" w:themeFill="background1" w:themeFillShade="F2"/>
            <w:noWrap/>
            <w:hideMark/>
          </w:tcPr>
          <w:p w14:paraId="72C3F607" w14:textId="77777777" w:rsidR="005E20ED" w:rsidRPr="00AE665D" w:rsidRDefault="005E20ED" w:rsidP="00C86F4A">
            <w:pPr>
              <w:pStyle w:val="TableTextLeft"/>
            </w:pPr>
            <w:r w:rsidRPr="00AE665D">
              <w:t>Forbearance SPV</w:t>
            </w:r>
          </w:p>
        </w:tc>
        <w:tc>
          <w:tcPr>
            <w:tcW w:w="732" w:type="pct"/>
            <w:shd w:val="clear" w:color="auto" w:fill="F2F2F2" w:themeFill="background1" w:themeFillShade="F2"/>
            <w:noWrap/>
          </w:tcPr>
          <w:p w14:paraId="62C25D8E" w14:textId="77777777" w:rsidR="005E20ED" w:rsidRPr="00AE665D" w:rsidRDefault="005E20ED" w:rsidP="00C86F4A">
            <w:pPr>
              <w:pStyle w:val="TableTextRight"/>
            </w:pPr>
            <w:r>
              <w:t>8</w:t>
            </w:r>
          </w:p>
        </w:tc>
        <w:tc>
          <w:tcPr>
            <w:tcW w:w="895" w:type="pct"/>
            <w:shd w:val="clear" w:color="auto" w:fill="F2F2F2" w:themeFill="background1" w:themeFillShade="F2"/>
            <w:noWrap/>
          </w:tcPr>
          <w:p w14:paraId="558C09E5" w14:textId="77777777" w:rsidR="005E20ED" w:rsidRPr="00AE665D" w:rsidRDefault="005E20ED" w:rsidP="00C86F4A">
            <w:pPr>
              <w:pStyle w:val="TableTextRight"/>
            </w:pPr>
            <w:r>
              <w:noBreakHyphen/>
            </w:r>
          </w:p>
        </w:tc>
        <w:tc>
          <w:tcPr>
            <w:tcW w:w="802" w:type="pct"/>
            <w:shd w:val="clear" w:color="auto" w:fill="F2F2F2" w:themeFill="background1" w:themeFillShade="F2"/>
            <w:noWrap/>
          </w:tcPr>
          <w:p w14:paraId="786472F3" w14:textId="77777777" w:rsidR="005E20ED" w:rsidRPr="00AE665D" w:rsidRDefault="005E20ED" w:rsidP="00C86F4A">
            <w:pPr>
              <w:pStyle w:val="TableTextRight"/>
            </w:pPr>
            <w:r>
              <w:t>8</w:t>
            </w:r>
          </w:p>
        </w:tc>
      </w:tr>
      <w:tr w:rsidR="005E20ED" w:rsidRPr="006534F5" w14:paraId="639A966B" w14:textId="77777777" w:rsidTr="004D302A">
        <w:tc>
          <w:tcPr>
            <w:tcW w:w="2572" w:type="pct"/>
            <w:shd w:val="clear" w:color="auto" w:fill="F2F2F2" w:themeFill="background1" w:themeFillShade="F2"/>
            <w:noWrap/>
            <w:hideMark/>
          </w:tcPr>
          <w:p w14:paraId="0E188CF8" w14:textId="77777777" w:rsidR="005E20ED" w:rsidRPr="00ED6BCD" w:rsidRDefault="005E20ED" w:rsidP="00C86F4A">
            <w:pPr>
              <w:pStyle w:val="TableTextLeft"/>
              <w:rPr>
                <w:b/>
                <w:bCs/>
              </w:rPr>
            </w:pPr>
            <w:r w:rsidRPr="00ED6BCD">
              <w:rPr>
                <w:b/>
                <w:bCs/>
              </w:rPr>
              <w:t>Sub</w:t>
            </w:r>
            <w:r w:rsidRPr="00ED6BCD">
              <w:rPr>
                <w:b/>
                <w:bCs/>
              </w:rPr>
              <w:noBreakHyphen/>
              <w:t>total</w:t>
            </w:r>
          </w:p>
        </w:tc>
        <w:tc>
          <w:tcPr>
            <w:tcW w:w="732" w:type="pct"/>
            <w:shd w:val="clear" w:color="auto" w:fill="F2F2F2" w:themeFill="background1" w:themeFillShade="F2"/>
            <w:noWrap/>
          </w:tcPr>
          <w:p w14:paraId="5EE4C389" w14:textId="77777777" w:rsidR="005E20ED" w:rsidRPr="00ED6BCD" w:rsidRDefault="005E20ED" w:rsidP="00C86F4A">
            <w:pPr>
              <w:pStyle w:val="TableTextRight"/>
              <w:rPr>
                <w:b/>
                <w:bCs/>
              </w:rPr>
            </w:pPr>
            <w:r w:rsidRPr="00ED6BCD">
              <w:rPr>
                <w:b/>
                <w:bCs/>
              </w:rPr>
              <w:t>162</w:t>
            </w:r>
          </w:p>
        </w:tc>
        <w:tc>
          <w:tcPr>
            <w:tcW w:w="895" w:type="pct"/>
            <w:shd w:val="clear" w:color="auto" w:fill="F2F2F2" w:themeFill="background1" w:themeFillShade="F2"/>
            <w:noWrap/>
          </w:tcPr>
          <w:p w14:paraId="092E3684" w14:textId="77777777" w:rsidR="005E20ED" w:rsidRPr="00ED6BCD" w:rsidRDefault="005E20ED" w:rsidP="00C86F4A">
            <w:pPr>
              <w:pStyle w:val="TableTextRight"/>
              <w:rPr>
                <w:b/>
                <w:bCs/>
              </w:rPr>
            </w:pPr>
            <w:r w:rsidRPr="00ED6BCD">
              <w:rPr>
                <w:b/>
                <w:bCs/>
              </w:rPr>
              <w:noBreakHyphen/>
            </w:r>
          </w:p>
        </w:tc>
        <w:tc>
          <w:tcPr>
            <w:tcW w:w="802" w:type="pct"/>
            <w:shd w:val="clear" w:color="auto" w:fill="F2F2F2" w:themeFill="background1" w:themeFillShade="F2"/>
            <w:noWrap/>
          </w:tcPr>
          <w:p w14:paraId="4CEE0DF7" w14:textId="77777777" w:rsidR="005E20ED" w:rsidRPr="00ED6BCD" w:rsidRDefault="005E20ED" w:rsidP="00C86F4A">
            <w:pPr>
              <w:pStyle w:val="TableTextRight"/>
              <w:rPr>
                <w:b/>
                <w:bCs/>
              </w:rPr>
            </w:pPr>
            <w:r w:rsidRPr="00ED6BCD">
              <w:rPr>
                <w:b/>
                <w:bCs/>
              </w:rPr>
              <w:t>162</w:t>
            </w:r>
          </w:p>
        </w:tc>
      </w:tr>
      <w:tr w:rsidR="005E20ED" w:rsidRPr="006534F5" w14:paraId="7281CC2B" w14:textId="77777777" w:rsidTr="004D302A">
        <w:tc>
          <w:tcPr>
            <w:tcW w:w="2572" w:type="pct"/>
            <w:shd w:val="clear" w:color="auto" w:fill="F2F2F2" w:themeFill="background1" w:themeFillShade="F2"/>
            <w:noWrap/>
            <w:hideMark/>
          </w:tcPr>
          <w:p w14:paraId="3C8970F8" w14:textId="77777777" w:rsidR="005E20ED" w:rsidRPr="00ED6BCD" w:rsidRDefault="005E20ED" w:rsidP="00C86F4A">
            <w:pPr>
              <w:pStyle w:val="TableTextLeft"/>
              <w:rPr>
                <w:b/>
                <w:bCs/>
              </w:rPr>
            </w:pPr>
            <w:r w:rsidRPr="00ED6BCD">
              <w:rPr>
                <w:b/>
                <w:bCs/>
              </w:rPr>
              <w:t>Total</w:t>
            </w:r>
          </w:p>
        </w:tc>
        <w:tc>
          <w:tcPr>
            <w:tcW w:w="732" w:type="pct"/>
            <w:shd w:val="clear" w:color="auto" w:fill="F2F2F2" w:themeFill="background1" w:themeFillShade="F2"/>
            <w:noWrap/>
          </w:tcPr>
          <w:p w14:paraId="7FBFBBB9" w14:textId="77777777" w:rsidR="005E20ED" w:rsidRPr="00ED6BCD" w:rsidRDefault="005E20ED" w:rsidP="00C86F4A">
            <w:pPr>
              <w:pStyle w:val="TableTextRight"/>
              <w:rPr>
                <w:b/>
                <w:bCs/>
              </w:rPr>
            </w:pPr>
            <w:r w:rsidRPr="00ED6BCD">
              <w:rPr>
                <w:b/>
                <w:bCs/>
              </w:rPr>
              <w:t>323</w:t>
            </w:r>
          </w:p>
        </w:tc>
        <w:tc>
          <w:tcPr>
            <w:tcW w:w="895" w:type="pct"/>
            <w:shd w:val="clear" w:color="auto" w:fill="F2F2F2" w:themeFill="background1" w:themeFillShade="F2"/>
            <w:noWrap/>
          </w:tcPr>
          <w:p w14:paraId="79919C0B" w14:textId="77777777" w:rsidR="005E20ED" w:rsidRPr="00ED6BCD" w:rsidRDefault="005E20ED" w:rsidP="00C86F4A">
            <w:pPr>
              <w:pStyle w:val="TableTextRight"/>
              <w:rPr>
                <w:b/>
                <w:bCs/>
              </w:rPr>
            </w:pPr>
            <w:r w:rsidRPr="00ED6BCD">
              <w:rPr>
                <w:b/>
                <w:bCs/>
              </w:rPr>
              <w:t>295</w:t>
            </w:r>
          </w:p>
        </w:tc>
        <w:tc>
          <w:tcPr>
            <w:tcW w:w="802" w:type="pct"/>
            <w:shd w:val="clear" w:color="auto" w:fill="F2F2F2" w:themeFill="background1" w:themeFillShade="F2"/>
            <w:noWrap/>
          </w:tcPr>
          <w:p w14:paraId="621C4B4E" w14:textId="77777777" w:rsidR="005E20ED" w:rsidRPr="00ED6BCD" w:rsidRDefault="005E20ED" w:rsidP="00C86F4A">
            <w:pPr>
              <w:pStyle w:val="TableTextRight"/>
              <w:rPr>
                <w:b/>
                <w:bCs/>
              </w:rPr>
            </w:pPr>
            <w:r w:rsidRPr="00ED6BCD">
              <w:rPr>
                <w:b/>
                <w:bCs/>
              </w:rPr>
              <w:t>618</w:t>
            </w:r>
          </w:p>
        </w:tc>
      </w:tr>
    </w:tbl>
    <w:p w14:paraId="78828FD8" w14:textId="77777777" w:rsidR="005E20ED" w:rsidRPr="001F10B3" w:rsidRDefault="005E20ED" w:rsidP="006D2EDF">
      <w:pPr>
        <w:pStyle w:val="ChartorTableNoteAlpha"/>
        <w:numPr>
          <w:ilvl w:val="0"/>
          <w:numId w:val="39"/>
        </w:numPr>
      </w:pPr>
      <w:r w:rsidRPr="001F10B3">
        <w:t>Debt securities (backed by underlying collateral) issued by way of public offer by special purpose vehicles for the purposes of funding their lending activities.</w:t>
      </w:r>
    </w:p>
    <w:p w14:paraId="43D545FB" w14:textId="1297EC2F" w:rsidR="008B3C24" w:rsidRPr="001F10B3" w:rsidRDefault="005E20ED" w:rsidP="001F10B3">
      <w:pPr>
        <w:pStyle w:val="ChartorTableNoteAlpha"/>
      </w:pPr>
      <w:r w:rsidRPr="001F10B3">
        <w:t>Temporary lines of credit (backed by underlying collateral) provided to special purpose vehicles for the purposes of funding their lending activities.</w:t>
      </w:r>
    </w:p>
    <w:p w14:paraId="38988748" w14:textId="66E638DB" w:rsidR="008B3C24" w:rsidRDefault="008B3C24" w:rsidP="008B3C24">
      <w:pPr>
        <w:spacing w:after="0" w:line="240" w:lineRule="auto"/>
      </w:pPr>
      <w:r>
        <w:br w:type="page"/>
      </w:r>
      <w:bookmarkStart w:id="1665" w:name="_Hlk207722129"/>
      <w:r w:rsidRPr="00180B53">
        <w:lastRenderedPageBreak/>
        <w:t>Under Commonwealth</w:t>
      </w:r>
      <w:r>
        <w:noBreakHyphen/>
      </w:r>
      <w:r w:rsidRPr="00180B53">
        <w:t xml:space="preserve">State financing arrangements between 1945 and 1989, the Australian Government made concessional loans (not evidenced by the issuance of debt securities) to State and Northern Territory </w:t>
      </w:r>
      <w:r>
        <w:t>g</w:t>
      </w:r>
      <w:r w:rsidRPr="00180B53">
        <w:t xml:space="preserve">overnments for specific purposes. As </w:t>
      </w:r>
      <w:proofErr w:type="gramStart"/>
      <w:r w:rsidRPr="00180B53">
        <w:t>at</w:t>
      </w:r>
      <w:proofErr w:type="gramEnd"/>
      <w:r w:rsidRPr="00180B53">
        <w:t xml:space="preserve"> 30 June 2025, the principal outstanding on these loans was </w:t>
      </w:r>
      <w:r w:rsidRPr="00BF62BA">
        <w:t>$1</w:t>
      </w:r>
      <w:r w:rsidR="0006086F">
        <w:t>,</w:t>
      </w:r>
      <w:r w:rsidRPr="00BF62BA">
        <w:t>17</w:t>
      </w:r>
      <w:r>
        <w:t>9</w:t>
      </w:r>
      <w:r w:rsidRPr="00BF62BA">
        <w:t> million</w:t>
      </w:r>
      <w:r w:rsidRPr="004901BD">
        <w:t>.</w:t>
      </w:r>
    </w:p>
    <w:p w14:paraId="21940328" w14:textId="77777777" w:rsidR="008B3C24" w:rsidRPr="008B3C24" w:rsidRDefault="008B3C24" w:rsidP="008B3C24">
      <w:pPr>
        <w:pStyle w:val="SingleReturn"/>
      </w:pPr>
    </w:p>
    <w:p w14:paraId="4E8A978B" w14:textId="77777777" w:rsidR="008B3C24" w:rsidRPr="00E52758" w:rsidRDefault="008B3C24" w:rsidP="008B3C24">
      <w:pPr>
        <w:pStyle w:val="TableMainHeading"/>
      </w:pPr>
      <w:r w:rsidRPr="006534F5">
        <w:t xml:space="preserve">Composition of loans to state and territory governments as </w:t>
      </w:r>
      <w:proofErr w:type="gramStart"/>
      <w:r w:rsidRPr="006534F5">
        <w:t>at</w:t>
      </w:r>
      <w:proofErr w:type="gramEnd"/>
      <w:r w:rsidRPr="006534F5">
        <w:t xml:space="preserve"> 30 June 202</w:t>
      </w:r>
      <w:r>
        <w:t>5</w:t>
      </w:r>
    </w:p>
    <w:tbl>
      <w:tblPr>
        <w:tblStyle w:val="AOFMTablemain"/>
        <w:tblW w:w="5000" w:type="pct"/>
        <w:tblLook w:val="06A0" w:firstRow="1" w:lastRow="0" w:firstColumn="1" w:lastColumn="0" w:noHBand="1" w:noVBand="1"/>
      </w:tblPr>
      <w:tblGrid>
        <w:gridCol w:w="4820"/>
        <w:gridCol w:w="1501"/>
        <w:gridCol w:w="1390"/>
      </w:tblGrid>
      <w:tr w:rsidR="00E15250" w:rsidRPr="00A22D36" w14:paraId="27A95ECE" w14:textId="77777777" w:rsidTr="00EC03D4">
        <w:trPr>
          <w:cnfStyle w:val="100000000000" w:firstRow="1" w:lastRow="0" w:firstColumn="0" w:lastColumn="0" w:oddVBand="0" w:evenVBand="0" w:oddHBand="0" w:evenHBand="0" w:firstRowFirstColumn="0" w:firstRowLastColumn="0" w:lastRowFirstColumn="0" w:lastRowLastColumn="0"/>
          <w:trHeight w:val="225"/>
        </w:trPr>
        <w:tc>
          <w:tcPr>
            <w:tcW w:w="3126" w:type="pct"/>
            <w:noWrap/>
            <w:tcMar>
              <w:top w:w="57" w:type="dxa"/>
              <w:bottom w:w="57" w:type="dxa"/>
            </w:tcMar>
            <w:vAlign w:val="bottom"/>
            <w:hideMark/>
          </w:tcPr>
          <w:p w14:paraId="35E486CA" w14:textId="77777777" w:rsidR="008B3C24" w:rsidRPr="00A22D36" w:rsidRDefault="008B3C24" w:rsidP="00C86F4A">
            <w:pPr>
              <w:pStyle w:val="TableColumnHeadingLeft"/>
              <w:rPr>
                <w:color w:val="FFFFFF"/>
              </w:rPr>
            </w:pPr>
            <w:r w:rsidRPr="00A22D36">
              <w:t>Principal outstanding</w:t>
            </w:r>
          </w:p>
        </w:tc>
        <w:tc>
          <w:tcPr>
            <w:tcW w:w="973" w:type="pct"/>
            <w:noWrap/>
            <w:tcMar>
              <w:top w:w="57" w:type="dxa"/>
              <w:bottom w:w="57" w:type="dxa"/>
            </w:tcMar>
            <w:hideMark/>
          </w:tcPr>
          <w:p w14:paraId="1B13BE50" w14:textId="77777777" w:rsidR="008B3C24" w:rsidRDefault="008B3C24" w:rsidP="00C86F4A">
            <w:pPr>
              <w:pStyle w:val="TableColumnHeadingRight"/>
            </w:pPr>
            <w:r w:rsidRPr="00A22D36">
              <w:t>202</w:t>
            </w:r>
            <w:r>
              <w:t xml:space="preserve">5 </w:t>
            </w:r>
          </w:p>
          <w:p w14:paraId="5F78CF1D" w14:textId="77777777" w:rsidR="008B3C24" w:rsidRPr="00A22D36" w:rsidRDefault="008B3C24" w:rsidP="00C86F4A">
            <w:pPr>
              <w:pStyle w:val="TableColumnHeadingRight"/>
              <w:rPr>
                <w:color w:val="FFFFFF"/>
              </w:rPr>
            </w:pPr>
            <w:r>
              <w:t>($million)</w:t>
            </w:r>
          </w:p>
        </w:tc>
        <w:tc>
          <w:tcPr>
            <w:tcW w:w="901" w:type="pct"/>
            <w:tcMar>
              <w:top w:w="57" w:type="dxa"/>
              <w:bottom w:w="57" w:type="dxa"/>
            </w:tcMar>
            <w:hideMark/>
          </w:tcPr>
          <w:p w14:paraId="38AE7363" w14:textId="77777777" w:rsidR="008B3C24" w:rsidRDefault="008B3C24" w:rsidP="00C86F4A">
            <w:pPr>
              <w:pStyle w:val="TableColumnHeadingRight"/>
            </w:pPr>
            <w:r w:rsidRPr="00A22D36">
              <w:t>202</w:t>
            </w:r>
            <w:r>
              <w:t>4</w:t>
            </w:r>
          </w:p>
          <w:p w14:paraId="178D6D5E" w14:textId="77777777" w:rsidR="008B3C24" w:rsidRPr="00A22D36" w:rsidRDefault="008B3C24" w:rsidP="00C86F4A">
            <w:pPr>
              <w:pStyle w:val="TableColumnHeadingRight"/>
              <w:rPr>
                <w:color w:val="FFFFFF"/>
              </w:rPr>
            </w:pPr>
            <w:r>
              <w:t xml:space="preserve"> ($million)</w:t>
            </w:r>
          </w:p>
        </w:tc>
      </w:tr>
      <w:tr w:rsidR="008B3C24" w:rsidRPr="00A22D36" w14:paraId="7A414B80" w14:textId="77777777" w:rsidTr="00A61C4D">
        <w:trPr>
          <w:trHeight w:val="248"/>
        </w:trPr>
        <w:tc>
          <w:tcPr>
            <w:tcW w:w="3126" w:type="pct"/>
            <w:shd w:val="clear" w:color="auto" w:fill="F2F2F2" w:themeFill="background1" w:themeFillShade="F2"/>
            <w:noWrap/>
            <w:tcMar>
              <w:top w:w="57" w:type="dxa"/>
              <w:bottom w:w="57" w:type="dxa"/>
            </w:tcMar>
            <w:hideMark/>
          </w:tcPr>
          <w:p w14:paraId="27A6CC65" w14:textId="77777777" w:rsidR="008B3C24" w:rsidRPr="00A22D36" w:rsidRDefault="008B3C24" w:rsidP="00C86F4A">
            <w:pPr>
              <w:pStyle w:val="TableTextLeft"/>
            </w:pPr>
            <w:r w:rsidRPr="00A22D36">
              <w:t>N</w:t>
            </w:r>
            <w:r>
              <w:t>ew South Wales</w:t>
            </w:r>
          </w:p>
        </w:tc>
        <w:tc>
          <w:tcPr>
            <w:tcW w:w="973" w:type="pct"/>
            <w:shd w:val="clear" w:color="auto" w:fill="F2F2F2" w:themeFill="background1" w:themeFillShade="F2"/>
            <w:noWrap/>
            <w:tcMar>
              <w:top w:w="57" w:type="dxa"/>
              <w:bottom w:w="57" w:type="dxa"/>
            </w:tcMar>
          </w:tcPr>
          <w:p w14:paraId="44FC0413" w14:textId="77777777" w:rsidR="008B3C24" w:rsidRPr="00A22D36" w:rsidRDefault="008B3C24" w:rsidP="00C86F4A">
            <w:pPr>
              <w:pStyle w:val="TableTextRight"/>
            </w:pPr>
            <w:r>
              <w:t>515</w:t>
            </w:r>
          </w:p>
        </w:tc>
        <w:tc>
          <w:tcPr>
            <w:tcW w:w="901" w:type="pct"/>
            <w:shd w:val="clear" w:color="auto" w:fill="F2F2F2" w:themeFill="background1" w:themeFillShade="F2"/>
            <w:noWrap/>
            <w:tcMar>
              <w:top w:w="57" w:type="dxa"/>
              <w:bottom w:w="57" w:type="dxa"/>
            </w:tcMar>
            <w:hideMark/>
          </w:tcPr>
          <w:p w14:paraId="13352E63" w14:textId="77777777" w:rsidR="008B3C24" w:rsidRPr="00A22D36" w:rsidRDefault="008B3C24" w:rsidP="00C86F4A">
            <w:pPr>
              <w:pStyle w:val="TableTextRight"/>
            </w:pPr>
            <w:r>
              <w:t>562</w:t>
            </w:r>
            <w:r w:rsidRPr="00A22D36">
              <w:t xml:space="preserve"> </w:t>
            </w:r>
          </w:p>
        </w:tc>
      </w:tr>
      <w:tr w:rsidR="008B3C24" w:rsidRPr="00A22D36" w14:paraId="082D6D41" w14:textId="77777777" w:rsidTr="00A61C4D">
        <w:trPr>
          <w:trHeight w:val="98"/>
        </w:trPr>
        <w:tc>
          <w:tcPr>
            <w:tcW w:w="3126" w:type="pct"/>
            <w:shd w:val="clear" w:color="auto" w:fill="F2F2F2" w:themeFill="background1" w:themeFillShade="F2"/>
            <w:noWrap/>
            <w:tcMar>
              <w:top w:w="57" w:type="dxa"/>
              <w:bottom w:w="57" w:type="dxa"/>
            </w:tcMar>
            <w:hideMark/>
          </w:tcPr>
          <w:p w14:paraId="35FA6EE7" w14:textId="77777777" w:rsidR="008B3C24" w:rsidRPr="00A22D36" w:rsidRDefault="008B3C24" w:rsidP="00C86F4A">
            <w:pPr>
              <w:pStyle w:val="TableTextLeft"/>
            </w:pPr>
            <w:r w:rsidRPr="00A22D36">
              <w:t>W</w:t>
            </w:r>
            <w:r>
              <w:t>estern Australia</w:t>
            </w:r>
          </w:p>
        </w:tc>
        <w:tc>
          <w:tcPr>
            <w:tcW w:w="973" w:type="pct"/>
            <w:shd w:val="clear" w:color="auto" w:fill="F2F2F2" w:themeFill="background1" w:themeFillShade="F2"/>
            <w:noWrap/>
            <w:tcMar>
              <w:top w:w="57" w:type="dxa"/>
              <w:bottom w:w="57" w:type="dxa"/>
            </w:tcMar>
          </w:tcPr>
          <w:p w14:paraId="637D6211" w14:textId="77777777" w:rsidR="008B3C24" w:rsidRPr="00A22D36" w:rsidRDefault="008B3C24" w:rsidP="00C86F4A">
            <w:pPr>
              <w:pStyle w:val="TableTextRight"/>
            </w:pPr>
            <w:r>
              <w:t>236</w:t>
            </w:r>
          </w:p>
        </w:tc>
        <w:tc>
          <w:tcPr>
            <w:tcW w:w="901" w:type="pct"/>
            <w:shd w:val="clear" w:color="auto" w:fill="F2F2F2" w:themeFill="background1" w:themeFillShade="F2"/>
            <w:noWrap/>
            <w:tcMar>
              <w:top w:w="57" w:type="dxa"/>
              <w:bottom w:w="57" w:type="dxa"/>
            </w:tcMar>
            <w:hideMark/>
          </w:tcPr>
          <w:p w14:paraId="5C281152" w14:textId="77777777" w:rsidR="008B3C24" w:rsidRPr="00A22D36" w:rsidRDefault="008B3C24" w:rsidP="00C86F4A">
            <w:pPr>
              <w:pStyle w:val="TableTextRight"/>
            </w:pPr>
            <w:r>
              <w:t>254</w:t>
            </w:r>
          </w:p>
        </w:tc>
      </w:tr>
      <w:tr w:rsidR="008B3C24" w:rsidRPr="00A22D36" w14:paraId="69654818" w14:textId="77777777" w:rsidTr="00A61C4D">
        <w:trPr>
          <w:trHeight w:val="118"/>
        </w:trPr>
        <w:tc>
          <w:tcPr>
            <w:tcW w:w="3126" w:type="pct"/>
            <w:shd w:val="clear" w:color="auto" w:fill="F2F2F2" w:themeFill="background1" w:themeFillShade="F2"/>
            <w:noWrap/>
            <w:tcMar>
              <w:top w:w="57" w:type="dxa"/>
              <w:bottom w:w="57" w:type="dxa"/>
            </w:tcMar>
            <w:hideMark/>
          </w:tcPr>
          <w:p w14:paraId="51C510C2" w14:textId="77777777" w:rsidR="008B3C24" w:rsidRPr="00A22D36" w:rsidRDefault="008B3C24" w:rsidP="00C86F4A">
            <w:pPr>
              <w:pStyle w:val="TableTextLeft"/>
            </w:pPr>
            <w:r w:rsidRPr="00A22D36">
              <w:t>Q</w:t>
            </w:r>
            <w:r>
              <w:t>ueensland</w:t>
            </w:r>
          </w:p>
        </w:tc>
        <w:tc>
          <w:tcPr>
            <w:tcW w:w="973" w:type="pct"/>
            <w:shd w:val="clear" w:color="auto" w:fill="F2F2F2" w:themeFill="background1" w:themeFillShade="F2"/>
            <w:noWrap/>
            <w:tcMar>
              <w:top w:w="57" w:type="dxa"/>
              <w:bottom w:w="57" w:type="dxa"/>
            </w:tcMar>
          </w:tcPr>
          <w:p w14:paraId="1020BA85" w14:textId="77777777" w:rsidR="008B3C24" w:rsidRPr="00A22D36" w:rsidRDefault="008B3C24" w:rsidP="00C86F4A">
            <w:pPr>
              <w:pStyle w:val="TableTextRight"/>
            </w:pPr>
            <w:r>
              <w:t>172</w:t>
            </w:r>
          </w:p>
        </w:tc>
        <w:tc>
          <w:tcPr>
            <w:tcW w:w="901" w:type="pct"/>
            <w:shd w:val="clear" w:color="auto" w:fill="F2F2F2" w:themeFill="background1" w:themeFillShade="F2"/>
            <w:noWrap/>
            <w:tcMar>
              <w:top w:w="57" w:type="dxa"/>
              <w:bottom w:w="57" w:type="dxa"/>
            </w:tcMar>
            <w:hideMark/>
          </w:tcPr>
          <w:p w14:paraId="52A04433" w14:textId="77777777" w:rsidR="008B3C24" w:rsidRPr="00A22D36" w:rsidRDefault="008B3C24" w:rsidP="00C86F4A">
            <w:pPr>
              <w:pStyle w:val="TableTextRight"/>
            </w:pPr>
            <w:r>
              <w:t>186</w:t>
            </w:r>
            <w:r w:rsidRPr="00A22D36">
              <w:t xml:space="preserve"> </w:t>
            </w:r>
          </w:p>
        </w:tc>
      </w:tr>
      <w:tr w:rsidR="008B3C24" w:rsidRPr="00A22D36" w14:paraId="302D1852" w14:textId="77777777" w:rsidTr="00A61C4D">
        <w:trPr>
          <w:trHeight w:val="124"/>
        </w:trPr>
        <w:tc>
          <w:tcPr>
            <w:tcW w:w="3126" w:type="pct"/>
            <w:shd w:val="clear" w:color="auto" w:fill="F2F2F2" w:themeFill="background1" w:themeFillShade="F2"/>
            <w:noWrap/>
            <w:tcMar>
              <w:top w:w="57" w:type="dxa"/>
              <w:bottom w:w="57" w:type="dxa"/>
            </w:tcMar>
            <w:hideMark/>
          </w:tcPr>
          <w:p w14:paraId="6D8BAC50" w14:textId="77777777" w:rsidR="008B3C24" w:rsidRPr="00A22D36" w:rsidRDefault="008B3C24" w:rsidP="00C86F4A">
            <w:pPr>
              <w:pStyle w:val="TableTextLeft"/>
            </w:pPr>
            <w:r w:rsidRPr="00A22D36">
              <w:t>S</w:t>
            </w:r>
            <w:r>
              <w:t>outh Australia</w:t>
            </w:r>
          </w:p>
        </w:tc>
        <w:tc>
          <w:tcPr>
            <w:tcW w:w="973" w:type="pct"/>
            <w:shd w:val="clear" w:color="auto" w:fill="F2F2F2" w:themeFill="background1" w:themeFillShade="F2"/>
            <w:noWrap/>
            <w:tcMar>
              <w:top w:w="57" w:type="dxa"/>
              <w:bottom w:w="57" w:type="dxa"/>
            </w:tcMar>
          </w:tcPr>
          <w:p w14:paraId="225E72F9" w14:textId="77777777" w:rsidR="008B3C24" w:rsidRPr="00A22D36" w:rsidRDefault="008B3C24" w:rsidP="00C86F4A">
            <w:pPr>
              <w:pStyle w:val="TableTextRight"/>
            </w:pPr>
            <w:r>
              <w:t>139</w:t>
            </w:r>
          </w:p>
        </w:tc>
        <w:tc>
          <w:tcPr>
            <w:tcW w:w="901" w:type="pct"/>
            <w:shd w:val="clear" w:color="auto" w:fill="F2F2F2" w:themeFill="background1" w:themeFillShade="F2"/>
            <w:noWrap/>
            <w:tcMar>
              <w:top w:w="57" w:type="dxa"/>
              <w:bottom w:w="57" w:type="dxa"/>
            </w:tcMar>
            <w:hideMark/>
          </w:tcPr>
          <w:p w14:paraId="1C6D8251" w14:textId="77777777" w:rsidR="008B3C24" w:rsidRPr="00A22D36" w:rsidRDefault="008B3C24" w:rsidP="00C86F4A">
            <w:pPr>
              <w:pStyle w:val="TableTextRight"/>
            </w:pPr>
            <w:r>
              <w:t>146</w:t>
            </w:r>
            <w:r w:rsidRPr="00A22D36">
              <w:t xml:space="preserve"> </w:t>
            </w:r>
          </w:p>
        </w:tc>
      </w:tr>
      <w:tr w:rsidR="008B3C24" w:rsidRPr="00A22D36" w14:paraId="5F7F55D1" w14:textId="77777777" w:rsidTr="00A61C4D">
        <w:trPr>
          <w:trHeight w:val="144"/>
        </w:trPr>
        <w:tc>
          <w:tcPr>
            <w:tcW w:w="3126" w:type="pct"/>
            <w:shd w:val="clear" w:color="auto" w:fill="F2F2F2" w:themeFill="background1" w:themeFillShade="F2"/>
            <w:noWrap/>
            <w:tcMar>
              <w:top w:w="57" w:type="dxa"/>
              <w:bottom w:w="57" w:type="dxa"/>
            </w:tcMar>
            <w:hideMark/>
          </w:tcPr>
          <w:p w14:paraId="4D0AD2C9" w14:textId="77777777" w:rsidR="008B3C24" w:rsidRPr="00A22D36" w:rsidRDefault="008B3C24" w:rsidP="00C86F4A">
            <w:pPr>
              <w:pStyle w:val="TableTextLeft"/>
            </w:pPr>
            <w:r w:rsidRPr="00A22D36">
              <w:t>N</w:t>
            </w:r>
            <w:r>
              <w:t>orthern Territory</w:t>
            </w:r>
          </w:p>
        </w:tc>
        <w:tc>
          <w:tcPr>
            <w:tcW w:w="973" w:type="pct"/>
            <w:shd w:val="clear" w:color="auto" w:fill="F2F2F2" w:themeFill="background1" w:themeFillShade="F2"/>
            <w:noWrap/>
            <w:tcMar>
              <w:top w:w="57" w:type="dxa"/>
              <w:bottom w:w="57" w:type="dxa"/>
            </w:tcMar>
          </w:tcPr>
          <w:p w14:paraId="3345506C" w14:textId="77777777" w:rsidR="008B3C24" w:rsidRPr="00A22D36" w:rsidRDefault="008B3C24" w:rsidP="00C86F4A">
            <w:pPr>
              <w:pStyle w:val="TableTextRight"/>
            </w:pPr>
            <w:r>
              <w:t>117</w:t>
            </w:r>
          </w:p>
        </w:tc>
        <w:tc>
          <w:tcPr>
            <w:tcW w:w="901" w:type="pct"/>
            <w:shd w:val="clear" w:color="auto" w:fill="F2F2F2" w:themeFill="background1" w:themeFillShade="F2"/>
            <w:noWrap/>
            <w:tcMar>
              <w:top w:w="57" w:type="dxa"/>
              <w:bottom w:w="57" w:type="dxa"/>
            </w:tcMar>
            <w:hideMark/>
          </w:tcPr>
          <w:p w14:paraId="052B0C31" w14:textId="77777777" w:rsidR="008B3C24" w:rsidRPr="00A22D36" w:rsidRDefault="008B3C24" w:rsidP="00C86F4A">
            <w:pPr>
              <w:pStyle w:val="TableTextRight"/>
            </w:pPr>
            <w:r>
              <w:t>123</w:t>
            </w:r>
            <w:r w:rsidRPr="00A22D36">
              <w:t xml:space="preserve"> </w:t>
            </w:r>
          </w:p>
        </w:tc>
      </w:tr>
      <w:tr w:rsidR="008B3C24" w:rsidRPr="00A22D36" w14:paraId="05E12BC4" w14:textId="77777777" w:rsidTr="00A61C4D">
        <w:trPr>
          <w:trHeight w:val="151"/>
        </w:trPr>
        <w:tc>
          <w:tcPr>
            <w:tcW w:w="3126" w:type="pct"/>
            <w:shd w:val="clear" w:color="auto" w:fill="F2F2F2" w:themeFill="background1" w:themeFillShade="F2"/>
            <w:noWrap/>
            <w:tcMar>
              <w:top w:w="57" w:type="dxa"/>
              <w:bottom w:w="57" w:type="dxa"/>
            </w:tcMar>
            <w:hideMark/>
          </w:tcPr>
          <w:p w14:paraId="330C1E99" w14:textId="77777777" w:rsidR="008B3C24" w:rsidRPr="00ED6BCD" w:rsidRDefault="008B3C24" w:rsidP="00C86F4A">
            <w:pPr>
              <w:pStyle w:val="TableTextLeft"/>
              <w:rPr>
                <w:b/>
                <w:bCs/>
              </w:rPr>
            </w:pPr>
            <w:r w:rsidRPr="00ED6BCD">
              <w:rPr>
                <w:b/>
                <w:bCs/>
              </w:rPr>
              <w:t>Total</w:t>
            </w:r>
          </w:p>
        </w:tc>
        <w:tc>
          <w:tcPr>
            <w:tcW w:w="973" w:type="pct"/>
            <w:shd w:val="clear" w:color="auto" w:fill="F2F2F2" w:themeFill="background1" w:themeFillShade="F2"/>
            <w:noWrap/>
            <w:tcMar>
              <w:top w:w="57" w:type="dxa"/>
              <w:bottom w:w="57" w:type="dxa"/>
            </w:tcMar>
          </w:tcPr>
          <w:p w14:paraId="72FEAE18" w14:textId="77777777" w:rsidR="008B3C24" w:rsidRPr="00A22D36" w:rsidRDefault="008B3C24" w:rsidP="00C86F4A">
            <w:pPr>
              <w:pStyle w:val="TableTextRight"/>
              <w:rPr>
                <w:b/>
                <w:bCs/>
              </w:rPr>
            </w:pPr>
            <w:r>
              <w:rPr>
                <w:b/>
                <w:bCs/>
              </w:rPr>
              <w:t>1,179</w:t>
            </w:r>
          </w:p>
        </w:tc>
        <w:tc>
          <w:tcPr>
            <w:tcW w:w="901" w:type="pct"/>
            <w:shd w:val="clear" w:color="auto" w:fill="F2F2F2" w:themeFill="background1" w:themeFillShade="F2"/>
            <w:noWrap/>
            <w:tcMar>
              <w:top w:w="57" w:type="dxa"/>
              <w:bottom w:w="57" w:type="dxa"/>
            </w:tcMar>
            <w:hideMark/>
          </w:tcPr>
          <w:p w14:paraId="2F69B8BE" w14:textId="77777777" w:rsidR="008B3C24" w:rsidRPr="00A22D36" w:rsidRDefault="008B3C24" w:rsidP="00C86F4A">
            <w:pPr>
              <w:pStyle w:val="TableTextRight"/>
              <w:rPr>
                <w:rStyle w:val="Strong"/>
              </w:rPr>
            </w:pPr>
            <w:r>
              <w:rPr>
                <w:rStyle w:val="Strong"/>
              </w:rPr>
              <w:t>1,271</w:t>
            </w:r>
            <w:r w:rsidRPr="00A22D36">
              <w:rPr>
                <w:rStyle w:val="Strong"/>
              </w:rPr>
              <w:t xml:space="preserve"> </w:t>
            </w:r>
          </w:p>
        </w:tc>
      </w:tr>
    </w:tbl>
    <w:p w14:paraId="2A58B068" w14:textId="77777777" w:rsidR="008B3C24" w:rsidRPr="00E22F68" w:rsidRDefault="008B3C24" w:rsidP="008B3C24"/>
    <w:p w14:paraId="27745415" w14:textId="77777777" w:rsidR="008B3C24" w:rsidRDefault="008B3C24" w:rsidP="008B3C24">
      <w:r w:rsidRPr="00BF62BA">
        <w:t>The maximum exposure to credit risk is the principal value of loans outstanding.</w:t>
      </w:r>
    </w:p>
    <w:p w14:paraId="34CA7C5A" w14:textId="77777777" w:rsidR="008B3C24" w:rsidRPr="00180B53" w:rsidRDefault="008B3C24" w:rsidP="008B3C24"/>
    <w:p w14:paraId="5711508D" w14:textId="77777777" w:rsidR="008B3C24" w:rsidRPr="006534F5" w:rsidRDefault="008B3C24" w:rsidP="008B3C24">
      <w:pPr>
        <w:pStyle w:val="TableMainHeading"/>
        <w:keepLines/>
        <w:rPr>
          <w:rFonts w:asciiTheme="minorHAnsi" w:hAnsiTheme="minorHAnsi" w:cstheme="minorBidi"/>
          <w:lang w:eastAsia="en-US"/>
        </w:rPr>
      </w:pPr>
      <w:r w:rsidRPr="006534F5">
        <w:t xml:space="preserve">Credit exposure to state and territory governments by credit rating </w:t>
      </w:r>
    </w:p>
    <w:tbl>
      <w:tblPr>
        <w:tblStyle w:val="AOFMTablemain"/>
        <w:tblW w:w="5000" w:type="pct"/>
        <w:tblLook w:val="06A0" w:firstRow="1" w:lastRow="0" w:firstColumn="1" w:lastColumn="0" w:noHBand="1" w:noVBand="1"/>
      </w:tblPr>
      <w:tblGrid>
        <w:gridCol w:w="4821"/>
        <w:gridCol w:w="1514"/>
        <w:gridCol w:w="1376"/>
      </w:tblGrid>
      <w:tr w:rsidR="00E15250" w:rsidRPr="006534F5" w14:paraId="464DD2B4" w14:textId="77777777" w:rsidTr="00EC03D4">
        <w:trPr>
          <w:cnfStyle w:val="100000000000" w:firstRow="1" w:lastRow="0" w:firstColumn="0" w:lastColumn="0" w:oddVBand="0" w:evenVBand="0" w:oddHBand="0" w:evenHBand="0" w:firstRowFirstColumn="0" w:firstRowLastColumn="0" w:lastRowFirstColumn="0" w:lastRowLastColumn="0"/>
          <w:trHeight w:val="231"/>
        </w:trPr>
        <w:tc>
          <w:tcPr>
            <w:tcW w:w="3126" w:type="pct"/>
            <w:noWrap/>
            <w:tcMar>
              <w:top w:w="57" w:type="dxa"/>
              <w:bottom w:w="57" w:type="dxa"/>
            </w:tcMar>
            <w:vAlign w:val="bottom"/>
            <w:hideMark/>
          </w:tcPr>
          <w:p w14:paraId="4E4C127B" w14:textId="77777777" w:rsidR="008B3C24" w:rsidRPr="00302009" w:rsidRDefault="008B3C24" w:rsidP="00C86F4A">
            <w:pPr>
              <w:pStyle w:val="TableColumnHeadingLeft"/>
            </w:pPr>
            <w:r w:rsidRPr="00302009">
              <w:t>Principal value</w:t>
            </w:r>
          </w:p>
        </w:tc>
        <w:tc>
          <w:tcPr>
            <w:tcW w:w="982" w:type="pct"/>
            <w:noWrap/>
            <w:tcMar>
              <w:top w:w="57" w:type="dxa"/>
              <w:bottom w:w="57" w:type="dxa"/>
            </w:tcMar>
          </w:tcPr>
          <w:p w14:paraId="576DC9AE" w14:textId="77777777" w:rsidR="008B3C24" w:rsidRDefault="008B3C24" w:rsidP="00C86F4A">
            <w:pPr>
              <w:pStyle w:val="TableColumnHeadingRight"/>
              <w:rPr>
                <w:bCs/>
                <w:szCs w:val="16"/>
              </w:rPr>
            </w:pPr>
            <w:r w:rsidRPr="00DC1090">
              <w:rPr>
                <w:bCs/>
                <w:szCs w:val="16"/>
              </w:rPr>
              <w:t xml:space="preserve">2025 </w:t>
            </w:r>
          </w:p>
          <w:p w14:paraId="29DEFF9D" w14:textId="77777777" w:rsidR="008B3C24" w:rsidRPr="00DC1090" w:rsidRDefault="008B3C24" w:rsidP="00C86F4A">
            <w:pPr>
              <w:pStyle w:val="TableColumnHeadingRight"/>
              <w:rPr>
                <w:bCs/>
              </w:rPr>
            </w:pPr>
            <w:r w:rsidRPr="00DC1090">
              <w:rPr>
                <w:bCs/>
                <w:szCs w:val="16"/>
              </w:rPr>
              <w:t>($million)</w:t>
            </w:r>
          </w:p>
        </w:tc>
        <w:tc>
          <w:tcPr>
            <w:tcW w:w="892" w:type="pct"/>
            <w:tcMar>
              <w:top w:w="57" w:type="dxa"/>
              <w:bottom w:w="57" w:type="dxa"/>
            </w:tcMar>
          </w:tcPr>
          <w:p w14:paraId="6B00F6FC" w14:textId="77777777" w:rsidR="008B3C24" w:rsidRDefault="008B3C24" w:rsidP="00C86F4A">
            <w:pPr>
              <w:pStyle w:val="TableColumnHeadingRight"/>
              <w:rPr>
                <w:bCs/>
                <w:szCs w:val="16"/>
              </w:rPr>
            </w:pPr>
            <w:r w:rsidRPr="00DC1090">
              <w:rPr>
                <w:bCs/>
                <w:szCs w:val="16"/>
              </w:rPr>
              <w:t xml:space="preserve">2024 </w:t>
            </w:r>
          </w:p>
          <w:p w14:paraId="1F10104B" w14:textId="77777777" w:rsidR="008B3C24" w:rsidRPr="00DC1090" w:rsidRDefault="008B3C24" w:rsidP="00C86F4A">
            <w:pPr>
              <w:pStyle w:val="TableColumnHeadingRight"/>
              <w:rPr>
                <w:bCs/>
              </w:rPr>
            </w:pPr>
            <w:r w:rsidRPr="00DC1090">
              <w:rPr>
                <w:bCs/>
                <w:szCs w:val="16"/>
              </w:rPr>
              <w:t>($million)</w:t>
            </w:r>
          </w:p>
        </w:tc>
      </w:tr>
      <w:tr w:rsidR="008B3C24" w:rsidRPr="006534F5" w14:paraId="50C2FD4B" w14:textId="77777777" w:rsidTr="00A61C4D">
        <w:trPr>
          <w:trHeight w:hRule="exact" w:val="300"/>
        </w:trPr>
        <w:tc>
          <w:tcPr>
            <w:tcW w:w="3126" w:type="pct"/>
            <w:shd w:val="clear" w:color="auto" w:fill="F2F2F2" w:themeFill="background1" w:themeFillShade="F2"/>
            <w:noWrap/>
            <w:tcMar>
              <w:top w:w="57" w:type="dxa"/>
              <w:bottom w:w="57" w:type="dxa"/>
            </w:tcMar>
            <w:hideMark/>
          </w:tcPr>
          <w:p w14:paraId="32992BD8" w14:textId="77777777" w:rsidR="008B3C24" w:rsidRPr="006534F5" w:rsidRDefault="008B3C24" w:rsidP="00C86F4A">
            <w:pPr>
              <w:pStyle w:val="TableTextLeft"/>
            </w:pPr>
            <w:proofErr w:type="spellStart"/>
            <w:r w:rsidRPr="006534F5">
              <w:t>Aaa</w:t>
            </w:r>
            <w:proofErr w:type="spellEnd"/>
            <w:r w:rsidRPr="006534F5">
              <w:t xml:space="preserve"> / AAA</w:t>
            </w:r>
          </w:p>
        </w:tc>
        <w:tc>
          <w:tcPr>
            <w:tcW w:w="982" w:type="pct"/>
            <w:shd w:val="clear" w:color="auto" w:fill="F2F2F2" w:themeFill="background1" w:themeFillShade="F2"/>
            <w:noWrap/>
            <w:tcMar>
              <w:top w:w="57" w:type="dxa"/>
              <w:bottom w:w="57" w:type="dxa"/>
            </w:tcMar>
          </w:tcPr>
          <w:p w14:paraId="3933B8E3" w14:textId="77777777" w:rsidR="008B3C24" w:rsidRPr="006534F5" w:rsidRDefault="008B3C24" w:rsidP="00C86F4A">
            <w:pPr>
              <w:pStyle w:val="TableTextRight"/>
            </w:pPr>
            <w:r>
              <w:t>236</w:t>
            </w:r>
          </w:p>
        </w:tc>
        <w:tc>
          <w:tcPr>
            <w:tcW w:w="892" w:type="pct"/>
            <w:shd w:val="clear" w:color="auto" w:fill="F2F2F2" w:themeFill="background1" w:themeFillShade="F2"/>
            <w:noWrap/>
            <w:tcMar>
              <w:top w:w="57" w:type="dxa"/>
              <w:bottom w:w="57" w:type="dxa"/>
            </w:tcMar>
            <w:hideMark/>
          </w:tcPr>
          <w:p w14:paraId="1048B7E1" w14:textId="77777777" w:rsidR="008B3C24" w:rsidRPr="006534F5" w:rsidRDefault="008B3C24" w:rsidP="00C86F4A">
            <w:pPr>
              <w:pStyle w:val="TableTextRight"/>
            </w:pPr>
            <w:r>
              <w:t>254</w:t>
            </w:r>
          </w:p>
        </w:tc>
      </w:tr>
      <w:tr w:rsidR="008B3C24" w:rsidRPr="006534F5" w14:paraId="7DF5803F" w14:textId="77777777" w:rsidTr="00A61C4D">
        <w:trPr>
          <w:trHeight w:hRule="exact" w:val="300"/>
        </w:trPr>
        <w:tc>
          <w:tcPr>
            <w:tcW w:w="3126" w:type="pct"/>
            <w:shd w:val="clear" w:color="auto" w:fill="F2F2F2" w:themeFill="background1" w:themeFillShade="F2"/>
            <w:noWrap/>
            <w:tcMar>
              <w:top w:w="57" w:type="dxa"/>
              <w:bottom w:w="57" w:type="dxa"/>
            </w:tcMar>
            <w:hideMark/>
          </w:tcPr>
          <w:p w14:paraId="637BF5D1" w14:textId="77777777" w:rsidR="008B3C24" w:rsidRPr="006534F5" w:rsidRDefault="008B3C24" w:rsidP="00C86F4A">
            <w:pPr>
              <w:pStyle w:val="TableTextLeft"/>
            </w:pPr>
            <w:r w:rsidRPr="006534F5">
              <w:t>Aa1 / AA+</w:t>
            </w:r>
          </w:p>
        </w:tc>
        <w:tc>
          <w:tcPr>
            <w:tcW w:w="982" w:type="pct"/>
            <w:shd w:val="clear" w:color="auto" w:fill="F2F2F2" w:themeFill="background1" w:themeFillShade="F2"/>
            <w:noWrap/>
            <w:tcMar>
              <w:top w:w="57" w:type="dxa"/>
              <w:bottom w:w="57" w:type="dxa"/>
            </w:tcMar>
          </w:tcPr>
          <w:p w14:paraId="25924F62" w14:textId="77777777" w:rsidR="008B3C24" w:rsidRPr="006534F5" w:rsidRDefault="008B3C24" w:rsidP="00C86F4A">
            <w:pPr>
              <w:pStyle w:val="TableTextRight"/>
            </w:pPr>
            <w:r>
              <w:t>826</w:t>
            </w:r>
          </w:p>
        </w:tc>
        <w:tc>
          <w:tcPr>
            <w:tcW w:w="892" w:type="pct"/>
            <w:shd w:val="clear" w:color="auto" w:fill="F2F2F2" w:themeFill="background1" w:themeFillShade="F2"/>
            <w:noWrap/>
            <w:tcMar>
              <w:top w:w="57" w:type="dxa"/>
              <w:bottom w:w="57" w:type="dxa"/>
            </w:tcMar>
            <w:hideMark/>
          </w:tcPr>
          <w:p w14:paraId="78FC3120" w14:textId="77777777" w:rsidR="008B3C24" w:rsidRPr="006534F5" w:rsidRDefault="008B3C24" w:rsidP="00C86F4A">
            <w:pPr>
              <w:pStyle w:val="TableTextRight"/>
            </w:pPr>
            <w:r>
              <w:t>894</w:t>
            </w:r>
          </w:p>
        </w:tc>
      </w:tr>
      <w:tr w:rsidR="008B3C24" w:rsidRPr="006534F5" w14:paraId="1E5228FE" w14:textId="77777777" w:rsidTr="00A61C4D">
        <w:trPr>
          <w:trHeight w:hRule="exact" w:val="300"/>
        </w:trPr>
        <w:tc>
          <w:tcPr>
            <w:tcW w:w="3126" w:type="pct"/>
            <w:shd w:val="clear" w:color="auto" w:fill="F2F2F2" w:themeFill="background1" w:themeFillShade="F2"/>
            <w:noWrap/>
            <w:tcMar>
              <w:top w:w="57" w:type="dxa"/>
              <w:bottom w:w="57" w:type="dxa"/>
            </w:tcMar>
            <w:hideMark/>
          </w:tcPr>
          <w:p w14:paraId="4E45F92E" w14:textId="77777777" w:rsidR="008B3C24" w:rsidRPr="006534F5" w:rsidRDefault="008B3C24" w:rsidP="00C86F4A">
            <w:pPr>
              <w:pStyle w:val="TableTextLeft"/>
            </w:pPr>
            <w:r w:rsidRPr="006534F5">
              <w:t>Aa3 / AA</w:t>
            </w:r>
            <w:r>
              <w:noBreakHyphen/>
            </w:r>
          </w:p>
        </w:tc>
        <w:tc>
          <w:tcPr>
            <w:tcW w:w="982" w:type="pct"/>
            <w:shd w:val="clear" w:color="auto" w:fill="F2F2F2" w:themeFill="background1" w:themeFillShade="F2"/>
            <w:noWrap/>
            <w:tcMar>
              <w:top w:w="57" w:type="dxa"/>
              <w:bottom w:w="57" w:type="dxa"/>
            </w:tcMar>
          </w:tcPr>
          <w:p w14:paraId="6D754322" w14:textId="77777777" w:rsidR="008B3C24" w:rsidRPr="006534F5" w:rsidRDefault="008B3C24" w:rsidP="00C86F4A">
            <w:pPr>
              <w:pStyle w:val="TableTextRight"/>
            </w:pPr>
            <w:r>
              <w:t>117</w:t>
            </w:r>
          </w:p>
        </w:tc>
        <w:tc>
          <w:tcPr>
            <w:tcW w:w="892" w:type="pct"/>
            <w:shd w:val="clear" w:color="auto" w:fill="F2F2F2" w:themeFill="background1" w:themeFillShade="F2"/>
            <w:noWrap/>
            <w:tcMar>
              <w:top w:w="57" w:type="dxa"/>
              <w:bottom w:w="57" w:type="dxa"/>
            </w:tcMar>
            <w:hideMark/>
          </w:tcPr>
          <w:p w14:paraId="469D5EFF" w14:textId="77777777" w:rsidR="008B3C24" w:rsidRPr="006534F5" w:rsidRDefault="008B3C24" w:rsidP="00C86F4A">
            <w:pPr>
              <w:pStyle w:val="TableTextRight"/>
            </w:pPr>
            <w:r>
              <w:t>123</w:t>
            </w:r>
          </w:p>
        </w:tc>
      </w:tr>
      <w:tr w:rsidR="008B3C24" w:rsidRPr="006534F5" w14:paraId="48866FE1" w14:textId="77777777" w:rsidTr="00A61C4D">
        <w:trPr>
          <w:trHeight w:hRule="exact" w:val="300"/>
        </w:trPr>
        <w:tc>
          <w:tcPr>
            <w:tcW w:w="3126" w:type="pct"/>
            <w:shd w:val="clear" w:color="auto" w:fill="F2F2F2" w:themeFill="background1" w:themeFillShade="F2"/>
            <w:noWrap/>
            <w:tcMar>
              <w:top w:w="57" w:type="dxa"/>
              <w:bottom w:w="57" w:type="dxa"/>
            </w:tcMar>
            <w:hideMark/>
          </w:tcPr>
          <w:p w14:paraId="50FB4F45" w14:textId="77777777" w:rsidR="008B3C24" w:rsidRPr="00B15F76" w:rsidRDefault="008B3C24" w:rsidP="00C86F4A">
            <w:pPr>
              <w:pStyle w:val="TableTextLeft"/>
              <w:rPr>
                <w:b/>
                <w:bCs/>
              </w:rPr>
            </w:pPr>
            <w:r w:rsidRPr="00B15F76">
              <w:rPr>
                <w:b/>
                <w:bCs/>
              </w:rPr>
              <w:t>Total</w:t>
            </w:r>
          </w:p>
        </w:tc>
        <w:tc>
          <w:tcPr>
            <w:tcW w:w="982" w:type="pct"/>
            <w:shd w:val="clear" w:color="auto" w:fill="F2F2F2" w:themeFill="background1" w:themeFillShade="F2"/>
            <w:noWrap/>
            <w:tcMar>
              <w:top w:w="57" w:type="dxa"/>
              <w:bottom w:w="57" w:type="dxa"/>
            </w:tcMar>
          </w:tcPr>
          <w:p w14:paraId="541CF058" w14:textId="77777777" w:rsidR="008B3C24" w:rsidRPr="00B15F76" w:rsidRDefault="008B3C24" w:rsidP="00C86F4A">
            <w:pPr>
              <w:pStyle w:val="TableTextRight"/>
              <w:rPr>
                <w:b/>
                <w:bCs/>
              </w:rPr>
            </w:pPr>
            <w:r w:rsidRPr="00B15F76">
              <w:rPr>
                <w:b/>
                <w:bCs/>
              </w:rPr>
              <w:t>1,179</w:t>
            </w:r>
          </w:p>
        </w:tc>
        <w:tc>
          <w:tcPr>
            <w:tcW w:w="892" w:type="pct"/>
            <w:shd w:val="clear" w:color="auto" w:fill="F2F2F2" w:themeFill="background1" w:themeFillShade="F2"/>
            <w:noWrap/>
            <w:tcMar>
              <w:top w:w="57" w:type="dxa"/>
              <w:bottom w:w="57" w:type="dxa"/>
            </w:tcMar>
            <w:hideMark/>
          </w:tcPr>
          <w:p w14:paraId="753D377B" w14:textId="77777777" w:rsidR="008B3C24" w:rsidRPr="00B15F76" w:rsidRDefault="008B3C24" w:rsidP="00C86F4A">
            <w:pPr>
              <w:pStyle w:val="TableTextRight"/>
              <w:rPr>
                <w:b/>
                <w:bCs/>
              </w:rPr>
            </w:pPr>
            <w:r w:rsidRPr="00B15F76">
              <w:rPr>
                <w:b/>
                <w:bCs/>
              </w:rPr>
              <w:t>1,271</w:t>
            </w:r>
          </w:p>
        </w:tc>
      </w:tr>
    </w:tbl>
    <w:p w14:paraId="687EF0DD" w14:textId="77777777" w:rsidR="008B3C24" w:rsidRDefault="008B3C24" w:rsidP="008B3C24">
      <w:pPr>
        <w:pStyle w:val="NoSpacing"/>
        <w:rPr>
          <w:highlight w:val="yellow"/>
        </w:rPr>
      </w:pPr>
    </w:p>
    <w:p w14:paraId="68EB3E3A" w14:textId="77777777" w:rsidR="008B3C24" w:rsidRPr="00180B53" w:rsidRDefault="008B3C24" w:rsidP="008B3C24">
      <w:r w:rsidRPr="00180B53">
        <w:t>Where a counterparty has a split rating between the rating agencies (S&amp;P and Moody</w:t>
      </w:r>
      <w:r>
        <w:t>’</w:t>
      </w:r>
      <w:r w:rsidRPr="00180B53">
        <w:t>s), the AOFM</w:t>
      </w:r>
      <w:r>
        <w:t>’</w:t>
      </w:r>
      <w:r w:rsidRPr="00180B53">
        <w:t>s exposure is allocated to the lower credit rating.</w:t>
      </w:r>
    </w:p>
    <w:p w14:paraId="23BF1F26" w14:textId="77777777" w:rsidR="008B3C24" w:rsidRDefault="008B3C24" w:rsidP="008B3C24">
      <w:r w:rsidRPr="00180B53">
        <w:t>To protect the Australian Government</w:t>
      </w:r>
      <w:r>
        <w:t>’</w:t>
      </w:r>
      <w:r w:rsidRPr="00180B53">
        <w:t xml:space="preserve">s financial position with respect to securities lending arrangements (which allows market participants to borrow Treasury Bonds and Treasury Indexed Bonds not readily available from other sources), the market value of the collateral taken from counterparties is greater than the market value of the securities lent. There is a right to seek additional collateral if there is a decline in the relative values. As </w:t>
      </w:r>
      <w:proofErr w:type="gramStart"/>
      <w:r w:rsidRPr="00180B53">
        <w:t>at</w:t>
      </w:r>
      <w:proofErr w:type="gramEnd"/>
      <w:r w:rsidRPr="00180B53">
        <w:t xml:space="preserve"> 30 June 2025 there </w:t>
      </w:r>
      <w:r w:rsidRPr="008D3F72">
        <w:t xml:space="preserve">were </w:t>
      </w:r>
      <w:r w:rsidRPr="00BF62BA">
        <w:t>no open securities</w:t>
      </w:r>
      <w:r w:rsidRPr="00180B53">
        <w:t xml:space="preserve"> lending transactions. </w:t>
      </w:r>
    </w:p>
    <w:p w14:paraId="1E747C50" w14:textId="77777777" w:rsidR="000F35C5" w:rsidRDefault="000F35C5">
      <w:pPr>
        <w:spacing w:after="0" w:line="240" w:lineRule="auto"/>
        <w:rPr>
          <w:rFonts w:eastAsiaTheme="majorEastAsia" w:cs="Open Sans Semibold"/>
          <w:b/>
          <w:bCs/>
          <w:color w:val="19556D"/>
          <w:sz w:val="30"/>
          <w:szCs w:val="32"/>
        </w:rPr>
      </w:pPr>
      <w:bookmarkStart w:id="1666" w:name="_Toc146112231"/>
      <w:bookmarkStart w:id="1667" w:name="_Toc207796132"/>
      <w:bookmarkEnd w:id="1665"/>
      <w:r>
        <w:br w:type="page"/>
      </w:r>
    </w:p>
    <w:p w14:paraId="0A6E1542" w14:textId="6439F4E2" w:rsidR="004563F9" w:rsidRPr="006534F5" w:rsidRDefault="004563F9" w:rsidP="004563F9">
      <w:pPr>
        <w:pStyle w:val="Heading3"/>
      </w:pPr>
      <w:r w:rsidRPr="006534F5">
        <w:lastRenderedPageBreak/>
        <w:t>Liquidity risk and refinancing risk</w:t>
      </w:r>
      <w:bookmarkEnd w:id="1666"/>
      <w:bookmarkEnd w:id="1667"/>
    </w:p>
    <w:p w14:paraId="125BDA14" w14:textId="77777777" w:rsidR="004563F9" w:rsidRPr="00EF54A5" w:rsidRDefault="004563F9" w:rsidP="004563F9">
      <w:r w:rsidRPr="00EF54A5">
        <w:t>The AOFM manages liquidity risk by maintaining a cash buffer and by maintaining access to the Treasury Note market.</w:t>
      </w:r>
    </w:p>
    <w:p w14:paraId="68C9FF44" w14:textId="77777777" w:rsidR="004563F9" w:rsidRDefault="004563F9" w:rsidP="004563F9">
      <w:r w:rsidRPr="00EF54A5">
        <w:t xml:space="preserve">The </w:t>
      </w:r>
      <w:r>
        <w:t xml:space="preserve">Government </w:t>
      </w:r>
      <w:r w:rsidRPr="00EF54A5">
        <w:t xml:space="preserve">also has access to an overdraft facility </w:t>
      </w:r>
      <w:r>
        <w:t xml:space="preserve">held by the Department of Finance </w:t>
      </w:r>
      <w:r w:rsidRPr="00EF54A5">
        <w:t xml:space="preserve">with the RBA which can be called on at any time. The overdraft facility is to cover temporary, unexpected shortfalls of cash and has a limit of $10 billion. The overdraft facility is undrawn at the reporting date. </w:t>
      </w:r>
    </w:p>
    <w:p w14:paraId="2852B0EA" w14:textId="77777777" w:rsidR="004563F9" w:rsidRPr="00EF54A5" w:rsidRDefault="004563F9" w:rsidP="004563F9">
      <w:r w:rsidRPr="00EF54A5">
        <w:t>Refinancing risk is the risk that when maturing debt needs to be funded by debt issuance, it may have to be refinanced at a higher cost or market conditions may prevent sufficient funds from being raised in an orderly manner.</w:t>
      </w:r>
    </w:p>
    <w:p w14:paraId="0759D95A" w14:textId="77777777" w:rsidR="004563F9" w:rsidRPr="00EF54A5" w:rsidRDefault="004563F9" w:rsidP="004563F9">
      <w:r w:rsidRPr="00EF54A5">
        <w:t xml:space="preserve">The AOFM seeks to manage refinancing risk by avoiding excessive </w:t>
      </w:r>
      <w:proofErr w:type="gramStart"/>
      <w:r w:rsidRPr="00EF54A5">
        <w:t>short dated</w:t>
      </w:r>
      <w:proofErr w:type="gramEnd"/>
      <w:r w:rsidRPr="00EF54A5">
        <w:t xml:space="preserve"> borrowing; spacing of maturity dates; avoiding overly large bond maturities in any one year; and maintaining access to the Treasury Note market.</w:t>
      </w:r>
    </w:p>
    <w:p w14:paraId="1CF40B18" w14:textId="77777777" w:rsidR="004563F9" w:rsidRPr="00EF54A5" w:rsidRDefault="004563F9" w:rsidP="004563F9">
      <w:r w:rsidRPr="00EF54A5">
        <w:t>The following table discloses the undiscounted value of the contractual maturities of financial liabilities as at the reporting date, including estimated future interest payments. Interest payments and the principal value on redemption of Treasury Indexed Bonds are based on capital values as at period end.</w:t>
      </w:r>
    </w:p>
    <w:p w14:paraId="64126FC3" w14:textId="77777777" w:rsidR="004563F9" w:rsidRDefault="004563F9" w:rsidP="004563F9">
      <w:pPr>
        <w:pStyle w:val="TableMainHeading"/>
        <w:keepLines/>
      </w:pPr>
      <w:r w:rsidRPr="006534F5">
        <w:t xml:space="preserve">Future undiscounted cash outflows of liabilities as </w:t>
      </w:r>
      <w:proofErr w:type="gramStart"/>
      <w:r w:rsidRPr="006534F5">
        <w:t>at</w:t>
      </w:r>
      <w:proofErr w:type="gramEnd"/>
      <w:r w:rsidRPr="006534F5">
        <w:t xml:space="preserve"> 30 June 202</w:t>
      </w:r>
      <w:r>
        <w:t>5</w:t>
      </w:r>
      <w:r w:rsidRPr="006534F5">
        <w:t xml:space="preserve"> </w:t>
      </w:r>
    </w:p>
    <w:tbl>
      <w:tblPr>
        <w:tblStyle w:val="AOFMTablemain"/>
        <w:tblW w:w="5000" w:type="pct"/>
        <w:tblLook w:val="06A0" w:firstRow="1" w:lastRow="0" w:firstColumn="1" w:lastColumn="0" w:noHBand="1" w:noVBand="1"/>
      </w:tblPr>
      <w:tblGrid>
        <w:gridCol w:w="2569"/>
        <w:gridCol w:w="1286"/>
        <w:gridCol w:w="1285"/>
        <w:gridCol w:w="1286"/>
        <w:gridCol w:w="1285"/>
      </w:tblGrid>
      <w:tr w:rsidR="0048600D" w:rsidRPr="006534F5" w14:paraId="01E24DA8" w14:textId="77777777" w:rsidTr="00BD7AD5">
        <w:trPr>
          <w:cnfStyle w:val="100000000000" w:firstRow="1" w:lastRow="0" w:firstColumn="0" w:lastColumn="0" w:oddVBand="0" w:evenVBand="0" w:oddHBand="0" w:evenHBand="0" w:firstRowFirstColumn="0" w:firstRowLastColumn="0" w:lastRowFirstColumn="0" w:lastRowLastColumn="0"/>
          <w:trHeight w:hRule="exact" w:val="1035"/>
        </w:trPr>
        <w:tc>
          <w:tcPr>
            <w:tcW w:w="1666" w:type="pct"/>
            <w:tcBorders>
              <w:bottom w:val="single" w:sz="4" w:space="0" w:color="29114B" w:themeColor="text2"/>
            </w:tcBorders>
            <w:noWrap/>
            <w:tcMar>
              <w:top w:w="28" w:type="dxa"/>
              <w:bottom w:w="28" w:type="dxa"/>
            </w:tcMar>
            <w:vAlign w:val="bottom"/>
            <w:hideMark/>
          </w:tcPr>
          <w:p w14:paraId="3256653B" w14:textId="77777777" w:rsidR="004563F9" w:rsidRPr="0035726C" w:rsidRDefault="004563F9" w:rsidP="004563F9">
            <w:pPr>
              <w:pStyle w:val="TableColumnHeadingRight"/>
              <w:rPr>
                <w:szCs w:val="16"/>
              </w:rPr>
            </w:pPr>
            <w:r w:rsidRPr="0035726C">
              <w:rPr>
                <w:szCs w:val="16"/>
              </w:rPr>
              <w:t> </w:t>
            </w:r>
          </w:p>
        </w:tc>
        <w:tc>
          <w:tcPr>
            <w:tcW w:w="834" w:type="pct"/>
            <w:tcBorders>
              <w:bottom w:val="single" w:sz="4" w:space="0" w:color="29114B" w:themeColor="text2"/>
            </w:tcBorders>
            <w:tcMar>
              <w:top w:w="28" w:type="dxa"/>
              <w:bottom w:w="28" w:type="dxa"/>
            </w:tcMar>
            <w:vAlign w:val="bottom"/>
            <w:hideMark/>
          </w:tcPr>
          <w:p w14:paraId="377656A9" w14:textId="77777777" w:rsidR="004563F9" w:rsidRPr="0035726C" w:rsidRDefault="004563F9" w:rsidP="004563F9">
            <w:pPr>
              <w:pStyle w:val="TableColumnHeadingRight"/>
              <w:rPr>
                <w:szCs w:val="16"/>
              </w:rPr>
            </w:pPr>
            <w:r w:rsidRPr="0035726C">
              <w:rPr>
                <w:szCs w:val="16"/>
              </w:rPr>
              <w:t xml:space="preserve"> Treasury Bonds ($million) </w:t>
            </w:r>
          </w:p>
        </w:tc>
        <w:tc>
          <w:tcPr>
            <w:tcW w:w="833" w:type="pct"/>
            <w:tcBorders>
              <w:bottom w:val="single" w:sz="4" w:space="0" w:color="29114B" w:themeColor="text2"/>
            </w:tcBorders>
            <w:tcMar>
              <w:top w:w="28" w:type="dxa"/>
              <w:bottom w:w="28" w:type="dxa"/>
            </w:tcMar>
            <w:vAlign w:val="bottom"/>
            <w:hideMark/>
          </w:tcPr>
          <w:p w14:paraId="51E75D25" w14:textId="77777777" w:rsidR="004563F9" w:rsidRPr="0035726C" w:rsidRDefault="004563F9" w:rsidP="004563F9">
            <w:pPr>
              <w:pStyle w:val="TableColumnHeadingRight"/>
              <w:rPr>
                <w:szCs w:val="16"/>
              </w:rPr>
            </w:pPr>
            <w:r w:rsidRPr="0035726C">
              <w:rPr>
                <w:szCs w:val="16"/>
              </w:rPr>
              <w:t xml:space="preserve"> Treasury Indexed </w:t>
            </w:r>
            <w:r w:rsidRPr="0035726C">
              <w:rPr>
                <w:szCs w:val="16"/>
              </w:rPr>
              <w:br/>
              <w:t xml:space="preserve">Bonds ($million) </w:t>
            </w:r>
          </w:p>
        </w:tc>
        <w:tc>
          <w:tcPr>
            <w:tcW w:w="834" w:type="pct"/>
            <w:tcBorders>
              <w:bottom w:val="single" w:sz="4" w:space="0" w:color="29114B" w:themeColor="text2"/>
            </w:tcBorders>
            <w:tcMar>
              <w:top w:w="28" w:type="dxa"/>
              <w:bottom w:w="28" w:type="dxa"/>
            </w:tcMar>
            <w:vAlign w:val="bottom"/>
            <w:hideMark/>
          </w:tcPr>
          <w:p w14:paraId="33ED46C8" w14:textId="77777777" w:rsidR="004563F9" w:rsidRPr="0035726C" w:rsidRDefault="004563F9" w:rsidP="004563F9">
            <w:pPr>
              <w:pStyle w:val="TableColumnHeadingRight"/>
              <w:rPr>
                <w:szCs w:val="16"/>
              </w:rPr>
            </w:pPr>
            <w:r w:rsidRPr="0035726C">
              <w:rPr>
                <w:szCs w:val="16"/>
              </w:rPr>
              <w:t xml:space="preserve"> Treasury </w:t>
            </w:r>
            <w:r w:rsidRPr="0035726C">
              <w:rPr>
                <w:szCs w:val="16"/>
              </w:rPr>
              <w:br/>
              <w:t xml:space="preserve">Notes </w:t>
            </w:r>
            <w:r w:rsidRPr="0035726C">
              <w:rPr>
                <w:szCs w:val="16"/>
              </w:rPr>
              <w:br/>
              <w:t xml:space="preserve">&amp; Other ($million) </w:t>
            </w:r>
          </w:p>
        </w:tc>
        <w:tc>
          <w:tcPr>
            <w:tcW w:w="833" w:type="pct"/>
            <w:tcBorders>
              <w:bottom w:val="single" w:sz="4" w:space="0" w:color="29114B" w:themeColor="text2"/>
            </w:tcBorders>
            <w:tcMar>
              <w:top w:w="28" w:type="dxa"/>
              <w:bottom w:w="28" w:type="dxa"/>
            </w:tcMar>
            <w:vAlign w:val="bottom"/>
            <w:hideMark/>
          </w:tcPr>
          <w:p w14:paraId="30C1478A" w14:textId="77777777" w:rsidR="004563F9" w:rsidRPr="0035726C" w:rsidRDefault="004563F9" w:rsidP="004563F9">
            <w:pPr>
              <w:pStyle w:val="TableColumnHeadingRight"/>
              <w:rPr>
                <w:szCs w:val="16"/>
              </w:rPr>
            </w:pPr>
            <w:r w:rsidRPr="0035726C">
              <w:rPr>
                <w:szCs w:val="16"/>
              </w:rPr>
              <w:t>Total ($million)</w:t>
            </w:r>
          </w:p>
        </w:tc>
      </w:tr>
      <w:tr w:rsidR="004563F9" w:rsidRPr="006534F5" w14:paraId="177755D9" w14:textId="77777777" w:rsidTr="00BD7AD5">
        <w:trPr>
          <w:trHeight w:val="258"/>
        </w:trPr>
        <w:tc>
          <w:tcPr>
            <w:tcW w:w="1666" w:type="pct"/>
            <w:tcBorders>
              <w:top w:val="single" w:sz="4" w:space="0" w:color="29114B" w:themeColor="text2"/>
              <w:right w:val="single" w:sz="4" w:space="0" w:color="F2F2F2" w:themeColor="background1" w:themeShade="F2"/>
            </w:tcBorders>
            <w:shd w:val="clear" w:color="auto" w:fill="F2F2F2" w:themeFill="background1" w:themeFillShade="F2"/>
            <w:noWrap/>
            <w:tcMar>
              <w:top w:w="11" w:type="dxa"/>
              <w:bottom w:w="11" w:type="dxa"/>
            </w:tcMar>
            <w:hideMark/>
          </w:tcPr>
          <w:p w14:paraId="61C9D54F" w14:textId="77777777" w:rsidR="004563F9" w:rsidRPr="00BD7AD5" w:rsidRDefault="004563F9" w:rsidP="009556C5">
            <w:pPr>
              <w:pStyle w:val="TableSecondHeading"/>
              <w:rPr>
                <w:b/>
                <w:bCs/>
              </w:rPr>
            </w:pPr>
            <w:bookmarkStart w:id="1668" w:name="_Hlk191301625"/>
            <w:r w:rsidRPr="00BD7AD5">
              <w:rPr>
                <w:b/>
                <w:bCs/>
              </w:rPr>
              <w:t>Principal payments:</w:t>
            </w:r>
          </w:p>
        </w:tc>
        <w:tc>
          <w:tcPr>
            <w:tcW w:w="83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hideMark/>
          </w:tcPr>
          <w:p w14:paraId="17092925" w14:textId="77777777" w:rsidR="004563F9" w:rsidRPr="0035726C" w:rsidRDefault="004563F9" w:rsidP="00C86F4A">
            <w:pPr>
              <w:pStyle w:val="TableTextRight"/>
              <w:rPr>
                <w:color w:val="202845"/>
                <w:szCs w:val="16"/>
              </w:rPr>
            </w:pPr>
            <w:r w:rsidRPr="0035726C">
              <w:rPr>
                <w:color w:val="202845"/>
                <w:szCs w:val="16"/>
              </w:rPr>
              <w:t> </w:t>
            </w: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hideMark/>
          </w:tcPr>
          <w:p w14:paraId="557C3B12" w14:textId="77777777" w:rsidR="004563F9" w:rsidRPr="0035726C" w:rsidRDefault="004563F9" w:rsidP="00C86F4A">
            <w:pPr>
              <w:pStyle w:val="TableTextRight"/>
              <w:rPr>
                <w:color w:val="202845"/>
                <w:szCs w:val="16"/>
              </w:rPr>
            </w:pPr>
            <w:r w:rsidRPr="0035726C">
              <w:rPr>
                <w:color w:val="202845"/>
                <w:szCs w:val="16"/>
              </w:rPr>
              <w:t> </w:t>
            </w:r>
          </w:p>
        </w:tc>
        <w:tc>
          <w:tcPr>
            <w:tcW w:w="83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hideMark/>
          </w:tcPr>
          <w:p w14:paraId="19F2F815" w14:textId="77777777" w:rsidR="004563F9" w:rsidRPr="0035726C" w:rsidRDefault="004563F9" w:rsidP="00C86F4A">
            <w:pPr>
              <w:pStyle w:val="TableTextRight"/>
              <w:rPr>
                <w:color w:val="202845"/>
                <w:szCs w:val="16"/>
              </w:rPr>
            </w:pPr>
            <w:r w:rsidRPr="0035726C">
              <w:rPr>
                <w:color w:val="202845"/>
                <w:szCs w:val="16"/>
              </w:rPr>
              <w:t> </w:t>
            </w:r>
          </w:p>
        </w:tc>
        <w:tc>
          <w:tcPr>
            <w:tcW w:w="833" w:type="pct"/>
            <w:tcBorders>
              <w:top w:val="single" w:sz="4" w:space="0" w:color="29114B" w:themeColor="text2"/>
              <w:left w:val="single" w:sz="4" w:space="0" w:color="F2F2F2" w:themeColor="background1" w:themeShade="F2"/>
            </w:tcBorders>
            <w:shd w:val="clear" w:color="auto" w:fill="F2F2F2" w:themeFill="background1" w:themeFillShade="F2"/>
            <w:noWrap/>
            <w:tcMar>
              <w:top w:w="11" w:type="dxa"/>
              <w:bottom w:w="11" w:type="dxa"/>
            </w:tcMar>
            <w:hideMark/>
          </w:tcPr>
          <w:p w14:paraId="19240F9A" w14:textId="77777777" w:rsidR="004563F9" w:rsidRPr="0035726C" w:rsidRDefault="004563F9" w:rsidP="00C86F4A">
            <w:pPr>
              <w:pStyle w:val="TableTextRight"/>
              <w:rPr>
                <w:color w:val="202845"/>
                <w:szCs w:val="16"/>
              </w:rPr>
            </w:pPr>
            <w:r w:rsidRPr="0035726C">
              <w:rPr>
                <w:color w:val="202845"/>
                <w:szCs w:val="16"/>
              </w:rPr>
              <w:t> </w:t>
            </w:r>
          </w:p>
        </w:tc>
      </w:tr>
      <w:tr w:rsidR="004563F9" w:rsidRPr="006534F5" w14:paraId="37B63553" w14:textId="77777777" w:rsidTr="00BD7AD5">
        <w:trPr>
          <w:trHeight w:val="258"/>
        </w:trPr>
        <w:tc>
          <w:tcPr>
            <w:tcW w:w="1666" w:type="pct"/>
            <w:shd w:val="clear" w:color="auto" w:fill="F2F2F2" w:themeFill="background1" w:themeFillShade="F2"/>
            <w:noWrap/>
            <w:tcMar>
              <w:top w:w="11" w:type="dxa"/>
              <w:bottom w:w="11" w:type="dxa"/>
            </w:tcMar>
            <w:hideMark/>
          </w:tcPr>
          <w:p w14:paraId="58252392" w14:textId="77777777" w:rsidR="004563F9" w:rsidRPr="00B15F76" w:rsidRDefault="004563F9" w:rsidP="00C86F4A">
            <w:pPr>
              <w:pStyle w:val="TableTextLeft"/>
            </w:pPr>
            <w:r w:rsidRPr="00B15F76">
              <w:t>within 1 year</w:t>
            </w:r>
          </w:p>
        </w:tc>
        <w:tc>
          <w:tcPr>
            <w:tcW w:w="834" w:type="pct"/>
            <w:shd w:val="clear" w:color="auto" w:fill="F2F2F2" w:themeFill="background1" w:themeFillShade="F2"/>
            <w:noWrap/>
            <w:tcMar>
              <w:top w:w="11" w:type="dxa"/>
              <w:bottom w:w="11" w:type="dxa"/>
            </w:tcMar>
          </w:tcPr>
          <w:p w14:paraId="23D28BA8" w14:textId="77777777" w:rsidR="004563F9" w:rsidRPr="0035726C" w:rsidRDefault="004563F9" w:rsidP="00C86F4A">
            <w:pPr>
              <w:pStyle w:val="TableTextRight"/>
              <w:rPr>
                <w:szCs w:val="16"/>
              </w:rPr>
            </w:pPr>
            <w:r>
              <w:rPr>
                <w:szCs w:val="16"/>
              </w:rPr>
              <w:t>78,800</w:t>
            </w:r>
          </w:p>
        </w:tc>
        <w:tc>
          <w:tcPr>
            <w:tcW w:w="833" w:type="pct"/>
            <w:shd w:val="clear" w:color="auto" w:fill="F2F2F2" w:themeFill="background1" w:themeFillShade="F2"/>
            <w:noWrap/>
            <w:tcMar>
              <w:top w:w="11" w:type="dxa"/>
              <w:bottom w:w="11" w:type="dxa"/>
            </w:tcMar>
          </w:tcPr>
          <w:p w14:paraId="5F4469EC" w14:textId="77777777" w:rsidR="004563F9" w:rsidRPr="0035726C" w:rsidRDefault="004563F9" w:rsidP="00C86F4A">
            <w:pPr>
              <w:pStyle w:val="TableTextRight"/>
              <w:rPr>
                <w:szCs w:val="16"/>
              </w:rPr>
            </w:pPr>
            <w:r>
              <w:rPr>
                <w:szCs w:val="16"/>
              </w:rPr>
              <w:t>6,135</w:t>
            </w:r>
          </w:p>
        </w:tc>
        <w:tc>
          <w:tcPr>
            <w:tcW w:w="834" w:type="pct"/>
            <w:shd w:val="clear" w:color="auto" w:fill="F2F2F2" w:themeFill="background1" w:themeFillShade="F2"/>
            <w:noWrap/>
            <w:tcMar>
              <w:top w:w="11" w:type="dxa"/>
              <w:bottom w:w="11" w:type="dxa"/>
            </w:tcMar>
          </w:tcPr>
          <w:p w14:paraId="5EA05DEC" w14:textId="77777777" w:rsidR="004563F9" w:rsidRPr="0035726C" w:rsidRDefault="004563F9" w:rsidP="00C86F4A">
            <w:pPr>
              <w:pStyle w:val="TableTextRight"/>
              <w:rPr>
                <w:szCs w:val="16"/>
              </w:rPr>
            </w:pPr>
            <w:r>
              <w:rPr>
                <w:szCs w:val="16"/>
              </w:rPr>
              <w:t>32,615</w:t>
            </w:r>
          </w:p>
        </w:tc>
        <w:tc>
          <w:tcPr>
            <w:tcW w:w="833" w:type="pct"/>
            <w:shd w:val="clear" w:color="auto" w:fill="F2F2F2" w:themeFill="background1" w:themeFillShade="F2"/>
            <w:noWrap/>
            <w:tcMar>
              <w:top w:w="11" w:type="dxa"/>
              <w:bottom w:w="11" w:type="dxa"/>
            </w:tcMar>
          </w:tcPr>
          <w:p w14:paraId="494002BF" w14:textId="77777777" w:rsidR="004563F9" w:rsidRPr="0035726C" w:rsidRDefault="004563F9" w:rsidP="00C86F4A">
            <w:pPr>
              <w:pStyle w:val="TableTextRight"/>
              <w:rPr>
                <w:szCs w:val="16"/>
              </w:rPr>
            </w:pPr>
            <w:r>
              <w:rPr>
                <w:szCs w:val="16"/>
              </w:rPr>
              <w:t>117,550</w:t>
            </w:r>
          </w:p>
        </w:tc>
      </w:tr>
      <w:tr w:rsidR="004563F9" w:rsidRPr="006534F5" w14:paraId="7516A587" w14:textId="77777777" w:rsidTr="00BD7AD5">
        <w:trPr>
          <w:trHeight w:val="258"/>
        </w:trPr>
        <w:tc>
          <w:tcPr>
            <w:tcW w:w="1666" w:type="pct"/>
            <w:shd w:val="clear" w:color="auto" w:fill="F2F2F2" w:themeFill="background1" w:themeFillShade="F2"/>
            <w:noWrap/>
            <w:tcMar>
              <w:top w:w="11" w:type="dxa"/>
              <w:bottom w:w="11" w:type="dxa"/>
            </w:tcMar>
            <w:hideMark/>
          </w:tcPr>
          <w:p w14:paraId="6428861F" w14:textId="77777777" w:rsidR="004563F9" w:rsidRPr="00B15F76" w:rsidRDefault="004563F9" w:rsidP="00C86F4A">
            <w:pPr>
              <w:pStyle w:val="TableTextLeft"/>
            </w:pPr>
            <w:r w:rsidRPr="00B15F76">
              <w:t>1 to 5 years</w:t>
            </w:r>
          </w:p>
        </w:tc>
        <w:tc>
          <w:tcPr>
            <w:tcW w:w="834" w:type="pct"/>
            <w:shd w:val="clear" w:color="auto" w:fill="F2F2F2" w:themeFill="background1" w:themeFillShade="F2"/>
            <w:noWrap/>
            <w:tcMar>
              <w:top w:w="11" w:type="dxa"/>
              <w:bottom w:w="11" w:type="dxa"/>
            </w:tcMar>
          </w:tcPr>
          <w:p w14:paraId="01AE2C5B" w14:textId="77777777" w:rsidR="004563F9" w:rsidRPr="0035726C" w:rsidRDefault="004563F9" w:rsidP="00C86F4A">
            <w:pPr>
              <w:pStyle w:val="TableTextRight"/>
              <w:rPr>
                <w:szCs w:val="16"/>
              </w:rPr>
            </w:pPr>
            <w:r>
              <w:rPr>
                <w:szCs w:val="16"/>
              </w:rPr>
              <w:t>315,299</w:t>
            </w:r>
          </w:p>
        </w:tc>
        <w:tc>
          <w:tcPr>
            <w:tcW w:w="833" w:type="pct"/>
            <w:shd w:val="clear" w:color="auto" w:fill="F2F2F2" w:themeFill="background1" w:themeFillShade="F2"/>
            <w:noWrap/>
            <w:tcMar>
              <w:top w:w="11" w:type="dxa"/>
              <w:bottom w:w="11" w:type="dxa"/>
            </w:tcMar>
          </w:tcPr>
          <w:p w14:paraId="11E8516A" w14:textId="77777777" w:rsidR="004563F9" w:rsidRPr="0035726C" w:rsidRDefault="004563F9" w:rsidP="00C86F4A">
            <w:pPr>
              <w:pStyle w:val="TableTextRight"/>
              <w:rPr>
                <w:szCs w:val="16"/>
              </w:rPr>
            </w:pPr>
            <w:r>
              <w:rPr>
                <w:szCs w:val="16"/>
              </w:rPr>
              <w:t>9,352</w:t>
            </w:r>
          </w:p>
        </w:tc>
        <w:tc>
          <w:tcPr>
            <w:tcW w:w="834" w:type="pct"/>
            <w:shd w:val="clear" w:color="auto" w:fill="F2F2F2" w:themeFill="background1" w:themeFillShade="F2"/>
            <w:noWrap/>
            <w:tcMar>
              <w:top w:w="11" w:type="dxa"/>
              <w:bottom w:w="11" w:type="dxa"/>
            </w:tcMar>
          </w:tcPr>
          <w:p w14:paraId="18880563"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35436216" w14:textId="77777777" w:rsidR="004563F9" w:rsidRPr="0035726C" w:rsidRDefault="004563F9" w:rsidP="00C86F4A">
            <w:pPr>
              <w:pStyle w:val="TableTextRight"/>
              <w:rPr>
                <w:szCs w:val="16"/>
              </w:rPr>
            </w:pPr>
            <w:r>
              <w:rPr>
                <w:szCs w:val="16"/>
              </w:rPr>
              <w:t>324,651</w:t>
            </w:r>
          </w:p>
        </w:tc>
      </w:tr>
      <w:tr w:rsidR="004563F9" w:rsidRPr="006534F5" w14:paraId="60FC0339" w14:textId="77777777" w:rsidTr="00BD7AD5">
        <w:trPr>
          <w:trHeight w:val="258"/>
        </w:trPr>
        <w:tc>
          <w:tcPr>
            <w:tcW w:w="1666" w:type="pct"/>
            <w:shd w:val="clear" w:color="auto" w:fill="F2F2F2" w:themeFill="background1" w:themeFillShade="F2"/>
            <w:noWrap/>
            <w:tcMar>
              <w:top w:w="11" w:type="dxa"/>
              <w:bottom w:w="11" w:type="dxa"/>
            </w:tcMar>
            <w:hideMark/>
          </w:tcPr>
          <w:p w14:paraId="00D92D73" w14:textId="77777777" w:rsidR="004563F9" w:rsidRPr="00B15F76" w:rsidRDefault="004563F9" w:rsidP="00C86F4A">
            <w:pPr>
              <w:pStyle w:val="TableTextLeft"/>
            </w:pPr>
            <w:r w:rsidRPr="00B15F76">
              <w:t>5 to 10 years</w:t>
            </w:r>
          </w:p>
        </w:tc>
        <w:tc>
          <w:tcPr>
            <w:tcW w:w="834" w:type="pct"/>
            <w:shd w:val="clear" w:color="auto" w:fill="F2F2F2" w:themeFill="background1" w:themeFillShade="F2"/>
            <w:noWrap/>
            <w:tcMar>
              <w:top w:w="11" w:type="dxa"/>
              <w:bottom w:w="11" w:type="dxa"/>
            </w:tcMar>
          </w:tcPr>
          <w:p w14:paraId="26B13C91" w14:textId="77777777" w:rsidR="004563F9" w:rsidRPr="0035726C" w:rsidRDefault="004563F9" w:rsidP="00C86F4A">
            <w:pPr>
              <w:pStyle w:val="TableTextRight"/>
              <w:rPr>
                <w:szCs w:val="16"/>
              </w:rPr>
            </w:pPr>
            <w:r>
              <w:rPr>
                <w:szCs w:val="16"/>
              </w:rPr>
              <w:t>336,850</w:t>
            </w:r>
          </w:p>
        </w:tc>
        <w:tc>
          <w:tcPr>
            <w:tcW w:w="833" w:type="pct"/>
            <w:shd w:val="clear" w:color="auto" w:fill="F2F2F2" w:themeFill="background1" w:themeFillShade="F2"/>
            <w:noWrap/>
            <w:tcMar>
              <w:top w:w="11" w:type="dxa"/>
              <w:bottom w:w="11" w:type="dxa"/>
            </w:tcMar>
          </w:tcPr>
          <w:p w14:paraId="786D4B75" w14:textId="77777777" w:rsidR="004563F9" w:rsidRPr="0035726C" w:rsidRDefault="004563F9" w:rsidP="00C86F4A">
            <w:pPr>
              <w:pStyle w:val="TableTextRight"/>
              <w:rPr>
                <w:szCs w:val="16"/>
              </w:rPr>
            </w:pPr>
            <w:r>
              <w:rPr>
                <w:szCs w:val="16"/>
              </w:rPr>
              <w:t>18,282</w:t>
            </w:r>
          </w:p>
        </w:tc>
        <w:tc>
          <w:tcPr>
            <w:tcW w:w="834" w:type="pct"/>
            <w:shd w:val="clear" w:color="auto" w:fill="F2F2F2" w:themeFill="background1" w:themeFillShade="F2"/>
            <w:noWrap/>
            <w:tcMar>
              <w:top w:w="11" w:type="dxa"/>
              <w:bottom w:w="11" w:type="dxa"/>
            </w:tcMar>
          </w:tcPr>
          <w:p w14:paraId="13F4C978"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30E1C980" w14:textId="77777777" w:rsidR="004563F9" w:rsidRPr="0035726C" w:rsidRDefault="004563F9" w:rsidP="00C86F4A">
            <w:pPr>
              <w:pStyle w:val="TableTextRight"/>
              <w:rPr>
                <w:szCs w:val="16"/>
              </w:rPr>
            </w:pPr>
            <w:r>
              <w:rPr>
                <w:szCs w:val="16"/>
              </w:rPr>
              <w:t>355,132</w:t>
            </w:r>
          </w:p>
        </w:tc>
      </w:tr>
      <w:tr w:rsidR="004563F9" w:rsidRPr="006534F5" w14:paraId="4988B0E4" w14:textId="77777777" w:rsidTr="00BD7AD5">
        <w:trPr>
          <w:trHeight w:val="258"/>
        </w:trPr>
        <w:tc>
          <w:tcPr>
            <w:tcW w:w="1666" w:type="pct"/>
            <w:shd w:val="clear" w:color="auto" w:fill="F2F2F2" w:themeFill="background1" w:themeFillShade="F2"/>
            <w:noWrap/>
            <w:tcMar>
              <w:top w:w="11" w:type="dxa"/>
              <w:bottom w:w="11" w:type="dxa"/>
            </w:tcMar>
            <w:hideMark/>
          </w:tcPr>
          <w:p w14:paraId="3F1485BD" w14:textId="77777777" w:rsidR="004563F9" w:rsidRPr="00B15F76" w:rsidRDefault="004563F9" w:rsidP="00C86F4A">
            <w:pPr>
              <w:pStyle w:val="TableTextLeft"/>
            </w:pPr>
            <w:r w:rsidRPr="00B15F76">
              <w:t>10 to 15 years</w:t>
            </w:r>
          </w:p>
        </w:tc>
        <w:tc>
          <w:tcPr>
            <w:tcW w:w="834" w:type="pct"/>
            <w:shd w:val="clear" w:color="auto" w:fill="F2F2F2" w:themeFill="background1" w:themeFillShade="F2"/>
            <w:noWrap/>
            <w:tcMar>
              <w:top w:w="11" w:type="dxa"/>
              <w:bottom w:w="11" w:type="dxa"/>
            </w:tcMar>
          </w:tcPr>
          <w:p w14:paraId="115B69F2" w14:textId="77777777" w:rsidR="004563F9" w:rsidRPr="0035726C" w:rsidRDefault="004563F9" w:rsidP="00C86F4A">
            <w:pPr>
              <w:pStyle w:val="TableTextRight"/>
              <w:rPr>
                <w:szCs w:val="16"/>
              </w:rPr>
            </w:pPr>
            <w:r>
              <w:rPr>
                <w:szCs w:val="16"/>
              </w:rPr>
              <w:t>63,300</w:t>
            </w:r>
          </w:p>
        </w:tc>
        <w:tc>
          <w:tcPr>
            <w:tcW w:w="833" w:type="pct"/>
            <w:shd w:val="clear" w:color="auto" w:fill="F2F2F2" w:themeFill="background1" w:themeFillShade="F2"/>
            <w:noWrap/>
            <w:tcMar>
              <w:top w:w="11" w:type="dxa"/>
              <w:bottom w:w="11" w:type="dxa"/>
            </w:tcMar>
          </w:tcPr>
          <w:p w14:paraId="7AFC2AEC" w14:textId="77777777" w:rsidR="004563F9" w:rsidRPr="0035726C" w:rsidRDefault="004563F9" w:rsidP="00C86F4A">
            <w:pPr>
              <w:pStyle w:val="TableTextRight"/>
              <w:rPr>
                <w:szCs w:val="16"/>
              </w:rPr>
            </w:pPr>
            <w:r>
              <w:rPr>
                <w:szCs w:val="16"/>
              </w:rPr>
              <w:t>8,921</w:t>
            </w:r>
          </w:p>
        </w:tc>
        <w:tc>
          <w:tcPr>
            <w:tcW w:w="834" w:type="pct"/>
            <w:shd w:val="clear" w:color="auto" w:fill="F2F2F2" w:themeFill="background1" w:themeFillShade="F2"/>
            <w:noWrap/>
            <w:tcMar>
              <w:top w:w="11" w:type="dxa"/>
              <w:bottom w:w="11" w:type="dxa"/>
            </w:tcMar>
          </w:tcPr>
          <w:p w14:paraId="3707A0E9"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3AB4EA2E" w14:textId="77777777" w:rsidR="004563F9" w:rsidRPr="0035726C" w:rsidRDefault="004563F9" w:rsidP="00C86F4A">
            <w:pPr>
              <w:pStyle w:val="TableTextRight"/>
              <w:rPr>
                <w:szCs w:val="16"/>
              </w:rPr>
            </w:pPr>
            <w:r>
              <w:rPr>
                <w:szCs w:val="16"/>
              </w:rPr>
              <w:t>72,221</w:t>
            </w:r>
          </w:p>
        </w:tc>
      </w:tr>
      <w:tr w:rsidR="004563F9" w:rsidRPr="006534F5" w14:paraId="4E36EFA0" w14:textId="77777777" w:rsidTr="00BD7AD5">
        <w:trPr>
          <w:trHeight w:val="258"/>
        </w:trPr>
        <w:tc>
          <w:tcPr>
            <w:tcW w:w="1666" w:type="pct"/>
            <w:shd w:val="clear" w:color="auto" w:fill="F2F2F2" w:themeFill="background1" w:themeFillShade="F2"/>
            <w:noWrap/>
            <w:tcMar>
              <w:top w:w="11" w:type="dxa"/>
              <w:bottom w:w="11" w:type="dxa"/>
            </w:tcMar>
            <w:hideMark/>
          </w:tcPr>
          <w:p w14:paraId="1BF6EDED" w14:textId="77777777" w:rsidR="004563F9" w:rsidRPr="00B15F76" w:rsidRDefault="004563F9" w:rsidP="00C86F4A">
            <w:pPr>
              <w:pStyle w:val="TableTextLeft"/>
            </w:pPr>
            <w:r w:rsidRPr="00B15F76">
              <w:t>15 years+</w:t>
            </w:r>
          </w:p>
        </w:tc>
        <w:tc>
          <w:tcPr>
            <w:tcW w:w="834" w:type="pct"/>
            <w:shd w:val="clear" w:color="auto" w:fill="F2F2F2" w:themeFill="background1" w:themeFillShade="F2"/>
            <w:noWrap/>
            <w:tcMar>
              <w:top w:w="11" w:type="dxa"/>
              <w:bottom w:w="11" w:type="dxa"/>
            </w:tcMar>
          </w:tcPr>
          <w:p w14:paraId="6B12616E" w14:textId="77777777" w:rsidR="004563F9" w:rsidRPr="0035726C" w:rsidRDefault="004563F9" w:rsidP="00C86F4A">
            <w:pPr>
              <w:pStyle w:val="TableTextRight"/>
              <w:rPr>
                <w:szCs w:val="16"/>
              </w:rPr>
            </w:pPr>
            <w:r>
              <w:rPr>
                <w:szCs w:val="16"/>
              </w:rPr>
              <w:t>59,500</w:t>
            </w:r>
          </w:p>
        </w:tc>
        <w:tc>
          <w:tcPr>
            <w:tcW w:w="833" w:type="pct"/>
            <w:shd w:val="clear" w:color="auto" w:fill="F2F2F2" w:themeFill="background1" w:themeFillShade="F2"/>
            <w:noWrap/>
            <w:tcMar>
              <w:top w:w="11" w:type="dxa"/>
              <w:bottom w:w="11" w:type="dxa"/>
            </w:tcMar>
          </w:tcPr>
          <w:p w14:paraId="3B30ABFA" w14:textId="77777777" w:rsidR="004563F9" w:rsidRPr="0035726C" w:rsidRDefault="004563F9" w:rsidP="00C86F4A">
            <w:pPr>
              <w:pStyle w:val="TableTextRight"/>
              <w:rPr>
                <w:szCs w:val="16"/>
              </w:rPr>
            </w:pPr>
            <w:r>
              <w:rPr>
                <w:szCs w:val="16"/>
              </w:rPr>
              <w:t>13,450</w:t>
            </w:r>
          </w:p>
        </w:tc>
        <w:tc>
          <w:tcPr>
            <w:tcW w:w="834" w:type="pct"/>
            <w:shd w:val="clear" w:color="auto" w:fill="F2F2F2" w:themeFill="background1" w:themeFillShade="F2"/>
            <w:noWrap/>
            <w:tcMar>
              <w:top w:w="11" w:type="dxa"/>
              <w:bottom w:w="11" w:type="dxa"/>
            </w:tcMar>
          </w:tcPr>
          <w:p w14:paraId="554268C4"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6FBA03F6" w14:textId="77777777" w:rsidR="004563F9" w:rsidRPr="0035726C" w:rsidRDefault="004563F9" w:rsidP="00C86F4A">
            <w:pPr>
              <w:pStyle w:val="TableTextRight"/>
              <w:rPr>
                <w:szCs w:val="16"/>
              </w:rPr>
            </w:pPr>
            <w:r>
              <w:rPr>
                <w:szCs w:val="16"/>
              </w:rPr>
              <w:t>72,950</w:t>
            </w:r>
          </w:p>
        </w:tc>
      </w:tr>
      <w:tr w:rsidR="004563F9" w:rsidRPr="006534F5" w14:paraId="6ACE434A" w14:textId="77777777" w:rsidTr="00BD7AD5">
        <w:trPr>
          <w:trHeight w:val="258"/>
        </w:trPr>
        <w:tc>
          <w:tcPr>
            <w:tcW w:w="1666" w:type="pct"/>
            <w:tcBorders>
              <w:bottom w:val="single" w:sz="4" w:space="0" w:color="29114B" w:themeColor="text2"/>
            </w:tcBorders>
            <w:shd w:val="clear" w:color="auto" w:fill="F2F2F2" w:themeFill="background1" w:themeFillShade="F2"/>
            <w:noWrap/>
            <w:tcMar>
              <w:top w:w="11" w:type="dxa"/>
              <w:bottom w:w="11" w:type="dxa"/>
            </w:tcMar>
            <w:hideMark/>
          </w:tcPr>
          <w:p w14:paraId="2C939F53" w14:textId="77777777" w:rsidR="004563F9" w:rsidRPr="00744B44" w:rsidRDefault="004563F9" w:rsidP="00C86F4A">
            <w:pPr>
              <w:pStyle w:val="TableTextLeft"/>
              <w:rPr>
                <w:b/>
                <w:bCs/>
              </w:rPr>
            </w:pPr>
            <w:r w:rsidRPr="00744B44">
              <w:rPr>
                <w:b/>
                <w:bCs/>
              </w:rPr>
              <w:t>Total Principal</w:t>
            </w:r>
          </w:p>
        </w:tc>
        <w:tc>
          <w:tcPr>
            <w:tcW w:w="834" w:type="pct"/>
            <w:tcBorders>
              <w:bottom w:val="single" w:sz="4" w:space="0" w:color="29114B" w:themeColor="text2"/>
            </w:tcBorders>
            <w:shd w:val="clear" w:color="auto" w:fill="F2F2F2" w:themeFill="background1" w:themeFillShade="F2"/>
            <w:noWrap/>
            <w:tcMar>
              <w:top w:w="11" w:type="dxa"/>
              <w:bottom w:w="11" w:type="dxa"/>
            </w:tcMar>
          </w:tcPr>
          <w:p w14:paraId="3653F098" w14:textId="77777777" w:rsidR="004563F9" w:rsidRPr="0035726C" w:rsidRDefault="004563F9" w:rsidP="00C86F4A">
            <w:pPr>
              <w:pStyle w:val="TableTextRight"/>
              <w:spacing w:before="100" w:beforeAutospacing="1"/>
              <w:rPr>
                <w:rStyle w:val="Strong"/>
                <w:szCs w:val="16"/>
              </w:rPr>
            </w:pPr>
            <w:r>
              <w:rPr>
                <w:rStyle w:val="Strong"/>
                <w:szCs w:val="16"/>
              </w:rPr>
              <w:t>853,749</w:t>
            </w:r>
          </w:p>
        </w:tc>
        <w:tc>
          <w:tcPr>
            <w:tcW w:w="833" w:type="pct"/>
            <w:tcBorders>
              <w:bottom w:val="single" w:sz="4" w:space="0" w:color="29114B" w:themeColor="text2"/>
            </w:tcBorders>
            <w:shd w:val="clear" w:color="auto" w:fill="F2F2F2" w:themeFill="background1" w:themeFillShade="F2"/>
            <w:noWrap/>
            <w:tcMar>
              <w:top w:w="11" w:type="dxa"/>
              <w:bottom w:w="11" w:type="dxa"/>
            </w:tcMar>
          </w:tcPr>
          <w:p w14:paraId="4D41CEF6" w14:textId="77777777" w:rsidR="004563F9" w:rsidRPr="0035726C" w:rsidRDefault="004563F9" w:rsidP="00C86F4A">
            <w:pPr>
              <w:pStyle w:val="TableTextRight"/>
              <w:spacing w:before="100" w:beforeAutospacing="1"/>
              <w:rPr>
                <w:rStyle w:val="Strong"/>
                <w:szCs w:val="16"/>
              </w:rPr>
            </w:pPr>
            <w:r>
              <w:rPr>
                <w:rStyle w:val="Strong"/>
                <w:szCs w:val="16"/>
              </w:rPr>
              <w:t>56,140</w:t>
            </w:r>
          </w:p>
        </w:tc>
        <w:tc>
          <w:tcPr>
            <w:tcW w:w="834" w:type="pct"/>
            <w:tcBorders>
              <w:bottom w:val="single" w:sz="4" w:space="0" w:color="29114B" w:themeColor="text2"/>
            </w:tcBorders>
            <w:shd w:val="clear" w:color="auto" w:fill="F2F2F2" w:themeFill="background1" w:themeFillShade="F2"/>
            <w:noWrap/>
            <w:tcMar>
              <w:top w:w="11" w:type="dxa"/>
              <w:bottom w:w="11" w:type="dxa"/>
            </w:tcMar>
          </w:tcPr>
          <w:p w14:paraId="70AD81BD" w14:textId="77777777" w:rsidR="004563F9" w:rsidRPr="0035726C" w:rsidRDefault="004563F9" w:rsidP="00C86F4A">
            <w:pPr>
              <w:pStyle w:val="TableTextRight"/>
              <w:spacing w:before="100" w:beforeAutospacing="1"/>
              <w:rPr>
                <w:rStyle w:val="Strong"/>
                <w:szCs w:val="16"/>
              </w:rPr>
            </w:pPr>
            <w:r>
              <w:rPr>
                <w:rStyle w:val="Strong"/>
                <w:szCs w:val="16"/>
              </w:rPr>
              <w:t>32,615</w:t>
            </w:r>
          </w:p>
        </w:tc>
        <w:tc>
          <w:tcPr>
            <w:tcW w:w="833" w:type="pct"/>
            <w:tcBorders>
              <w:bottom w:val="single" w:sz="4" w:space="0" w:color="29114B" w:themeColor="text2"/>
            </w:tcBorders>
            <w:shd w:val="clear" w:color="auto" w:fill="F2F2F2" w:themeFill="background1" w:themeFillShade="F2"/>
            <w:noWrap/>
            <w:tcMar>
              <w:top w:w="11" w:type="dxa"/>
              <w:bottom w:w="11" w:type="dxa"/>
            </w:tcMar>
          </w:tcPr>
          <w:p w14:paraId="4B572FB6" w14:textId="77777777" w:rsidR="004563F9" w:rsidRPr="0035726C" w:rsidRDefault="004563F9" w:rsidP="00C86F4A">
            <w:pPr>
              <w:pStyle w:val="TableTextRight"/>
              <w:spacing w:before="100" w:beforeAutospacing="1"/>
              <w:rPr>
                <w:rStyle w:val="Strong"/>
                <w:szCs w:val="16"/>
              </w:rPr>
            </w:pPr>
            <w:r>
              <w:rPr>
                <w:rStyle w:val="Strong"/>
                <w:szCs w:val="16"/>
              </w:rPr>
              <w:t>942,504</w:t>
            </w:r>
          </w:p>
        </w:tc>
      </w:tr>
      <w:tr w:rsidR="004563F9" w:rsidRPr="006534F5" w14:paraId="2851B3D8" w14:textId="77777777" w:rsidTr="00BD7AD5">
        <w:trPr>
          <w:trHeight w:val="258"/>
        </w:trPr>
        <w:tc>
          <w:tcPr>
            <w:tcW w:w="1666" w:type="pct"/>
            <w:tcBorders>
              <w:top w:val="single" w:sz="4" w:space="0" w:color="29114B" w:themeColor="text2"/>
              <w:right w:val="single" w:sz="4" w:space="0" w:color="F2F2F2" w:themeColor="background1" w:themeShade="F2"/>
            </w:tcBorders>
            <w:shd w:val="clear" w:color="auto" w:fill="F2F2F2" w:themeFill="background1" w:themeFillShade="F2"/>
            <w:noWrap/>
            <w:tcMar>
              <w:top w:w="11" w:type="dxa"/>
              <w:bottom w:w="11" w:type="dxa"/>
            </w:tcMar>
            <w:hideMark/>
          </w:tcPr>
          <w:p w14:paraId="05F8567D" w14:textId="77777777" w:rsidR="004563F9" w:rsidRPr="00BD7AD5" w:rsidRDefault="004563F9" w:rsidP="009556C5">
            <w:pPr>
              <w:pStyle w:val="TableSecondHeading"/>
              <w:rPr>
                <w:b/>
                <w:bCs/>
              </w:rPr>
            </w:pPr>
            <w:r w:rsidRPr="00BD7AD5">
              <w:rPr>
                <w:b/>
                <w:bCs/>
              </w:rPr>
              <w:t>Interest payments:</w:t>
            </w:r>
          </w:p>
        </w:tc>
        <w:tc>
          <w:tcPr>
            <w:tcW w:w="83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tcPr>
          <w:p w14:paraId="231A9C67" w14:textId="77777777" w:rsidR="004563F9" w:rsidRPr="0035726C" w:rsidRDefault="004563F9" w:rsidP="00C86F4A">
            <w:pPr>
              <w:pStyle w:val="TableTextRight"/>
              <w:spacing w:before="100" w:beforeAutospacing="1"/>
              <w:rPr>
                <w:szCs w:val="16"/>
              </w:rPr>
            </w:pPr>
          </w:p>
        </w:tc>
        <w:tc>
          <w:tcPr>
            <w:tcW w:w="83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tcPr>
          <w:p w14:paraId="4EEEEE96" w14:textId="77777777" w:rsidR="004563F9" w:rsidRPr="0035726C" w:rsidRDefault="004563F9" w:rsidP="00C86F4A">
            <w:pPr>
              <w:pStyle w:val="TableTextRight"/>
              <w:spacing w:before="100" w:beforeAutospacing="1"/>
              <w:rPr>
                <w:szCs w:val="16"/>
              </w:rPr>
            </w:pPr>
          </w:p>
        </w:tc>
        <w:tc>
          <w:tcPr>
            <w:tcW w:w="83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11" w:type="dxa"/>
              <w:bottom w:w="11" w:type="dxa"/>
            </w:tcMar>
          </w:tcPr>
          <w:p w14:paraId="3F43E229" w14:textId="77777777" w:rsidR="004563F9" w:rsidRPr="0035726C" w:rsidRDefault="004563F9" w:rsidP="00C86F4A">
            <w:pPr>
              <w:pStyle w:val="TableTextRight"/>
              <w:spacing w:before="100" w:beforeAutospacing="1"/>
              <w:rPr>
                <w:szCs w:val="16"/>
              </w:rPr>
            </w:pPr>
          </w:p>
        </w:tc>
        <w:tc>
          <w:tcPr>
            <w:tcW w:w="833" w:type="pct"/>
            <w:tcBorders>
              <w:top w:val="single" w:sz="4" w:space="0" w:color="29114B" w:themeColor="text2"/>
              <w:left w:val="single" w:sz="4" w:space="0" w:color="F2F2F2" w:themeColor="background1" w:themeShade="F2"/>
            </w:tcBorders>
            <w:shd w:val="clear" w:color="auto" w:fill="F2F2F2" w:themeFill="background1" w:themeFillShade="F2"/>
            <w:noWrap/>
            <w:tcMar>
              <w:top w:w="11" w:type="dxa"/>
              <w:bottom w:w="11" w:type="dxa"/>
            </w:tcMar>
          </w:tcPr>
          <w:p w14:paraId="2A48076D" w14:textId="77777777" w:rsidR="004563F9" w:rsidRPr="0035726C" w:rsidRDefault="004563F9" w:rsidP="00C86F4A">
            <w:pPr>
              <w:pStyle w:val="TableTextRight"/>
              <w:spacing w:before="100" w:beforeAutospacing="1"/>
              <w:rPr>
                <w:szCs w:val="16"/>
              </w:rPr>
            </w:pPr>
          </w:p>
        </w:tc>
      </w:tr>
      <w:tr w:rsidR="004563F9" w:rsidRPr="006534F5" w14:paraId="50572F97" w14:textId="77777777" w:rsidTr="00BD7AD5">
        <w:trPr>
          <w:trHeight w:val="258"/>
        </w:trPr>
        <w:tc>
          <w:tcPr>
            <w:tcW w:w="1666" w:type="pct"/>
            <w:shd w:val="clear" w:color="auto" w:fill="F2F2F2" w:themeFill="background1" w:themeFillShade="F2"/>
            <w:noWrap/>
            <w:tcMar>
              <w:top w:w="11" w:type="dxa"/>
              <w:bottom w:w="11" w:type="dxa"/>
            </w:tcMar>
            <w:hideMark/>
          </w:tcPr>
          <w:p w14:paraId="616D37BD" w14:textId="77777777" w:rsidR="004563F9" w:rsidRPr="0035726C" w:rsidRDefault="004563F9" w:rsidP="00C86F4A">
            <w:pPr>
              <w:pStyle w:val="TableTextLeft"/>
              <w:rPr>
                <w:szCs w:val="16"/>
              </w:rPr>
            </w:pPr>
            <w:r w:rsidRPr="0035726C">
              <w:rPr>
                <w:szCs w:val="16"/>
              </w:rPr>
              <w:t>within 1 year</w:t>
            </w:r>
          </w:p>
        </w:tc>
        <w:tc>
          <w:tcPr>
            <w:tcW w:w="834" w:type="pct"/>
            <w:shd w:val="clear" w:color="auto" w:fill="F2F2F2" w:themeFill="background1" w:themeFillShade="F2"/>
            <w:noWrap/>
            <w:tcMar>
              <w:top w:w="11" w:type="dxa"/>
              <w:bottom w:w="11" w:type="dxa"/>
            </w:tcMar>
          </w:tcPr>
          <w:p w14:paraId="3600386F" w14:textId="77777777" w:rsidR="004563F9" w:rsidRPr="0035726C" w:rsidRDefault="004563F9" w:rsidP="00C86F4A">
            <w:pPr>
              <w:pStyle w:val="TableTextRight"/>
              <w:rPr>
                <w:szCs w:val="16"/>
              </w:rPr>
            </w:pPr>
            <w:r>
              <w:rPr>
                <w:szCs w:val="16"/>
              </w:rPr>
              <w:t>21,858</w:t>
            </w:r>
          </w:p>
        </w:tc>
        <w:tc>
          <w:tcPr>
            <w:tcW w:w="833" w:type="pct"/>
            <w:shd w:val="clear" w:color="auto" w:fill="F2F2F2" w:themeFill="background1" w:themeFillShade="F2"/>
            <w:noWrap/>
            <w:tcMar>
              <w:top w:w="11" w:type="dxa"/>
              <w:bottom w:w="11" w:type="dxa"/>
            </w:tcMar>
          </w:tcPr>
          <w:p w14:paraId="4181CDF2" w14:textId="77777777" w:rsidR="004563F9" w:rsidRPr="0035726C" w:rsidRDefault="004563F9" w:rsidP="00C86F4A">
            <w:pPr>
              <w:pStyle w:val="TableTextRight"/>
              <w:rPr>
                <w:szCs w:val="16"/>
              </w:rPr>
            </w:pPr>
            <w:r>
              <w:rPr>
                <w:szCs w:val="16"/>
              </w:rPr>
              <w:t>740</w:t>
            </w:r>
          </w:p>
        </w:tc>
        <w:tc>
          <w:tcPr>
            <w:tcW w:w="834" w:type="pct"/>
            <w:shd w:val="clear" w:color="auto" w:fill="F2F2F2" w:themeFill="background1" w:themeFillShade="F2"/>
            <w:noWrap/>
            <w:tcMar>
              <w:top w:w="11" w:type="dxa"/>
              <w:bottom w:w="11" w:type="dxa"/>
            </w:tcMar>
          </w:tcPr>
          <w:p w14:paraId="2BC68BAA" w14:textId="77777777" w:rsidR="004563F9" w:rsidRPr="0035726C" w:rsidRDefault="004563F9" w:rsidP="00C86F4A">
            <w:pPr>
              <w:pStyle w:val="TableTextRight"/>
              <w:rPr>
                <w:szCs w:val="16"/>
              </w:rPr>
            </w:pPr>
            <w:r>
              <w:rPr>
                <w:szCs w:val="16"/>
              </w:rPr>
              <w:t>391</w:t>
            </w:r>
          </w:p>
        </w:tc>
        <w:tc>
          <w:tcPr>
            <w:tcW w:w="833" w:type="pct"/>
            <w:shd w:val="clear" w:color="auto" w:fill="F2F2F2" w:themeFill="background1" w:themeFillShade="F2"/>
            <w:noWrap/>
            <w:tcMar>
              <w:top w:w="11" w:type="dxa"/>
              <w:bottom w:w="11" w:type="dxa"/>
            </w:tcMar>
          </w:tcPr>
          <w:p w14:paraId="7AE8CEEC" w14:textId="77777777" w:rsidR="004563F9" w:rsidRPr="0035726C" w:rsidRDefault="004563F9" w:rsidP="00C86F4A">
            <w:pPr>
              <w:pStyle w:val="TableTextRight"/>
              <w:rPr>
                <w:szCs w:val="16"/>
              </w:rPr>
            </w:pPr>
            <w:r>
              <w:rPr>
                <w:szCs w:val="16"/>
              </w:rPr>
              <w:t>22,989</w:t>
            </w:r>
          </w:p>
        </w:tc>
      </w:tr>
      <w:tr w:rsidR="004563F9" w:rsidRPr="006534F5" w14:paraId="7FECD4A1" w14:textId="77777777" w:rsidTr="00BD7AD5">
        <w:trPr>
          <w:trHeight w:val="258"/>
        </w:trPr>
        <w:tc>
          <w:tcPr>
            <w:tcW w:w="1666" w:type="pct"/>
            <w:shd w:val="clear" w:color="auto" w:fill="F2F2F2" w:themeFill="background1" w:themeFillShade="F2"/>
            <w:noWrap/>
            <w:tcMar>
              <w:top w:w="11" w:type="dxa"/>
              <w:bottom w:w="11" w:type="dxa"/>
            </w:tcMar>
            <w:hideMark/>
          </w:tcPr>
          <w:p w14:paraId="3BC99770" w14:textId="77777777" w:rsidR="004563F9" w:rsidRPr="0035726C" w:rsidRDefault="004563F9" w:rsidP="00C86F4A">
            <w:pPr>
              <w:pStyle w:val="TableTextLeft"/>
              <w:rPr>
                <w:szCs w:val="16"/>
              </w:rPr>
            </w:pPr>
            <w:r w:rsidRPr="0035726C">
              <w:rPr>
                <w:szCs w:val="16"/>
              </w:rPr>
              <w:t>1 to 5 years</w:t>
            </w:r>
          </w:p>
        </w:tc>
        <w:tc>
          <w:tcPr>
            <w:tcW w:w="834" w:type="pct"/>
            <w:shd w:val="clear" w:color="auto" w:fill="F2F2F2" w:themeFill="background1" w:themeFillShade="F2"/>
            <w:noWrap/>
            <w:tcMar>
              <w:top w:w="11" w:type="dxa"/>
              <w:bottom w:w="11" w:type="dxa"/>
            </w:tcMar>
          </w:tcPr>
          <w:p w14:paraId="3FC36686" w14:textId="77777777" w:rsidR="004563F9" w:rsidRPr="0035726C" w:rsidRDefault="004563F9" w:rsidP="00C86F4A">
            <w:pPr>
              <w:pStyle w:val="TableTextRight"/>
              <w:rPr>
                <w:szCs w:val="16"/>
              </w:rPr>
            </w:pPr>
            <w:r>
              <w:rPr>
                <w:szCs w:val="16"/>
              </w:rPr>
              <w:t>66,475</w:t>
            </w:r>
          </w:p>
        </w:tc>
        <w:tc>
          <w:tcPr>
            <w:tcW w:w="833" w:type="pct"/>
            <w:shd w:val="clear" w:color="auto" w:fill="F2F2F2" w:themeFill="background1" w:themeFillShade="F2"/>
            <w:noWrap/>
            <w:tcMar>
              <w:top w:w="11" w:type="dxa"/>
              <w:bottom w:w="11" w:type="dxa"/>
            </w:tcMar>
          </w:tcPr>
          <w:p w14:paraId="4640FD6B" w14:textId="77777777" w:rsidR="004563F9" w:rsidRPr="0035726C" w:rsidRDefault="004563F9" w:rsidP="00C86F4A">
            <w:pPr>
              <w:pStyle w:val="TableTextRight"/>
              <w:rPr>
                <w:szCs w:val="16"/>
              </w:rPr>
            </w:pPr>
            <w:r>
              <w:rPr>
                <w:szCs w:val="16"/>
              </w:rPr>
              <w:t>2.602</w:t>
            </w:r>
          </w:p>
        </w:tc>
        <w:tc>
          <w:tcPr>
            <w:tcW w:w="834" w:type="pct"/>
            <w:shd w:val="clear" w:color="auto" w:fill="F2F2F2" w:themeFill="background1" w:themeFillShade="F2"/>
            <w:noWrap/>
            <w:tcMar>
              <w:top w:w="11" w:type="dxa"/>
              <w:bottom w:w="11" w:type="dxa"/>
            </w:tcMar>
          </w:tcPr>
          <w:p w14:paraId="4646CA70"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24D0F8FD" w14:textId="77777777" w:rsidR="004563F9" w:rsidRPr="0035726C" w:rsidRDefault="004563F9" w:rsidP="00C86F4A">
            <w:pPr>
              <w:pStyle w:val="TableTextRight"/>
              <w:rPr>
                <w:szCs w:val="16"/>
              </w:rPr>
            </w:pPr>
            <w:r>
              <w:rPr>
                <w:szCs w:val="16"/>
              </w:rPr>
              <w:t>69,077</w:t>
            </w:r>
          </w:p>
        </w:tc>
      </w:tr>
      <w:tr w:rsidR="004563F9" w:rsidRPr="006534F5" w14:paraId="7DBADA78" w14:textId="77777777" w:rsidTr="00BD7AD5">
        <w:trPr>
          <w:trHeight w:val="258"/>
        </w:trPr>
        <w:tc>
          <w:tcPr>
            <w:tcW w:w="1666" w:type="pct"/>
            <w:shd w:val="clear" w:color="auto" w:fill="F2F2F2" w:themeFill="background1" w:themeFillShade="F2"/>
            <w:noWrap/>
            <w:tcMar>
              <w:top w:w="11" w:type="dxa"/>
              <w:bottom w:w="11" w:type="dxa"/>
            </w:tcMar>
            <w:hideMark/>
          </w:tcPr>
          <w:p w14:paraId="3BA612B5" w14:textId="77777777" w:rsidR="004563F9" w:rsidRPr="0035726C" w:rsidRDefault="004563F9" w:rsidP="00C86F4A">
            <w:pPr>
              <w:pStyle w:val="TableTextLeft"/>
              <w:rPr>
                <w:szCs w:val="16"/>
              </w:rPr>
            </w:pPr>
            <w:r w:rsidRPr="0035726C">
              <w:rPr>
                <w:szCs w:val="16"/>
              </w:rPr>
              <w:t>5 to 10 years</w:t>
            </w:r>
          </w:p>
        </w:tc>
        <w:tc>
          <w:tcPr>
            <w:tcW w:w="834" w:type="pct"/>
            <w:shd w:val="clear" w:color="auto" w:fill="F2F2F2" w:themeFill="background1" w:themeFillShade="F2"/>
            <w:noWrap/>
            <w:tcMar>
              <w:top w:w="11" w:type="dxa"/>
              <w:bottom w:w="11" w:type="dxa"/>
            </w:tcMar>
          </w:tcPr>
          <w:p w14:paraId="6D288B15" w14:textId="77777777" w:rsidR="004563F9" w:rsidRPr="0035726C" w:rsidRDefault="004563F9" w:rsidP="00C86F4A">
            <w:pPr>
              <w:pStyle w:val="TableTextRight"/>
              <w:rPr>
                <w:szCs w:val="16"/>
              </w:rPr>
            </w:pPr>
            <w:r>
              <w:rPr>
                <w:szCs w:val="16"/>
              </w:rPr>
              <w:t>44,039</w:t>
            </w:r>
          </w:p>
        </w:tc>
        <w:tc>
          <w:tcPr>
            <w:tcW w:w="833" w:type="pct"/>
            <w:shd w:val="clear" w:color="auto" w:fill="F2F2F2" w:themeFill="background1" w:themeFillShade="F2"/>
            <w:noWrap/>
            <w:tcMar>
              <w:top w:w="11" w:type="dxa"/>
              <w:bottom w:w="11" w:type="dxa"/>
            </w:tcMar>
          </w:tcPr>
          <w:p w14:paraId="476CA2F5" w14:textId="77777777" w:rsidR="004563F9" w:rsidRPr="0035726C" w:rsidRDefault="004563F9" w:rsidP="00C86F4A">
            <w:pPr>
              <w:pStyle w:val="TableTextRight"/>
              <w:rPr>
                <w:szCs w:val="16"/>
              </w:rPr>
            </w:pPr>
            <w:r>
              <w:rPr>
                <w:szCs w:val="16"/>
              </w:rPr>
              <w:t>1,776</w:t>
            </w:r>
          </w:p>
        </w:tc>
        <w:tc>
          <w:tcPr>
            <w:tcW w:w="834" w:type="pct"/>
            <w:shd w:val="clear" w:color="auto" w:fill="F2F2F2" w:themeFill="background1" w:themeFillShade="F2"/>
            <w:noWrap/>
            <w:tcMar>
              <w:top w:w="11" w:type="dxa"/>
              <w:bottom w:w="11" w:type="dxa"/>
            </w:tcMar>
          </w:tcPr>
          <w:p w14:paraId="2DB4746F"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7EE3A195" w14:textId="77777777" w:rsidR="004563F9" w:rsidRPr="0035726C" w:rsidRDefault="004563F9" w:rsidP="00C86F4A">
            <w:pPr>
              <w:pStyle w:val="TableTextRight"/>
              <w:rPr>
                <w:szCs w:val="16"/>
              </w:rPr>
            </w:pPr>
            <w:r>
              <w:rPr>
                <w:szCs w:val="16"/>
              </w:rPr>
              <w:t>45,815</w:t>
            </w:r>
          </w:p>
        </w:tc>
      </w:tr>
      <w:tr w:rsidR="004563F9" w:rsidRPr="006534F5" w14:paraId="313A36AB" w14:textId="77777777" w:rsidTr="00BD7AD5">
        <w:trPr>
          <w:trHeight w:val="258"/>
        </w:trPr>
        <w:tc>
          <w:tcPr>
            <w:tcW w:w="1666" w:type="pct"/>
            <w:shd w:val="clear" w:color="auto" w:fill="F2F2F2" w:themeFill="background1" w:themeFillShade="F2"/>
            <w:noWrap/>
            <w:tcMar>
              <w:top w:w="11" w:type="dxa"/>
              <w:bottom w:w="11" w:type="dxa"/>
            </w:tcMar>
            <w:hideMark/>
          </w:tcPr>
          <w:p w14:paraId="045C2BDA" w14:textId="77777777" w:rsidR="004563F9" w:rsidRPr="0035726C" w:rsidRDefault="004563F9" w:rsidP="00C86F4A">
            <w:pPr>
              <w:pStyle w:val="TableTextLeft"/>
              <w:rPr>
                <w:szCs w:val="16"/>
              </w:rPr>
            </w:pPr>
            <w:r w:rsidRPr="0035726C">
              <w:rPr>
                <w:szCs w:val="16"/>
              </w:rPr>
              <w:t>10 to 15 years</w:t>
            </w:r>
          </w:p>
        </w:tc>
        <w:tc>
          <w:tcPr>
            <w:tcW w:w="834" w:type="pct"/>
            <w:shd w:val="clear" w:color="auto" w:fill="F2F2F2" w:themeFill="background1" w:themeFillShade="F2"/>
            <w:noWrap/>
            <w:tcMar>
              <w:top w:w="11" w:type="dxa"/>
              <w:bottom w:w="11" w:type="dxa"/>
            </w:tcMar>
          </w:tcPr>
          <w:p w14:paraId="5F0B0038" w14:textId="77777777" w:rsidR="004563F9" w:rsidRPr="0035726C" w:rsidRDefault="004563F9" w:rsidP="00C86F4A">
            <w:pPr>
              <w:pStyle w:val="TableTextRight"/>
              <w:rPr>
                <w:szCs w:val="16"/>
              </w:rPr>
            </w:pPr>
            <w:r>
              <w:rPr>
                <w:szCs w:val="16"/>
              </w:rPr>
              <w:t>12,212</w:t>
            </w:r>
          </w:p>
        </w:tc>
        <w:tc>
          <w:tcPr>
            <w:tcW w:w="833" w:type="pct"/>
            <w:shd w:val="clear" w:color="auto" w:fill="F2F2F2" w:themeFill="background1" w:themeFillShade="F2"/>
            <w:noWrap/>
            <w:tcMar>
              <w:top w:w="11" w:type="dxa"/>
              <w:bottom w:w="11" w:type="dxa"/>
            </w:tcMar>
          </w:tcPr>
          <w:p w14:paraId="44143CC2" w14:textId="77777777" w:rsidR="004563F9" w:rsidRPr="0035726C" w:rsidRDefault="004563F9" w:rsidP="00C86F4A">
            <w:pPr>
              <w:pStyle w:val="TableTextRight"/>
              <w:rPr>
                <w:szCs w:val="16"/>
              </w:rPr>
            </w:pPr>
            <w:r>
              <w:rPr>
                <w:szCs w:val="16"/>
              </w:rPr>
              <w:t>814</w:t>
            </w:r>
          </w:p>
        </w:tc>
        <w:tc>
          <w:tcPr>
            <w:tcW w:w="834" w:type="pct"/>
            <w:shd w:val="clear" w:color="auto" w:fill="F2F2F2" w:themeFill="background1" w:themeFillShade="F2"/>
            <w:noWrap/>
            <w:tcMar>
              <w:top w:w="11" w:type="dxa"/>
              <w:bottom w:w="11" w:type="dxa"/>
            </w:tcMar>
          </w:tcPr>
          <w:p w14:paraId="576BC534"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5C7936DA" w14:textId="77777777" w:rsidR="004563F9" w:rsidRPr="0035726C" w:rsidRDefault="004563F9" w:rsidP="00C86F4A">
            <w:pPr>
              <w:pStyle w:val="TableTextRight"/>
              <w:rPr>
                <w:szCs w:val="16"/>
              </w:rPr>
            </w:pPr>
            <w:r>
              <w:rPr>
                <w:szCs w:val="16"/>
              </w:rPr>
              <w:t>13,026</w:t>
            </w:r>
          </w:p>
        </w:tc>
      </w:tr>
      <w:tr w:rsidR="004563F9" w:rsidRPr="006534F5" w14:paraId="0DE16C98" w14:textId="77777777" w:rsidTr="00BD7AD5">
        <w:trPr>
          <w:trHeight w:val="258"/>
        </w:trPr>
        <w:tc>
          <w:tcPr>
            <w:tcW w:w="1666" w:type="pct"/>
            <w:shd w:val="clear" w:color="auto" w:fill="F2F2F2" w:themeFill="background1" w:themeFillShade="F2"/>
            <w:noWrap/>
            <w:tcMar>
              <w:top w:w="11" w:type="dxa"/>
              <w:bottom w:w="11" w:type="dxa"/>
            </w:tcMar>
            <w:hideMark/>
          </w:tcPr>
          <w:p w14:paraId="2150000F" w14:textId="77777777" w:rsidR="004563F9" w:rsidRPr="0035726C" w:rsidRDefault="004563F9" w:rsidP="00C86F4A">
            <w:pPr>
              <w:pStyle w:val="TableTextLeft"/>
              <w:rPr>
                <w:szCs w:val="16"/>
              </w:rPr>
            </w:pPr>
            <w:r w:rsidRPr="0035726C">
              <w:rPr>
                <w:szCs w:val="16"/>
              </w:rPr>
              <w:t>15 years+</w:t>
            </w:r>
          </w:p>
        </w:tc>
        <w:tc>
          <w:tcPr>
            <w:tcW w:w="834" w:type="pct"/>
            <w:shd w:val="clear" w:color="auto" w:fill="F2F2F2" w:themeFill="background1" w:themeFillShade="F2"/>
            <w:noWrap/>
            <w:tcMar>
              <w:top w:w="11" w:type="dxa"/>
              <w:bottom w:w="11" w:type="dxa"/>
            </w:tcMar>
          </w:tcPr>
          <w:p w14:paraId="151F134C" w14:textId="77777777" w:rsidR="004563F9" w:rsidRPr="0035726C" w:rsidRDefault="004563F9" w:rsidP="00C86F4A">
            <w:pPr>
              <w:pStyle w:val="TableTextRight"/>
              <w:rPr>
                <w:szCs w:val="16"/>
              </w:rPr>
            </w:pPr>
            <w:r>
              <w:rPr>
                <w:szCs w:val="16"/>
              </w:rPr>
              <w:t>13,617</w:t>
            </w:r>
          </w:p>
        </w:tc>
        <w:tc>
          <w:tcPr>
            <w:tcW w:w="833" w:type="pct"/>
            <w:shd w:val="clear" w:color="auto" w:fill="F2F2F2" w:themeFill="background1" w:themeFillShade="F2"/>
            <w:noWrap/>
            <w:tcMar>
              <w:top w:w="11" w:type="dxa"/>
              <w:bottom w:w="11" w:type="dxa"/>
            </w:tcMar>
          </w:tcPr>
          <w:p w14:paraId="643407E6" w14:textId="77777777" w:rsidR="004563F9" w:rsidRPr="0035726C" w:rsidRDefault="004563F9" w:rsidP="00C86F4A">
            <w:pPr>
              <w:pStyle w:val="TableTextRight"/>
              <w:rPr>
                <w:szCs w:val="16"/>
              </w:rPr>
            </w:pPr>
            <w:r>
              <w:rPr>
                <w:szCs w:val="16"/>
              </w:rPr>
              <w:t>578</w:t>
            </w:r>
          </w:p>
        </w:tc>
        <w:tc>
          <w:tcPr>
            <w:tcW w:w="834" w:type="pct"/>
            <w:shd w:val="clear" w:color="auto" w:fill="F2F2F2" w:themeFill="background1" w:themeFillShade="F2"/>
            <w:noWrap/>
            <w:tcMar>
              <w:top w:w="11" w:type="dxa"/>
              <w:bottom w:w="11" w:type="dxa"/>
            </w:tcMar>
          </w:tcPr>
          <w:p w14:paraId="3B1FF2B9" w14:textId="77777777" w:rsidR="004563F9" w:rsidRPr="0035726C" w:rsidRDefault="004563F9" w:rsidP="00C86F4A">
            <w:pPr>
              <w:pStyle w:val="TableTextRight"/>
              <w:rPr>
                <w:szCs w:val="16"/>
              </w:rPr>
            </w:pPr>
            <w:r>
              <w:rPr>
                <w:szCs w:val="16"/>
              </w:rPr>
              <w:noBreakHyphen/>
            </w:r>
          </w:p>
        </w:tc>
        <w:tc>
          <w:tcPr>
            <w:tcW w:w="833" w:type="pct"/>
            <w:shd w:val="clear" w:color="auto" w:fill="F2F2F2" w:themeFill="background1" w:themeFillShade="F2"/>
            <w:noWrap/>
            <w:tcMar>
              <w:top w:w="11" w:type="dxa"/>
              <w:bottom w:w="11" w:type="dxa"/>
            </w:tcMar>
          </w:tcPr>
          <w:p w14:paraId="53AF79D3" w14:textId="77777777" w:rsidR="004563F9" w:rsidRPr="0035726C" w:rsidRDefault="004563F9" w:rsidP="00C86F4A">
            <w:pPr>
              <w:pStyle w:val="TableTextRight"/>
              <w:rPr>
                <w:szCs w:val="16"/>
              </w:rPr>
            </w:pPr>
            <w:r>
              <w:rPr>
                <w:szCs w:val="16"/>
              </w:rPr>
              <w:t>14,195</w:t>
            </w:r>
          </w:p>
        </w:tc>
      </w:tr>
      <w:tr w:rsidR="004563F9" w:rsidRPr="00744B44" w14:paraId="354A17B3" w14:textId="77777777" w:rsidTr="00BD7AD5">
        <w:trPr>
          <w:trHeight w:val="258"/>
        </w:trPr>
        <w:tc>
          <w:tcPr>
            <w:tcW w:w="1666" w:type="pct"/>
            <w:shd w:val="clear" w:color="auto" w:fill="F2F2F2" w:themeFill="background1" w:themeFillShade="F2"/>
            <w:noWrap/>
            <w:tcMar>
              <w:top w:w="11" w:type="dxa"/>
              <w:bottom w:w="11" w:type="dxa"/>
            </w:tcMar>
            <w:hideMark/>
          </w:tcPr>
          <w:p w14:paraId="1C0FCE00" w14:textId="77777777" w:rsidR="004563F9" w:rsidRPr="00744B44" w:rsidRDefault="004563F9" w:rsidP="00C86F4A">
            <w:pPr>
              <w:pStyle w:val="TableTextLeft"/>
              <w:rPr>
                <w:b/>
                <w:bCs/>
              </w:rPr>
            </w:pPr>
            <w:r w:rsidRPr="00744B44">
              <w:rPr>
                <w:b/>
                <w:bCs/>
              </w:rPr>
              <w:t>Total Interest</w:t>
            </w:r>
          </w:p>
        </w:tc>
        <w:tc>
          <w:tcPr>
            <w:tcW w:w="834" w:type="pct"/>
            <w:shd w:val="clear" w:color="auto" w:fill="F2F2F2" w:themeFill="background1" w:themeFillShade="F2"/>
            <w:noWrap/>
            <w:tcMar>
              <w:top w:w="11" w:type="dxa"/>
              <w:bottom w:w="11" w:type="dxa"/>
            </w:tcMar>
          </w:tcPr>
          <w:p w14:paraId="255E941E" w14:textId="77777777" w:rsidR="004563F9" w:rsidRPr="00744B44" w:rsidRDefault="004563F9" w:rsidP="00C86F4A">
            <w:pPr>
              <w:pStyle w:val="TableTextRight"/>
              <w:rPr>
                <w:b/>
                <w:bCs/>
              </w:rPr>
            </w:pPr>
            <w:r w:rsidRPr="00744B44">
              <w:rPr>
                <w:b/>
                <w:bCs/>
              </w:rPr>
              <w:t>158,201</w:t>
            </w:r>
          </w:p>
        </w:tc>
        <w:tc>
          <w:tcPr>
            <w:tcW w:w="833" w:type="pct"/>
            <w:shd w:val="clear" w:color="auto" w:fill="F2F2F2" w:themeFill="background1" w:themeFillShade="F2"/>
            <w:noWrap/>
            <w:tcMar>
              <w:top w:w="11" w:type="dxa"/>
              <w:bottom w:w="11" w:type="dxa"/>
            </w:tcMar>
          </w:tcPr>
          <w:p w14:paraId="38650CA1" w14:textId="77777777" w:rsidR="004563F9" w:rsidRPr="00744B44" w:rsidRDefault="004563F9" w:rsidP="00C86F4A">
            <w:pPr>
              <w:pStyle w:val="TableTextRight"/>
              <w:rPr>
                <w:b/>
                <w:bCs/>
              </w:rPr>
            </w:pPr>
            <w:r w:rsidRPr="00744B44">
              <w:rPr>
                <w:b/>
                <w:bCs/>
              </w:rPr>
              <w:t>6,510</w:t>
            </w:r>
          </w:p>
        </w:tc>
        <w:tc>
          <w:tcPr>
            <w:tcW w:w="834" w:type="pct"/>
            <w:shd w:val="clear" w:color="auto" w:fill="F2F2F2" w:themeFill="background1" w:themeFillShade="F2"/>
            <w:noWrap/>
            <w:tcMar>
              <w:top w:w="11" w:type="dxa"/>
              <w:bottom w:w="11" w:type="dxa"/>
            </w:tcMar>
          </w:tcPr>
          <w:p w14:paraId="17A24C24" w14:textId="77777777" w:rsidR="004563F9" w:rsidRPr="00744B44" w:rsidRDefault="004563F9" w:rsidP="00C86F4A">
            <w:pPr>
              <w:pStyle w:val="TableTextRight"/>
              <w:rPr>
                <w:b/>
                <w:bCs/>
              </w:rPr>
            </w:pPr>
            <w:r w:rsidRPr="00744B44">
              <w:rPr>
                <w:b/>
                <w:bCs/>
              </w:rPr>
              <w:t>391</w:t>
            </w:r>
          </w:p>
        </w:tc>
        <w:tc>
          <w:tcPr>
            <w:tcW w:w="833" w:type="pct"/>
            <w:shd w:val="clear" w:color="auto" w:fill="F2F2F2" w:themeFill="background1" w:themeFillShade="F2"/>
            <w:noWrap/>
            <w:tcMar>
              <w:top w:w="11" w:type="dxa"/>
              <w:bottom w:w="11" w:type="dxa"/>
            </w:tcMar>
          </w:tcPr>
          <w:p w14:paraId="484FB7C7" w14:textId="77777777" w:rsidR="004563F9" w:rsidRPr="00744B44" w:rsidRDefault="004563F9" w:rsidP="00C86F4A">
            <w:pPr>
              <w:pStyle w:val="TableTextRight"/>
              <w:rPr>
                <w:b/>
                <w:bCs/>
              </w:rPr>
            </w:pPr>
            <w:r w:rsidRPr="00744B44">
              <w:rPr>
                <w:b/>
                <w:bCs/>
              </w:rPr>
              <w:t>165,102</w:t>
            </w:r>
          </w:p>
        </w:tc>
      </w:tr>
    </w:tbl>
    <w:bookmarkEnd w:id="1668"/>
    <w:p w14:paraId="12BF6A70" w14:textId="77777777" w:rsidR="004563F9" w:rsidRDefault="004563F9" w:rsidP="004563F9">
      <w:pPr>
        <w:pStyle w:val="TableMainHeading"/>
        <w:keepLines/>
      </w:pPr>
      <w:r w:rsidRPr="006534F5">
        <w:lastRenderedPageBreak/>
        <w:t xml:space="preserve">Future undiscounted cash outflows of liabilities as </w:t>
      </w:r>
      <w:proofErr w:type="gramStart"/>
      <w:r w:rsidRPr="006534F5">
        <w:t>at</w:t>
      </w:r>
      <w:proofErr w:type="gramEnd"/>
      <w:r w:rsidRPr="006534F5">
        <w:t xml:space="preserve"> 30 June 202</w:t>
      </w:r>
      <w:r>
        <w:t>4</w:t>
      </w:r>
      <w:r w:rsidRPr="006534F5">
        <w:t xml:space="preserve"> </w:t>
      </w:r>
    </w:p>
    <w:tbl>
      <w:tblPr>
        <w:tblStyle w:val="AOFMTablemain"/>
        <w:tblW w:w="5000" w:type="pct"/>
        <w:tblLayout w:type="fixed"/>
        <w:tblLook w:val="06A0" w:firstRow="1" w:lastRow="0" w:firstColumn="1" w:lastColumn="0" w:noHBand="1" w:noVBand="1"/>
      </w:tblPr>
      <w:tblGrid>
        <w:gridCol w:w="1929"/>
        <w:gridCol w:w="1445"/>
        <w:gridCol w:w="1447"/>
        <w:gridCol w:w="1447"/>
        <w:gridCol w:w="1443"/>
      </w:tblGrid>
      <w:tr w:rsidR="0048600D" w:rsidRPr="006534F5" w14:paraId="752CC344" w14:textId="77777777" w:rsidTr="00BD7AD5">
        <w:trPr>
          <w:cnfStyle w:val="100000000000" w:firstRow="1" w:lastRow="0" w:firstColumn="0" w:lastColumn="0" w:oddVBand="0" w:evenVBand="0" w:oddHBand="0" w:evenHBand="0" w:firstRowFirstColumn="0" w:firstRowLastColumn="0" w:lastRowFirstColumn="0" w:lastRowLastColumn="0"/>
          <w:trHeight w:val="856"/>
        </w:trPr>
        <w:tc>
          <w:tcPr>
            <w:tcW w:w="1251" w:type="pct"/>
            <w:tcBorders>
              <w:bottom w:val="single" w:sz="4" w:space="0" w:color="29114B" w:themeColor="text2"/>
            </w:tcBorders>
            <w:noWrap/>
            <w:tcMar>
              <w:top w:w="57" w:type="dxa"/>
              <w:bottom w:w="57" w:type="dxa"/>
            </w:tcMar>
            <w:vAlign w:val="bottom"/>
            <w:hideMark/>
          </w:tcPr>
          <w:p w14:paraId="5463055B" w14:textId="77777777" w:rsidR="004563F9" w:rsidRPr="0035726C" w:rsidRDefault="004563F9" w:rsidP="00C86F4A">
            <w:pPr>
              <w:pStyle w:val="TableColumnHeadingRight"/>
              <w:rPr>
                <w:szCs w:val="16"/>
              </w:rPr>
            </w:pPr>
            <w:r w:rsidRPr="0035726C">
              <w:rPr>
                <w:szCs w:val="16"/>
              </w:rPr>
              <w:t> </w:t>
            </w:r>
          </w:p>
        </w:tc>
        <w:tc>
          <w:tcPr>
            <w:tcW w:w="937" w:type="pct"/>
            <w:tcBorders>
              <w:bottom w:val="single" w:sz="4" w:space="0" w:color="29114B" w:themeColor="text2"/>
            </w:tcBorders>
            <w:tcMar>
              <w:top w:w="57" w:type="dxa"/>
              <w:bottom w:w="57" w:type="dxa"/>
            </w:tcMar>
            <w:vAlign w:val="bottom"/>
            <w:hideMark/>
          </w:tcPr>
          <w:p w14:paraId="75D15683" w14:textId="77777777" w:rsidR="004563F9" w:rsidRPr="0035726C" w:rsidRDefault="004563F9" w:rsidP="00C86F4A">
            <w:pPr>
              <w:pStyle w:val="TableColumnHeadingRight"/>
              <w:rPr>
                <w:szCs w:val="16"/>
              </w:rPr>
            </w:pPr>
            <w:r w:rsidRPr="0035726C">
              <w:rPr>
                <w:szCs w:val="16"/>
              </w:rPr>
              <w:t xml:space="preserve"> Treasury Bonds ($million)</w:t>
            </w:r>
          </w:p>
        </w:tc>
        <w:tc>
          <w:tcPr>
            <w:tcW w:w="938" w:type="pct"/>
            <w:tcBorders>
              <w:bottom w:val="single" w:sz="4" w:space="0" w:color="29114B" w:themeColor="text2"/>
            </w:tcBorders>
            <w:tcMar>
              <w:top w:w="57" w:type="dxa"/>
              <w:bottom w:w="57" w:type="dxa"/>
            </w:tcMar>
            <w:vAlign w:val="bottom"/>
            <w:hideMark/>
          </w:tcPr>
          <w:p w14:paraId="7AF0D35A" w14:textId="77777777" w:rsidR="004563F9" w:rsidRPr="0035726C" w:rsidRDefault="004563F9" w:rsidP="00C86F4A">
            <w:pPr>
              <w:pStyle w:val="TableColumnHeadingRight"/>
              <w:rPr>
                <w:szCs w:val="16"/>
              </w:rPr>
            </w:pPr>
            <w:r w:rsidRPr="0035726C">
              <w:rPr>
                <w:szCs w:val="16"/>
              </w:rPr>
              <w:t xml:space="preserve"> Treasury Indexed </w:t>
            </w:r>
            <w:r w:rsidRPr="0035726C">
              <w:rPr>
                <w:szCs w:val="16"/>
              </w:rPr>
              <w:br/>
              <w:t xml:space="preserve">Bonds ($million) </w:t>
            </w:r>
          </w:p>
        </w:tc>
        <w:tc>
          <w:tcPr>
            <w:tcW w:w="938" w:type="pct"/>
            <w:tcBorders>
              <w:bottom w:val="single" w:sz="4" w:space="0" w:color="29114B" w:themeColor="text2"/>
            </w:tcBorders>
            <w:tcMar>
              <w:top w:w="57" w:type="dxa"/>
              <w:bottom w:w="57" w:type="dxa"/>
            </w:tcMar>
            <w:vAlign w:val="bottom"/>
            <w:hideMark/>
          </w:tcPr>
          <w:p w14:paraId="03E915F7" w14:textId="77777777" w:rsidR="004563F9" w:rsidRPr="0035726C" w:rsidRDefault="004563F9" w:rsidP="00C86F4A">
            <w:pPr>
              <w:pStyle w:val="TableColumnHeadingRight"/>
              <w:rPr>
                <w:szCs w:val="16"/>
              </w:rPr>
            </w:pPr>
            <w:r w:rsidRPr="0035726C">
              <w:rPr>
                <w:szCs w:val="16"/>
              </w:rPr>
              <w:t xml:space="preserve"> Treasury </w:t>
            </w:r>
            <w:r w:rsidRPr="0035726C">
              <w:rPr>
                <w:szCs w:val="16"/>
              </w:rPr>
              <w:br/>
              <w:t xml:space="preserve">Notes </w:t>
            </w:r>
            <w:r w:rsidRPr="0035726C">
              <w:rPr>
                <w:szCs w:val="16"/>
              </w:rPr>
              <w:br/>
              <w:t xml:space="preserve">&amp; Other ($million) </w:t>
            </w:r>
          </w:p>
        </w:tc>
        <w:tc>
          <w:tcPr>
            <w:tcW w:w="938" w:type="pct"/>
            <w:tcBorders>
              <w:bottom w:val="single" w:sz="4" w:space="0" w:color="29114B" w:themeColor="text2"/>
            </w:tcBorders>
            <w:tcMar>
              <w:top w:w="57" w:type="dxa"/>
              <w:bottom w:w="57" w:type="dxa"/>
            </w:tcMar>
            <w:vAlign w:val="bottom"/>
            <w:hideMark/>
          </w:tcPr>
          <w:p w14:paraId="1FFC585C" w14:textId="77777777" w:rsidR="004563F9" w:rsidRPr="0035726C" w:rsidRDefault="004563F9" w:rsidP="00C86F4A">
            <w:pPr>
              <w:pStyle w:val="TableColumnHeadingRight"/>
              <w:rPr>
                <w:szCs w:val="16"/>
              </w:rPr>
            </w:pPr>
            <w:r w:rsidRPr="0035726C">
              <w:rPr>
                <w:szCs w:val="16"/>
              </w:rPr>
              <w:t xml:space="preserve">Total </w:t>
            </w:r>
          </w:p>
          <w:p w14:paraId="2ED67AAB" w14:textId="77777777" w:rsidR="004563F9" w:rsidRPr="0035726C" w:rsidRDefault="004563F9" w:rsidP="00C86F4A">
            <w:pPr>
              <w:pStyle w:val="TableColumnHeadingRight"/>
              <w:rPr>
                <w:szCs w:val="16"/>
              </w:rPr>
            </w:pPr>
            <w:r w:rsidRPr="0035726C">
              <w:rPr>
                <w:szCs w:val="16"/>
              </w:rPr>
              <w:t>($million)</w:t>
            </w:r>
          </w:p>
        </w:tc>
      </w:tr>
      <w:tr w:rsidR="004563F9" w:rsidRPr="006534F5" w14:paraId="262043E0" w14:textId="77777777" w:rsidTr="00BD7AD5">
        <w:trPr>
          <w:trHeight w:val="258"/>
        </w:trPr>
        <w:tc>
          <w:tcPr>
            <w:tcW w:w="1251"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514BFD0A" w14:textId="77777777" w:rsidR="004563F9" w:rsidRPr="00BD7AD5" w:rsidRDefault="004563F9" w:rsidP="00C86F4A">
            <w:pPr>
              <w:pStyle w:val="TableSecondHeading"/>
              <w:rPr>
                <w:b/>
                <w:bCs/>
              </w:rPr>
            </w:pPr>
            <w:r w:rsidRPr="00BD7AD5">
              <w:rPr>
                <w:b/>
                <w:bCs/>
              </w:rPr>
              <w:t>Principal payments:</w:t>
            </w:r>
          </w:p>
        </w:tc>
        <w:tc>
          <w:tcPr>
            <w:tcW w:w="93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6B3753DA" w14:textId="77777777" w:rsidR="004563F9" w:rsidRPr="0035726C" w:rsidRDefault="004563F9" w:rsidP="00C86F4A">
            <w:pPr>
              <w:pStyle w:val="TableTextRight"/>
              <w:rPr>
                <w:color w:val="202845"/>
                <w:szCs w:val="16"/>
              </w:rPr>
            </w:pPr>
            <w:r w:rsidRPr="0035726C">
              <w:rPr>
                <w:color w:val="202845"/>
                <w:szCs w:val="16"/>
              </w:rPr>
              <w:t> </w:t>
            </w:r>
          </w:p>
        </w:tc>
        <w:tc>
          <w:tcPr>
            <w:tcW w:w="93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4498CFA0" w14:textId="77777777" w:rsidR="004563F9" w:rsidRPr="0035726C" w:rsidRDefault="004563F9" w:rsidP="00C86F4A">
            <w:pPr>
              <w:pStyle w:val="TableTextRight"/>
              <w:rPr>
                <w:color w:val="202845"/>
                <w:szCs w:val="16"/>
              </w:rPr>
            </w:pPr>
            <w:r w:rsidRPr="0035726C">
              <w:rPr>
                <w:color w:val="202845"/>
                <w:szCs w:val="16"/>
              </w:rPr>
              <w:t> </w:t>
            </w:r>
          </w:p>
        </w:tc>
        <w:tc>
          <w:tcPr>
            <w:tcW w:w="93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356209AA" w14:textId="77777777" w:rsidR="004563F9" w:rsidRPr="0035726C" w:rsidRDefault="004563F9" w:rsidP="00C86F4A">
            <w:pPr>
              <w:pStyle w:val="TableTextRight"/>
              <w:rPr>
                <w:color w:val="202845"/>
                <w:szCs w:val="16"/>
              </w:rPr>
            </w:pPr>
            <w:r w:rsidRPr="0035726C">
              <w:rPr>
                <w:color w:val="202845"/>
                <w:szCs w:val="16"/>
              </w:rPr>
              <w:t> </w:t>
            </w:r>
          </w:p>
        </w:tc>
        <w:tc>
          <w:tcPr>
            <w:tcW w:w="938"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0D197EC0" w14:textId="77777777" w:rsidR="004563F9" w:rsidRPr="0035726C" w:rsidRDefault="004563F9" w:rsidP="00C86F4A">
            <w:pPr>
              <w:pStyle w:val="TableTextRight"/>
              <w:rPr>
                <w:color w:val="202845"/>
                <w:szCs w:val="16"/>
              </w:rPr>
            </w:pPr>
            <w:r w:rsidRPr="0035726C">
              <w:rPr>
                <w:color w:val="202845"/>
                <w:szCs w:val="16"/>
              </w:rPr>
              <w:t> </w:t>
            </w:r>
          </w:p>
        </w:tc>
      </w:tr>
      <w:tr w:rsidR="004563F9" w:rsidRPr="00AE665D" w14:paraId="7880DE7C" w14:textId="77777777" w:rsidTr="00A61C4D">
        <w:trPr>
          <w:trHeight w:val="258"/>
        </w:trPr>
        <w:tc>
          <w:tcPr>
            <w:tcW w:w="1251" w:type="pct"/>
            <w:shd w:val="clear" w:color="auto" w:fill="F2F2F2" w:themeFill="background1" w:themeFillShade="F2"/>
            <w:noWrap/>
            <w:tcMar>
              <w:top w:w="57" w:type="dxa"/>
              <w:bottom w:w="57" w:type="dxa"/>
            </w:tcMar>
            <w:hideMark/>
          </w:tcPr>
          <w:p w14:paraId="3ED89DB9" w14:textId="77777777" w:rsidR="004563F9" w:rsidRPr="0035726C" w:rsidRDefault="004563F9" w:rsidP="00C86F4A">
            <w:pPr>
              <w:pStyle w:val="TableTextLeft"/>
              <w:rPr>
                <w:szCs w:val="16"/>
              </w:rPr>
            </w:pPr>
            <w:r>
              <w:rPr>
                <w:szCs w:val="16"/>
              </w:rPr>
              <w:t>W</w:t>
            </w:r>
            <w:r w:rsidRPr="0035726C">
              <w:rPr>
                <w:szCs w:val="16"/>
              </w:rPr>
              <w:t>ithin 1 year</w:t>
            </w:r>
          </w:p>
        </w:tc>
        <w:tc>
          <w:tcPr>
            <w:tcW w:w="937" w:type="pct"/>
            <w:shd w:val="clear" w:color="auto" w:fill="F2F2F2" w:themeFill="background1" w:themeFillShade="F2"/>
            <w:noWrap/>
            <w:tcMar>
              <w:top w:w="57" w:type="dxa"/>
              <w:bottom w:w="57" w:type="dxa"/>
            </w:tcMar>
          </w:tcPr>
          <w:p w14:paraId="1727A8A3" w14:textId="77777777" w:rsidR="004563F9" w:rsidRPr="0035726C" w:rsidRDefault="004563F9" w:rsidP="00C86F4A">
            <w:pPr>
              <w:pStyle w:val="TableTextRight"/>
              <w:rPr>
                <w:szCs w:val="16"/>
              </w:rPr>
            </w:pPr>
            <w:r w:rsidRPr="0035726C">
              <w:rPr>
                <w:szCs w:val="16"/>
              </w:rPr>
              <w:t>82,800</w:t>
            </w:r>
          </w:p>
        </w:tc>
        <w:tc>
          <w:tcPr>
            <w:tcW w:w="938" w:type="pct"/>
            <w:shd w:val="clear" w:color="auto" w:fill="F2F2F2" w:themeFill="background1" w:themeFillShade="F2"/>
            <w:noWrap/>
            <w:tcMar>
              <w:top w:w="57" w:type="dxa"/>
              <w:bottom w:w="57" w:type="dxa"/>
            </w:tcMar>
          </w:tcPr>
          <w:p w14:paraId="677D344D"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494C6BED" w14:textId="77777777" w:rsidR="004563F9" w:rsidRPr="0035726C" w:rsidRDefault="004563F9" w:rsidP="00C86F4A">
            <w:pPr>
              <w:pStyle w:val="TableTextRight"/>
              <w:rPr>
                <w:szCs w:val="16"/>
              </w:rPr>
            </w:pPr>
            <w:r w:rsidRPr="0035726C">
              <w:rPr>
                <w:szCs w:val="16"/>
              </w:rPr>
              <w:t>27,647</w:t>
            </w:r>
          </w:p>
        </w:tc>
        <w:tc>
          <w:tcPr>
            <w:tcW w:w="938" w:type="pct"/>
            <w:shd w:val="clear" w:color="auto" w:fill="F2F2F2" w:themeFill="background1" w:themeFillShade="F2"/>
            <w:noWrap/>
            <w:tcMar>
              <w:top w:w="57" w:type="dxa"/>
              <w:bottom w:w="57" w:type="dxa"/>
            </w:tcMar>
          </w:tcPr>
          <w:p w14:paraId="13D549E7" w14:textId="77777777" w:rsidR="004563F9" w:rsidRPr="0035726C" w:rsidRDefault="004563F9" w:rsidP="00C86F4A">
            <w:pPr>
              <w:pStyle w:val="TableTextRight"/>
              <w:rPr>
                <w:szCs w:val="16"/>
              </w:rPr>
            </w:pPr>
            <w:r w:rsidRPr="0035726C">
              <w:rPr>
                <w:szCs w:val="16"/>
              </w:rPr>
              <w:t>110,447</w:t>
            </w:r>
          </w:p>
        </w:tc>
      </w:tr>
      <w:tr w:rsidR="004563F9" w:rsidRPr="00AE665D" w14:paraId="27BE52C0" w14:textId="77777777" w:rsidTr="00A61C4D">
        <w:trPr>
          <w:trHeight w:val="258"/>
        </w:trPr>
        <w:tc>
          <w:tcPr>
            <w:tcW w:w="1251" w:type="pct"/>
            <w:shd w:val="clear" w:color="auto" w:fill="F2F2F2" w:themeFill="background1" w:themeFillShade="F2"/>
            <w:noWrap/>
            <w:tcMar>
              <w:top w:w="57" w:type="dxa"/>
              <w:bottom w:w="57" w:type="dxa"/>
            </w:tcMar>
            <w:hideMark/>
          </w:tcPr>
          <w:p w14:paraId="02E42466" w14:textId="77777777" w:rsidR="004563F9" w:rsidRPr="0035726C" w:rsidRDefault="004563F9" w:rsidP="00C86F4A">
            <w:pPr>
              <w:pStyle w:val="TableTextLeft"/>
              <w:rPr>
                <w:szCs w:val="16"/>
              </w:rPr>
            </w:pPr>
            <w:r w:rsidRPr="0035726C">
              <w:rPr>
                <w:szCs w:val="16"/>
              </w:rPr>
              <w:t>1 to 5 years</w:t>
            </w:r>
          </w:p>
        </w:tc>
        <w:tc>
          <w:tcPr>
            <w:tcW w:w="937" w:type="pct"/>
            <w:shd w:val="clear" w:color="auto" w:fill="F2F2F2" w:themeFill="background1" w:themeFillShade="F2"/>
            <w:noWrap/>
            <w:tcMar>
              <w:top w:w="57" w:type="dxa"/>
              <w:bottom w:w="57" w:type="dxa"/>
            </w:tcMar>
          </w:tcPr>
          <w:p w14:paraId="05551F85" w14:textId="77777777" w:rsidR="004563F9" w:rsidRPr="0035726C" w:rsidRDefault="004563F9" w:rsidP="00C86F4A">
            <w:pPr>
              <w:pStyle w:val="TableTextRight"/>
              <w:rPr>
                <w:szCs w:val="16"/>
              </w:rPr>
            </w:pPr>
            <w:r w:rsidRPr="0035726C">
              <w:rPr>
                <w:szCs w:val="16"/>
              </w:rPr>
              <w:t>295,199</w:t>
            </w:r>
          </w:p>
        </w:tc>
        <w:tc>
          <w:tcPr>
            <w:tcW w:w="938" w:type="pct"/>
            <w:shd w:val="clear" w:color="auto" w:fill="F2F2F2" w:themeFill="background1" w:themeFillShade="F2"/>
            <w:noWrap/>
            <w:tcMar>
              <w:top w:w="57" w:type="dxa"/>
              <w:bottom w:w="57" w:type="dxa"/>
            </w:tcMar>
          </w:tcPr>
          <w:p w14:paraId="2DA6E937" w14:textId="77777777" w:rsidR="004563F9" w:rsidRPr="0035726C" w:rsidRDefault="004563F9" w:rsidP="00C86F4A">
            <w:pPr>
              <w:pStyle w:val="TableTextRight"/>
              <w:rPr>
                <w:szCs w:val="16"/>
              </w:rPr>
            </w:pPr>
            <w:r w:rsidRPr="0035726C">
              <w:rPr>
                <w:szCs w:val="16"/>
              </w:rPr>
              <w:t>17,835</w:t>
            </w:r>
          </w:p>
        </w:tc>
        <w:tc>
          <w:tcPr>
            <w:tcW w:w="938" w:type="pct"/>
            <w:shd w:val="clear" w:color="auto" w:fill="F2F2F2" w:themeFill="background1" w:themeFillShade="F2"/>
            <w:noWrap/>
            <w:tcMar>
              <w:top w:w="57" w:type="dxa"/>
              <w:bottom w:w="57" w:type="dxa"/>
            </w:tcMar>
          </w:tcPr>
          <w:p w14:paraId="774DC0C7"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7CE99321" w14:textId="77777777" w:rsidR="004563F9" w:rsidRPr="0035726C" w:rsidRDefault="004563F9" w:rsidP="00C86F4A">
            <w:pPr>
              <w:pStyle w:val="TableTextRight"/>
              <w:rPr>
                <w:szCs w:val="16"/>
              </w:rPr>
            </w:pPr>
            <w:r w:rsidRPr="0035726C">
              <w:rPr>
                <w:szCs w:val="16"/>
              </w:rPr>
              <w:t>313,034</w:t>
            </w:r>
          </w:p>
        </w:tc>
      </w:tr>
      <w:tr w:rsidR="004563F9" w:rsidRPr="00AE665D" w14:paraId="07CA0366" w14:textId="77777777" w:rsidTr="00A61C4D">
        <w:trPr>
          <w:trHeight w:val="258"/>
        </w:trPr>
        <w:tc>
          <w:tcPr>
            <w:tcW w:w="1251" w:type="pct"/>
            <w:shd w:val="clear" w:color="auto" w:fill="F2F2F2" w:themeFill="background1" w:themeFillShade="F2"/>
            <w:noWrap/>
            <w:tcMar>
              <w:top w:w="57" w:type="dxa"/>
              <w:bottom w:w="57" w:type="dxa"/>
            </w:tcMar>
            <w:hideMark/>
          </w:tcPr>
          <w:p w14:paraId="4B7949AB" w14:textId="77777777" w:rsidR="004563F9" w:rsidRPr="0035726C" w:rsidRDefault="004563F9" w:rsidP="00C86F4A">
            <w:pPr>
              <w:pStyle w:val="TableTextLeft"/>
              <w:rPr>
                <w:szCs w:val="16"/>
              </w:rPr>
            </w:pPr>
            <w:r w:rsidRPr="0035726C">
              <w:rPr>
                <w:szCs w:val="16"/>
              </w:rPr>
              <w:t>5 to 10 years</w:t>
            </w:r>
          </w:p>
        </w:tc>
        <w:tc>
          <w:tcPr>
            <w:tcW w:w="937" w:type="pct"/>
            <w:shd w:val="clear" w:color="auto" w:fill="F2F2F2" w:themeFill="background1" w:themeFillShade="F2"/>
            <w:noWrap/>
            <w:tcMar>
              <w:top w:w="57" w:type="dxa"/>
              <w:bottom w:w="57" w:type="dxa"/>
            </w:tcMar>
          </w:tcPr>
          <w:p w14:paraId="070C0EA0" w14:textId="77777777" w:rsidR="004563F9" w:rsidRPr="0035726C" w:rsidRDefault="004563F9" w:rsidP="00C86F4A">
            <w:pPr>
              <w:pStyle w:val="TableTextRight"/>
              <w:rPr>
                <w:szCs w:val="16"/>
              </w:rPr>
            </w:pPr>
            <w:r w:rsidRPr="0035726C">
              <w:rPr>
                <w:szCs w:val="16"/>
              </w:rPr>
              <w:t>342,100</w:t>
            </w:r>
          </w:p>
        </w:tc>
        <w:tc>
          <w:tcPr>
            <w:tcW w:w="938" w:type="pct"/>
            <w:shd w:val="clear" w:color="auto" w:fill="F2F2F2" w:themeFill="background1" w:themeFillShade="F2"/>
            <w:noWrap/>
            <w:tcMar>
              <w:top w:w="57" w:type="dxa"/>
              <w:bottom w:w="57" w:type="dxa"/>
            </w:tcMar>
          </w:tcPr>
          <w:p w14:paraId="7499BA02" w14:textId="77777777" w:rsidR="004563F9" w:rsidRPr="0035726C" w:rsidRDefault="004563F9" w:rsidP="00C86F4A">
            <w:pPr>
              <w:pStyle w:val="TableTextRight"/>
              <w:rPr>
                <w:szCs w:val="16"/>
              </w:rPr>
            </w:pPr>
            <w:r w:rsidRPr="0035726C">
              <w:rPr>
                <w:szCs w:val="16"/>
              </w:rPr>
              <w:t>16,236</w:t>
            </w:r>
          </w:p>
        </w:tc>
        <w:tc>
          <w:tcPr>
            <w:tcW w:w="938" w:type="pct"/>
            <w:shd w:val="clear" w:color="auto" w:fill="F2F2F2" w:themeFill="background1" w:themeFillShade="F2"/>
            <w:noWrap/>
            <w:tcMar>
              <w:top w:w="57" w:type="dxa"/>
              <w:bottom w:w="57" w:type="dxa"/>
            </w:tcMar>
          </w:tcPr>
          <w:p w14:paraId="4881CD2C"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36A8E0EF" w14:textId="77777777" w:rsidR="004563F9" w:rsidRPr="0035726C" w:rsidRDefault="004563F9" w:rsidP="00C86F4A">
            <w:pPr>
              <w:pStyle w:val="TableTextRight"/>
              <w:rPr>
                <w:szCs w:val="16"/>
              </w:rPr>
            </w:pPr>
            <w:r w:rsidRPr="0035726C">
              <w:rPr>
                <w:szCs w:val="16"/>
              </w:rPr>
              <w:t>358,336</w:t>
            </w:r>
          </w:p>
        </w:tc>
      </w:tr>
      <w:tr w:rsidR="004563F9" w:rsidRPr="00AE665D" w14:paraId="76AD63DD" w14:textId="77777777" w:rsidTr="00A61C4D">
        <w:trPr>
          <w:trHeight w:val="258"/>
        </w:trPr>
        <w:tc>
          <w:tcPr>
            <w:tcW w:w="1251" w:type="pct"/>
            <w:shd w:val="clear" w:color="auto" w:fill="F2F2F2" w:themeFill="background1" w:themeFillShade="F2"/>
            <w:noWrap/>
            <w:tcMar>
              <w:top w:w="57" w:type="dxa"/>
              <w:bottom w:w="57" w:type="dxa"/>
            </w:tcMar>
            <w:hideMark/>
          </w:tcPr>
          <w:p w14:paraId="6BF119F9" w14:textId="77777777" w:rsidR="004563F9" w:rsidRPr="0035726C" w:rsidRDefault="004563F9" w:rsidP="00C86F4A">
            <w:pPr>
              <w:pStyle w:val="TableTextLeft"/>
              <w:rPr>
                <w:szCs w:val="16"/>
              </w:rPr>
            </w:pPr>
            <w:r w:rsidRPr="0035726C">
              <w:rPr>
                <w:szCs w:val="16"/>
              </w:rPr>
              <w:t>10 to 15 years</w:t>
            </w:r>
          </w:p>
        </w:tc>
        <w:tc>
          <w:tcPr>
            <w:tcW w:w="937" w:type="pct"/>
            <w:shd w:val="clear" w:color="auto" w:fill="F2F2F2" w:themeFill="background1" w:themeFillShade="F2"/>
            <w:noWrap/>
            <w:tcMar>
              <w:top w:w="57" w:type="dxa"/>
              <w:bottom w:w="57" w:type="dxa"/>
            </w:tcMar>
          </w:tcPr>
          <w:p w14:paraId="1B7E4EF5" w14:textId="77777777" w:rsidR="004563F9" w:rsidRPr="0035726C" w:rsidRDefault="004563F9" w:rsidP="00C86F4A">
            <w:pPr>
              <w:pStyle w:val="TableTextRight"/>
              <w:rPr>
                <w:szCs w:val="16"/>
              </w:rPr>
            </w:pPr>
            <w:r w:rsidRPr="0035726C">
              <w:rPr>
                <w:szCs w:val="16"/>
              </w:rPr>
              <w:t>61,150</w:t>
            </w:r>
          </w:p>
        </w:tc>
        <w:tc>
          <w:tcPr>
            <w:tcW w:w="938" w:type="pct"/>
            <w:shd w:val="clear" w:color="auto" w:fill="F2F2F2" w:themeFill="background1" w:themeFillShade="F2"/>
            <w:noWrap/>
            <w:tcMar>
              <w:top w:w="57" w:type="dxa"/>
              <w:bottom w:w="57" w:type="dxa"/>
            </w:tcMar>
          </w:tcPr>
          <w:p w14:paraId="57A7DD40" w14:textId="77777777" w:rsidR="004563F9" w:rsidRPr="0035726C" w:rsidRDefault="004563F9" w:rsidP="00C86F4A">
            <w:pPr>
              <w:pStyle w:val="TableTextRight"/>
              <w:rPr>
                <w:szCs w:val="16"/>
              </w:rPr>
            </w:pPr>
            <w:r w:rsidRPr="0035726C">
              <w:rPr>
                <w:szCs w:val="16"/>
              </w:rPr>
              <w:t>8,240</w:t>
            </w:r>
          </w:p>
        </w:tc>
        <w:tc>
          <w:tcPr>
            <w:tcW w:w="938" w:type="pct"/>
            <w:shd w:val="clear" w:color="auto" w:fill="F2F2F2" w:themeFill="background1" w:themeFillShade="F2"/>
            <w:noWrap/>
            <w:tcMar>
              <w:top w:w="57" w:type="dxa"/>
              <w:bottom w:w="57" w:type="dxa"/>
            </w:tcMar>
          </w:tcPr>
          <w:p w14:paraId="5DDFCEB1"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6E095276" w14:textId="77777777" w:rsidR="004563F9" w:rsidRPr="0035726C" w:rsidRDefault="004563F9" w:rsidP="00C86F4A">
            <w:pPr>
              <w:pStyle w:val="TableTextRight"/>
              <w:rPr>
                <w:szCs w:val="16"/>
              </w:rPr>
            </w:pPr>
            <w:r w:rsidRPr="0035726C">
              <w:rPr>
                <w:szCs w:val="16"/>
              </w:rPr>
              <w:t>69,390</w:t>
            </w:r>
          </w:p>
        </w:tc>
      </w:tr>
      <w:tr w:rsidR="004563F9" w:rsidRPr="00AE665D" w14:paraId="6D7936DD" w14:textId="77777777" w:rsidTr="00A61C4D">
        <w:trPr>
          <w:trHeight w:val="258"/>
        </w:trPr>
        <w:tc>
          <w:tcPr>
            <w:tcW w:w="1251" w:type="pct"/>
            <w:shd w:val="clear" w:color="auto" w:fill="F2F2F2" w:themeFill="background1" w:themeFillShade="F2"/>
            <w:noWrap/>
            <w:tcMar>
              <w:top w:w="57" w:type="dxa"/>
              <w:bottom w:w="57" w:type="dxa"/>
            </w:tcMar>
            <w:hideMark/>
          </w:tcPr>
          <w:p w14:paraId="74DCFDCF" w14:textId="77777777" w:rsidR="004563F9" w:rsidRPr="0035726C" w:rsidRDefault="004563F9" w:rsidP="00C86F4A">
            <w:pPr>
              <w:pStyle w:val="TableTextLeft"/>
              <w:rPr>
                <w:szCs w:val="16"/>
              </w:rPr>
            </w:pPr>
            <w:r w:rsidRPr="0035726C">
              <w:rPr>
                <w:szCs w:val="16"/>
              </w:rPr>
              <w:t>15 years+</w:t>
            </w:r>
          </w:p>
        </w:tc>
        <w:tc>
          <w:tcPr>
            <w:tcW w:w="937" w:type="pct"/>
            <w:shd w:val="clear" w:color="auto" w:fill="F2F2F2" w:themeFill="background1" w:themeFillShade="F2"/>
            <w:noWrap/>
            <w:tcMar>
              <w:top w:w="57" w:type="dxa"/>
              <w:bottom w:w="57" w:type="dxa"/>
            </w:tcMar>
          </w:tcPr>
          <w:p w14:paraId="5D01D706" w14:textId="77777777" w:rsidR="004563F9" w:rsidRPr="0035726C" w:rsidRDefault="004563F9" w:rsidP="00C86F4A">
            <w:pPr>
              <w:pStyle w:val="TableTextRight"/>
              <w:ind w:left="-1904"/>
              <w:rPr>
                <w:szCs w:val="16"/>
              </w:rPr>
            </w:pPr>
            <w:r w:rsidRPr="0035726C">
              <w:rPr>
                <w:szCs w:val="16"/>
              </w:rPr>
              <w:t>56,700</w:t>
            </w:r>
          </w:p>
        </w:tc>
        <w:tc>
          <w:tcPr>
            <w:tcW w:w="938" w:type="pct"/>
            <w:shd w:val="clear" w:color="auto" w:fill="F2F2F2" w:themeFill="background1" w:themeFillShade="F2"/>
            <w:noWrap/>
            <w:tcMar>
              <w:top w:w="57" w:type="dxa"/>
              <w:bottom w:w="57" w:type="dxa"/>
            </w:tcMar>
          </w:tcPr>
          <w:p w14:paraId="2AA2DF84" w14:textId="77777777" w:rsidR="004563F9" w:rsidRPr="0035726C" w:rsidRDefault="004563F9" w:rsidP="00C86F4A">
            <w:pPr>
              <w:pStyle w:val="TableTextRight"/>
              <w:rPr>
                <w:szCs w:val="16"/>
              </w:rPr>
            </w:pPr>
            <w:r w:rsidRPr="0035726C">
              <w:rPr>
                <w:szCs w:val="16"/>
              </w:rPr>
              <w:t>11,790</w:t>
            </w:r>
          </w:p>
        </w:tc>
        <w:tc>
          <w:tcPr>
            <w:tcW w:w="938" w:type="pct"/>
            <w:shd w:val="clear" w:color="auto" w:fill="F2F2F2" w:themeFill="background1" w:themeFillShade="F2"/>
            <w:noWrap/>
            <w:tcMar>
              <w:top w:w="57" w:type="dxa"/>
              <w:bottom w:w="57" w:type="dxa"/>
            </w:tcMar>
          </w:tcPr>
          <w:p w14:paraId="456598BB"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65A1063D" w14:textId="77777777" w:rsidR="004563F9" w:rsidRPr="0035726C" w:rsidRDefault="004563F9" w:rsidP="00C86F4A">
            <w:pPr>
              <w:pStyle w:val="TableTextRight"/>
              <w:rPr>
                <w:szCs w:val="16"/>
              </w:rPr>
            </w:pPr>
            <w:r w:rsidRPr="0035726C">
              <w:rPr>
                <w:szCs w:val="16"/>
              </w:rPr>
              <w:t>68,490</w:t>
            </w:r>
          </w:p>
        </w:tc>
      </w:tr>
      <w:tr w:rsidR="004563F9" w:rsidRPr="00AE665D" w14:paraId="69CA0202" w14:textId="77777777" w:rsidTr="00BD7AD5">
        <w:trPr>
          <w:trHeight w:val="258"/>
        </w:trPr>
        <w:tc>
          <w:tcPr>
            <w:tcW w:w="1251" w:type="pct"/>
            <w:tcBorders>
              <w:bottom w:val="single" w:sz="4" w:space="0" w:color="29114B" w:themeColor="text2"/>
            </w:tcBorders>
            <w:shd w:val="clear" w:color="auto" w:fill="F2F2F2" w:themeFill="background1" w:themeFillShade="F2"/>
            <w:noWrap/>
            <w:tcMar>
              <w:top w:w="57" w:type="dxa"/>
              <w:bottom w:w="57" w:type="dxa"/>
            </w:tcMar>
            <w:hideMark/>
          </w:tcPr>
          <w:p w14:paraId="5E3A9AEB" w14:textId="77777777" w:rsidR="004563F9" w:rsidRPr="00A64A7B" w:rsidRDefault="004563F9" w:rsidP="00C86F4A">
            <w:pPr>
              <w:pStyle w:val="TableTextLeft"/>
              <w:rPr>
                <w:b/>
                <w:bCs/>
              </w:rPr>
            </w:pPr>
            <w:r w:rsidRPr="00A64A7B">
              <w:rPr>
                <w:b/>
                <w:bCs/>
              </w:rPr>
              <w:t>Total Principal</w:t>
            </w:r>
          </w:p>
        </w:tc>
        <w:tc>
          <w:tcPr>
            <w:tcW w:w="937" w:type="pct"/>
            <w:tcBorders>
              <w:bottom w:val="single" w:sz="4" w:space="0" w:color="29114B" w:themeColor="text2"/>
            </w:tcBorders>
            <w:shd w:val="clear" w:color="auto" w:fill="F2F2F2" w:themeFill="background1" w:themeFillShade="F2"/>
            <w:noWrap/>
            <w:tcMar>
              <w:top w:w="57" w:type="dxa"/>
              <w:bottom w:w="57" w:type="dxa"/>
            </w:tcMar>
          </w:tcPr>
          <w:p w14:paraId="09561319" w14:textId="77777777" w:rsidR="004563F9" w:rsidRPr="00A64A7B" w:rsidRDefault="004563F9" w:rsidP="00C86F4A">
            <w:pPr>
              <w:pStyle w:val="TableTextRight"/>
              <w:rPr>
                <w:b/>
                <w:bCs/>
              </w:rPr>
            </w:pPr>
            <w:r w:rsidRPr="00A64A7B">
              <w:rPr>
                <w:b/>
                <w:bCs/>
              </w:rPr>
              <w:t>837,949</w:t>
            </w:r>
          </w:p>
        </w:tc>
        <w:tc>
          <w:tcPr>
            <w:tcW w:w="938" w:type="pct"/>
            <w:tcBorders>
              <w:bottom w:val="single" w:sz="4" w:space="0" w:color="29114B" w:themeColor="text2"/>
            </w:tcBorders>
            <w:shd w:val="clear" w:color="auto" w:fill="F2F2F2" w:themeFill="background1" w:themeFillShade="F2"/>
            <w:noWrap/>
            <w:tcMar>
              <w:top w:w="57" w:type="dxa"/>
              <w:bottom w:w="57" w:type="dxa"/>
            </w:tcMar>
          </w:tcPr>
          <w:p w14:paraId="462764DF" w14:textId="77777777" w:rsidR="004563F9" w:rsidRPr="00A64A7B" w:rsidRDefault="004563F9" w:rsidP="00C86F4A">
            <w:pPr>
              <w:pStyle w:val="TableTextRight"/>
              <w:rPr>
                <w:b/>
                <w:bCs/>
              </w:rPr>
            </w:pPr>
            <w:r w:rsidRPr="00A64A7B">
              <w:rPr>
                <w:b/>
                <w:bCs/>
              </w:rPr>
              <w:t>54,101</w:t>
            </w:r>
          </w:p>
        </w:tc>
        <w:tc>
          <w:tcPr>
            <w:tcW w:w="938" w:type="pct"/>
            <w:tcBorders>
              <w:bottom w:val="single" w:sz="4" w:space="0" w:color="29114B" w:themeColor="text2"/>
            </w:tcBorders>
            <w:shd w:val="clear" w:color="auto" w:fill="F2F2F2" w:themeFill="background1" w:themeFillShade="F2"/>
            <w:noWrap/>
            <w:tcMar>
              <w:top w:w="57" w:type="dxa"/>
              <w:bottom w:w="57" w:type="dxa"/>
            </w:tcMar>
          </w:tcPr>
          <w:p w14:paraId="7055A117" w14:textId="77777777" w:rsidR="004563F9" w:rsidRPr="00A64A7B" w:rsidRDefault="004563F9" w:rsidP="00C86F4A">
            <w:pPr>
              <w:pStyle w:val="TableTextRight"/>
              <w:rPr>
                <w:b/>
                <w:bCs/>
              </w:rPr>
            </w:pPr>
            <w:r w:rsidRPr="00A64A7B">
              <w:rPr>
                <w:b/>
                <w:bCs/>
              </w:rPr>
              <w:t>27,647</w:t>
            </w:r>
          </w:p>
        </w:tc>
        <w:tc>
          <w:tcPr>
            <w:tcW w:w="938" w:type="pct"/>
            <w:tcBorders>
              <w:bottom w:val="single" w:sz="4" w:space="0" w:color="29114B" w:themeColor="text2"/>
            </w:tcBorders>
            <w:shd w:val="clear" w:color="auto" w:fill="F2F2F2" w:themeFill="background1" w:themeFillShade="F2"/>
            <w:noWrap/>
            <w:tcMar>
              <w:top w:w="57" w:type="dxa"/>
              <w:bottom w:w="57" w:type="dxa"/>
            </w:tcMar>
          </w:tcPr>
          <w:p w14:paraId="2011E6A5" w14:textId="77777777" w:rsidR="004563F9" w:rsidRPr="00A64A7B" w:rsidRDefault="004563F9" w:rsidP="00C86F4A">
            <w:pPr>
              <w:pStyle w:val="TableTextRight"/>
              <w:rPr>
                <w:b/>
                <w:bCs/>
              </w:rPr>
            </w:pPr>
            <w:r w:rsidRPr="00A64A7B">
              <w:rPr>
                <w:b/>
                <w:bCs/>
              </w:rPr>
              <w:t>919,697</w:t>
            </w:r>
          </w:p>
        </w:tc>
      </w:tr>
      <w:tr w:rsidR="004563F9" w:rsidRPr="00AE665D" w14:paraId="4E8C9349" w14:textId="77777777" w:rsidTr="00BD7AD5">
        <w:trPr>
          <w:trHeight w:val="258"/>
        </w:trPr>
        <w:tc>
          <w:tcPr>
            <w:tcW w:w="1251"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05BBFE2B" w14:textId="77777777" w:rsidR="004563F9" w:rsidRPr="00BD7AD5" w:rsidRDefault="004563F9" w:rsidP="00C86F4A">
            <w:pPr>
              <w:pStyle w:val="TableSecondHeading"/>
              <w:rPr>
                <w:b/>
                <w:bCs/>
              </w:rPr>
            </w:pPr>
            <w:r w:rsidRPr="00BD7AD5">
              <w:rPr>
                <w:b/>
                <w:bCs/>
              </w:rPr>
              <w:t>Interest payments:</w:t>
            </w:r>
          </w:p>
        </w:tc>
        <w:tc>
          <w:tcPr>
            <w:tcW w:w="937"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18125944" w14:textId="77777777" w:rsidR="004563F9" w:rsidRPr="0035726C" w:rsidRDefault="004563F9" w:rsidP="00C86F4A">
            <w:pPr>
              <w:pStyle w:val="TableTextRight"/>
              <w:spacing w:before="100" w:beforeAutospacing="1"/>
              <w:rPr>
                <w:szCs w:val="16"/>
              </w:rPr>
            </w:pPr>
          </w:p>
        </w:tc>
        <w:tc>
          <w:tcPr>
            <w:tcW w:w="93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12F74E89" w14:textId="77777777" w:rsidR="004563F9" w:rsidRPr="0035726C" w:rsidRDefault="004563F9" w:rsidP="00C86F4A">
            <w:pPr>
              <w:pStyle w:val="TableTextRight"/>
              <w:spacing w:before="100" w:beforeAutospacing="1"/>
              <w:rPr>
                <w:szCs w:val="16"/>
              </w:rPr>
            </w:pPr>
          </w:p>
        </w:tc>
        <w:tc>
          <w:tcPr>
            <w:tcW w:w="93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348CA687" w14:textId="77777777" w:rsidR="004563F9" w:rsidRPr="0035726C" w:rsidRDefault="004563F9" w:rsidP="00C86F4A">
            <w:pPr>
              <w:pStyle w:val="TableTextRight"/>
              <w:spacing w:before="100" w:beforeAutospacing="1"/>
              <w:rPr>
                <w:szCs w:val="16"/>
              </w:rPr>
            </w:pPr>
          </w:p>
        </w:tc>
        <w:tc>
          <w:tcPr>
            <w:tcW w:w="938"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12DD4AD5" w14:textId="77777777" w:rsidR="004563F9" w:rsidRPr="0035726C" w:rsidRDefault="004563F9" w:rsidP="00C86F4A">
            <w:pPr>
              <w:pStyle w:val="TableTextRight"/>
              <w:spacing w:before="100" w:beforeAutospacing="1"/>
              <w:rPr>
                <w:szCs w:val="16"/>
              </w:rPr>
            </w:pPr>
          </w:p>
        </w:tc>
      </w:tr>
      <w:tr w:rsidR="004563F9" w:rsidRPr="00AE665D" w14:paraId="7A66300F" w14:textId="77777777" w:rsidTr="00A61C4D">
        <w:trPr>
          <w:trHeight w:val="258"/>
        </w:trPr>
        <w:tc>
          <w:tcPr>
            <w:tcW w:w="1251" w:type="pct"/>
            <w:shd w:val="clear" w:color="auto" w:fill="F2F2F2" w:themeFill="background1" w:themeFillShade="F2"/>
            <w:noWrap/>
            <w:tcMar>
              <w:top w:w="57" w:type="dxa"/>
              <w:bottom w:w="57" w:type="dxa"/>
            </w:tcMar>
            <w:hideMark/>
          </w:tcPr>
          <w:p w14:paraId="01FB436C" w14:textId="77777777" w:rsidR="004563F9" w:rsidRPr="0035726C" w:rsidRDefault="004563F9" w:rsidP="00C86F4A">
            <w:pPr>
              <w:pStyle w:val="TableTextLeft"/>
              <w:rPr>
                <w:szCs w:val="16"/>
              </w:rPr>
            </w:pPr>
            <w:r w:rsidRPr="0035726C">
              <w:rPr>
                <w:szCs w:val="16"/>
              </w:rPr>
              <w:t>within 1 year</w:t>
            </w:r>
          </w:p>
        </w:tc>
        <w:tc>
          <w:tcPr>
            <w:tcW w:w="937" w:type="pct"/>
            <w:shd w:val="clear" w:color="auto" w:fill="F2F2F2" w:themeFill="background1" w:themeFillShade="F2"/>
            <w:noWrap/>
            <w:tcMar>
              <w:top w:w="57" w:type="dxa"/>
              <w:bottom w:w="57" w:type="dxa"/>
            </w:tcMar>
          </w:tcPr>
          <w:p w14:paraId="1F5628EE" w14:textId="77777777" w:rsidR="004563F9" w:rsidRPr="0035726C" w:rsidRDefault="004563F9" w:rsidP="00C86F4A">
            <w:pPr>
              <w:pStyle w:val="TableTextRight"/>
              <w:rPr>
                <w:szCs w:val="16"/>
              </w:rPr>
            </w:pPr>
            <w:r w:rsidRPr="0035726C">
              <w:rPr>
                <w:szCs w:val="16"/>
              </w:rPr>
              <w:t>19,968</w:t>
            </w:r>
          </w:p>
        </w:tc>
        <w:tc>
          <w:tcPr>
            <w:tcW w:w="938" w:type="pct"/>
            <w:shd w:val="clear" w:color="auto" w:fill="F2F2F2" w:themeFill="background1" w:themeFillShade="F2"/>
            <w:noWrap/>
            <w:tcMar>
              <w:top w:w="57" w:type="dxa"/>
              <w:bottom w:w="57" w:type="dxa"/>
            </w:tcMar>
          </w:tcPr>
          <w:p w14:paraId="476CE9C3" w14:textId="77777777" w:rsidR="004563F9" w:rsidRPr="0035726C" w:rsidRDefault="004563F9" w:rsidP="00C86F4A">
            <w:pPr>
              <w:pStyle w:val="TableTextRight"/>
              <w:rPr>
                <w:szCs w:val="16"/>
              </w:rPr>
            </w:pPr>
            <w:r w:rsidRPr="0035726C">
              <w:rPr>
                <w:szCs w:val="16"/>
              </w:rPr>
              <w:t>904</w:t>
            </w:r>
          </w:p>
        </w:tc>
        <w:tc>
          <w:tcPr>
            <w:tcW w:w="938" w:type="pct"/>
            <w:shd w:val="clear" w:color="auto" w:fill="F2F2F2" w:themeFill="background1" w:themeFillShade="F2"/>
            <w:noWrap/>
            <w:tcMar>
              <w:top w:w="57" w:type="dxa"/>
              <w:bottom w:w="57" w:type="dxa"/>
            </w:tcMar>
          </w:tcPr>
          <w:p w14:paraId="3850AA44" w14:textId="77777777" w:rsidR="004563F9" w:rsidRPr="0035726C" w:rsidRDefault="004563F9" w:rsidP="00C86F4A">
            <w:pPr>
              <w:pStyle w:val="TableTextRight"/>
              <w:rPr>
                <w:szCs w:val="16"/>
              </w:rPr>
            </w:pPr>
            <w:r w:rsidRPr="0035726C">
              <w:rPr>
                <w:szCs w:val="16"/>
              </w:rPr>
              <w:t>358</w:t>
            </w:r>
          </w:p>
        </w:tc>
        <w:tc>
          <w:tcPr>
            <w:tcW w:w="938" w:type="pct"/>
            <w:shd w:val="clear" w:color="auto" w:fill="F2F2F2" w:themeFill="background1" w:themeFillShade="F2"/>
            <w:noWrap/>
            <w:tcMar>
              <w:top w:w="57" w:type="dxa"/>
              <w:bottom w:w="57" w:type="dxa"/>
            </w:tcMar>
          </w:tcPr>
          <w:p w14:paraId="09A0D709" w14:textId="77777777" w:rsidR="004563F9" w:rsidRPr="0035726C" w:rsidRDefault="004563F9" w:rsidP="00C86F4A">
            <w:pPr>
              <w:pStyle w:val="TableTextRight"/>
              <w:rPr>
                <w:szCs w:val="16"/>
              </w:rPr>
            </w:pPr>
            <w:r w:rsidRPr="0035726C">
              <w:rPr>
                <w:szCs w:val="16"/>
              </w:rPr>
              <w:t>21,230</w:t>
            </w:r>
          </w:p>
        </w:tc>
      </w:tr>
      <w:tr w:rsidR="004563F9" w:rsidRPr="00AE665D" w14:paraId="5EF34269" w14:textId="77777777" w:rsidTr="00A61C4D">
        <w:trPr>
          <w:trHeight w:val="258"/>
        </w:trPr>
        <w:tc>
          <w:tcPr>
            <w:tcW w:w="1251" w:type="pct"/>
            <w:shd w:val="clear" w:color="auto" w:fill="F2F2F2" w:themeFill="background1" w:themeFillShade="F2"/>
            <w:noWrap/>
            <w:tcMar>
              <w:top w:w="57" w:type="dxa"/>
              <w:bottom w:w="57" w:type="dxa"/>
            </w:tcMar>
            <w:hideMark/>
          </w:tcPr>
          <w:p w14:paraId="3D4EADB4" w14:textId="77777777" w:rsidR="004563F9" w:rsidRPr="0035726C" w:rsidRDefault="004563F9" w:rsidP="00C86F4A">
            <w:pPr>
              <w:pStyle w:val="TableTextLeft"/>
              <w:rPr>
                <w:szCs w:val="16"/>
              </w:rPr>
            </w:pPr>
            <w:r w:rsidRPr="0035726C">
              <w:rPr>
                <w:szCs w:val="16"/>
              </w:rPr>
              <w:t>1 to 5 years</w:t>
            </w:r>
          </w:p>
        </w:tc>
        <w:tc>
          <w:tcPr>
            <w:tcW w:w="937" w:type="pct"/>
            <w:shd w:val="clear" w:color="auto" w:fill="F2F2F2" w:themeFill="background1" w:themeFillShade="F2"/>
            <w:noWrap/>
            <w:tcMar>
              <w:top w:w="57" w:type="dxa"/>
              <w:bottom w:w="57" w:type="dxa"/>
            </w:tcMar>
          </w:tcPr>
          <w:p w14:paraId="0E6AAEC8" w14:textId="77777777" w:rsidR="004563F9" w:rsidRPr="0035726C" w:rsidRDefault="004563F9" w:rsidP="00C86F4A">
            <w:pPr>
              <w:pStyle w:val="TableTextRight"/>
              <w:rPr>
                <w:szCs w:val="16"/>
              </w:rPr>
            </w:pPr>
            <w:r w:rsidRPr="0035726C">
              <w:rPr>
                <w:szCs w:val="16"/>
              </w:rPr>
              <w:t>62,260</w:t>
            </w:r>
          </w:p>
        </w:tc>
        <w:tc>
          <w:tcPr>
            <w:tcW w:w="938" w:type="pct"/>
            <w:shd w:val="clear" w:color="auto" w:fill="F2F2F2" w:themeFill="background1" w:themeFillShade="F2"/>
            <w:noWrap/>
            <w:tcMar>
              <w:top w:w="57" w:type="dxa"/>
              <w:bottom w:w="57" w:type="dxa"/>
            </w:tcMar>
          </w:tcPr>
          <w:p w14:paraId="2DBFE0B6" w14:textId="77777777" w:rsidR="004563F9" w:rsidRPr="0035726C" w:rsidRDefault="004563F9" w:rsidP="00C86F4A">
            <w:pPr>
              <w:pStyle w:val="TableTextRight"/>
              <w:rPr>
                <w:szCs w:val="16"/>
              </w:rPr>
            </w:pPr>
            <w:r w:rsidRPr="0035726C">
              <w:rPr>
                <w:szCs w:val="16"/>
              </w:rPr>
              <w:t>2,507</w:t>
            </w:r>
          </w:p>
        </w:tc>
        <w:tc>
          <w:tcPr>
            <w:tcW w:w="938" w:type="pct"/>
            <w:shd w:val="clear" w:color="auto" w:fill="F2F2F2" w:themeFill="background1" w:themeFillShade="F2"/>
            <w:noWrap/>
            <w:tcMar>
              <w:top w:w="57" w:type="dxa"/>
              <w:bottom w:w="57" w:type="dxa"/>
            </w:tcMar>
          </w:tcPr>
          <w:p w14:paraId="351C667B"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1D9457A6" w14:textId="77777777" w:rsidR="004563F9" w:rsidRPr="0035726C" w:rsidRDefault="004563F9" w:rsidP="00C86F4A">
            <w:pPr>
              <w:pStyle w:val="TableTextRight"/>
              <w:rPr>
                <w:szCs w:val="16"/>
              </w:rPr>
            </w:pPr>
            <w:r w:rsidRPr="0035726C">
              <w:rPr>
                <w:szCs w:val="16"/>
              </w:rPr>
              <w:t>64,767</w:t>
            </w:r>
          </w:p>
        </w:tc>
      </w:tr>
      <w:tr w:rsidR="004563F9" w:rsidRPr="00AE665D" w14:paraId="2CBCA21E" w14:textId="77777777" w:rsidTr="00A61C4D">
        <w:trPr>
          <w:trHeight w:val="258"/>
        </w:trPr>
        <w:tc>
          <w:tcPr>
            <w:tcW w:w="1251" w:type="pct"/>
            <w:shd w:val="clear" w:color="auto" w:fill="F2F2F2" w:themeFill="background1" w:themeFillShade="F2"/>
            <w:noWrap/>
            <w:tcMar>
              <w:top w:w="57" w:type="dxa"/>
              <w:bottom w:w="57" w:type="dxa"/>
            </w:tcMar>
            <w:hideMark/>
          </w:tcPr>
          <w:p w14:paraId="35479E72" w14:textId="77777777" w:rsidR="004563F9" w:rsidRPr="0035726C" w:rsidRDefault="004563F9" w:rsidP="00C86F4A">
            <w:pPr>
              <w:pStyle w:val="TableTextLeft"/>
              <w:rPr>
                <w:szCs w:val="16"/>
              </w:rPr>
            </w:pPr>
            <w:r w:rsidRPr="0035726C">
              <w:rPr>
                <w:szCs w:val="16"/>
              </w:rPr>
              <w:t>5 to 10 years</w:t>
            </w:r>
          </w:p>
        </w:tc>
        <w:tc>
          <w:tcPr>
            <w:tcW w:w="937" w:type="pct"/>
            <w:shd w:val="clear" w:color="auto" w:fill="F2F2F2" w:themeFill="background1" w:themeFillShade="F2"/>
            <w:noWrap/>
            <w:tcMar>
              <w:top w:w="57" w:type="dxa"/>
              <w:bottom w:w="57" w:type="dxa"/>
            </w:tcMar>
          </w:tcPr>
          <w:p w14:paraId="17964F43" w14:textId="77777777" w:rsidR="004563F9" w:rsidRPr="0035726C" w:rsidRDefault="004563F9" w:rsidP="00C86F4A">
            <w:pPr>
              <w:pStyle w:val="TableTextRight"/>
              <w:rPr>
                <w:szCs w:val="16"/>
              </w:rPr>
            </w:pPr>
            <w:r w:rsidRPr="0035726C">
              <w:rPr>
                <w:szCs w:val="16"/>
              </w:rPr>
              <w:t>38,936</w:t>
            </w:r>
          </w:p>
        </w:tc>
        <w:tc>
          <w:tcPr>
            <w:tcW w:w="938" w:type="pct"/>
            <w:shd w:val="clear" w:color="auto" w:fill="F2F2F2" w:themeFill="background1" w:themeFillShade="F2"/>
            <w:noWrap/>
            <w:tcMar>
              <w:top w:w="57" w:type="dxa"/>
              <w:bottom w:w="57" w:type="dxa"/>
            </w:tcMar>
          </w:tcPr>
          <w:p w14:paraId="7C6B7AA1" w14:textId="77777777" w:rsidR="004563F9" w:rsidRPr="0035726C" w:rsidRDefault="004563F9" w:rsidP="00C86F4A">
            <w:pPr>
              <w:pStyle w:val="TableTextRight"/>
              <w:rPr>
                <w:szCs w:val="16"/>
              </w:rPr>
            </w:pPr>
            <w:r w:rsidRPr="0035726C">
              <w:rPr>
                <w:szCs w:val="16"/>
              </w:rPr>
              <w:t>1,865</w:t>
            </w:r>
          </w:p>
        </w:tc>
        <w:tc>
          <w:tcPr>
            <w:tcW w:w="938" w:type="pct"/>
            <w:shd w:val="clear" w:color="auto" w:fill="F2F2F2" w:themeFill="background1" w:themeFillShade="F2"/>
            <w:noWrap/>
            <w:tcMar>
              <w:top w:w="57" w:type="dxa"/>
              <w:bottom w:w="57" w:type="dxa"/>
            </w:tcMar>
          </w:tcPr>
          <w:p w14:paraId="424C62A8"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07719DBA" w14:textId="77777777" w:rsidR="004563F9" w:rsidRPr="0035726C" w:rsidRDefault="004563F9" w:rsidP="00C86F4A">
            <w:pPr>
              <w:pStyle w:val="TableTextRight"/>
              <w:rPr>
                <w:szCs w:val="16"/>
              </w:rPr>
            </w:pPr>
            <w:r w:rsidRPr="0035726C">
              <w:rPr>
                <w:szCs w:val="16"/>
              </w:rPr>
              <w:t>40,801</w:t>
            </w:r>
          </w:p>
        </w:tc>
      </w:tr>
      <w:tr w:rsidR="004563F9" w:rsidRPr="00AE665D" w14:paraId="5CD4D1ED" w14:textId="77777777" w:rsidTr="00A61C4D">
        <w:trPr>
          <w:trHeight w:val="258"/>
        </w:trPr>
        <w:tc>
          <w:tcPr>
            <w:tcW w:w="1251" w:type="pct"/>
            <w:shd w:val="clear" w:color="auto" w:fill="F2F2F2" w:themeFill="background1" w:themeFillShade="F2"/>
            <w:noWrap/>
            <w:tcMar>
              <w:top w:w="57" w:type="dxa"/>
              <w:bottom w:w="57" w:type="dxa"/>
            </w:tcMar>
            <w:hideMark/>
          </w:tcPr>
          <w:p w14:paraId="5BA41F8E" w14:textId="77777777" w:rsidR="004563F9" w:rsidRPr="0035726C" w:rsidRDefault="004563F9" w:rsidP="00C86F4A">
            <w:pPr>
              <w:pStyle w:val="TableTextLeft"/>
              <w:rPr>
                <w:szCs w:val="16"/>
              </w:rPr>
            </w:pPr>
            <w:r w:rsidRPr="0035726C">
              <w:rPr>
                <w:szCs w:val="16"/>
              </w:rPr>
              <w:t>10 to 15 years</w:t>
            </w:r>
          </w:p>
        </w:tc>
        <w:tc>
          <w:tcPr>
            <w:tcW w:w="937" w:type="pct"/>
            <w:shd w:val="clear" w:color="auto" w:fill="F2F2F2" w:themeFill="background1" w:themeFillShade="F2"/>
            <w:noWrap/>
            <w:tcMar>
              <w:top w:w="57" w:type="dxa"/>
              <w:bottom w:w="57" w:type="dxa"/>
            </w:tcMar>
          </w:tcPr>
          <w:p w14:paraId="425B6F71" w14:textId="77777777" w:rsidR="004563F9" w:rsidRPr="0035726C" w:rsidRDefault="004563F9" w:rsidP="00C86F4A">
            <w:pPr>
              <w:pStyle w:val="TableTextRight"/>
              <w:rPr>
                <w:szCs w:val="16"/>
              </w:rPr>
            </w:pPr>
            <w:r w:rsidRPr="0035726C">
              <w:rPr>
                <w:szCs w:val="16"/>
              </w:rPr>
              <w:t>11,877</w:t>
            </w:r>
          </w:p>
        </w:tc>
        <w:tc>
          <w:tcPr>
            <w:tcW w:w="938" w:type="pct"/>
            <w:shd w:val="clear" w:color="auto" w:fill="F2F2F2" w:themeFill="background1" w:themeFillShade="F2"/>
            <w:noWrap/>
            <w:tcMar>
              <w:top w:w="57" w:type="dxa"/>
              <w:bottom w:w="57" w:type="dxa"/>
            </w:tcMar>
          </w:tcPr>
          <w:p w14:paraId="48CF0842" w14:textId="77777777" w:rsidR="004563F9" w:rsidRPr="0035726C" w:rsidRDefault="004563F9" w:rsidP="00C86F4A">
            <w:pPr>
              <w:pStyle w:val="TableTextRight"/>
              <w:rPr>
                <w:szCs w:val="16"/>
              </w:rPr>
            </w:pPr>
            <w:r w:rsidRPr="0035726C">
              <w:rPr>
                <w:szCs w:val="16"/>
              </w:rPr>
              <w:t>876</w:t>
            </w:r>
          </w:p>
        </w:tc>
        <w:tc>
          <w:tcPr>
            <w:tcW w:w="938" w:type="pct"/>
            <w:shd w:val="clear" w:color="auto" w:fill="F2F2F2" w:themeFill="background1" w:themeFillShade="F2"/>
            <w:noWrap/>
            <w:tcMar>
              <w:top w:w="57" w:type="dxa"/>
              <w:bottom w:w="57" w:type="dxa"/>
            </w:tcMar>
          </w:tcPr>
          <w:p w14:paraId="497CAD62"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4F146789" w14:textId="77777777" w:rsidR="004563F9" w:rsidRPr="0035726C" w:rsidRDefault="004563F9" w:rsidP="00C86F4A">
            <w:pPr>
              <w:pStyle w:val="TableTextRight"/>
              <w:rPr>
                <w:szCs w:val="16"/>
              </w:rPr>
            </w:pPr>
            <w:r w:rsidRPr="0035726C">
              <w:rPr>
                <w:szCs w:val="16"/>
              </w:rPr>
              <w:t>12,753</w:t>
            </w:r>
          </w:p>
        </w:tc>
      </w:tr>
      <w:tr w:rsidR="004563F9" w:rsidRPr="00AE665D" w14:paraId="62A70E72" w14:textId="77777777" w:rsidTr="00A61C4D">
        <w:trPr>
          <w:trHeight w:val="258"/>
        </w:trPr>
        <w:tc>
          <w:tcPr>
            <w:tcW w:w="1251" w:type="pct"/>
            <w:shd w:val="clear" w:color="auto" w:fill="F2F2F2" w:themeFill="background1" w:themeFillShade="F2"/>
            <w:noWrap/>
            <w:tcMar>
              <w:top w:w="57" w:type="dxa"/>
              <w:bottom w:w="57" w:type="dxa"/>
            </w:tcMar>
            <w:hideMark/>
          </w:tcPr>
          <w:p w14:paraId="6B866529" w14:textId="77777777" w:rsidR="004563F9" w:rsidRPr="0035726C" w:rsidRDefault="004563F9" w:rsidP="00C86F4A">
            <w:pPr>
              <w:pStyle w:val="TableTextLeft"/>
              <w:rPr>
                <w:szCs w:val="16"/>
              </w:rPr>
            </w:pPr>
            <w:r w:rsidRPr="0035726C">
              <w:rPr>
                <w:szCs w:val="16"/>
              </w:rPr>
              <w:t>15 years+</w:t>
            </w:r>
          </w:p>
        </w:tc>
        <w:tc>
          <w:tcPr>
            <w:tcW w:w="937" w:type="pct"/>
            <w:shd w:val="clear" w:color="auto" w:fill="F2F2F2" w:themeFill="background1" w:themeFillShade="F2"/>
            <w:noWrap/>
            <w:tcMar>
              <w:top w:w="57" w:type="dxa"/>
              <w:bottom w:w="57" w:type="dxa"/>
            </w:tcMar>
          </w:tcPr>
          <w:p w14:paraId="1DE3BD99" w14:textId="77777777" w:rsidR="004563F9" w:rsidRPr="0035726C" w:rsidRDefault="004563F9" w:rsidP="00C86F4A">
            <w:pPr>
              <w:pStyle w:val="TableTextRight"/>
              <w:rPr>
                <w:szCs w:val="16"/>
              </w:rPr>
            </w:pPr>
            <w:r w:rsidRPr="0035726C">
              <w:rPr>
                <w:szCs w:val="16"/>
              </w:rPr>
              <w:t>14,241</w:t>
            </w:r>
          </w:p>
        </w:tc>
        <w:tc>
          <w:tcPr>
            <w:tcW w:w="938" w:type="pct"/>
            <w:shd w:val="clear" w:color="auto" w:fill="F2F2F2" w:themeFill="background1" w:themeFillShade="F2"/>
            <w:noWrap/>
            <w:tcMar>
              <w:top w:w="57" w:type="dxa"/>
              <w:bottom w:w="57" w:type="dxa"/>
            </w:tcMar>
          </w:tcPr>
          <w:p w14:paraId="44ED590B" w14:textId="77777777" w:rsidR="004563F9" w:rsidRPr="0035726C" w:rsidRDefault="004563F9" w:rsidP="00C86F4A">
            <w:pPr>
              <w:pStyle w:val="TableTextRight"/>
              <w:rPr>
                <w:szCs w:val="16"/>
              </w:rPr>
            </w:pPr>
            <w:r w:rsidRPr="0035726C">
              <w:rPr>
                <w:szCs w:val="16"/>
              </w:rPr>
              <w:t>677</w:t>
            </w:r>
          </w:p>
        </w:tc>
        <w:tc>
          <w:tcPr>
            <w:tcW w:w="938" w:type="pct"/>
            <w:shd w:val="clear" w:color="auto" w:fill="F2F2F2" w:themeFill="background1" w:themeFillShade="F2"/>
            <w:noWrap/>
            <w:tcMar>
              <w:top w:w="57" w:type="dxa"/>
              <w:bottom w:w="57" w:type="dxa"/>
            </w:tcMar>
          </w:tcPr>
          <w:p w14:paraId="607DD941" w14:textId="77777777" w:rsidR="004563F9" w:rsidRPr="0035726C" w:rsidRDefault="004563F9" w:rsidP="00C86F4A">
            <w:pPr>
              <w:pStyle w:val="TableTextRight"/>
              <w:rPr>
                <w:szCs w:val="16"/>
              </w:rPr>
            </w:pPr>
            <w:r>
              <w:rPr>
                <w:szCs w:val="16"/>
              </w:rPr>
              <w:noBreakHyphen/>
            </w:r>
          </w:p>
        </w:tc>
        <w:tc>
          <w:tcPr>
            <w:tcW w:w="938" w:type="pct"/>
            <w:shd w:val="clear" w:color="auto" w:fill="F2F2F2" w:themeFill="background1" w:themeFillShade="F2"/>
            <w:noWrap/>
            <w:tcMar>
              <w:top w:w="57" w:type="dxa"/>
              <w:bottom w:w="57" w:type="dxa"/>
            </w:tcMar>
          </w:tcPr>
          <w:p w14:paraId="57047FC8" w14:textId="77777777" w:rsidR="004563F9" w:rsidRPr="0035726C" w:rsidRDefault="004563F9" w:rsidP="00C86F4A">
            <w:pPr>
              <w:pStyle w:val="TableTextRight"/>
              <w:rPr>
                <w:szCs w:val="16"/>
              </w:rPr>
            </w:pPr>
            <w:r w:rsidRPr="0035726C">
              <w:rPr>
                <w:szCs w:val="16"/>
              </w:rPr>
              <w:t>14,918</w:t>
            </w:r>
          </w:p>
        </w:tc>
      </w:tr>
      <w:tr w:rsidR="004563F9" w:rsidRPr="0099392C" w14:paraId="4E912515" w14:textId="77777777" w:rsidTr="00A61C4D">
        <w:trPr>
          <w:trHeight w:val="258"/>
        </w:trPr>
        <w:tc>
          <w:tcPr>
            <w:tcW w:w="1251" w:type="pct"/>
            <w:shd w:val="clear" w:color="auto" w:fill="F2F2F2" w:themeFill="background1" w:themeFillShade="F2"/>
            <w:noWrap/>
            <w:tcMar>
              <w:top w:w="57" w:type="dxa"/>
              <w:bottom w:w="57" w:type="dxa"/>
            </w:tcMar>
            <w:hideMark/>
          </w:tcPr>
          <w:p w14:paraId="3DE20FBE" w14:textId="77777777" w:rsidR="004563F9" w:rsidRPr="00A64A7B" w:rsidRDefault="004563F9" w:rsidP="00C86F4A">
            <w:pPr>
              <w:pStyle w:val="TableTextLeft"/>
              <w:rPr>
                <w:b/>
                <w:bCs/>
              </w:rPr>
            </w:pPr>
            <w:r w:rsidRPr="00A64A7B">
              <w:rPr>
                <w:b/>
                <w:bCs/>
              </w:rPr>
              <w:t>Total Interest</w:t>
            </w:r>
          </w:p>
        </w:tc>
        <w:tc>
          <w:tcPr>
            <w:tcW w:w="937" w:type="pct"/>
            <w:shd w:val="clear" w:color="auto" w:fill="F2F2F2" w:themeFill="background1" w:themeFillShade="F2"/>
            <w:noWrap/>
            <w:tcMar>
              <w:top w:w="57" w:type="dxa"/>
              <w:bottom w:w="57" w:type="dxa"/>
            </w:tcMar>
          </w:tcPr>
          <w:p w14:paraId="2482CE2E" w14:textId="77777777" w:rsidR="004563F9" w:rsidRPr="00A64A7B" w:rsidRDefault="004563F9" w:rsidP="00C86F4A">
            <w:pPr>
              <w:pStyle w:val="TableTextRight"/>
              <w:rPr>
                <w:b/>
                <w:bCs/>
              </w:rPr>
            </w:pPr>
            <w:r w:rsidRPr="00A64A7B">
              <w:rPr>
                <w:b/>
                <w:bCs/>
              </w:rPr>
              <w:t>147,282</w:t>
            </w:r>
          </w:p>
        </w:tc>
        <w:tc>
          <w:tcPr>
            <w:tcW w:w="938" w:type="pct"/>
            <w:shd w:val="clear" w:color="auto" w:fill="F2F2F2" w:themeFill="background1" w:themeFillShade="F2"/>
            <w:noWrap/>
            <w:tcMar>
              <w:top w:w="57" w:type="dxa"/>
              <w:bottom w:w="57" w:type="dxa"/>
            </w:tcMar>
          </w:tcPr>
          <w:p w14:paraId="492C929A" w14:textId="77777777" w:rsidR="004563F9" w:rsidRPr="00A64A7B" w:rsidRDefault="004563F9" w:rsidP="00C86F4A">
            <w:pPr>
              <w:pStyle w:val="TableTextRight"/>
              <w:rPr>
                <w:b/>
                <w:bCs/>
              </w:rPr>
            </w:pPr>
            <w:r w:rsidRPr="00A64A7B">
              <w:rPr>
                <w:b/>
                <w:bCs/>
              </w:rPr>
              <w:t>6,829</w:t>
            </w:r>
          </w:p>
        </w:tc>
        <w:tc>
          <w:tcPr>
            <w:tcW w:w="938" w:type="pct"/>
            <w:shd w:val="clear" w:color="auto" w:fill="F2F2F2" w:themeFill="background1" w:themeFillShade="F2"/>
            <w:noWrap/>
            <w:tcMar>
              <w:top w:w="57" w:type="dxa"/>
              <w:bottom w:w="57" w:type="dxa"/>
            </w:tcMar>
          </w:tcPr>
          <w:p w14:paraId="4E00FA42" w14:textId="77777777" w:rsidR="004563F9" w:rsidRPr="00A64A7B" w:rsidRDefault="004563F9" w:rsidP="00C86F4A">
            <w:pPr>
              <w:pStyle w:val="TableTextRight"/>
              <w:rPr>
                <w:b/>
                <w:bCs/>
              </w:rPr>
            </w:pPr>
            <w:r w:rsidRPr="00A64A7B">
              <w:rPr>
                <w:b/>
                <w:bCs/>
              </w:rPr>
              <w:t>358</w:t>
            </w:r>
          </w:p>
        </w:tc>
        <w:tc>
          <w:tcPr>
            <w:tcW w:w="938" w:type="pct"/>
            <w:shd w:val="clear" w:color="auto" w:fill="F2F2F2" w:themeFill="background1" w:themeFillShade="F2"/>
            <w:noWrap/>
            <w:tcMar>
              <w:top w:w="57" w:type="dxa"/>
              <w:bottom w:w="57" w:type="dxa"/>
            </w:tcMar>
          </w:tcPr>
          <w:p w14:paraId="168D876D" w14:textId="77777777" w:rsidR="004563F9" w:rsidRPr="00A64A7B" w:rsidRDefault="004563F9" w:rsidP="00C86F4A">
            <w:pPr>
              <w:pStyle w:val="TableTextRight"/>
              <w:rPr>
                <w:b/>
                <w:bCs/>
              </w:rPr>
            </w:pPr>
            <w:r w:rsidRPr="00A64A7B">
              <w:rPr>
                <w:b/>
                <w:bCs/>
              </w:rPr>
              <w:t>154,469</w:t>
            </w:r>
          </w:p>
        </w:tc>
      </w:tr>
    </w:tbl>
    <w:p w14:paraId="31487138" w14:textId="77777777" w:rsidR="004563F9" w:rsidRPr="00E857FB" w:rsidRDefault="004563F9" w:rsidP="004563F9">
      <w:pPr>
        <w:rPr>
          <w:rFonts w:eastAsiaTheme="majorEastAsia"/>
        </w:rPr>
      </w:pPr>
      <w:r w:rsidRPr="00E857FB">
        <w:br w:type="page"/>
      </w:r>
    </w:p>
    <w:p w14:paraId="0EEEDFEF" w14:textId="77777777" w:rsidR="00ED69E4" w:rsidRPr="006534F5" w:rsidRDefault="00ED69E4" w:rsidP="00ED69E4">
      <w:pPr>
        <w:pStyle w:val="Heading3"/>
        <w:rPr>
          <w:lang w:eastAsia="en-AU"/>
        </w:rPr>
      </w:pPr>
      <w:bookmarkStart w:id="1669" w:name="_Toc146112232"/>
      <w:bookmarkStart w:id="1670" w:name="_Toc207796133"/>
      <w:r w:rsidRPr="006534F5">
        <w:lastRenderedPageBreak/>
        <w:t>Fair value reported</w:t>
      </w:r>
      <w:bookmarkEnd w:id="1669"/>
      <w:bookmarkEnd w:id="1670"/>
    </w:p>
    <w:p w14:paraId="7D117BD5" w14:textId="77777777" w:rsidR="00ED69E4" w:rsidRPr="00EF54A5" w:rsidRDefault="00ED69E4" w:rsidP="00ED69E4">
      <w:r w:rsidRPr="00EF54A5">
        <w:t>Fair value is the price that would be received to sell an asset or paid to transfer a liability, in an orderly transaction between market participants. This is the quoted market price if one is available.</w:t>
      </w:r>
    </w:p>
    <w:p w14:paraId="22C89A6F" w14:textId="58ECC839" w:rsidR="00ED69E4" w:rsidRDefault="00ED69E4" w:rsidP="00ED69E4">
      <w:r w:rsidRPr="00EF54A5">
        <w:t xml:space="preserve">AASB 13 </w:t>
      </w:r>
      <w:r>
        <w:t xml:space="preserve">Fair Value Measurement </w:t>
      </w:r>
      <w:r w:rsidRPr="00EF54A5">
        <w:t>requires assets and liabilities measured at fair value to be disclosed according to their position in a fair value hierarchy. Th</w:t>
      </w:r>
      <w:r>
        <w:t>e</w:t>
      </w:r>
      <w:r w:rsidRPr="00EF54A5">
        <w:t xml:space="preserve"> hierarchy has </w:t>
      </w:r>
      <w:r>
        <w:t>3</w:t>
      </w:r>
      <w:r w:rsidR="00D9372F">
        <w:t> </w:t>
      </w:r>
      <w:r w:rsidRPr="00EF54A5">
        <w:t>levels:</w:t>
      </w:r>
    </w:p>
    <w:p w14:paraId="04D95823" w14:textId="77777777" w:rsidR="00ED69E4" w:rsidRPr="00737D43" w:rsidRDefault="00ED69E4" w:rsidP="00ED69E4">
      <w:pPr>
        <w:pStyle w:val="Bullet"/>
      </w:pPr>
      <w:r w:rsidRPr="009106AB">
        <w:rPr>
          <w:b/>
        </w:rPr>
        <w:t>Level 1</w:t>
      </w:r>
      <w:r w:rsidRPr="00737D43">
        <w:t xml:space="preserve"> is based on quoted prices in active markets for identical </w:t>
      </w:r>
      <w:proofErr w:type="gramStart"/>
      <w:r w:rsidRPr="00737D43">
        <w:t>instruments;</w:t>
      </w:r>
      <w:proofErr w:type="gramEnd"/>
    </w:p>
    <w:p w14:paraId="2116F8F4" w14:textId="77777777" w:rsidR="00ED69E4" w:rsidRPr="00737D43" w:rsidRDefault="00ED69E4" w:rsidP="00ED69E4">
      <w:pPr>
        <w:pStyle w:val="Bullet"/>
      </w:pPr>
      <w:r w:rsidRPr="009106AB">
        <w:rPr>
          <w:b/>
        </w:rPr>
        <w:t>Level 2</w:t>
      </w:r>
      <w:r w:rsidRPr="00737D43">
        <w:t xml:space="preserve"> is based on quoted prices or other observable market data not included in Level</w:t>
      </w:r>
      <w:r>
        <w:t> </w:t>
      </w:r>
      <w:proofErr w:type="gramStart"/>
      <w:r w:rsidRPr="00737D43">
        <w:t>1;</w:t>
      </w:r>
      <w:proofErr w:type="gramEnd"/>
    </w:p>
    <w:p w14:paraId="09597200" w14:textId="77777777" w:rsidR="00ED69E4" w:rsidRDefault="00ED69E4" w:rsidP="00ED69E4">
      <w:pPr>
        <w:pStyle w:val="Bullet"/>
      </w:pPr>
      <w:r w:rsidRPr="009106AB">
        <w:rPr>
          <w:b/>
        </w:rPr>
        <w:t>Level 3</w:t>
      </w:r>
      <w:r w:rsidRPr="00737D43">
        <w:t xml:space="preserve"> is based on significant inputs to valuation other than observable market data.</w:t>
      </w:r>
    </w:p>
    <w:p w14:paraId="3EB2CE81" w14:textId="77777777" w:rsidR="00ED69E4" w:rsidRPr="006534F5" w:rsidRDefault="00ED69E4" w:rsidP="00ED69E4">
      <w:pPr>
        <w:pStyle w:val="TableMainHeading"/>
        <w:keepLines/>
        <w:rPr>
          <w:rFonts w:asciiTheme="minorHAnsi" w:hAnsiTheme="minorHAnsi" w:cstheme="minorBidi"/>
          <w:lang w:eastAsia="en-US"/>
        </w:rPr>
      </w:pPr>
      <w:r w:rsidRPr="006534F5">
        <w:t xml:space="preserve">Fair value hierarchy for assets and liabilities as </w:t>
      </w:r>
      <w:proofErr w:type="gramStart"/>
      <w:r w:rsidRPr="006534F5">
        <w:t>at</w:t>
      </w:r>
      <w:proofErr w:type="gramEnd"/>
      <w:r w:rsidRPr="006534F5">
        <w:t xml:space="preserve"> 30 June 202</w:t>
      </w:r>
      <w:r>
        <w:t xml:space="preserve">5 </w:t>
      </w:r>
    </w:p>
    <w:tbl>
      <w:tblPr>
        <w:tblStyle w:val="AOFMTablemain"/>
        <w:tblW w:w="5000" w:type="pct"/>
        <w:tblLook w:val="06A0" w:firstRow="1" w:lastRow="0" w:firstColumn="1" w:lastColumn="0" w:noHBand="1" w:noVBand="1"/>
      </w:tblPr>
      <w:tblGrid>
        <w:gridCol w:w="1970"/>
        <w:gridCol w:w="1239"/>
        <w:gridCol w:w="1238"/>
        <w:gridCol w:w="1238"/>
        <w:gridCol w:w="2026"/>
      </w:tblGrid>
      <w:tr w:rsidR="0048600D" w:rsidRPr="006534F5" w14:paraId="1AD9A575" w14:textId="77777777" w:rsidTr="00EC03D4">
        <w:trPr>
          <w:cnfStyle w:val="100000000000" w:firstRow="1" w:lastRow="0" w:firstColumn="0" w:lastColumn="0" w:oddVBand="0" w:evenVBand="0" w:oddHBand="0" w:evenHBand="0" w:firstRowFirstColumn="0" w:firstRowLastColumn="0" w:lastRowFirstColumn="0" w:lastRowLastColumn="0"/>
          <w:trHeight w:hRule="exact" w:val="340"/>
        </w:trPr>
        <w:tc>
          <w:tcPr>
            <w:tcW w:w="1277" w:type="pct"/>
            <w:vMerge w:val="restart"/>
            <w:noWrap/>
            <w:hideMark/>
          </w:tcPr>
          <w:p w14:paraId="6CA8F364" w14:textId="77777777" w:rsidR="00ED69E4" w:rsidRPr="00B90697" w:rsidRDefault="00ED69E4" w:rsidP="00C86F4A">
            <w:pPr>
              <w:pStyle w:val="TableTextRight"/>
              <w:rPr>
                <w:color w:val="FFFFFF" w:themeColor="background1"/>
              </w:rPr>
            </w:pPr>
            <w:r w:rsidRPr="00B90697">
              <w:rPr>
                <w:color w:val="FFFFFF" w:themeColor="background1"/>
              </w:rPr>
              <w:t> </w:t>
            </w:r>
          </w:p>
          <w:p w14:paraId="288E3CF0" w14:textId="77777777" w:rsidR="00ED69E4" w:rsidRPr="00B90697" w:rsidRDefault="00ED69E4" w:rsidP="00C86F4A">
            <w:pPr>
              <w:pStyle w:val="TableTextRight"/>
              <w:rPr>
                <w:color w:val="FFFFFF" w:themeColor="background1"/>
              </w:rPr>
            </w:pPr>
            <w:r w:rsidRPr="00B90697">
              <w:rPr>
                <w:color w:val="FFFFFF" w:themeColor="background1"/>
              </w:rPr>
              <w:t> </w:t>
            </w:r>
          </w:p>
        </w:tc>
        <w:tc>
          <w:tcPr>
            <w:tcW w:w="2408" w:type="pct"/>
            <w:gridSpan w:val="3"/>
            <w:hideMark/>
          </w:tcPr>
          <w:p w14:paraId="73C49588" w14:textId="77777777" w:rsidR="00ED69E4" w:rsidRPr="00B90697" w:rsidRDefault="00ED69E4" w:rsidP="00C86F4A">
            <w:pPr>
              <w:pStyle w:val="TableColumnHeadingCentred"/>
            </w:pPr>
            <w:r w:rsidRPr="00B90697">
              <w:t>Carried at fair value</w:t>
            </w:r>
            <w:r>
              <w:t xml:space="preserve"> ($million)</w:t>
            </w:r>
          </w:p>
        </w:tc>
        <w:tc>
          <w:tcPr>
            <w:tcW w:w="1314" w:type="pct"/>
            <w:vMerge w:val="restart"/>
            <w:hideMark/>
          </w:tcPr>
          <w:p w14:paraId="57A97425" w14:textId="77777777" w:rsidR="00ED69E4" w:rsidRPr="00B90697" w:rsidRDefault="00ED69E4" w:rsidP="00C86F4A">
            <w:pPr>
              <w:pStyle w:val="TableColumnHeadingRight"/>
            </w:pPr>
            <w:r w:rsidRPr="00B90697">
              <w:t>Carried at</w:t>
            </w:r>
            <w:r>
              <w:t xml:space="preserve"> amortised cost ($million)</w:t>
            </w:r>
          </w:p>
        </w:tc>
      </w:tr>
      <w:tr w:rsidR="00ED69E4" w:rsidRPr="006534F5" w14:paraId="037E2A5B" w14:textId="77777777" w:rsidTr="00C86F4A">
        <w:trPr>
          <w:trHeight w:hRule="exact" w:val="302"/>
        </w:trPr>
        <w:tc>
          <w:tcPr>
            <w:tcW w:w="1277" w:type="pct"/>
            <w:vMerge/>
            <w:tcBorders>
              <w:right w:val="nil"/>
            </w:tcBorders>
            <w:noWrap/>
            <w:hideMark/>
          </w:tcPr>
          <w:p w14:paraId="2AAD3034" w14:textId="77777777" w:rsidR="00ED69E4" w:rsidRPr="00B90697" w:rsidRDefault="00ED69E4" w:rsidP="00C86F4A">
            <w:pPr>
              <w:pStyle w:val="TableTextRight"/>
              <w:rPr>
                <w:color w:val="FFFFFF" w:themeColor="background1"/>
              </w:rPr>
            </w:pPr>
          </w:p>
        </w:tc>
        <w:tc>
          <w:tcPr>
            <w:tcW w:w="803" w:type="pct"/>
            <w:tcBorders>
              <w:top w:val="nil"/>
              <w:left w:val="nil"/>
              <w:bottom w:val="single" w:sz="4" w:space="0" w:color="29114B" w:themeColor="text2"/>
              <w:right w:val="nil"/>
            </w:tcBorders>
            <w:shd w:val="clear" w:color="auto" w:fill="472978" w:themeFill="accent1"/>
            <w:noWrap/>
            <w:hideMark/>
          </w:tcPr>
          <w:p w14:paraId="511F054B" w14:textId="77777777" w:rsidR="00ED69E4" w:rsidRPr="00B90697" w:rsidRDefault="00ED69E4" w:rsidP="00C86F4A">
            <w:pPr>
              <w:pStyle w:val="TableColumnHeadingRight"/>
              <w:spacing w:before="0"/>
            </w:pPr>
            <w:r w:rsidRPr="00B90697">
              <w:t xml:space="preserve">Level 1 </w:t>
            </w:r>
          </w:p>
        </w:tc>
        <w:tc>
          <w:tcPr>
            <w:tcW w:w="803" w:type="pct"/>
            <w:tcBorders>
              <w:top w:val="nil"/>
              <w:left w:val="nil"/>
              <w:bottom w:val="single" w:sz="4" w:space="0" w:color="29114B" w:themeColor="text2"/>
              <w:right w:val="nil"/>
            </w:tcBorders>
            <w:shd w:val="clear" w:color="auto" w:fill="472978" w:themeFill="accent1"/>
            <w:noWrap/>
            <w:hideMark/>
          </w:tcPr>
          <w:p w14:paraId="2E1AF63F" w14:textId="77777777" w:rsidR="00ED69E4" w:rsidRPr="00B90697" w:rsidRDefault="00ED69E4" w:rsidP="00C86F4A">
            <w:pPr>
              <w:pStyle w:val="TableColumnHeadingRight"/>
              <w:spacing w:before="0"/>
            </w:pPr>
            <w:r w:rsidRPr="00B90697">
              <w:t xml:space="preserve">Level 2 </w:t>
            </w:r>
          </w:p>
        </w:tc>
        <w:tc>
          <w:tcPr>
            <w:tcW w:w="803" w:type="pct"/>
            <w:tcBorders>
              <w:top w:val="nil"/>
              <w:left w:val="nil"/>
              <w:bottom w:val="single" w:sz="4" w:space="0" w:color="29114B" w:themeColor="text2"/>
              <w:right w:val="nil"/>
            </w:tcBorders>
            <w:shd w:val="clear" w:color="auto" w:fill="472978" w:themeFill="accent1"/>
            <w:noWrap/>
            <w:hideMark/>
          </w:tcPr>
          <w:p w14:paraId="5B65AD38" w14:textId="77777777" w:rsidR="00ED69E4" w:rsidRPr="00B90697" w:rsidRDefault="00ED69E4" w:rsidP="00C86F4A">
            <w:pPr>
              <w:pStyle w:val="TableColumnHeadingRight"/>
              <w:spacing w:before="0"/>
            </w:pPr>
            <w:r w:rsidRPr="00B90697">
              <w:t xml:space="preserve">Level 3 </w:t>
            </w:r>
          </w:p>
        </w:tc>
        <w:tc>
          <w:tcPr>
            <w:tcW w:w="1314" w:type="pct"/>
            <w:vMerge/>
            <w:tcBorders>
              <w:left w:val="nil"/>
            </w:tcBorders>
            <w:hideMark/>
          </w:tcPr>
          <w:p w14:paraId="66B3317B" w14:textId="77777777" w:rsidR="00ED69E4" w:rsidRPr="00B90697" w:rsidRDefault="00ED69E4" w:rsidP="00C86F4A">
            <w:pPr>
              <w:pStyle w:val="TableColumnHeadingRight"/>
            </w:pPr>
          </w:p>
        </w:tc>
      </w:tr>
      <w:tr w:rsidR="00ED69E4" w:rsidRPr="006534F5" w14:paraId="13C6C45A" w14:textId="77777777" w:rsidTr="00A61C4D">
        <w:trPr>
          <w:trHeight w:hRule="exact" w:val="300"/>
        </w:trPr>
        <w:tc>
          <w:tcPr>
            <w:tcW w:w="1277" w:type="pct"/>
            <w:shd w:val="clear" w:color="auto" w:fill="F2F2F2" w:themeFill="background1" w:themeFillShade="F2"/>
            <w:noWrap/>
            <w:hideMark/>
          </w:tcPr>
          <w:p w14:paraId="1A2BA367" w14:textId="77777777" w:rsidR="00ED69E4" w:rsidRPr="009106AB" w:rsidRDefault="00ED69E4" w:rsidP="00C86F4A">
            <w:pPr>
              <w:pStyle w:val="TableTextLeft"/>
              <w:rPr>
                <w:b/>
                <w:bCs/>
              </w:rPr>
            </w:pPr>
            <w:r w:rsidRPr="009106AB">
              <w:rPr>
                <w:b/>
                <w:bCs/>
              </w:rPr>
              <w:t>Liabilities</w:t>
            </w:r>
          </w:p>
        </w:tc>
        <w:tc>
          <w:tcPr>
            <w:tcW w:w="803" w:type="pct"/>
            <w:tcBorders>
              <w:top w:val="single" w:sz="4" w:space="0" w:color="29114B" w:themeColor="text2"/>
            </w:tcBorders>
            <w:shd w:val="clear" w:color="auto" w:fill="F2F2F2" w:themeFill="background1" w:themeFillShade="F2"/>
            <w:noWrap/>
          </w:tcPr>
          <w:p w14:paraId="17285EB1" w14:textId="77777777" w:rsidR="00ED69E4" w:rsidRPr="00AE665D" w:rsidRDefault="00ED69E4" w:rsidP="00C86F4A">
            <w:pPr>
              <w:pStyle w:val="TableTextRight"/>
            </w:pPr>
            <w:r>
              <w:t>(887,016)</w:t>
            </w:r>
          </w:p>
        </w:tc>
        <w:tc>
          <w:tcPr>
            <w:tcW w:w="803" w:type="pct"/>
            <w:tcBorders>
              <w:top w:val="single" w:sz="4" w:space="0" w:color="29114B" w:themeColor="text2"/>
            </w:tcBorders>
            <w:shd w:val="clear" w:color="auto" w:fill="F2F2F2" w:themeFill="background1" w:themeFillShade="F2"/>
            <w:noWrap/>
          </w:tcPr>
          <w:p w14:paraId="02C56F97" w14:textId="77777777" w:rsidR="00ED69E4" w:rsidRPr="00AE665D" w:rsidRDefault="00ED69E4" w:rsidP="00C86F4A">
            <w:pPr>
              <w:pStyle w:val="TableTextRight"/>
            </w:pPr>
            <w:r>
              <w:noBreakHyphen/>
            </w:r>
          </w:p>
        </w:tc>
        <w:tc>
          <w:tcPr>
            <w:tcW w:w="803" w:type="pct"/>
            <w:tcBorders>
              <w:top w:val="single" w:sz="4" w:space="0" w:color="29114B" w:themeColor="text2"/>
            </w:tcBorders>
            <w:shd w:val="clear" w:color="auto" w:fill="F2F2F2" w:themeFill="background1" w:themeFillShade="F2"/>
            <w:noWrap/>
          </w:tcPr>
          <w:p w14:paraId="6B56ABAD" w14:textId="77777777" w:rsidR="00ED69E4" w:rsidRPr="00AE665D" w:rsidRDefault="00ED69E4" w:rsidP="00C86F4A">
            <w:pPr>
              <w:pStyle w:val="TableTextRight"/>
            </w:pPr>
            <w:r>
              <w:noBreakHyphen/>
            </w:r>
          </w:p>
        </w:tc>
        <w:tc>
          <w:tcPr>
            <w:tcW w:w="1314" w:type="pct"/>
            <w:shd w:val="clear" w:color="auto" w:fill="F2F2F2" w:themeFill="background1" w:themeFillShade="F2"/>
            <w:noWrap/>
          </w:tcPr>
          <w:p w14:paraId="7704F20D" w14:textId="77777777" w:rsidR="00ED69E4" w:rsidRPr="00AE665D" w:rsidRDefault="00ED69E4" w:rsidP="00C86F4A">
            <w:pPr>
              <w:pStyle w:val="TableTextRight"/>
            </w:pPr>
            <w:r>
              <w:t>(5)</w:t>
            </w:r>
          </w:p>
        </w:tc>
      </w:tr>
      <w:tr w:rsidR="00ED69E4" w:rsidRPr="006534F5" w14:paraId="66B03BA2" w14:textId="77777777" w:rsidTr="00A61C4D">
        <w:trPr>
          <w:trHeight w:hRule="exact" w:val="300"/>
        </w:trPr>
        <w:tc>
          <w:tcPr>
            <w:tcW w:w="1277" w:type="pct"/>
            <w:shd w:val="clear" w:color="auto" w:fill="F2F2F2" w:themeFill="background1" w:themeFillShade="F2"/>
            <w:noWrap/>
            <w:hideMark/>
          </w:tcPr>
          <w:p w14:paraId="4B676C43" w14:textId="77777777" w:rsidR="00ED69E4" w:rsidRPr="009106AB" w:rsidRDefault="00ED69E4" w:rsidP="00C86F4A">
            <w:pPr>
              <w:pStyle w:val="TableTextLeft"/>
              <w:rPr>
                <w:b/>
                <w:bCs/>
              </w:rPr>
            </w:pPr>
            <w:r w:rsidRPr="009106AB">
              <w:rPr>
                <w:b/>
                <w:bCs/>
              </w:rPr>
              <w:t>Assets</w:t>
            </w:r>
          </w:p>
        </w:tc>
        <w:tc>
          <w:tcPr>
            <w:tcW w:w="803" w:type="pct"/>
            <w:shd w:val="clear" w:color="auto" w:fill="F2F2F2" w:themeFill="background1" w:themeFillShade="F2"/>
            <w:noWrap/>
          </w:tcPr>
          <w:p w14:paraId="59B12FB0" w14:textId="77777777" w:rsidR="00ED69E4" w:rsidRPr="00AE665D" w:rsidRDefault="00ED69E4" w:rsidP="00C86F4A">
            <w:pPr>
              <w:pStyle w:val="TableTextRight"/>
            </w:pPr>
            <w:r>
              <w:noBreakHyphen/>
            </w:r>
          </w:p>
        </w:tc>
        <w:tc>
          <w:tcPr>
            <w:tcW w:w="803" w:type="pct"/>
            <w:shd w:val="clear" w:color="auto" w:fill="F2F2F2" w:themeFill="background1" w:themeFillShade="F2"/>
            <w:noWrap/>
          </w:tcPr>
          <w:p w14:paraId="7D7F5B9C" w14:textId="77777777" w:rsidR="00ED69E4" w:rsidRPr="00AE665D" w:rsidRDefault="00ED69E4" w:rsidP="00C86F4A">
            <w:pPr>
              <w:pStyle w:val="TableTextRight"/>
            </w:pPr>
            <w:r>
              <w:noBreakHyphen/>
            </w:r>
          </w:p>
        </w:tc>
        <w:tc>
          <w:tcPr>
            <w:tcW w:w="803" w:type="pct"/>
            <w:shd w:val="clear" w:color="auto" w:fill="F2F2F2" w:themeFill="background1" w:themeFillShade="F2"/>
            <w:noWrap/>
          </w:tcPr>
          <w:p w14:paraId="19EA665C" w14:textId="77777777" w:rsidR="00ED69E4" w:rsidRPr="00AE665D" w:rsidRDefault="00ED69E4" w:rsidP="00C86F4A">
            <w:pPr>
              <w:pStyle w:val="TableTextRight"/>
            </w:pPr>
            <w:r>
              <w:noBreakHyphen/>
            </w:r>
          </w:p>
        </w:tc>
        <w:tc>
          <w:tcPr>
            <w:tcW w:w="1314" w:type="pct"/>
            <w:shd w:val="clear" w:color="auto" w:fill="F2F2F2" w:themeFill="background1" w:themeFillShade="F2"/>
            <w:noWrap/>
          </w:tcPr>
          <w:p w14:paraId="5065A678" w14:textId="77777777" w:rsidR="00ED69E4" w:rsidRPr="00AE665D" w:rsidRDefault="00ED69E4" w:rsidP="00C86F4A">
            <w:pPr>
              <w:pStyle w:val="TableTextRight"/>
            </w:pPr>
            <w:r>
              <w:t>69,918</w:t>
            </w:r>
          </w:p>
        </w:tc>
      </w:tr>
    </w:tbl>
    <w:p w14:paraId="11ECA13A" w14:textId="77777777" w:rsidR="00ED69E4" w:rsidRPr="006534F5" w:rsidRDefault="00ED69E4" w:rsidP="004B423B">
      <w:pPr>
        <w:pStyle w:val="SingleReturn"/>
      </w:pPr>
    </w:p>
    <w:p w14:paraId="3DF1ECB6" w14:textId="77777777" w:rsidR="00ED69E4" w:rsidRPr="006534F5" w:rsidRDefault="00ED69E4" w:rsidP="00ED69E4">
      <w:pPr>
        <w:pStyle w:val="TableMainHeading"/>
        <w:keepLines/>
        <w:rPr>
          <w:rFonts w:asciiTheme="minorHAnsi" w:hAnsiTheme="minorHAnsi" w:cstheme="minorBidi"/>
          <w:lang w:eastAsia="en-US"/>
        </w:rPr>
      </w:pPr>
      <w:r w:rsidRPr="006534F5">
        <w:t xml:space="preserve">Fair value hierarchy for assets and liabilities as </w:t>
      </w:r>
      <w:proofErr w:type="gramStart"/>
      <w:r w:rsidRPr="006534F5">
        <w:t>at</w:t>
      </w:r>
      <w:proofErr w:type="gramEnd"/>
      <w:r w:rsidRPr="006534F5">
        <w:t xml:space="preserve"> 30 June 202</w:t>
      </w:r>
      <w:r>
        <w:t xml:space="preserve">4 </w:t>
      </w:r>
    </w:p>
    <w:tbl>
      <w:tblPr>
        <w:tblStyle w:val="AOFMTablemain"/>
        <w:tblW w:w="5000" w:type="pct"/>
        <w:tblLook w:val="06A0" w:firstRow="1" w:lastRow="0" w:firstColumn="1" w:lastColumn="0" w:noHBand="1" w:noVBand="1"/>
      </w:tblPr>
      <w:tblGrid>
        <w:gridCol w:w="1982"/>
        <w:gridCol w:w="1322"/>
        <w:gridCol w:w="1137"/>
        <w:gridCol w:w="1231"/>
        <w:gridCol w:w="2039"/>
      </w:tblGrid>
      <w:tr w:rsidR="0048600D" w:rsidRPr="006534F5" w14:paraId="549984AC" w14:textId="77777777" w:rsidTr="00EC03D4">
        <w:trPr>
          <w:cnfStyle w:val="100000000000" w:firstRow="1" w:lastRow="0" w:firstColumn="0" w:lastColumn="0" w:oddVBand="0" w:evenVBand="0" w:oddHBand="0" w:evenHBand="0" w:firstRowFirstColumn="0" w:firstRowLastColumn="0" w:lastRowFirstColumn="0" w:lastRowLastColumn="0"/>
          <w:trHeight w:hRule="exact" w:val="300"/>
        </w:trPr>
        <w:tc>
          <w:tcPr>
            <w:tcW w:w="1286" w:type="pct"/>
            <w:vMerge w:val="restart"/>
            <w:noWrap/>
            <w:hideMark/>
          </w:tcPr>
          <w:p w14:paraId="0512D644" w14:textId="77777777" w:rsidR="00ED69E4" w:rsidRPr="00B90697" w:rsidRDefault="00ED69E4" w:rsidP="00C86F4A">
            <w:pPr>
              <w:pStyle w:val="TableTextRight"/>
              <w:rPr>
                <w:color w:val="FFFFFF" w:themeColor="background1"/>
              </w:rPr>
            </w:pPr>
            <w:r w:rsidRPr="00B90697">
              <w:rPr>
                <w:color w:val="FFFFFF" w:themeColor="background1"/>
              </w:rPr>
              <w:t> </w:t>
            </w:r>
          </w:p>
          <w:p w14:paraId="3EB2A181" w14:textId="77777777" w:rsidR="00ED69E4" w:rsidRPr="00B90697" w:rsidRDefault="00ED69E4" w:rsidP="00C86F4A">
            <w:pPr>
              <w:pStyle w:val="TableTextRight"/>
              <w:rPr>
                <w:color w:val="FFFFFF" w:themeColor="background1"/>
              </w:rPr>
            </w:pPr>
            <w:r w:rsidRPr="00B90697">
              <w:rPr>
                <w:color w:val="FFFFFF" w:themeColor="background1"/>
              </w:rPr>
              <w:t> </w:t>
            </w:r>
          </w:p>
        </w:tc>
        <w:tc>
          <w:tcPr>
            <w:tcW w:w="2392" w:type="pct"/>
            <w:gridSpan w:val="3"/>
            <w:hideMark/>
          </w:tcPr>
          <w:p w14:paraId="65EAB18B" w14:textId="77777777" w:rsidR="00ED69E4" w:rsidRPr="00B90697" w:rsidRDefault="00ED69E4" w:rsidP="00C86F4A">
            <w:pPr>
              <w:pStyle w:val="TableColumnHeadingCentred"/>
            </w:pPr>
            <w:r w:rsidRPr="009106AB">
              <w:t>Carried</w:t>
            </w:r>
            <w:r w:rsidRPr="00B90697">
              <w:t xml:space="preserve"> at fair value</w:t>
            </w:r>
            <w:r>
              <w:t xml:space="preserve"> ($million)</w:t>
            </w:r>
          </w:p>
        </w:tc>
        <w:tc>
          <w:tcPr>
            <w:tcW w:w="1322" w:type="pct"/>
            <w:vMerge w:val="restart"/>
            <w:hideMark/>
          </w:tcPr>
          <w:p w14:paraId="77AA1FF9" w14:textId="77777777" w:rsidR="00ED69E4" w:rsidRPr="00B90697" w:rsidRDefault="00ED69E4" w:rsidP="00C86F4A">
            <w:pPr>
              <w:pStyle w:val="TableColumnHeadingRight"/>
            </w:pPr>
            <w:r w:rsidRPr="00B90697">
              <w:t>Carried at</w:t>
            </w:r>
            <w:r>
              <w:t xml:space="preserve"> </w:t>
            </w:r>
            <w:r w:rsidRPr="00B90697">
              <w:t>amortised cost</w:t>
            </w:r>
            <w:r>
              <w:t xml:space="preserve"> ($million)</w:t>
            </w:r>
          </w:p>
        </w:tc>
      </w:tr>
      <w:tr w:rsidR="00ED69E4" w:rsidRPr="006534F5" w14:paraId="2812319A" w14:textId="77777777" w:rsidTr="00C86F4A">
        <w:trPr>
          <w:trHeight w:hRule="exact" w:val="281"/>
        </w:trPr>
        <w:tc>
          <w:tcPr>
            <w:tcW w:w="1286" w:type="pct"/>
            <w:vMerge/>
            <w:tcBorders>
              <w:right w:val="nil"/>
            </w:tcBorders>
            <w:noWrap/>
            <w:hideMark/>
          </w:tcPr>
          <w:p w14:paraId="2083A602" w14:textId="77777777" w:rsidR="00ED69E4" w:rsidRPr="00B90697" w:rsidRDefault="00ED69E4" w:rsidP="00C86F4A">
            <w:pPr>
              <w:pStyle w:val="TableTextRight"/>
              <w:spacing w:before="0"/>
              <w:rPr>
                <w:color w:val="FFFFFF" w:themeColor="background1"/>
              </w:rPr>
            </w:pPr>
          </w:p>
        </w:tc>
        <w:tc>
          <w:tcPr>
            <w:tcW w:w="857" w:type="pct"/>
            <w:tcBorders>
              <w:top w:val="nil"/>
              <w:left w:val="nil"/>
              <w:bottom w:val="single" w:sz="4" w:space="0" w:color="29114B" w:themeColor="text2"/>
              <w:right w:val="nil"/>
            </w:tcBorders>
            <w:shd w:val="clear" w:color="auto" w:fill="472978" w:themeFill="accent1"/>
            <w:noWrap/>
            <w:hideMark/>
          </w:tcPr>
          <w:p w14:paraId="7584674D" w14:textId="77777777" w:rsidR="00ED69E4" w:rsidRPr="00EB6700" w:rsidRDefault="00ED69E4" w:rsidP="00C86F4A">
            <w:pPr>
              <w:pStyle w:val="TableColumnHeadingRight"/>
              <w:spacing w:before="0"/>
            </w:pPr>
            <w:r w:rsidRPr="00EB6700">
              <w:t xml:space="preserve">Level 1 </w:t>
            </w:r>
          </w:p>
        </w:tc>
        <w:tc>
          <w:tcPr>
            <w:tcW w:w="737" w:type="pct"/>
            <w:tcBorders>
              <w:top w:val="nil"/>
              <w:left w:val="nil"/>
              <w:bottom w:val="single" w:sz="4" w:space="0" w:color="29114B" w:themeColor="text2"/>
              <w:right w:val="nil"/>
            </w:tcBorders>
            <w:shd w:val="clear" w:color="auto" w:fill="472978" w:themeFill="accent1"/>
            <w:noWrap/>
            <w:hideMark/>
          </w:tcPr>
          <w:p w14:paraId="737BE73C" w14:textId="77777777" w:rsidR="00ED69E4" w:rsidRPr="00EB6700" w:rsidRDefault="00ED69E4" w:rsidP="00C86F4A">
            <w:pPr>
              <w:pStyle w:val="TableColumnHeadingRight"/>
              <w:spacing w:before="0"/>
            </w:pPr>
            <w:r w:rsidRPr="00EB6700">
              <w:t xml:space="preserve">Level 2 </w:t>
            </w:r>
          </w:p>
        </w:tc>
        <w:tc>
          <w:tcPr>
            <w:tcW w:w="798" w:type="pct"/>
            <w:tcBorders>
              <w:top w:val="nil"/>
              <w:left w:val="nil"/>
              <w:bottom w:val="single" w:sz="4" w:space="0" w:color="29114B" w:themeColor="text2"/>
              <w:right w:val="nil"/>
            </w:tcBorders>
            <w:shd w:val="clear" w:color="auto" w:fill="472978" w:themeFill="accent1"/>
            <w:noWrap/>
            <w:hideMark/>
          </w:tcPr>
          <w:p w14:paraId="7362E925" w14:textId="77777777" w:rsidR="00ED69E4" w:rsidRPr="00EB6700" w:rsidRDefault="00ED69E4" w:rsidP="00C86F4A">
            <w:pPr>
              <w:pStyle w:val="TableColumnHeadingRight"/>
              <w:spacing w:before="0"/>
            </w:pPr>
            <w:r w:rsidRPr="00EB6700">
              <w:t xml:space="preserve">Level 3 </w:t>
            </w:r>
          </w:p>
        </w:tc>
        <w:tc>
          <w:tcPr>
            <w:tcW w:w="1322" w:type="pct"/>
            <w:vMerge/>
            <w:tcBorders>
              <w:left w:val="nil"/>
            </w:tcBorders>
            <w:hideMark/>
          </w:tcPr>
          <w:p w14:paraId="3497367D" w14:textId="77777777" w:rsidR="00ED69E4" w:rsidRPr="00B90697" w:rsidRDefault="00ED69E4" w:rsidP="00C86F4A">
            <w:pPr>
              <w:pStyle w:val="TableColumnHeadingRight"/>
              <w:spacing w:before="0"/>
            </w:pPr>
          </w:p>
        </w:tc>
      </w:tr>
      <w:tr w:rsidR="00ED69E4" w:rsidRPr="006534F5" w14:paraId="6BB58618" w14:textId="77777777" w:rsidTr="00A61C4D">
        <w:trPr>
          <w:trHeight w:hRule="exact" w:val="300"/>
        </w:trPr>
        <w:tc>
          <w:tcPr>
            <w:tcW w:w="1286" w:type="pct"/>
            <w:shd w:val="clear" w:color="auto" w:fill="F2F2F2" w:themeFill="background1" w:themeFillShade="F2"/>
            <w:noWrap/>
            <w:hideMark/>
          </w:tcPr>
          <w:p w14:paraId="5D05B2C4" w14:textId="77777777" w:rsidR="00ED69E4" w:rsidRPr="009106AB" w:rsidRDefault="00ED69E4" w:rsidP="00C86F4A">
            <w:pPr>
              <w:pStyle w:val="TableTextLeft"/>
              <w:rPr>
                <w:b/>
                <w:bCs/>
              </w:rPr>
            </w:pPr>
            <w:r w:rsidRPr="009106AB">
              <w:rPr>
                <w:b/>
                <w:bCs/>
              </w:rPr>
              <w:t>Liabilities</w:t>
            </w:r>
          </w:p>
        </w:tc>
        <w:tc>
          <w:tcPr>
            <w:tcW w:w="857" w:type="pct"/>
            <w:tcBorders>
              <w:top w:val="single" w:sz="4" w:space="0" w:color="29114B" w:themeColor="text2"/>
            </w:tcBorders>
            <w:shd w:val="clear" w:color="auto" w:fill="F2F2F2" w:themeFill="background1" w:themeFillShade="F2"/>
            <w:noWrap/>
          </w:tcPr>
          <w:p w14:paraId="3EA7F088" w14:textId="77777777" w:rsidR="00ED69E4" w:rsidRPr="00AE665D" w:rsidRDefault="00ED69E4" w:rsidP="00C86F4A">
            <w:pPr>
              <w:pStyle w:val="TableTextRight"/>
              <w:spacing w:before="0"/>
            </w:pPr>
            <w:r w:rsidRPr="00AE665D">
              <w:t>(</w:t>
            </w:r>
            <w:r>
              <w:t>844,234</w:t>
            </w:r>
            <w:r w:rsidRPr="00AE665D">
              <w:t>)</w:t>
            </w:r>
          </w:p>
        </w:tc>
        <w:tc>
          <w:tcPr>
            <w:tcW w:w="737" w:type="pct"/>
            <w:tcBorders>
              <w:top w:val="single" w:sz="4" w:space="0" w:color="29114B" w:themeColor="text2"/>
            </w:tcBorders>
            <w:shd w:val="clear" w:color="auto" w:fill="F2F2F2" w:themeFill="background1" w:themeFillShade="F2"/>
            <w:noWrap/>
          </w:tcPr>
          <w:p w14:paraId="4BC35764" w14:textId="77777777" w:rsidR="00ED69E4" w:rsidRPr="00AE665D" w:rsidRDefault="00ED69E4" w:rsidP="00C86F4A">
            <w:pPr>
              <w:pStyle w:val="TableTextRight"/>
              <w:spacing w:before="0"/>
            </w:pPr>
            <w:r w:rsidRPr="00AE665D">
              <w:t xml:space="preserve"> – </w:t>
            </w:r>
          </w:p>
        </w:tc>
        <w:tc>
          <w:tcPr>
            <w:tcW w:w="798" w:type="pct"/>
            <w:tcBorders>
              <w:top w:val="single" w:sz="4" w:space="0" w:color="29114B" w:themeColor="text2"/>
            </w:tcBorders>
            <w:shd w:val="clear" w:color="auto" w:fill="F2F2F2" w:themeFill="background1" w:themeFillShade="F2"/>
            <w:noWrap/>
          </w:tcPr>
          <w:p w14:paraId="1FFC63D5" w14:textId="77777777" w:rsidR="00ED69E4" w:rsidRPr="00AE665D" w:rsidRDefault="00ED69E4" w:rsidP="00C86F4A">
            <w:pPr>
              <w:pStyle w:val="TableTextRight"/>
              <w:spacing w:before="0"/>
            </w:pPr>
            <w:r w:rsidRPr="00AE665D">
              <w:t xml:space="preserve"> – </w:t>
            </w:r>
          </w:p>
        </w:tc>
        <w:tc>
          <w:tcPr>
            <w:tcW w:w="1322" w:type="pct"/>
            <w:shd w:val="clear" w:color="auto" w:fill="F2F2F2" w:themeFill="background1" w:themeFillShade="F2"/>
            <w:noWrap/>
          </w:tcPr>
          <w:p w14:paraId="308EA750" w14:textId="77777777" w:rsidR="00ED69E4" w:rsidRPr="00AE665D" w:rsidRDefault="00ED69E4" w:rsidP="00C86F4A">
            <w:pPr>
              <w:pStyle w:val="TableTextRight"/>
              <w:spacing w:before="0"/>
            </w:pPr>
            <w:r w:rsidRPr="00AE665D">
              <w:t>(</w:t>
            </w:r>
            <w:r>
              <w:t>5</w:t>
            </w:r>
            <w:r w:rsidRPr="00AE665D">
              <w:t>)</w:t>
            </w:r>
          </w:p>
        </w:tc>
      </w:tr>
      <w:tr w:rsidR="00ED69E4" w:rsidRPr="006534F5" w14:paraId="1173F2FA" w14:textId="77777777" w:rsidTr="00A61C4D">
        <w:trPr>
          <w:trHeight w:hRule="exact" w:val="300"/>
        </w:trPr>
        <w:tc>
          <w:tcPr>
            <w:tcW w:w="1286" w:type="pct"/>
            <w:shd w:val="clear" w:color="auto" w:fill="F2F2F2" w:themeFill="background1" w:themeFillShade="F2"/>
            <w:noWrap/>
            <w:hideMark/>
          </w:tcPr>
          <w:p w14:paraId="2DE64559" w14:textId="77777777" w:rsidR="00ED69E4" w:rsidRPr="009106AB" w:rsidRDefault="00ED69E4" w:rsidP="00C86F4A">
            <w:pPr>
              <w:pStyle w:val="TableTextLeft"/>
              <w:rPr>
                <w:b/>
                <w:bCs/>
              </w:rPr>
            </w:pPr>
            <w:r w:rsidRPr="009106AB">
              <w:rPr>
                <w:b/>
                <w:bCs/>
              </w:rPr>
              <w:t>Assets</w:t>
            </w:r>
          </w:p>
        </w:tc>
        <w:tc>
          <w:tcPr>
            <w:tcW w:w="857" w:type="pct"/>
            <w:shd w:val="clear" w:color="auto" w:fill="F2F2F2" w:themeFill="background1" w:themeFillShade="F2"/>
            <w:noWrap/>
          </w:tcPr>
          <w:p w14:paraId="75FF4045" w14:textId="77777777" w:rsidR="00ED69E4" w:rsidRPr="00AE665D" w:rsidRDefault="00ED69E4" w:rsidP="00C86F4A">
            <w:pPr>
              <w:pStyle w:val="TableTextRight"/>
            </w:pPr>
            <w:r w:rsidRPr="00AE665D">
              <w:t xml:space="preserve"> – </w:t>
            </w:r>
          </w:p>
        </w:tc>
        <w:tc>
          <w:tcPr>
            <w:tcW w:w="737" w:type="pct"/>
            <w:shd w:val="clear" w:color="auto" w:fill="F2F2F2" w:themeFill="background1" w:themeFillShade="F2"/>
            <w:noWrap/>
          </w:tcPr>
          <w:p w14:paraId="5C518835" w14:textId="77777777" w:rsidR="00ED69E4" w:rsidRPr="00AE665D" w:rsidRDefault="00ED69E4" w:rsidP="00C86F4A">
            <w:pPr>
              <w:pStyle w:val="TableTextRight"/>
            </w:pPr>
            <w:r w:rsidRPr="00AE665D">
              <w:t xml:space="preserve"> – </w:t>
            </w:r>
          </w:p>
        </w:tc>
        <w:tc>
          <w:tcPr>
            <w:tcW w:w="798" w:type="pct"/>
            <w:shd w:val="clear" w:color="auto" w:fill="F2F2F2" w:themeFill="background1" w:themeFillShade="F2"/>
            <w:noWrap/>
          </w:tcPr>
          <w:p w14:paraId="3EE33DE2" w14:textId="77777777" w:rsidR="00ED69E4" w:rsidRPr="00AE665D" w:rsidRDefault="00ED69E4" w:rsidP="00C86F4A">
            <w:pPr>
              <w:pStyle w:val="TableTextRight"/>
            </w:pPr>
            <w:r w:rsidRPr="00AE665D">
              <w:t xml:space="preserve"> – </w:t>
            </w:r>
          </w:p>
        </w:tc>
        <w:tc>
          <w:tcPr>
            <w:tcW w:w="1322" w:type="pct"/>
            <w:shd w:val="clear" w:color="auto" w:fill="F2F2F2" w:themeFill="background1" w:themeFillShade="F2"/>
            <w:noWrap/>
          </w:tcPr>
          <w:p w14:paraId="2EC9DEC5" w14:textId="77777777" w:rsidR="00ED69E4" w:rsidRPr="00AE665D" w:rsidRDefault="00ED69E4" w:rsidP="00C86F4A">
            <w:pPr>
              <w:pStyle w:val="TableTextRight"/>
            </w:pPr>
            <w:r w:rsidRPr="00AE665D">
              <w:t>8</w:t>
            </w:r>
            <w:r>
              <w:t>7,341</w:t>
            </w:r>
          </w:p>
        </w:tc>
      </w:tr>
    </w:tbl>
    <w:p w14:paraId="283D1845" w14:textId="77777777" w:rsidR="00ED69E4" w:rsidRDefault="00ED69E4" w:rsidP="00ED69E4">
      <w:r w:rsidRPr="10F0E98F">
        <w:rPr>
          <w:lang w:eastAsia="en-AU"/>
        </w:rPr>
        <w:br w:type="page"/>
      </w:r>
    </w:p>
    <w:p w14:paraId="61661132" w14:textId="77777777" w:rsidR="00ED69E4" w:rsidRPr="006534F5" w:rsidRDefault="00ED69E4" w:rsidP="00ED69E4">
      <w:pPr>
        <w:pStyle w:val="Heading2"/>
      </w:pPr>
      <w:bookmarkStart w:id="1671" w:name="_Toc146112233"/>
      <w:bookmarkStart w:id="1672" w:name="_Toc207792932"/>
      <w:bookmarkStart w:id="1673" w:name="_Toc207793972"/>
      <w:bookmarkStart w:id="1674" w:name="_Toc207796134"/>
      <w:bookmarkStart w:id="1675" w:name="_Toc207796976"/>
      <w:bookmarkStart w:id="1676" w:name="_Toc207800279"/>
      <w:bookmarkStart w:id="1677" w:name="_Toc207810857"/>
      <w:bookmarkStart w:id="1678" w:name="_Toc208914137"/>
      <w:bookmarkStart w:id="1679" w:name="_Toc209424534"/>
      <w:r w:rsidRPr="006534F5">
        <w:lastRenderedPageBreak/>
        <w:t>Note 2: Treasury Bonds</w:t>
      </w:r>
      <w:bookmarkEnd w:id="1671"/>
      <w:bookmarkEnd w:id="1672"/>
      <w:bookmarkEnd w:id="1673"/>
      <w:bookmarkEnd w:id="1674"/>
      <w:bookmarkEnd w:id="1675"/>
      <w:bookmarkEnd w:id="1676"/>
      <w:bookmarkEnd w:id="1677"/>
      <w:bookmarkEnd w:id="1678"/>
      <w:bookmarkEnd w:id="1679"/>
      <w:r>
        <w:t xml:space="preserve"> </w:t>
      </w:r>
    </w:p>
    <w:p w14:paraId="23AE8E12" w14:textId="77777777" w:rsidR="00ED69E4" w:rsidRPr="00EF54A5" w:rsidRDefault="00ED69E4" w:rsidP="00ED69E4">
      <w:r w:rsidRPr="00EF54A5">
        <w:t>Treasury Bonds are denominated in Australian dollars and pay a fixed coupon semi</w:t>
      </w:r>
      <w:r>
        <w:noBreakHyphen/>
      </w:r>
      <w:r w:rsidRPr="00EF54A5">
        <w:t xml:space="preserve">annually in arrears. Treasury Bonds are redeemable at face value on maturity. There are no options available to either the Australian Government or the holders of the securities to exchange or convert Treasury Bonds. There are also no options </w:t>
      </w:r>
      <w:r>
        <w:t xml:space="preserve">available </w:t>
      </w:r>
      <w:r w:rsidRPr="00EF54A5">
        <w:t>to either party for early redemption.</w:t>
      </w:r>
    </w:p>
    <w:p w14:paraId="7A8D1962" w14:textId="77777777" w:rsidR="00ED69E4" w:rsidRPr="00EF54A5" w:rsidRDefault="00ED69E4" w:rsidP="00ED69E4">
      <w:r w:rsidRPr="00EF54A5">
        <w:t xml:space="preserve">The AOFM issues Treasury Bonds primarily through a competitive auction process to </w:t>
      </w:r>
      <w:r w:rsidRPr="00D939D0">
        <w:t>registered bidders. Based on market conditions</w:t>
      </w:r>
      <w:r>
        <w:t>,</w:t>
      </w:r>
      <w:r w:rsidRPr="00D939D0">
        <w:t xml:space="preserve"> the AOFM may consider syndicated issuance to reduce the execution risk in meeting Government financing needs.</w:t>
      </w:r>
    </w:p>
    <w:p w14:paraId="1213C46F" w14:textId="77777777" w:rsidR="00ED69E4" w:rsidRDefault="00ED69E4" w:rsidP="00ED69E4">
      <w:bookmarkStart w:id="1680" w:name="_Toc146112234"/>
      <w:r w:rsidRPr="00DD5CB1">
        <w:t>The AOFM</w:t>
      </w:r>
      <w:r>
        <w:t>’</w:t>
      </w:r>
      <w:r w:rsidRPr="00DD5CB1">
        <w:t>s buyback activities are based on a transaction entered by the AOFM and the bondholder. If the AOFM buys back bonds, it does so at prevailing market prices and then cancels them.</w:t>
      </w:r>
    </w:p>
    <w:p w14:paraId="1B63854F" w14:textId="77777777" w:rsidR="00ED69E4" w:rsidRDefault="00ED69E4" w:rsidP="00ED69E4">
      <w:r>
        <w:t>For details of Green Treasury Bonds see the annual report.</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ED69E4" w14:paraId="5376CFEC" w14:textId="77777777" w:rsidTr="00C86F4A">
        <w:tc>
          <w:tcPr>
            <w:tcW w:w="7700" w:type="dxa"/>
            <w:tcBorders>
              <w:bottom w:val="single" w:sz="24" w:space="0" w:color="472978" w:themeColor="accent1"/>
            </w:tcBorders>
            <w:shd w:val="clear" w:color="auto" w:fill="E7DCF7" w:themeFill="text2" w:themeFillTint="1A"/>
          </w:tcPr>
          <w:p w14:paraId="53FDD6E7" w14:textId="77777777" w:rsidR="00ED69E4" w:rsidRDefault="00ED69E4" w:rsidP="00C86F4A">
            <w:pPr>
              <w:pStyle w:val="Boxheading"/>
            </w:pPr>
            <w:r w:rsidRPr="002B2202">
              <w:t>Accounting policy</w:t>
            </w:r>
          </w:p>
          <w:p w14:paraId="4C2A4664" w14:textId="77777777" w:rsidR="00ED69E4" w:rsidRPr="00ED69E4" w:rsidRDefault="00ED69E4" w:rsidP="00ED69E4">
            <w:pPr>
              <w:pStyle w:val="BoxText"/>
            </w:pPr>
            <w:r w:rsidRPr="00ED69E4">
              <w:t>The AOFM monitors the cost and risk of Treasury Bonds on issue primarily on an accrual basis, but also on a fair value basis. The AOFM has designated Treasury Bonds to be carried at fair value through profit or loss under AASB 9 Financial Instruments.</w:t>
            </w:r>
          </w:p>
          <w:p w14:paraId="0CDB4871" w14:textId="77777777" w:rsidR="00ED69E4" w:rsidRPr="006574CB" w:rsidRDefault="00ED69E4" w:rsidP="00ED69E4">
            <w:pPr>
              <w:pStyle w:val="BoxText"/>
            </w:pPr>
            <w:r w:rsidRPr="00ED69E4">
              <w:t>The fair value of Treasury Bonds is determined by reference to observable market rates for these instruments. As such, they are included as Level 1 financial instruments in the fair value hierarchy.</w:t>
            </w:r>
          </w:p>
        </w:tc>
      </w:tr>
    </w:tbl>
    <w:p w14:paraId="74E77F47" w14:textId="77777777" w:rsidR="00BD7AD5" w:rsidRDefault="00BD7AD5" w:rsidP="004B423B">
      <w:bookmarkStart w:id="1681" w:name="_Toc146112235"/>
      <w:bookmarkStart w:id="1682" w:name="_Toc207796135"/>
      <w:bookmarkEnd w:id="1680"/>
    </w:p>
    <w:p w14:paraId="698F2A3A" w14:textId="77777777" w:rsidR="00BD7AD5" w:rsidRDefault="00BD7AD5">
      <w:pPr>
        <w:spacing w:after="0" w:line="240" w:lineRule="auto"/>
        <w:rPr>
          <w:rFonts w:eastAsiaTheme="majorEastAsia" w:cs="Open Sans Semibold"/>
          <w:b/>
          <w:bCs/>
          <w:color w:val="247699" w:themeColor="accent3"/>
          <w:sz w:val="30"/>
          <w:szCs w:val="32"/>
        </w:rPr>
      </w:pPr>
      <w:r>
        <w:br w:type="page"/>
      </w:r>
    </w:p>
    <w:p w14:paraId="10136568" w14:textId="700ACE09" w:rsidR="00ED69E4" w:rsidRPr="006534F5" w:rsidRDefault="00ED69E4" w:rsidP="00ED69E4">
      <w:pPr>
        <w:pStyle w:val="Heading3"/>
      </w:pPr>
      <w:r w:rsidRPr="006534F5">
        <w:lastRenderedPageBreak/>
        <w:t>Key aggregates</w:t>
      </w:r>
      <w:bookmarkEnd w:id="1681"/>
      <w:bookmarkEnd w:id="1682"/>
    </w:p>
    <w:p w14:paraId="532603FF" w14:textId="77777777" w:rsidR="00ED69E4" w:rsidRPr="006534F5" w:rsidRDefault="00ED69E4" w:rsidP="00ED69E4">
      <w:pPr>
        <w:pStyle w:val="TableMainHeading"/>
        <w:keepLines/>
        <w:rPr>
          <w:rFonts w:asciiTheme="minorHAnsi" w:hAnsiTheme="minorHAnsi" w:cstheme="minorBidi"/>
          <w:lang w:eastAsia="en-US"/>
        </w:rPr>
      </w:pPr>
      <w:r w:rsidRPr="006534F5">
        <w:t>Interest expense</w:t>
      </w:r>
    </w:p>
    <w:tbl>
      <w:tblPr>
        <w:tblStyle w:val="AOFMTablemain"/>
        <w:tblW w:w="5000" w:type="pct"/>
        <w:tblLook w:val="06A0" w:firstRow="1" w:lastRow="0" w:firstColumn="1" w:lastColumn="0" w:noHBand="1" w:noVBand="1"/>
      </w:tblPr>
      <w:tblGrid>
        <w:gridCol w:w="5177"/>
        <w:gridCol w:w="1268"/>
        <w:gridCol w:w="1266"/>
      </w:tblGrid>
      <w:tr w:rsidR="00E15250" w:rsidRPr="006534F5" w14:paraId="45FDFCF9" w14:textId="77777777" w:rsidTr="00BD7AD5">
        <w:trPr>
          <w:cnfStyle w:val="100000000000" w:firstRow="1" w:lastRow="0" w:firstColumn="0" w:lastColumn="0" w:oddVBand="0" w:evenVBand="0" w:oddHBand="0" w:evenHBand="0" w:firstRowFirstColumn="0" w:firstRowLastColumn="0" w:lastRowFirstColumn="0" w:lastRowLastColumn="0"/>
        </w:trPr>
        <w:tc>
          <w:tcPr>
            <w:tcW w:w="3357" w:type="pct"/>
            <w:tcBorders>
              <w:bottom w:val="single" w:sz="4" w:space="0" w:color="29114B" w:themeColor="text2"/>
            </w:tcBorders>
            <w:noWrap/>
            <w:tcMar>
              <w:top w:w="57" w:type="dxa"/>
              <w:bottom w:w="57" w:type="dxa"/>
            </w:tcMar>
            <w:hideMark/>
          </w:tcPr>
          <w:p w14:paraId="747436D5" w14:textId="77777777" w:rsidR="00ED69E4" w:rsidRPr="00394ABE" w:rsidRDefault="00ED69E4" w:rsidP="00C86F4A">
            <w:pPr>
              <w:pStyle w:val="TableColumnHeadingRight"/>
            </w:pPr>
            <w:r w:rsidRPr="00394ABE">
              <w:t> </w:t>
            </w:r>
          </w:p>
        </w:tc>
        <w:tc>
          <w:tcPr>
            <w:tcW w:w="822" w:type="pct"/>
            <w:tcBorders>
              <w:bottom w:val="single" w:sz="4" w:space="0" w:color="29114B" w:themeColor="text2"/>
            </w:tcBorders>
            <w:noWrap/>
            <w:tcMar>
              <w:top w:w="57" w:type="dxa"/>
              <w:bottom w:w="57" w:type="dxa"/>
            </w:tcMar>
            <w:hideMark/>
          </w:tcPr>
          <w:p w14:paraId="29688A7B" w14:textId="77777777" w:rsidR="00ED69E4" w:rsidRDefault="00ED69E4" w:rsidP="00C86F4A">
            <w:pPr>
              <w:pStyle w:val="TableColumnHeadingRight"/>
            </w:pPr>
            <w:r w:rsidRPr="00394ABE">
              <w:t>202</w:t>
            </w:r>
            <w:r>
              <w:t xml:space="preserve">5 </w:t>
            </w:r>
          </w:p>
          <w:p w14:paraId="2A956953" w14:textId="77777777" w:rsidR="00ED69E4" w:rsidRPr="00394ABE" w:rsidRDefault="00ED69E4" w:rsidP="00C86F4A">
            <w:pPr>
              <w:pStyle w:val="TableColumnHeadingRight"/>
            </w:pPr>
            <w:r>
              <w:t>($million)</w:t>
            </w:r>
            <w:r w:rsidRPr="00394ABE">
              <w:t xml:space="preserve"> </w:t>
            </w:r>
          </w:p>
        </w:tc>
        <w:tc>
          <w:tcPr>
            <w:tcW w:w="821" w:type="pct"/>
            <w:tcBorders>
              <w:bottom w:val="single" w:sz="4" w:space="0" w:color="29114B" w:themeColor="text2"/>
            </w:tcBorders>
            <w:noWrap/>
            <w:tcMar>
              <w:top w:w="57" w:type="dxa"/>
              <w:bottom w:w="57" w:type="dxa"/>
            </w:tcMar>
            <w:hideMark/>
          </w:tcPr>
          <w:p w14:paraId="40F66A6C" w14:textId="77777777" w:rsidR="00ED69E4" w:rsidRDefault="00ED69E4" w:rsidP="00C86F4A">
            <w:pPr>
              <w:pStyle w:val="TableColumnHeadingRight"/>
            </w:pPr>
            <w:r w:rsidRPr="00394ABE">
              <w:t>202</w:t>
            </w:r>
            <w:r>
              <w:t xml:space="preserve">4 </w:t>
            </w:r>
          </w:p>
          <w:p w14:paraId="485D7FD5" w14:textId="77777777" w:rsidR="00ED69E4" w:rsidRPr="00394ABE" w:rsidRDefault="00ED69E4" w:rsidP="00C86F4A">
            <w:pPr>
              <w:pStyle w:val="TableColumnHeadingRight"/>
            </w:pPr>
            <w:r>
              <w:t>($million)</w:t>
            </w:r>
          </w:p>
        </w:tc>
      </w:tr>
      <w:tr w:rsidR="00ED69E4" w:rsidRPr="006534F5" w14:paraId="7C1675A0" w14:textId="77777777" w:rsidTr="004B423B">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Pr>
          <w:p w14:paraId="3BDEBA31" w14:textId="77777777" w:rsidR="00ED69E4" w:rsidRPr="00BD7AD5" w:rsidRDefault="00ED69E4" w:rsidP="00ED69E4">
            <w:pPr>
              <w:pStyle w:val="TableSecondHeading"/>
              <w:rPr>
                <w:b/>
                <w:bCs/>
              </w:rPr>
            </w:pPr>
            <w:r w:rsidRPr="00BD7AD5">
              <w:rPr>
                <w:b/>
                <w:bCs/>
              </w:rPr>
              <w:t>Treasury Bonds</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6A99CC8E" w14:textId="77777777" w:rsidR="00ED69E4" w:rsidRPr="00AE665D" w:rsidRDefault="00ED69E4" w:rsidP="00C86F4A">
            <w:pPr>
              <w:pStyle w:val="TableTextRight"/>
              <w:rPr>
                <w:rStyle w:val="Strong"/>
                <w:b w:val="0"/>
                <w:bCs w:val="0"/>
              </w:rPr>
            </w:pP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Pr>
          <w:p w14:paraId="29494CDD" w14:textId="77777777" w:rsidR="00ED69E4" w:rsidRPr="00AE665D" w:rsidRDefault="00ED69E4" w:rsidP="00C86F4A">
            <w:pPr>
              <w:pStyle w:val="TableTextRight"/>
              <w:rPr>
                <w:rStyle w:val="Strong"/>
                <w:b w:val="0"/>
                <w:bCs w:val="0"/>
              </w:rPr>
            </w:pPr>
          </w:p>
        </w:tc>
      </w:tr>
      <w:tr w:rsidR="00ED69E4" w:rsidRPr="006534F5" w14:paraId="7CEC1F87" w14:textId="77777777" w:rsidTr="004B423B">
        <w:tc>
          <w:tcPr>
            <w:tcW w:w="3357" w:type="pct"/>
            <w:shd w:val="clear" w:color="auto" w:fill="F2F2F2" w:themeFill="background1" w:themeFillShade="F2"/>
            <w:noWrap/>
            <w:hideMark/>
          </w:tcPr>
          <w:p w14:paraId="04AB75F0" w14:textId="77777777" w:rsidR="00ED69E4" w:rsidRPr="00394ABE" w:rsidRDefault="00ED69E4" w:rsidP="00C86F4A">
            <w:pPr>
              <w:pStyle w:val="TableTextLeft"/>
            </w:pPr>
            <w:r w:rsidRPr="00394ABE">
              <w:t>Interest paid / payable</w:t>
            </w:r>
          </w:p>
        </w:tc>
        <w:tc>
          <w:tcPr>
            <w:tcW w:w="822" w:type="pct"/>
            <w:shd w:val="clear" w:color="auto" w:fill="F2F2F2" w:themeFill="background1" w:themeFillShade="F2"/>
            <w:noWrap/>
          </w:tcPr>
          <w:p w14:paraId="40D82093" w14:textId="77777777" w:rsidR="00ED69E4" w:rsidRPr="0032691F" w:rsidRDefault="00ED69E4" w:rsidP="00C86F4A">
            <w:pPr>
              <w:pStyle w:val="TableTextRight"/>
              <w:rPr>
                <w:rStyle w:val="Strong"/>
                <w:b w:val="0"/>
                <w:bCs w:val="0"/>
              </w:rPr>
            </w:pPr>
            <w:r w:rsidRPr="0032691F">
              <w:rPr>
                <w:rStyle w:val="Strong"/>
                <w:b w:val="0"/>
                <w:bCs w:val="0"/>
              </w:rPr>
              <w:t>21,459</w:t>
            </w:r>
          </w:p>
        </w:tc>
        <w:tc>
          <w:tcPr>
            <w:tcW w:w="821" w:type="pct"/>
            <w:shd w:val="clear" w:color="auto" w:fill="F2F2F2" w:themeFill="background1" w:themeFillShade="F2"/>
            <w:noWrap/>
            <w:hideMark/>
          </w:tcPr>
          <w:p w14:paraId="3E667D92" w14:textId="77777777" w:rsidR="00ED69E4" w:rsidRPr="00B85579" w:rsidRDefault="00ED69E4" w:rsidP="00C86F4A">
            <w:pPr>
              <w:pStyle w:val="TableTextRight"/>
              <w:rPr>
                <w:b/>
                <w:bCs/>
              </w:rPr>
            </w:pPr>
            <w:r w:rsidRPr="00B85579">
              <w:rPr>
                <w:rStyle w:val="Strong"/>
                <w:b w:val="0"/>
                <w:bCs w:val="0"/>
              </w:rPr>
              <w:t>19,8</w:t>
            </w:r>
            <w:r>
              <w:rPr>
                <w:rStyle w:val="Strong"/>
                <w:b w:val="0"/>
                <w:bCs w:val="0"/>
              </w:rPr>
              <w:t>6</w:t>
            </w:r>
            <w:r w:rsidRPr="0020415D">
              <w:rPr>
                <w:rStyle w:val="Strong"/>
                <w:b w:val="0"/>
                <w:bCs w:val="0"/>
              </w:rPr>
              <w:t>1</w:t>
            </w:r>
          </w:p>
        </w:tc>
      </w:tr>
      <w:tr w:rsidR="00ED69E4" w:rsidRPr="00695211" w14:paraId="23BC5524" w14:textId="77777777" w:rsidTr="004B423B">
        <w:tc>
          <w:tcPr>
            <w:tcW w:w="3357" w:type="pct"/>
            <w:shd w:val="clear" w:color="auto" w:fill="F2F2F2" w:themeFill="background1" w:themeFillShade="F2"/>
            <w:noWrap/>
            <w:hideMark/>
          </w:tcPr>
          <w:p w14:paraId="098287EA" w14:textId="77777777" w:rsidR="00ED69E4" w:rsidRPr="00394ABE" w:rsidRDefault="00ED69E4" w:rsidP="00C86F4A">
            <w:pPr>
              <w:pStyle w:val="TableTextLeft"/>
            </w:pPr>
            <w:r w:rsidRPr="00394ABE">
              <w:t>Amortisation of net premiums</w:t>
            </w:r>
          </w:p>
        </w:tc>
        <w:tc>
          <w:tcPr>
            <w:tcW w:w="822" w:type="pct"/>
            <w:shd w:val="clear" w:color="auto" w:fill="F2F2F2" w:themeFill="background1" w:themeFillShade="F2"/>
            <w:noWrap/>
          </w:tcPr>
          <w:p w14:paraId="6FA4D7DF" w14:textId="77777777" w:rsidR="00ED69E4" w:rsidRPr="00B85579" w:rsidRDefault="00ED69E4" w:rsidP="00C86F4A">
            <w:pPr>
              <w:pStyle w:val="TableTextRight"/>
              <w:rPr>
                <w:rStyle w:val="Strong"/>
                <w:b w:val="0"/>
                <w:bCs w:val="0"/>
              </w:rPr>
            </w:pPr>
            <w:r w:rsidRPr="00B85579">
              <w:rPr>
                <w:rStyle w:val="Strong"/>
                <w:b w:val="0"/>
                <w:bCs w:val="0"/>
              </w:rPr>
              <w:t>(1,00</w:t>
            </w:r>
            <w:r>
              <w:rPr>
                <w:rStyle w:val="Strong"/>
                <w:b w:val="0"/>
                <w:bCs w:val="0"/>
              </w:rPr>
              <w:t>4</w:t>
            </w:r>
            <w:r w:rsidRPr="00B85579">
              <w:rPr>
                <w:rStyle w:val="Strong"/>
                <w:b w:val="0"/>
                <w:bCs w:val="0"/>
              </w:rPr>
              <w:t>)</w:t>
            </w:r>
          </w:p>
        </w:tc>
        <w:tc>
          <w:tcPr>
            <w:tcW w:w="821" w:type="pct"/>
            <w:shd w:val="clear" w:color="auto" w:fill="F2F2F2" w:themeFill="background1" w:themeFillShade="F2"/>
            <w:noWrap/>
            <w:hideMark/>
          </w:tcPr>
          <w:p w14:paraId="21FA8B3D" w14:textId="77777777" w:rsidR="00ED69E4" w:rsidRPr="0062658F" w:rsidRDefault="00ED69E4" w:rsidP="00C86F4A">
            <w:pPr>
              <w:pStyle w:val="TableTextRight"/>
              <w:rPr>
                <w:rStyle w:val="Strong"/>
              </w:rPr>
            </w:pPr>
            <w:r w:rsidRPr="00B85579">
              <w:rPr>
                <w:rStyle w:val="Strong"/>
                <w:b w:val="0"/>
                <w:bCs w:val="0"/>
              </w:rPr>
              <w:t>(1,447)</w:t>
            </w:r>
          </w:p>
        </w:tc>
      </w:tr>
      <w:tr w:rsidR="00ED69E4" w:rsidRPr="006534F5" w14:paraId="78AECB04" w14:textId="77777777" w:rsidTr="004B423B">
        <w:tc>
          <w:tcPr>
            <w:tcW w:w="3357" w:type="pct"/>
            <w:shd w:val="clear" w:color="auto" w:fill="F2F2F2" w:themeFill="background1" w:themeFillShade="F2"/>
            <w:noWrap/>
          </w:tcPr>
          <w:p w14:paraId="76ED00BA" w14:textId="6BA96B47" w:rsidR="00ED69E4" w:rsidRPr="00ED69E4" w:rsidRDefault="00ED69E4" w:rsidP="00ED69E4">
            <w:pPr>
              <w:pStyle w:val="TableTextRight"/>
              <w:jc w:val="left"/>
              <w:rPr>
                <w:b/>
                <w:bCs/>
              </w:rPr>
            </w:pPr>
            <w:r w:rsidRPr="009106AB">
              <w:rPr>
                <w:b/>
                <w:bCs/>
              </w:rPr>
              <w:t>T</w:t>
            </w:r>
            <w:r>
              <w:rPr>
                <w:b/>
                <w:bCs/>
              </w:rPr>
              <w:t>otal interest expense</w:t>
            </w:r>
          </w:p>
        </w:tc>
        <w:tc>
          <w:tcPr>
            <w:tcW w:w="822" w:type="pct"/>
            <w:shd w:val="clear" w:color="auto" w:fill="F2F2F2" w:themeFill="background1" w:themeFillShade="F2"/>
            <w:noWrap/>
          </w:tcPr>
          <w:p w14:paraId="7D41CB64" w14:textId="77777777" w:rsidR="00ED69E4" w:rsidRPr="00BF62BA" w:rsidRDefault="00ED69E4" w:rsidP="00C86F4A">
            <w:pPr>
              <w:pStyle w:val="TableTextRight"/>
              <w:rPr>
                <w:rStyle w:val="Strong"/>
              </w:rPr>
            </w:pPr>
            <w:r w:rsidRPr="00BF62BA">
              <w:rPr>
                <w:rStyle w:val="Strong"/>
              </w:rPr>
              <w:t>2</w:t>
            </w:r>
            <w:r w:rsidRPr="00214ABB">
              <w:rPr>
                <w:rStyle w:val="Strong"/>
              </w:rPr>
              <w:t>0,</w:t>
            </w:r>
            <w:r>
              <w:rPr>
                <w:rStyle w:val="Strong"/>
              </w:rPr>
              <w:t>455</w:t>
            </w:r>
          </w:p>
        </w:tc>
        <w:tc>
          <w:tcPr>
            <w:tcW w:w="821" w:type="pct"/>
            <w:shd w:val="clear" w:color="auto" w:fill="F2F2F2" w:themeFill="background1" w:themeFillShade="F2"/>
            <w:noWrap/>
          </w:tcPr>
          <w:p w14:paraId="6024A3DA" w14:textId="77777777" w:rsidR="00ED69E4" w:rsidRPr="00B403EE" w:rsidRDefault="00ED69E4" w:rsidP="00C86F4A">
            <w:pPr>
              <w:pStyle w:val="TableTextRight"/>
              <w:rPr>
                <w:rStyle w:val="Strong"/>
              </w:rPr>
            </w:pPr>
            <w:r w:rsidRPr="00B403EE">
              <w:rPr>
                <w:rStyle w:val="Strong"/>
              </w:rPr>
              <w:t>18,4</w:t>
            </w:r>
            <w:r>
              <w:rPr>
                <w:rStyle w:val="Strong"/>
              </w:rPr>
              <w:t>14</w:t>
            </w:r>
          </w:p>
        </w:tc>
      </w:tr>
    </w:tbl>
    <w:p w14:paraId="64AF5D13" w14:textId="77777777" w:rsidR="00ED69E4" w:rsidRPr="00293318" w:rsidRDefault="00ED69E4" w:rsidP="00ED69E4">
      <w:pPr>
        <w:rPr>
          <w:sz w:val="2"/>
          <w:szCs w:val="2"/>
        </w:rPr>
      </w:pPr>
    </w:p>
    <w:p w14:paraId="36928F39" w14:textId="77777777" w:rsidR="00ED69E4" w:rsidRPr="00EF54A5" w:rsidRDefault="00ED69E4" w:rsidP="00ED69E4">
      <w:r w:rsidRPr="00EF54A5">
        <w:t xml:space="preserve">The interest expense on </w:t>
      </w:r>
      <w:r w:rsidRPr="00D74048">
        <w:t xml:space="preserve">the Treasury Bond portfolio has </w:t>
      </w:r>
      <w:r w:rsidRPr="00BF62BA">
        <w:t>risen</w:t>
      </w:r>
      <w:r w:rsidRPr="00D74048">
        <w:t xml:space="preserve"> over time due to </w:t>
      </w:r>
      <w:r w:rsidRPr="00BF62BA">
        <w:t>higher</w:t>
      </w:r>
      <w:r w:rsidRPr="00D74048">
        <w:t xml:space="preserve"> borrowing levels, and more recently due to the </w:t>
      </w:r>
      <w:r w:rsidRPr="00BF62BA">
        <w:t>higher</w:t>
      </w:r>
      <w:r w:rsidRPr="00D74048">
        <w:t xml:space="preserve"> interest rate environment. The</w:t>
      </w:r>
      <w:r w:rsidRPr="00EF54A5">
        <w:t xml:space="preserve"> </w:t>
      </w:r>
      <w:r w:rsidRPr="009C2B72">
        <w:t>accrual yield for 2024</w:t>
      </w:r>
      <w:r w:rsidRPr="0084380D">
        <w:t>–</w:t>
      </w:r>
      <w:r w:rsidRPr="009C2B72">
        <w:t xml:space="preserve">25 was </w:t>
      </w:r>
      <w:r w:rsidRPr="00FF4DC8">
        <w:t>2.40</w:t>
      </w:r>
      <w:r w:rsidRPr="009C2B72">
        <w:t xml:space="preserve"> per cent, 21 basis points higher than the 2023</w:t>
      </w:r>
      <w:r w:rsidRPr="0084380D">
        <w:t>–</w:t>
      </w:r>
      <w:r w:rsidRPr="009C2B72">
        <w:t>24 accrual yield of 2.19 per cent.</w:t>
      </w:r>
      <w:r w:rsidRPr="00EF54A5">
        <w:t xml:space="preserve"> </w:t>
      </w:r>
    </w:p>
    <w:p w14:paraId="48C332ED" w14:textId="77777777" w:rsidR="00A233CC" w:rsidRPr="006534F5" w:rsidRDefault="00A233CC" w:rsidP="00A233CC">
      <w:pPr>
        <w:pStyle w:val="TableMainHeading"/>
        <w:keepLines/>
        <w:rPr>
          <w:rFonts w:asciiTheme="minorHAnsi" w:hAnsiTheme="minorHAnsi" w:cstheme="minorBidi"/>
          <w:lang w:eastAsia="en-US"/>
        </w:rPr>
      </w:pPr>
      <w:r w:rsidRPr="006534F5">
        <w:t>Carrying values – administered liabilities</w:t>
      </w:r>
    </w:p>
    <w:tbl>
      <w:tblPr>
        <w:tblStyle w:val="AOFMTablemain"/>
        <w:tblW w:w="5000" w:type="pct"/>
        <w:tblLook w:val="06A0" w:firstRow="1" w:lastRow="0" w:firstColumn="1" w:lastColumn="0" w:noHBand="1" w:noVBand="1"/>
      </w:tblPr>
      <w:tblGrid>
        <w:gridCol w:w="5177"/>
        <w:gridCol w:w="1268"/>
        <w:gridCol w:w="1266"/>
      </w:tblGrid>
      <w:tr w:rsidR="00E15250" w:rsidRPr="006534F5" w14:paraId="38D2248B" w14:textId="77777777" w:rsidTr="00BD7AD5">
        <w:trPr>
          <w:cnfStyle w:val="100000000000" w:firstRow="1" w:lastRow="0" w:firstColumn="0" w:lastColumn="0" w:oddVBand="0" w:evenVBand="0" w:oddHBand="0" w:evenHBand="0" w:firstRowFirstColumn="0" w:firstRowLastColumn="0" w:lastRowFirstColumn="0" w:lastRowLastColumn="0"/>
          <w:trHeight w:hRule="exact" w:val="567"/>
        </w:trPr>
        <w:tc>
          <w:tcPr>
            <w:tcW w:w="3357" w:type="pct"/>
            <w:tcBorders>
              <w:bottom w:val="single" w:sz="4" w:space="0" w:color="29114B" w:themeColor="text2"/>
            </w:tcBorders>
            <w:noWrap/>
            <w:hideMark/>
          </w:tcPr>
          <w:p w14:paraId="03859AAC" w14:textId="77777777" w:rsidR="00A233CC" w:rsidRPr="00394ABE" w:rsidRDefault="00A233CC" w:rsidP="00C86F4A">
            <w:pPr>
              <w:pStyle w:val="TableColumnHeadingRight"/>
            </w:pPr>
            <w:r w:rsidRPr="00394ABE">
              <w:t> </w:t>
            </w:r>
          </w:p>
        </w:tc>
        <w:tc>
          <w:tcPr>
            <w:tcW w:w="822" w:type="pct"/>
            <w:tcBorders>
              <w:bottom w:val="single" w:sz="4" w:space="0" w:color="29114B" w:themeColor="text2"/>
            </w:tcBorders>
            <w:noWrap/>
            <w:hideMark/>
          </w:tcPr>
          <w:p w14:paraId="378B7387" w14:textId="77777777" w:rsidR="00A233CC" w:rsidRDefault="00A233CC" w:rsidP="00C86F4A">
            <w:pPr>
              <w:pStyle w:val="TableColumnHeadingRight"/>
            </w:pPr>
            <w:r w:rsidRPr="00394ABE">
              <w:t>202</w:t>
            </w:r>
            <w:r>
              <w:t>5</w:t>
            </w:r>
            <w:r w:rsidRPr="00394ABE">
              <w:t xml:space="preserve"> </w:t>
            </w:r>
          </w:p>
          <w:p w14:paraId="7BDBE0F9" w14:textId="77777777" w:rsidR="00A233CC" w:rsidRPr="00394ABE" w:rsidRDefault="00A233CC" w:rsidP="00C86F4A">
            <w:pPr>
              <w:pStyle w:val="TableColumnHeadingRight"/>
            </w:pPr>
            <w:r>
              <w:t>($million)</w:t>
            </w:r>
          </w:p>
        </w:tc>
        <w:tc>
          <w:tcPr>
            <w:tcW w:w="821" w:type="pct"/>
            <w:tcBorders>
              <w:bottom w:val="single" w:sz="4" w:space="0" w:color="29114B" w:themeColor="text2"/>
            </w:tcBorders>
            <w:noWrap/>
            <w:hideMark/>
          </w:tcPr>
          <w:p w14:paraId="3D52B5FB" w14:textId="77777777" w:rsidR="00A233CC" w:rsidRDefault="00A233CC" w:rsidP="00C86F4A">
            <w:pPr>
              <w:pStyle w:val="TableColumnHeadingRight"/>
            </w:pPr>
            <w:r w:rsidRPr="00394ABE">
              <w:t>202</w:t>
            </w:r>
            <w:r>
              <w:t xml:space="preserve">4 </w:t>
            </w:r>
          </w:p>
          <w:p w14:paraId="291C2C09" w14:textId="77777777" w:rsidR="00A233CC" w:rsidRPr="00394ABE" w:rsidRDefault="00A233CC" w:rsidP="00C86F4A">
            <w:pPr>
              <w:pStyle w:val="TableColumnHeadingRight"/>
            </w:pPr>
            <w:r>
              <w:t>($million)</w:t>
            </w:r>
          </w:p>
        </w:tc>
      </w:tr>
      <w:tr w:rsidR="00A233CC" w:rsidRPr="006534F5" w14:paraId="7FCA6986" w14:textId="77777777" w:rsidTr="00BD7AD5">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Pr>
          <w:p w14:paraId="70D0C913" w14:textId="77777777" w:rsidR="00A233CC" w:rsidRPr="00BD7AD5" w:rsidRDefault="00A233CC" w:rsidP="009556C5">
            <w:pPr>
              <w:pStyle w:val="TableSecondHeading"/>
              <w:rPr>
                <w:b/>
                <w:bCs/>
              </w:rPr>
            </w:pPr>
            <w:r w:rsidRPr="00BD7AD5">
              <w:rPr>
                <w:b/>
                <w:bCs/>
              </w:rPr>
              <w:t>Treasury Bonds</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14BEE347" w14:textId="77777777" w:rsidR="00A233CC" w:rsidRPr="00AE665D" w:rsidRDefault="00A233CC" w:rsidP="00C86F4A">
            <w:pPr>
              <w:pStyle w:val="TableTextRight"/>
              <w:rPr>
                <w:rStyle w:val="Strong"/>
                <w:b w:val="0"/>
                <w:bCs w:val="0"/>
              </w:rPr>
            </w:pP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Pr>
          <w:p w14:paraId="7A21DA8E" w14:textId="77777777" w:rsidR="00A233CC" w:rsidRPr="00AE665D" w:rsidRDefault="00A233CC" w:rsidP="00C86F4A">
            <w:pPr>
              <w:pStyle w:val="TableTextRight"/>
              <w:rPr>
                <w:rStyle w:val="Strong"/>
                <w:b w:val="0"/>
                <w:bCs w:val="0"/>
              </w:rPr>
            </w:pPr>
          </w:p>
        </w:tc>
      </w:tr>
      <w:tr w:rsidR="00A233CC" w:rsidRPr="006534F5" w14:paraId="506A7DFC" w14:textId="77777777" w:rsidTr="00A61C4D">
        <w:tc>
          <w:tcPr>
            <w:tcW w:w="3357" w:type="pct"/>
            <w:shd w:val="clear" w:color="auto" w:fill="F2F2F2" w:themeFill="background1" w:themeFillShade="F2"/>
            <w:noWrap/>
            <w:hideMark/>
          </w:tcPr>
          <w:p w14:paraId="133F4845" w14:textId="77777777" w:rsidR="00A233CC" w:rsidRPr="006534F5" w:rsidRDefault="00A233CC" w:rsidP="00C86F4A">
            <w:pPr>
              <w:pStyle w:val="TableTextLeft"/>
            </w:pPr>
            <w:r w:rsidRPr="006534F5">
              <w:t>Face value</w:t>
            </w:r>
          </w:p>
        </w:tc>
        <w:tc>
          <w:tcPr>
            <w:tcW w:w="822" w:type="pct"/>
            <w:shd w:val="clear" w:color="auto" w:fill="F2F2F2" w:themeFill="background1" w:themeFillShade="F2"/>
            <w:noWrap/>
          </w:tcPr>
          <w:p w14:paraId="7DC44C04" w14:textId="77777777" w:rsidR="00A233CC" w:rsidRPr="00E66F4E" w:rsidRDefault="00A233CC" w:rsidP="00C86F4A">
            <w:pPr>
              <w:pStyle w:val="TableTextRight"/>
              <w:rPr>
                <w:rStyle w:val="Strong"/>
                <w:b w:val="0"/>
                <w:bCs w:val="0"/>
              </w:rPr>
            </w:pPr>
            <w:r w:rsidRPr="00E66F4E">
              <w:rPr>
                <w:rStyle w:val="Strong"/>
                <w:b w:val="0"/>
                <w:bCs w:val="0"/>
              </w:rPr>
              <w:t>853,749</w:t>
            </w:r>
          </w:p>
        </w:tc>
        <w:tc>
          <w:tcPr>
            <w:tcW w:w="821" w:type="pct"/>
            <w:shd w:val="clear" w:color="auto" w:fill="F2F2F2" w:themeFill="background1" w:themeFillShade="F2"/>
            <w:noWrap/>
            <w:hideMark/>
          </w:tcPr>
          <w:p w14:paraId="6EA52432" w14:textId="77777777" w:rsidR="00A233CC" w:rsidRPr="000B76BC" w:rsidRDefault="00A233CC" w:rsidP="00C86F4A">
            <w:pPr>
              <w:pStyle w:val="TableTextRight"/>
            </w:pPr>
            <w:r w:rsidRPr="000B76BC">
              <w:t>83</w:t>
            </w:r>
            <w:r>
              <w:t>7</w:t>
            </w:r>
            <w:r w:rsidRPr="000B76BC">
              <w:t xml:space="preserve">,949 </w:t>
            </w:r>
          </w:p>
        </w:tc>
      </w:tr>
      <w:tr w:rsidR="00A233CC" w:rsidRPr="006534F5" w14:paraId="6B611B46" w14:textId="77777777" w:rsidTr="00A61C4D">
        <w:tc>
          <w:tcPr>
            <w:tcW w:w="3357" w:type="pct"/>
            <w:shd w:val="clear" w:color="auto" w:fill="F2F2F2" w:themeFill="background1" w:themeFillShade="F2"/>
            <w:noWrap/>
            <w:hideMark/>
          </w:tcPr>
          <w:p w14:paraId="20701513" w14:textId="77777777" w:rsidR="00A233CC" w:rsidRPr="006534F5" w:rsidRDefault="00A233CC" w:rsidP="00C86F4A">
            <w:pPr>
              <w:pStyle w:val="TableTextLeft"/>
            </w:pPr>
            <w:r w:rsidRPr="006534F5">
              <w:t>Accrued interest</w:t>
            </w:r>
          </w:p>
        </w:tc>
        <w:tc>
          <w:tcPr>
            <w:tcW w:w="822" w:type="pct"/>
            <w:shd w:val="clear" w:color="auto" w:fill="F2F2F2" w:themeFill="background1" w:themeFillShade="F2"/>
            <w:noWrap/>
          </w:tcPr>
          <w:p w14:paraId="06E53C4B" w14:textId="77777777" w:rsidR="00A233CC" w:rsidRPr="00E66F4E" w:rsidRDefault="00A233CC" w:rsidP="00C86F4A">
            <w:pPr>
              <w:pStyle w:val="TableTextRight"/>
              <w:rPr>
                <w:rStyle w:val="Strong"/>
                <w:b w:val="0"/>
                <w:bCs w:val="0"/>
              </w:rPr>
            </w:pPr>
            <w:r w:rsidRPr="00E66F4E">
              <w:rPr>
                <w:rStyle w:val="Strong"/>
                <w:b w:val="0"/>
                <w:bCs w:val="0"/>
              </w:rPr>
              <w:t>2,809</w:t>
            </w:r>
          </w:p>
        </w:tc>
        <w:tc>
          <w:tcPr>
            <w:tcW w:w="821" w:type="pct"/>
            <w:shd w:val="clear" w:color="auto" w:fill="F2F2F2" w:themeFill="background1" w:themeFillShade="F2"/>
            <w:noWrap/>
            <w:hideMark/>
          </w:tcPr>
          <w:p w14:paraId="2346BA2D" w14:textId="77777777" w:rsidR="00A233CC" w:rsidRPr="000B76BC" w:rsidRDefault="00A233CC" w:rsidP="00C86F4A">
            <w:pPr>
              <w:pStyle w:val="TableTextRight"/>
            </w:pPr>
            <w:r w:rsidRPr="000B76BC">
              <w:t>2,67</w:t>
            </w:r>
            <w:r>
              <w:t>9</w:t>
            </w:r>
            <w:r w:rsidRPr="000B76BC">
              <w:t xml:space="preserve"> </w:t>
            </w:r>
          </w:p>
        </w:tc>
      </w:tr>
      <w:tr w:rsidR="00A233CC" w:rsidRPr="006534F5" w14:paraId="07E00F59" w14:textId="77777777" w:rsidTr="00A61C4D">
        <w:tc>
          <w:tcPr>
            <w:tcW w:w="3357" w:type="pct"/>
            <w:shd w:val="clear" w:color="auto" w:fill="F2F2F2" w:themeFill="background1" w:themeFillShade="F2"/>
            <w:noWrap/>
            <w:hideMark/>
          </w:tcPr>
          <w:p w14:paraId="07603ED9" w14:textId="77777777" w:rsidR="00A233CC" w:rsidRPr="006534F5" w:rsidRDefault="00A233CC" w:rsidP="00C86F4A">
            <w:pPr>
              <w:pStyle w:val="TableTextLeft"/>
            </w:pPr>
            <w:r w:rsidRPr="006534F5">
              <w:t>Unamortised net premiums</w:t>
            </w:r>
          </w:p>
        </w:tc>
        <w:tc>
          <w:tcPr>
            <w:tcW w:w="822" w:type="pct"/>
            <w:shd w:val="clear" w:color="auto" w:fill="F2F2F2" w:themeFill="background1" w:themeFillShade="F2"/>
            <w:noWrap/>
          </w:tcPr>
          <w:p w14:paraId="1257CC66" w14:textId="77777777" w:rsidR="00A233CC" w:rsidRPr="00E66F4E" w:rsidRDefault="00A233CC" w:rsidP="00C86F4A">
            <w:pPr>
              <w:pStyle w:val="TableTextRight"/>
              <w:rPr>
                <w:rStyle w:val="Strong"/>
                <w:b w:val="0"/>
                <w:bCs w:val="0"/>
              </w:rPr>
            </w:pPr>
            <w:r w:rsidRPr="00E66F4E">
              <w:rPr>
                <w:rStyle w:val="Strong"/>
                <w:b w:val="0"/>
                <w:bCs w:val="0"/>
              </w:rPr>
              <w:t>(5,529)</w:t>
            </w:r>
          </w:p>
        </w:tc>
        <w:tc>
          <w:tcPr>
            <w:tcW w:w="821" w:type="pct"/>
            <w:shd w:val="clear" w:color="auto" w:fill="F2F2F2" w:themeFill="background1" w:themeFillShade="F2"/>
            <w:noWrap/>
            <w:hideMark/>
          </w:tcPr>
          <w:p w14:paraId="4D49160F" w14:textId="77777777" w:rsidR="00A233CC" w:rsidRPr="000B76BC" w:rsidRDefault="00A233CC" w:rsidP="00C86F4A">
            <w:pPr>
              <w:pStyle w:val="TableTextRight"/>
            </w:pPr>
            <w:r w:rsidRPr="000B76BC">
              <w:t>8</w:t>
            </w:r>
            <w:r>
              <w:t>26</w:t>
            </w:r>
            <w:r w:rsidRPr="000B76BC">
              <w:t xml:space="preserve"> </w:t>
            </w:r>
          </w:p>
        </w:tc>
      </w:tr>
      <w:tr w:rsidR="00A233CC" w:rsidRPr="006534F5" w14:paraId="774CEAFF" w14:textId="77777777" w:rsidTr="00A61C4D">
        <w:tc>
          <w:tcPr>
            <w:tcW w:w="3357" w:type="pct"/>
            <w:shd w:val="clear" w:color="auto" w:fill="F2F2F2" w:themeFill="background1" w:themeFillShade="F2"/>
            <w:noWrap/>
            <w:hideMark/>
          </w:tcPr>
          <w:p w14:paraId="39B99144" w14:textId="77777777" w:rsidR="00A233CC" w:rsidRPr="006534F5" w:rsidRDefault="00A233CC" w:rsidP="00C86F4A">
            <w:pPr>
              <w:pStyle w:val="TableTextLeft"/>
            </w:pPr>
            <w:r w:rsidRPr="006534F5">
              <w:t>Market value adjustment</w:t>
            </w:r>
          </w:p>
        </w:tc>
        <w:tc>
          <w:tcPr>
            <w:tcW w:w="822" w:type="pct"/>
            <w:shd w:val="clear" w:color="auto" w:fill="F2F2F2" w:themeFill="background1" w:themeFillShade="F2"/>
            <w:noWrap/>
          </w:tcPr>
          <w:p w14:paraId="1F069F91" w14:textId="77777777" w:rsidR="00A233CC" w:rsidRPr="00E66F4E" w:rsidRDefault="00A233CC" w:rsidP="00C86F4A">
            <w:pPr>
              <w:pStyle w:val="TableTextRight"/>
              <w:rPr>
                <w:rStyle w:val="Strong"/>
                <w:b w:val="0"/>
                <w:bCs w:val="0"/>
              </w:rPr>
            </w:pPr>
            <w:r w:rsidRPr="00E66F4E">
              <w:rPr>
                <w:rStyle w:val="Strong"/>
                <w:b w:val="0"/>
                <w:bCs w:val="0"/>
              </w:rPr>
              <w:t>(49,887)</w:t>
            </w:r>
          </w:p>
        </w:tc>
        <w:tc>
          <w:tcPr>
            <w:tcW w:w="821" w:type="pct"/>
            <w:shd w:val="clear" w:color="auto" w:fill="F2F2F2" w:themeFill="background1" w:themeFillShade="F2"/>
            <w:noWrap/>
            <w:hideMark/>
          </w:tcPr>
          <w:p w14:paraId="5C244A8D" w14:textId="77777777" w:rsidR="00A233CC" w:rsidRPr="000B76BC" w:rsidRDefault="00A233CC" w:rsidP="00C86F4A">
            <w:pPr>
              <w:pStyle w:val="TableTextRight"/>
            </w:pPr>
            <w:r w:rsidRPr="000B76BC">
              <w:t>(76,80</w:t>
            </w:r>
            <w:r>
              <w:t>5</w:t>
            </w:r>
            <w:r w:rsidRPr="000B76BC">
              <w:t>)</w:t>
            </w:r>
          </w:p>
        </w:tc>
      </w:tr>
      <w:tr w:rsidR="00A233CC" w:rsidRPr="006534F5" w14:paraId="6DE2B364" w14:textId="77777777" w:rsidTr="00A61C4D">
        <w:tc>
          <w:tcPr>
            <w:tcW w:w="3357" w:type="pct"/>
            <w:shd w:val="clear" w:color="auto" w:fill="F2F2F2" w:themeFill="background1" w:themeFillShade="F2"/>
            <w:noWrap/>
          </w:tcPr>
          <w:p w14:paraId="5CE0286E" w14:textId="77777777" w:rsidR="00A233CC" w:rsidRPr="00C619D5" w:rsidRDefault="00A233CC" w:rsidP="00C86F4A">
            <w:pPr>
              <w:pStyle w:val="TableTextRight"/>
              <w:jc w:val="left"/>
              <w:rPr>
                <w:b/>
                <w:bCs/>
              </w:rPr>
            </w:pPr>
            <w:r>
              <w:rPr>
                <w:b/>
                <w:bCs/>
              </w:rPr>
              <w:t>Carrying value</w:t>
            </w:r>
          </w:p>
        </w:tc>
        <w:tc>
          <w:tcPr>
            <w:tcW w:w="822" w:type="pct"/>
            <w:shd w:val="clear" w:color="auto" w:fill="F2F2F2" w:themeFill="background1" w:themeFillShade="F2"/>
            <w:noWrap/>
          </w:tcPr>
          <w:p w14:paraId="1E7BDE1A" w14:textId="77777777" w:rsidR="00A233CC" w:rsidRPr="00B85579" w:rsidRDefault="00A233CC" w:rsidP="00C86F4A">
            <w:pPr>
              <w:pStyle w:val="TableTextRight"/>
              <w:rPr>
                <w:rStyle w:val="Strong"/>
              </w:rPr>
            </w:pPr>
            <w:r>
              <w:rPr>
                <w:rStyle w:val="Strong"/>
              </w:rPr>
              <w:t>80</w:t>
            </w:r>
            <w:r w:rsidRPr="00B85579">
              <w:rPr>
                <w:rStyle w:val="Strong"/>
              </w:rPr>
              <w:t>1,</w:t>
            </w:r>
            <w:r>
              <w:rPr>
                <w:rStyle w:val="Strong"/>
              </w:rPr>
              <w:t>142</w:t>
            </w:r>
          </w:p>
        </w:tc>
        <w:tc>
          <w:tcPr>
            <w:tcW w:w="821" w:type="pct"/>
            <w:shd w:val="clear" w:color="auto" w:fill="F2F2F2" w:themeFill="background1" w:themeFillShade="F2"/>
            <w:noWrap/>
          </w:tcPr>
          <w:p w14:paraId="110452A1" w14:textId="77777777" w:rsidR="00A233CC" w:rsidRPr="00C619D5" w:rsidRDefault="00A233CC" w:rsidP="00C86F4A">
            <w:pPr>
              <w:pStyle w:val="TableTextRight"/>
              <w:rPr>
                <w:b/>
                <w:bCs/>
              </w:rPr>
            </w:pPr>
            <w:r w:rsidRPr="00C619D5">
              <w:rPr>
                <w:b/>
                <w:bCs/>
              </w:rPr>
              <w:t>7</w:t>
            </w:r>
            <w:r>
              <w:rPr>
                <w:b/>
                <w:bCs/>
              </w:rPr>
              <w:t>64,649</w:t>
            </w:r>
          </w:p>
        </w:tc>
      </w:tr>
    </w:tbl>
    <w:p w14:paraId="2D08F96B" w14:textId="77777777" w:rsidR="00A233CC" w:rsidRDefault="00A233CC" w:rsidP="00A233CC">
      <w:pPr>
        <w:rPr>
          <w:sz w:val="18"/>
          <w:szCs w:val="18"/>
        </w:rPr>
      </w:pPr>
    </w:p>
    <w:p w14:paraId="4C553B89" w14:textId="77777777" w:rsidR="00A233CC" w:rsidRPr="007D605D" w:rsidRDefault="00A233CC" w:rsidP="00A233CC">
      <w:proofErr w:type="gramStart"/>
      <w:r w:rsidRPr="00EF54A5">
        <w:t>At</w:t>
      </w:r>
      <w:proofErr w:type="gramEnd"/>
      <w:r w:rsidRPr="00EF54A5">
        <w:t xml:space="preserve"> 30 June 2025, the weighted average market yield on Treasury Bonds was </w:t>
      </w:r>
      <w:r w:rsidRPr="006F7BC4">
        <w:t>3.6</w:t>
      </w:r>
      <w:r>
        <w:t>7</w:t>
      </w:r>
      <w:r w:rsidRPr="006F7BC4">
        <w:t> per cent</w:t>
      </w:r>
      <w:r w:rsidRPr="00EF54A5">
        <w:t xml:space="preserve"> (30 June </w:t>
      </w:r>
      <w:r w:rsidRPr="007D605D">
        <w:t xml:space="preserve">2024: 4.20 per cent). </w:t>
      </w:r>
    </w:p>
    <w:p w14:paraId="7CD9E36A" w14:textId="77777777" w:rsidR="00A233CC" w:rsidRDefault="00A233CC" w:rsidP="00A233CC">
      <w:proofErr w:type="gramStart"/>
      <w:r w:rsidRPr="007D605D">
        <w:t>At</w:t>
      </w:r>
      <w:proofErr w:type="gramEnd"/>
      <w:r w:rsidRPr="007D605D">
        <w:t xml:space="preserve"> 30 June 2025, the weighted average (nominal) issuance yield on Treasury Bonds was 2.54 per cent (30 June 2024: 2.24 per</w:t>
      </w:r>
      <w:r w:rsidRPr="00EF54A5">
        <w:t> cent)</w:t>
      </w:r>
      <w:r>
        <w:t xml:space="preserve">. </w:t>
      </w:r>
    </w:p>
    <w:p w14:paraId="4DF641E2" w14:textId="77777777" w:rsidR="00A233CC" w:rsidRDefault="00A233CC" w:rsidP="00A233CC">
      <w:r w:rsidRPr="00EF54A5">
        <w:t>These figures are weighted by aggregate</w:t>
      </w:r>
      <w:r>
        <w:t xml:space="preserve"> (total)</w:t>
      </w:r>
      <w:r w:rsidRPr="00EF54A5">
        <w:t xml:space="preserve"> value. </w:t>
      </w:r>
    </w:p>
    <w:p w14:paraId="7B4A55FC" w14:textId="56DE9DC4" w:rsidR="00BD7AD5" w:rsidRDefault="00BD7AD5">
      <w:pPr>
        <w:spacing w:after="0" w:line="240" w:lineRule="auto"/>
      </w:pPr>
      <w:r>
        <w:br w:type="page"/>
      </w:r>
    </w:p>
    <w:p w14:paraId="6DD1B169" w14:textId="77777777" w:rsidR="00A233CC" w:rsidRPr="006534F5" w:rsidRDefault="00A233CC" w:rsidP="00A233CC">
      <w:pPr>
        <w:pStyle w:val="TableMainHeading"/>
        <w:keepLines/>
        <w:rPr>
          <w:rFonts w:asciiTheme="minorHAnsi" w:hAnsiTheme="minorHAnsi" w:cstheme="minorBidi"/>
          <w:lang w:eastAsia="en-US"/>
        </w:rPr>
      </w:pPr>
      <w:r w:rsidRPr="006534F5">
        <w:lastRenderedPageBreak/>
        <w:t xml:space="preserve">Changes in principal value (face value) for the period </w:t>
      </w:r>
    </w:p>
    <w:tbl>
      <w:tblPr>
        <w:tblStyle w:val="AOFMTablemain"/>
        <w:tblW w:w="5000" w:type="pct"/>
        <w:tblLook w:val="06A0" w:firstRow="1" w:lastRow="0" w:firstColumn="1" w:lastColumn="0" w:noHBand="1" w:noVBand="1"/>
      </w:tblPr>
      <w:tblGrid>
        <w:gridCol w:w="5177"/>
        <w:gridCol w:w="1268"/>
        <w:gridCol w:w="1266"/>
      </w:tblGrid>
      <w:tr w:rsidR="00E15250" w:rsidRPr="006534F5" w14:paraId="1A3BD078" w14:textId="77777777" w:rsidTr="00BD7AD5">
        <w:trPr>
          <w:cnfStyle w:val="100000000000" w:firstRow="1" w:lastRow="0" w:firstColumn="0" w:lastColumn="0" w:oddVBand="0" w:evenVBand="0" w:oddHBand="0" w:evenHBand="0" w:firstRowFirstColumn="0" w:firstRowLastColumn="0" w:lastRowFirstColumn="0" w:lastRowLastColumn="0"/>
        </w:trPr>
        <w:tc>
          <w:tcPr>
            <w:tcW w:w="3357" w:type="pct"/>
            <w:tcBorders>
              <w:bottom w:val="single" w:sz="4" w:space="0" w:color="29114B" w:themeColor="text2"/>
            </w:tcBorders>
            <w:noWrap/>
            <w:hideMark/>
          </w:tcPr>
          <w:p w14:paraId="208FF591" w14:textId="77777777" w:rsidR="00A233CC" w:rsidRPr="00E45D6F" w:rsidRDefault="00A233CC" w:rsidP="00C86F4A">
            <w:pPr>
              <w:pStyle w:val="TableColumnHeadingRight"/>
            </w:pPr>
            <w:r w:rsidRPr="00E45D6F">
              <w:t> </w:t>
            </w:r>
          </w:p>
        </w:tc>
        <w:tc>
          <w:tcPr>
            <w:tcW w:w="822" w:type="pct"/>
            <w:tcBorders>
              <w:bottom w:val="single" w:sz="4" w:space="0" w:color="29114B" w:themeColor="text2"/>
            </w:tcBorders>
            <w:noWrap/>
            <w:hideMark/>
          </w:tcPr>
          <w:p w14:paraId="4DCC8F38" w14:textId="77777777" w:rsidR="00A233CC" w:rsidRDefault="00A233CC" w:rsidP="00C86F4A">
            <w:pPr>
              <w:pStyle w:val="TableColumnHeadingRight"/>
            </w:pPr>
            <w:r w:rsidRPr="00E45D6F">
              <w:t>202</w:t>
            </w:r>
            <w:r>
              <w:t xml:space="preserve">5 </w:t>
            </w:r>
          </w:p>
          <w:p w14:paraId="3B9F457D" w14:textId="77777777" w:rsidR="00A233CC" w:rsidRPr="00E45D6F" w:rsidRDefault="00A233CC" w:rsidP="00C86F4A">
            <w:pPr>
              <w:pStyle w:val="TableColumnHeadingRight"/>
            </w:pPr>
            <w:r>
              <w:t>($million)</w:t>
            </w:r>
          </w:p>
        </w:tc>
        <w:tc>
          <w:tcPr>
            <w:tcW w:w="821" w:type="pct"/>
            <w:tcBorders>
              <w:bottom w:val="single" w:sz="4" w:space="0" w:color="29114B" w:themeColor="text2"/>
            </w:tcBorders>
            <w:noWrap/>
            <w:hideMark/>
          </w:tcPr>
          <w:p w14:paraId="6839A6B2" w14:textId="77777777" w:rsidR="00A233CC" w:rsidRDefault="00A233CC" w:rsidP="00C86F4A">
            <w:pPr>
              <w:pStyle w:val="TableColumnHeadingRight"/>
            </w:pPr>
            <w:r w:rsidRPr="00E45D6F">
              <w:t>202</w:t>
            </w:r>
            <w:r>
              <w:t xml:space="preserve">4 </w:t>
            </w:r>
          </w:p>
          <w:p w14:paraId="06BCF626" w14:textId="77777777" w:rsidR="00A233CC" w:rsidRPr="00E45D6F" w:rsidRDefault="00A233CC" w:rsidP="00C86F4A">
            <w:pPr>
              <w:pStyle w:val="TableColumnHeadingRight"/>
            </w:pPr>
            <w:r>
              <w:t>($million)</w:t>
            </w:r>
          </w:p>
        </w:tc>
      </w:tr>
      <w:tr w:rsidR="00A233CC" w:rsidRPr="006534F5" w14:paraId="7244C56B" w14:textId="77777777" w:rsidTr="00BD7AD5">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Pr>
          <w:p w14:paraId="03B95C12" w14:textId="77777777" w:rsidR="00A233CC" w:rsidRPr="00BD7AD5" w:rsidRDefault="00A233CC" w:rsidP="00C86F4A">
            <w:pPr>
              <w:pStyle w:val="TableSecondHeading"/>
              <w:rPr>
                <w:b/>
                <w:bCs/>
              </w:rPr>
            </w:pPr>
            <w:r w:rsidRPr="00BD7AD5">
              <w:rPr>
                <w:b/>
                <w:bCs/>
              </w:rPr>
              <w:t>Treasury Bonds</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790DD529" w14:textId="77777777" w:rsidR="00A233CC" w:rsidRPr="00C619D5" w:rsidRDefault="00A233CC" w:rsidP="00C86F4A">
            <w:pPr>
              <w:pStyle w:val="TableTextRight"/>
              <w:rPr>
                <w:rStyle w:val="Strong"/>
              </w:rPr>
            </w:pP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Pr>
          <w:p w14:paraId="22B76FB2" w14:textId="77777777" w:rsidR="00A233CC" w:rsidRPr="00C619D5" w:rsidRDefault="00A233CC" w:rsidP="00C86F4A">
            <w:pPr>
              <w:pStyle w:val="TableTextRight"/>
              <w:rPr>
                <w:rStyle w:val="Strong"/>
              </w:rPr>
            </w:pPr>
          </w:p>
        </w:tc>
      </w:tr>
      <w:tr w:rsidR="00A233CC" w:rsidRPr="006534F5" w14:paraId="12D824E8" w14:textId="77777777" w:rsidTr="00A61C4D">
        <w:tc>
          <w:tcPr>
            <w:tcW w:w="3357" w:type="pct"/>
            <w:shd w:val="clear" w:color="auto" w:fill="F2F2F2" w:themeFill="background1" w:themeFillShade="F2"/>
            <w:noWrap/>
            <w:hideMark/>
          </w:tcPr>
          <w:p w14:paraId="53569E32" w14:textId="77777777" w:rsidR="00A233CC" w:rsidRPr="006534F5" w:rsidRDefault="00A233CC" w:rsidP="00C86F4A">
            <w:pPr>
              <w:pStyle w:val="TableTextLeft"/>
            </w:pPr>
            <w:r w:rsidRPr="006534F5">
              <w:t>Issuance</w:t>
            </w:r>
            <w:r>
              <w:t xml:space="preserve"> </w:t>
            </w:r>
          </w:p>
        </w:tc>
        <w:tc>
          <w:tcPr>
            <w:tcW w:w="822" w:type="pct"/>
            <w:shd w:val="clear" w:color="auto" w:fill="F2F2F2" w:themeFill="background1" w:themeFillShade="F2"/>
            <w:noWrap/>
          </w:tcPr>
          <w:p w14:paraId="3CFFB59D" w14:textId="77777777" w:rsidR="00A233CC" w:rsidRPr="009F1279" w:rsidRDefault="00A233CC" w:rsidP="00C86F4A">
            <w:pPr>
              <w:pStyle w:val="TableTextRight"/>
              <w:rPr>
                <w:rStyle w:val="Strong"/>
                <w:b w:val="0"/>
                <w:bCs w:val="0"/>
              </w:rPr>
            </w:pPr>
            <w:r w:rsidRPr="009F1279">
              <w:rPr>
                <w:rStyle w:val="Strong"/>
                <w:b w:val="0"/>
                <w:bCs w:val="0"/>
              </w:rPr>
              <w:t>9</w:t>
            </w:r>
            <w:r>
              <w:rPr>
                <w:rStyle w:val="Strong"/>
                <w:b w:val="0"/>
                <w:bCs w:val="0"/>
              </w:rPr>
              <w:t>8</w:t>
            </w:r>
            <w:r w:rsidRPr="009F1279">
              <w:rPr>
                <w:rStyle w:val="Strong"/>
                <w:b w:val="0"/>
                <w:bCs w:val="0"/>
              </w:rPr>
              <w:t>,600</w:t>
            </w:r>
          </w:p>
        </w:tc>
        <w:tc>
          <w:tcPr>
            <w:tcW w:w="821" w:type="pct"/>
            <w:shd w:val="clear" w:color="auto" w:fill="F2F2F2" w:themeFill="background1" w:themeFillShade="F2"/>
            <w:noWrap/>
            <w:hideMark/>
          </w:tcPr>
          <w:p w14:paraId="38E70C85" w14:textId="77777777" w:rsidR="00A233CC" w:rsidRPr="009F1279" w:rsidRDefault="00A233CC" w:rsidP="00C86F4A">
            <w:pPr>
              <w:pStyle w:val="TableTextRight"/>
              <w:rPr>
                <w:b/>
                <w:bCs/>
              </w:rPr>
            </w:pPr>
            <w:r w:rsidRPr="00DB6453">
              <w:rPr>
                <w:rStyle w:val="Strong"/>
                <w:b w:val="0"/>
                <w:bCs w:val="0"/>
              </w:rPr>
              <w:t>50</w:t>
            </w:r>
            <w:r w:rsidRPr="009F1279">
              <w:rPr>
                <w:rStyle w:val="Strong"/>
                <w:b w:val="0"/>
                <w:bCs w:val="0"/>
              </w:rPr>
              <w:t xml:space="preserve">,000 </w:t>
            </w:r>
          </w:p>
        </w:tc>
      </w:tr>
      <w:tr w:rsidR="00A233CC" w:rsidRPr="006534F5" w14:paraId="149E550C" w14:textId="77777777" w:rsidTr="00A61C4D">
        <w:tc>
          <w:tcPr>
            <w:tcW w:w="3357" w:type="pct"/>
            <w:shd w:val="clear" w:color="auto" w:fill="F2F2F2" w:themeFill="background1" w:themeFillShade="F2"/>
            <w:noWrap/>
            <w:hideMark/>
          </w:tcPr>
          <w:p w14:paraId="090CA2EA" w14:textId="77777777" w:rsidR="00A233CC" w:rsidRPr="006534F5" w:rsidRDefault="00A233CC" w:rsidP="00C86F4A">
            <w:pPr>
              <w:pStyle w:val="TableTextLeft"/>
            </w:pPr>
            <w:r w:rsidRPr="006534F5">
              <w:t>Maturities</w:t>
            </w:r>
          </w:p>
        </w:tc>
        <w:tc>
          <w:tcPr>
            <w:tcW w:w="822" w:type="pct"/>
            <w:shd w:val="clear" w:color="auto" w:fill="F2F2F2" w:themeFill="background1" w:themeFillShade="F2"/>
            <w:noWrap/>
          </w:tcPr>
          <w:p w14:paraId="44D29B30" w14:textId="77777777" w:rsidR="00A233CC" w:rsidRPr="009F1279" w:rsidRDefault="00A233CC" w:rsidP="00C86F4A">
            <w:pPr>
              <w:pStyle w:val="TableTextRight"/>
              <w:rPr>
                <w:rStyle w:val="Strong"/>
                <w:b w:val="0"/>
                <w:bCs w:val="0"/>
              </w:rPr>
            </w:pPr>
            <w:r w:rsidRPr="009F1279">
              <w:rPr>
                <w:rStyle w:val="Strong"/>
                <w:b w:val="0"/>
                <w:bCs w:val="0"/>
              </w:rPr>
              <w:t>(82,800)</w:t>
            </w:r>
          </w:p>
        </w:tc>
        <w:tc>
          <w:tcPr>
            <w:tcW w:w="821" w:type="pct"/>
            <w:shd w:val="clear" w:color="auto" w:fill="F2F2F2" w:themeFill="background1" w:themeFillShade="F2"/>
            <w:noWrap/>
            <w:hideMark/>
          </w:tcPr>
          <w:p w14:paraId="5E985268" w14:textId="77777777" w:rsidR="00A233CC" w:rsidRPr="009F1279" w:rsidRDefault="00A233CC" w:rsidP="00C86F4A">
            <w:pPr>
              <w:pStyle w:val="TableTextRight"/>
              <w:rPr>
                <w:b/>
                <w:bCs/>
              </w:rPr>
            </w:pPr>
            <w:r w:rsidRPr="009F1279">
              <w:rPr>
                <w:rStyle w:val="Strong"/>
                <w:b w:val="0"/>
                <w:bCs w:val="0"/>
              </w:rPr>
              <w:t>(35,900)</w:t>
            </w:r>
          </w:p>
        </w:tc>
      </w:tr>
      <w:tr w:rsidR="00A233CC" w:rsidRPr="006534F5" w14:paraId="04043B90" w14:textId="77777777" w:rsidTr="00A61C4D">
        <w:tc>
          <w:tcPr>
            <w:tcW w:w="3357" w:type="pct"/>
            <w:shd w:val="clear" w:color="auto" w:fill="F2F2F2" w:themeFill="background1" w:themeFillShade="F2"/>
            <w:noWrap/>
          </w:tcPr>
          <w:p w14:paraId="19316B1A" w14:textId="77777777" w:rsidR="00A233CC" w:rsidRPr="00C619D5" w:rsidRDefault="00A233CC" w:rsidP="00C86F4A">
            <w:pPr>
              <w:pStyle w:val="TableTextRight"/>
              <w:jc w:val="left"/>
              <w:rPr>
                <w:b/>
                <w:bCs/>
              </w:rPr>
            </w:pPr>
            <w:r>
              <w:rPr>
                <w:b/>
                <w:bCs/>
              </w:rPr>
              <w:t>Total change in principal value</w:t>
            </w:r>
          </w:p>
        </w:tc>
        <w:tc>
          <w:tcPr>
            <w:tcW w:w="822" w:type="pct"/>
            <w:shd w:val="clear" w:color="auto" w:fill="F2F2F2" w:themeFill="background1" w:themeFillShade="F2"/>
            <w:noWrap/>
          </w:tcPr>
          <w:p w14:paraId="17E691B3" w14:textId="77777777" w:rsidR="00A233CC" w:rsidRPr="00C619D5" w:rsidRDefault="00A233CC" w:rsidP="00C86F4A">
            <w:pPr>
              <w:pStyle w:val="TableTextRight"/>
              <w:rPr>
                <w:rStyle w:val="Strong"/>
              </w:rPr>
            </w:pPr>
            <w:r w:rsidRPr="00C619D5">
              <w:rPr>
                <w:rStyle w:val="Strong"/>
              </w:rPr>
              <w:t>1</w:t>
            </w:r>
            <w:r>
              <w:rPr>
                <w:rStyle w:val="Strong"/>
              </w:rPr>
              <w:t>5</w:t>
            </w:r>
            <w:r w:rsidRPr="00C619D5">
              <w:rPr>
                <w:rStyle w:val="Strong"/>
              </w:rPr>
              <w:t>,800</w:t>
            </w:r>
          </w:p>
        </w:tc>
        <w:tc>
          <w:tcPr>
            <w:tcW w:w="821" w:type="pct"/>
            <w:shd w:val="clear" w:color="auto" w:fill="F2F2F2" w:themeFill="background1" w:themeFillShade="F2"/>
            <w:noWrap/>
          </w:tcPr>
          <w:p w14:paraId="03703DEC" w14:textId="77777777" w:rsidR="00A233CC" w:rsidRPr="00C619D5" w:rsidRDefault="00A233CC" w:rsidP="00C86F4A">
            <w:pPr>
              <w:pStyle w:val="TableTextRight"/>
              <w:rPr>
                <w:rStyle w:val="Strong"/>
              </w:rPr>
            </w:pPr>
            <w:r>
              <w:rPr>
                <w:rStyle w:val="Strong"/>
              </w:rPr>
              <w:t>14</w:t>
            </w:r>
            <w:r w:rsidRPr="00C619D5">
              <w:rPr>
                <w:rStyle w:val="Strong"/>
              </w:rPr>
              <w:t>,100</w:t>
            </w:r>
          </w:p>
        </w:tc>
      </w:tr>
    </w:tbl>
    <w:p w14:paraId="316DB8F6" w14:textId="77777777" w:rsidR="00A233CC" w:rsidRDefault="00A233CC" w:rsidP="00A233CC"/>
    <w:p w14:paraId="595D914E" w14:textId="77777777" w:rsidR="00A233CC" w:rsidRPr="006534F5" w:rsidRDefault="00A233CC" w:rsidP="00A233CC">
      <w:pPr>
        <w:pStyle w:val="TableMainHeading"/>
        <w:keepLines/>
        <w:rPr>
          <w:rFonts w:asciiTheme="minorHAnsi" w:hAnsiTheme="minorHAnsi" w:cstheme="minorBidi"/>
          <w:lang w:eastAsia="en-US"/>
        </w:rPr>
      </w:pPr>
      <w:r w:rsidRPr="006534F5">
        <w:t>Interest paid –cash flow</w:t>
      </w:r>
      <w:r>
        <w:t xml:space="preserve"> statement</w:t>
      </w:r>
    </w:p>
    <w:tbl>
      <w:tblPr>
        <w:tblStyle w:val="AOFMTablemain"/>
        <w:tblW w:w="5000" w:type="pct"/>
        <w:tblLook w:val="06A0" w:firstRow="1" w:lastRow="0" w:firstColumn="1" w:lastColumn="0" w:noHBand="1" w:noVBand="1"/>
      </w:tblPr>
      <w:tblGrid>
        <w:gridCol w:w="5177"/>
        <w:gridCol w:w="1268"/>
        <w:gridCol w:w="1266"/>
      </w:tblGrid>
      <w:tr w:rsidR="00E15250" w:rsidRPr="006534F5" w14:paraId="066B6907" w14:textId="77777777" w:rsidTr="00BD7AD5">
        <w:trPr>
          <w:cnfStyle w:val="100000000000" w:firstRow="1" w:lastRow="0" w:firstColumn="0" w:lastColumn="0" w:oddVBand="0" w:evenVBand="0" w:oddHBand="0" w:evenHBand="0" w:firstRowFirstColumn="0" w:firstRowLastColumn="0" w:lastRowFirstColumn="0" w:lastRowLastColumn="0"/>
        </w:trPr>
        <w:tc>
          <w:tcPr>
            <w:tcW w:w="3357" w:type="pct"/>
            <w:tcBorders>
              <w:bottom w:val="single" w:sz="4" w:space="0" w:color="29114B" w:themeColor="text2"/>
            </w:tcBorders>
            <w:noWrap/>
            <w:hideMark/>
          </w:tcPr>
          <w:p w14:paraId="759C324D" w14:textId="77777777" w:rsidR="00A233CC" w:rsidRPr="00E45D6F" w:rsidRDefault="00A233CC" w:rsidP="00C86F4A">
            <w:pPr>
              <w:pStyle w:val="TableColumnHeadingRight"/>
            </w:pPr>
            <w:r w:rsidRPr="00E45D6F">
              <w:t> </w:t>
            </w:r>
          </w:p>
        </w:tc>
        <w:tc>
          <w:tcPr>
            <w:tcW w:w="822" w:type="pct"/>
            <w:tcBorders>
              <w:bottom w:val="single" w:sz="4" w:space="0" w:color="29114B" w:themeColor="text2"/>
            </w:tcBorders>
            <w:noWrap/>
            <w:hideMark/>
          </w:tcPr>
          <w:p w14:paraId="0442B36E" w14:textId="77777777" w:rsidR="00A233CC" w:rsidRDefault="00A233CC" w:rsidP="00C86F4A">
            <w:pPr>
              <w:pStyle w:val="TableColumnHeadingRight"/>
            </w:pPr>
            <w:r w:rsidRPr="00E45D6F">
              <w:t>202</w:t>
            </w:r>
            <w:r>
              <w:t xml:space="preserve">5 </w:t>
            </w:r>
          </w:p>
          <w:p w14:paraId="0DEA3564" w14:textId="77777777" w:rsidR="00A233CC" w:rsidRPr="00E45D6F" w:rsidRDefault="00A233CC" w:rsidP="00C86F4A">
            <w:pPr>
              <w:pStyle w:val="TableColumnHeadingRight"/>
            </w:pPr>
            <w:r>
              <w:t>($million)</w:t>
            </w:r>
          </w:p>
        </w:tc>
        <w:tc>
          <w:tcPr>
            <w:tcW w:w="821" w:type="pct"/>
            <w:tcBorders>
              <w:bottom w:val="single" w:sz="4" w:space="0" w:color="29114B" w:themeColor="text2"/>
            </w:tcBorders>
            <w:noWrap/>
            <w:hideMark/>
          </w:tcPr>
          <w:p w14:paraId="6D0EFA2B" w14:textId="77777777" w:rsidR="00A233CC" w:rsidRDefault="00A233CC" w:rsidP="00C86F4A">
            <w:pPr>
              <w:pStyle w:val="TableColumnHeadingRight"/>
            </w:pPr>
            <w:r w:rsidRPr="00E45D6F">
              <w:t>202</w:t>
            </w:r>
            <w:r>
              <w:t xml:space="preserve">4 </w:t>
            </w:r>
          </w:p>
          <w:p w14:paraId="72A03057" w14:textId="77777777" w:rsidR="00A233CC" w:rsidRPr="00E45D6F" w:rsidRDefault="00A233CC" w:rsidP="00C86F4A">
            <w:pPr>
              <w:pStyle w:val="TableColumnHeadingRight"/>
            </w:pPr>
            <w:r>
              <w:t>($million)</w:t>
            </w:r>
          </w:p>
        </w:tc>
      </w:tr>
      <w:tr w:rsidR="00A233CC" w:rsidRPr="006534F5" w14:paraId="5C04E73E" w14:textId="77777777" w:rsidTr="00BD7AD5">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Pr>
          <w:p w14:paraId="61A8E8EA" w14:textId="77777777" w:rsidR="00A233CC" w:rsidRPr="00BD7AD5" w:rsidRDefault="00A233CC" w:rsidP="00C86F4A">
            <w:pPr>
              <w:pStyle w:val="TableSecondHeading"/>
              <w:rPr>
                <w:b/>
                <w:bCs/>
              </w:rPr>
            </w:pPr>
            <w:r w:rsidRPr="00BD7AD5">
              <w:rPr>
                <w:b/>
                <w:bCs/>
              </w:rPr>
              <w:t>Treasury Bonds</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27FC3BC4" w14:textId="77777777" w:rsidR="00A233CC" w:rsidRPr="00AE665D" w:rsidRDefault="00A233CC" w:rsidP="00C86F4A">
            <w:pPr>
              <w:pStyle w:val="TableTextRight"/>
              <w:rPr>
                <w:rStyle w:val="Strong"/>
                <w:b w:val="0"/>
                <w:bCs w:val="0"/>
              </w:rPr>
            </w:pP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Pr>
          <w:p w14:paraId="128D911E" w14:textId="77777777" w:rsidR="00A233CC" w:rsidRPr="00AE665D" w:rsidRDefault="00A233CC" w:rsidP="00C86F4A">
            <w:pPr>
              <w:pStyle w:val="TableTextRight"/>
              <w:rPr>
                <w:rStyle w:val="Strong"/>
                <w:b w:val="0"/>
                <w:bCs w:val="0"/>
              </w:rPr>
            </w:pPr>
          </w:p>
        </w:tc>
      </w:tr>
      <w:tr w:rsidR="00A233CC" w:rsidRPr="006534F5" w14:paraId="0A26A1E5" w14:textId="77777777" w:rsidTr="00A61C4D">
        <w:tc>
          <w:tcPr>
            <w:tcW w:w="3357" w:type="pct"/>
            <w:shd w:val="clear" w:color="auto" w:fill="F2F2F2" w:themeFill="background1" w:themeFillShade="F2"/>
            <w:noWrap/>
            <w:hideMark/>
          </w:tcPr>
          <w:p w14:paraId="432809F8" w14:textId="77777777" w:rsidR="00A233CC" w:rsidRPr="006534F5" w:rsidRDefault="00A233CC" w:rsidP="00C86F4A">
            <w:pPr>
              <w:pStyle w:val="TableTextLeft"/>
            </w:pPr>
            <w:r w:rsidRPr="006534F5">
              <w:t>Coupons paid</w:t>
            </w:r>
          </w:p>
        </w:tc>
        <w:tc>
          <w:tcPr>
            <w:tcW w:w="822" w:type="pct"/>
            <w:shd w:val="clear" w:color="auto" w:fill="F2F2F2" w:themeFill="background1" w:themeFillShade="F2"/>
            <w:noWrap/>
          </w:tcPr>
          <w:p w14:paraId="72133DC4" w14:textId="77777777" w:rsidR="00A233CC" w:rsidRPr="009F1279" w:rsidRDefault="00A233CC" w:rsidP="00C86F4A">
            <w:pPr>
              <w:pStyle w:val="TableTextRight"/>
              <w:rPr>
                <w:rStyle w:val="Strong"/>
                <w:b w:val="0"/>
                <w:bCs w:val="0"/>
              </w:rPr>
            </w:pPr>
            <w:r w:rsidRPr="009F1279">
              <w:rPr>
                <w:rStyle w:val="Strong"/>
                <w:b w:val="0"/>
                <w:bCs w:val="0"/>
              </w:rPr>
              <w:t>2</w:t>
            </w:r>
            <w:r>
              <w:rPr>
                <w:rStyle w:val="Strong"/>
                <w:b w:val="0"/>
                <w:bCs w:val="0"/>
              </w:rPr>
              <w:t>2,162</w:t>
            </w:r>
          </w:p>
        </w:tc>
        <w:tc>
          <w:tcPr>
            <w:tcW w:w="821" w:type="pct"/>
            <w:shd w:val="clear" w:color="auto" w:fill="F2F2F2" w:themeFill="background1" w:themeFillShade="F2"/>
            <w:noWrap/>
            <w:hideMark/>
          </w:tcPr>
          <w:p w14:paraId="67357DC3" w14:textId="77777777" w:rsidR="00A233CC" w:rsidRPr="009F1279" w:rsidRDefault="00A233CC" w:rsidP="00C86F4A">
            <w:pPr>
              <w:pStyle w:val="TableTextRight"/>
              <w:rPr>
                <w:b/>
                <w:bCs/>
              </w:rPr>
            </w:pPr>
            <w:r w:rsidRPr="009F1279">
              <w:rPr>
                <w:rStyle w:val="Strong"/>
                <w:b w:val="0"/>
                <w:bCs w:val="0"/>
              </w:rPr>
              <w:t>20,301</w:t>
            </w:r>
          </w:p>
        </w:tc>
      </w:tr>
      <w:tr w:rsidR="00A233CC" w:rsidRPr="006534F5" w14:paraId="36AF57F1" w14:textId="77777777" w:rsidTr="00A61C4D">
        <w:tc>
          <w:tcPr>
            <w:tcW w:w="3357" w:type="pct"/>
            <w:shd w:val="clear" w:color="auto" w:fill="F2F2F2" w:themeFill="background1" w:themeFillShade="F2"/>
            <w:noWrap/>
            <w:hideMark/>
          </w:tcPr>
          <w:p w14:paraId="071D91EE" w14:textId="77777777" w:rsidR="00A233CC" w:rsidRPr="006534F5" w:rsidRDefault="00A233CC" w:rsidP="00C86F4A">
            <w:pPr>
              <w:pStyle w:val="TableTextLeft"/>
            </w:pPr>
            <w:r w:rsidRPr="006534F5">
              <w:t>Interest received on issuance</w:t>
            </w:r>
          </w:p>
        </w:tc>
        <w:tc>
          <w:tcPr>
            <w:tcW w:w="822" w:type="pct"/>
            <w:shd w:val="clear" w:color="auto" w:fill="F2F2F2" w:themeFill="background1" w:themeFillShade="F2"/>
            <w:noWrap/>
          </w:tcPr>
          <w:p w14:paraId="147412BB" w14:textId="77777777" w:rsidR="00A233CC" w:rsidRPr="009F1279" w:rsidRDefault="00A233CC" w:rsidP="00C86F4A">
            <w:pPr>
              <w:pStyle w:val="TableTextRight"/>
              <w:rPr>
                <w:rStyle w:val="Strong"/>
                <w:b w:val="0"/>
                <w:bCs w:val="0"/>
              </w:rPr>
            </w:pPr>
            <w:r w:rsidRPr="009F1279">
              <w:rPr>
                <w:rStyle w:val="Strong"/>
                <w:b w:val="0"/>
                <w:bCs w:val="0"/>
              </w:rPr>
              <w:t>(8</w:t>
            </w:r>
            <w:r>
              <w:rPr>
                <w:rStyle w:val="Strong"/>
                <w:b w:val="0"/>
                <w:bCs w:val="0"/>
              </w:rPr>
              <w:t>34</w:t>
            </w:r>
            <w:r w:rsidRPr="009F1279">
              <w:rPr>
                <w:rStyle w:val="Strong"/>
                <w:b w:val="0"/>
                <w:bCs w:val="0"/>
              </w:rPr>
              <w:t>)</w:t>
            </w:r>
          </w:p>
        </w:tc>
        <w:tc>
          <w:tcPr>
            <w:tcW w:w="821" w:type="pct"/>
            <w:shd w:val="clear" w:color="auto" w:fill="F2F2F2" w:themeFill="background1" w:themeFillShade="F2"/>
            <w:noWrap/>
            <w:hideMark/>
          </w:tcPr>
          <w:p w14:paraId="43FF5D69" w14:textId="77777777" w:rsidR="00A233CC" w:rsidRPr="009F1279" w:rsidRDefault="00A233CC" w:rsidP="00C86F4A">
            <w:pPr>
              <w:pStyle w:val="TableTextRight"/>
              <w:rPr>
                <w:b/>
                <w:bCs/>
              </w:rPr>
            </w:pPr>
            <w:r w:rsidRPr="009F1279">
              <w:rPr>
                <w:rStyle w:val="Strong"/>
                <w:b w:val="0"/>
                <w:bCs w:val="0"/>
              </w:rPr>
              <w:t>(37</w:t>
            </w:r>
            <w:r>
              <w:rPr>
                <w:rStyle w:val="Strong"/>
                <w:b w:val="0"/>
                <w:bCs w:val="0"/>
              </w:rPr>
              <w:t>6</w:t>
            </w:r>
            <w:r w:rsidRPr="009F1279">
              <w:rPr>
                <w:rStyle w:val="Strong"/>
                <w:b w:val="0"/>
                <w:bCs w:val="0"/>
              </w:rPr>
              <w:t>)</w:t>
            </w:r>
          </w:p>
        </w:tc>
      </w:tr>
      <w:tr w:rsidR="00A233CC" w:rsidRPr="006534F5" w14:paraId="632C099E" w14:textId="77777777" w:rsidTr="00A61C4D">
        <w:tc>
          <w:tcPr>
            <w:tcW w:w="3357" w:type="pct"/>
            <w:shd w:val="clear" w:color="auto" w:fill="F2F2F2" w:themeFill="background1" w:themeFillShade="F2"/>
            <w:noWrap/>
          </w:tcPr>
          <w:p w14:paraId="7FCD875F" w14:textId="77777777" w:rsidR="00A233CC" w:rsidRPr="002B4142" w:rsidRDefault="00A233CC" w:rsidP="00C86F4A">
            <w:pPr>
              <w:pStyle w:val="TableTextLeft"/>
              <w:rPr>
                <w:b/>
                <w:bCs/>
              </w:rPr>
            </w:pPr>
            <w:r>
              <w:rPr>
                <w:b/>
                <w:bCs/>
              </w:rPr>
              <w:t>Treasury Bonds interest paid sub</w:t>
            </w:r>
            <w:r>
              <w:rPr>
                <w:b/>
                <w:bCs/>
              </w:rPr>
              <w:noBreakHyphen/>
              <w:t>total</w:t>
            </w:r>
          </w:p>
        </w:tc>
        <w:tc>
          <w:tcPr>
            <w:tcW w:w="822" w:type="pct"/>
            <w:shd w:val="clear" w:color="auto" w:fill="F2F2F2" w:themeFill="background1" w:themeFillShade="F2"/>
            <w:noWrap/>
          </w:tcPr>
          <w:p w14:paraId="0ACF4B04" w14:textId="77777777" w:rsidR="00A233CC" w:rsidRPr="00B85579" w:rsidRDefault="00A233CC" w:rsidP="00C86F4A">
            <w:pPr>
              <w:pStyle w:val="TableTextRight"/>
              <w:rPr>
                <w:rStyle w:val="Strong"/>
              </w:rPr>
            </w:pPr>
            <w:r w:rsidRPr="00B85579">
              <w:rPr>
                <w:rStyle w:val="Strong"/>
              </w:rPr>
              <w:t>21,</w:t>
            </w:r>
            <w:r>
              <w:rPr>
                <w:rStyle w:val="Strong"/>
              </w:rPr>
              <w:t>328</w:t>
            </w:r>
          </w:p>
        </w:tc>
        <w:tc>
          <w:tcPr>
            <w:tcW w:w="821" w:type="pct"/>
            <w:shd w:val="clear" w:color="auto" w:fill="F2F2F2" w:themeFill="background1" w:themeFillShade="F2"/>
            <w:noWrap/>
          </w:tcPr>
          <w:p w14:paraId="4D7D8389" w14:textId="77777777" w:rsidR="00A233CC" w:rsidRPr="009750D2" w:rsidRDefault="00A233CC" w:rsidP="00C86F4A">
            <w:pPr>
              <w:pStyle w:val="TableTextRight"/>
              <w:rPr>
                <w:rStyle w:val="Strong"/>
              </w:rPr>
            </w:pPr>
            <w:r w:rsidRPr="009750D2">
              <w:rPr>
                <w:rStyle w:val="Strong"/>
              </w:rPr>
              <w:t>19,9</w:t>
            </w:r>
            <w:r>
              <w:rPr>
                <w:rStyle w:val="Strong"/>
              </w:rPr>
              <w:t>25</w:t>
            </w:r>
          </w:p>
        </w:tc>
      </w:tr>
    </w:tbl>
    <w:p w14:paraId="2B79CCFD" w14:textId="77777777" w:rsidR="00A233CC" w:rsidRDefault="00A233CC" w:rsidP="00A233CC"/>
    <w:p w14:paraId="3CAC744D" w14:textId="77777777" w:rsidR="00BD7AD5" w:rsidRDefault="00BD7AD5">
      <w:pPr>
        <w:spacing w:after="0" w:line="240" w:lineRule="auto"/>
        <w:rPr>
          <w:rFonts w:eastAsiaTheme="majorEastAsia" w:cs="Open Sans Semibold"/>
          <w:b/>
          <w:bCs/>
          <w:color w:val="472978" w:themeColor="accent1"/>
          <w:sz w:val="36"/>
          <w:szCs w:val="36"/>
        </w:rPr>
      </w:pPr>
      <w:bookmarkStart w:id="1683" w:name="_Toc207792933"/>
      <w:bookmarkStart w:id="1684" w:name="_Toc207793973"/>
      <w:bookmarkStart w:id="1685" w:name="_Toc207796136"/>
      <w:bookmarkStart w:id="1686" w:name="_Toc207796977"/>
      <w:bookmarkStart w:id="1687" w:name="_Toc207800280"/>
      <w:bookmarkStart w:id="1688" w:name="_Toc207810858"/>
      <w:r>
        <w:br w:type="page"/>
      </w:r>
    </w:p>
    <w:p w14:paraId="20B89731" w14:textId="417B9268" w:rsidR="00A233CC" w:rsidRPr="006534F5" w:rsidRDefault="00A233CC" w:rsidP="00A233CC">
      <w:pPr>
        <w:pStyle w:val="Heading2"/>
        <w:rPr>
          <w:lang w:eastAsia="en-AU"/>
        </w:rPr>
      </w:pPr>
      <w:bookmarkStart w:id="1689" w:name="_Toc208914138"/>
      <w:bookmarkStart w:id="1690" w:name="_Toc209424535"/>
      <w:r w:rsidRPr="006534F5">
        <w:lastRenderedPageBreak/>
        <w:t>Note 3: Treasury Indexed Bonds</w:t>
      </w:r>
      <w:bookmarkEnd w:id="1683"/>
      <w:bookmarkEnd w:id="1684"/>
      <w:bookmarkEnd w:id="1685"/>
      <w:bookmarkEnd w:id="1686"/>
      <w:bookmarkEnd w:id="1687"/>
      <w:bookmarkEnd w:id="1688"/>
      <w:bookmarkEnd w:id="1689"/>
      <w:bookmarkEnd w:id="1690"/>
    </w:p>
    <w:p w14:paraId="648CEE24" w14:textId="77777777" w:rsidR="00A233CC" w:rsidRPr="00EF54A5" w:rsidRDefault="00A233CC" w:rsidP="00A233CC">
      <w:pPr>
        <w:rPr>
          <w:sz w:val="18"/>
          <w:szCs w:val="18"/>
        </w:rPr>
      </w:pPr>
      <w:r w:rsidRPr="00EF54A5">
        <w:rPr>
          <w:sz w:val="18"/>
          <w:szCs w:val="18"/>
        </w:rPr>
        <w:t>Treasury Indexed Bonds are denominated in Australian dollars and are capital indexed with the principal value of the bond adjusted by reference to movements in the CPI.</w:t>
      </w:r>
    </w:p>
    <w:p w14:paraId="0D98D5E4" w14:textId="77777777" w:rsidR="00A233CC" w:rsidRPr="00EF54A5" w:rsidRDefault="00A233CC" w:rsidP="00A233CC">
      <w:pPr>
        <w:rPr>
          <w:sz w:val="18"/>
          <w:szCs w:val="18"/>
        </w:rPr>
      </w:pPr>
      <w:r w:rsidRPr="00EF54A5">
        <w:rPr>
          <w:sz w:val="18"/>
          <w:szCs w:val="18"/>
        </w:rPr>
        <w:t>Interest payments are made quarterly in arrears, at a fixed rate, on the adjusted capital value. At maturity, investors receive the adjusted capital value of the security.</w:t>
      </w:r>
    </w:p>
    <w:p w14:paraId="3B523424" w14:textId="77777777" w:rsidR="00A233CC" w:rsidRDefault="00A233CC" w:rsidP="00A233CC">
      <w:pPr>
        <w:rPr>
          <w:sz w:val="18"/>
          <w:szCs w:val="18"/>
        </w:rPr>
      </w:pPr>
      <w:r w:rsidRPr="00EF54A5">
        <w:rPr>
          <w:sz w:val="18"/>
          <w:szCs w:val="18"/>
        </w:rPr>
        <w:t xml:space="preserve">The AOFM issues Treasury Indexed Bonds primarily through a competitive auction process. </w:t>
      </w:r>
      <w:r w:rsidRPr="006622A4">
        <w:rPr>
          <w:sz w:val="18"/>
          <w:szCs w:val="18"/>
        </w:rPr>
        <w:t>Based on market conditions, the AOFM may consider a syndicated issuance to reduce the execution risk in meeting Government financing needs.</w:t>
      </w: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A233CC" w14:paraId="32BCBFDA" w14:textId="77777777" w:rsidTr="000F35C5">
        <w:tc>
          <w:tcPr>
            <w:tcW w:w="7700" w:type="dxa"/>
            <w:tcBorders>
              <w:bottom w:val="single" w:sz="24" w:space="0" w:color="472978" w:themeColor="accent1"/>
            </w:tcBorders>
            <w:shd w:val="clear" w:color="auto" w:fill="E7DCF7" w:themeFill="text2" w:themeFillTint="1A"/>
          </w:tcPr>
          <w:p w14:paraId="5BA71847" w14:textId="77777777" w:rsidR="00A233CC" w:rsidRDefault="00A233CC" w:rsidP="00C86F4A">
            <w:pPr>
              <w:pStyle w:val="Boxheading"/>
            </w:pPr>
            <w:r w:rsidRPr="00D4247D">
              <w:t>Accounting policy</w:t>
            </w:r>
          </w:p>
          <w:p w14:paraId="345B3569" w14:textId="77777777" w:rsidR="00A233CC" w:rsidRPr="0044712E" w:rsidRDefault="00A233CC" w:rsidP="00C86F4A">
            <w:pPr>
              <w:pStyle w:val="BoxText"/>
            </w:pPr>
            <w:r w:rsidRPr="0044712E">
              <w:t>The AOFM monitors the cost and risk on Treasury Indexed Bonds primarily on an accrual basis, but also on a fair value basis. The AOFM has designated Treasury Indexed Bonds to be carried at fair value through profit or loss under AASB 9 Financial Instruments.</w:t>
            </w:r>
          </w:p>
          <w:p w14:paraId="2A1CB9EA" w14:textId="77777777" w:rsidR="00A233CC" w:rsidRPr="0044712E" w:rsidRDefault="00A233CC" w:rsidP="00C86F4A">
            <w:pPr>
              <w:pStyle w:val="BoxText"/>
            </w:pPr>
            <w:r w:rsidRPr="0044712E">
              <w:t>The fair value of Treasury Indexed Bonds is determined by reference to observable market rates for these instruments. As such, they are included as Level 1 financial instruments in the fair value hierarchy.</w:t>
            </w:r>
          </w:p>
          <w:p w14:paraId="2B150566" w14:textId="77777777" w:rsidR="00A233CC" w:rsidRPr="0044712E" w:rsidRDefault="00A233CC" w:rsidP="00C86F4A">
            <w:pPr>
              <w:pStyle w:val="BoxText"/>
            </w:pPr>
            <w:r w:rsidRPr="0044712E">
              <w:t>Capital accretion is recognised in interest expense over time with each quarterly release of the CPI.</w:t>
            </w:r>
          </w:p>
          <w:p w14:paraId="607CE727" w14:textId="77777777" w:rsidR="00A233CC" w:rsidRPr="006574CB" w:rsidRDefault="00A233CC" w:rsidP="00C86F4A">
            <w:pPr>
              <w:pStyle w:val="BoxText"/>
            </w:pPr>
            <w:r w:rsidRPr="0044712E">
              <w:t>As future inflation rates are uncertain and it is not appropriate for the AOFM to express a view on the inflation outlook, an estimate of the adjusted capital value on maturity of each series of Treasury Indexed Bonds is not disclosed in the financial statements.</w:t>
            </w:r>
          </w:p>
        </w:tc>
      </w:tr>
    </w:tbl>
    <w:p w14:paraId="0E18CB44" w14:textId="77777777" w:rsidR="00A233CC" w:rsidRPr="006534F5" w:rsidRDefault="00A233CC" w:rsidP="00A233CC">
      <w:pPr>
        <w:pStyle w:val="Heading3"/>
      </w:pPr>
      <w:bookmarkStart w:id="1691" w:name="_Toc146112238"/>
      <w:bookmarkStart w:id="1692" w:name="_Toc207796137"/>
      <w:r w:rsidRPr="006534F5">
        <w:t>Key aggregates</w:t>
      </w:r>
      <w:bookmarkEnd w:id="1691"/>
      <w:bookmarkEnd w:id="1692"/>
    </w:p>
    <w:p w14:paraId="683AA49A" w14:textId="77777777" w:rsidR="00A233CC" w:rsidRPr="006534F5" w:rsidRDefault="00A233CC" w:rsidP="00A233CC">
      <w:pPr>
        <w:pStyle w:val="TableMainHeading"/>
        <w:keepLines/>
        <w:rPr>
          <w:rFonts w:asciiTheme="minorHAnsi" w:hAnsiTheme="minorHAnsi" w:cstheme="minorBidi"/>
          <w:lang w:eastAsia="en-US"/>
        </w:rPr>
      </w:pPr>
      <w:r w:rsidRPr="006534F5">
        <w:t>Interest expense</w:t>
      </w:r>
    </w:p>
    <w:tbl>
      <w:tblPr>
        <w:tblStyle w:val="AOFMTablemain"/>
        <w:tblW w:w="5000" w:type="pct"/>
        <w:tblLook w:val="06A0" w:firstRow="1" w:lastRow="0" w:firstColumn="1" w:lastColumn="0" w:noHBand="1" w:noVBand="1"/>
      </w:tblPr>
      <w:tblGrid>
        <w:gridCol w:w="5177"/>
        <w:gridCol w:w="1268"/>
        <w:gridCol w:w="1266"/>
      </w:tblGrid>
      <w:tr w:rsidR="004676A8" w:rsidRPr="006534F5" w14:paraId="0F929AAD" w14:textId="77777777" w:rsidTr="00EC03D4">
        <w:trPr>
          <w:cnfStyle w:val="100000000000" w:firstRow="1" w:lastRow="0" w:firstColumn="0" w:lastColumn="0" w:oddVBand="0" w:evenVBand="0" w:oddHBand="0" w:evenHBand="0" w:firstRowFirstColumn="0" w:firstRowLastColumn="0" w:lastRowFirstColumn="0" w:lastRowLastColumn="0"/>
          <w:trHeight w:hRule="exact" w:val="553"/>
        </w:trPr>
        <w:tc>
          <w:tcPr>
            <w:tcW w:w="3357" w:type="pct"/>
            <w:noWrap/>
            <w:hideMark/>
          </w:tcPr>
          <w:p w14:paraId="2CC98AED" w14:textId="77777777" w:rsidR="00A233CC" w:rsidRPr="00825FD1" w:rsidRDefault="00A233CC" w:rsidP="00C86F4A">
            <w:pPr>
              <w:pStyle w:val="TableColumnHeadingRight"/>
            </w:pPr>
            <w:r w:rsidRPr="00825FD1">
              <w:t> </w:t>
            </w:r>
          </w:p>
        </w:tc>
        <w:tc>
          <w:tcPr>
            <w:tcW w:w="822" w:type="pct"/>
            <w:noWrap/>
            <w:hideMark/>
          </w:tcPr>
          <w:p w14:paraId="4AE37DEA" w14:textId="77777777" w:rsidR="00A233CC" w:rsidRDefault="00A233CC" w:rsidP="00C86F4A">
            <w:pPr>
              <w:pStyle w:val="TableColumnHeadingRight"/>
            </w:pPr>
            <w:r w:rsidRPr="00825FD1">
              <w:t>202</w:t>
            </w:r>
            <w:r>
              <w:t xml:space="preserve">5 </w:t>
            </w:r>
          </w:p>
          <w:p w14:paraId="14624F5B" w14:textId="77777777" w:rsidR="00A233CC" w:rsidRPr="00825FD1" w:rsidRDefault="00A233CC" w:rsidP="00C86F4A">
            <w:pPr>
              <w:pStyle w:val="TableColumnHeadingRight"/>
            </w:pPr>
            <w:r>
              <w:t>($million)</w:t>
            </w:r>
          </w:p>
        </w:tc>
        <w:tc>
          <w:tcPr>
            <w:tcW w:w="821" w:type="pct"/>
            <w:noWrap/>
            <w:hideMark/>
          </w:tcPr>
          <w:p w14:paraId="1A8B0544" w14:textId="77777777" w:rsidR="00A233CC" w:rsidRDefault="00A233CC" w:rsidP="00C86F4A">
            <w:pPr>
              <w:pStyle w:val="TableColumnHeadingRight"/>
            </w:pPr>
            <w:r w:rsidRPr="00825FD1">
              <w:t>202</w:t>
            </w:r>
            <w:r>
              <w:t xml:space="preserve">4 </w:t>
            </w:r>
          </w:p>
          <w:p w14:paraId="6255C5D0" w14:textId="77777777" w:rsidR="00A233CC" w:rsidRPr="00825FD1" w:rsidRDefault="00A233CC" w:rsidP="00C86F4A">
            <w:pPr>
              <w:pStyle w:val="TableColumnHeadingRight"/>
            </w:pPr>
            <w:r>
              <w:t>($million)</w:t>
            </w:r>
          </w:p>
        </w:tc>
      </w:tr>
      <w:tr w:rsidR="00A233CC" w:rsidRPr="006766FE" w14:paraId="73B47DD1" w14:textId="77777777" w:rsidTr="003C2549">
        <w:trPr>
          <w:trHeight w:hRule="exact" w:val="300"/>
        </w:trPr>
        <w:tc>
          <w:tcPr>
            <w:tcW w:w="3357" w:type="pct"/>
            <w:shd w:val="clear" w:color="auto" w:fill="F2F2F2" w:themeFill="background1" w:themeFillShade="F2"/>
            <w:noWrap/>
            <w:hideMark/>
          </w:tcPr>
          <w:p w14:paraId="064497B9" w14:textId="77777777" w:rsidR="00A233CC" w:rsidRPr="006534F5" w:rsidRDefault="00A233CC" w:rsidP="00C86F4A">
            <w:pPr>
              <w:pStyle w:val="TableTextLeft"/>
            </w:pPr>
            <w:r w:rsidRPr="006534F5">
              <w:t>Interest paid / payable</w:t>
            </w:r>
          </w:p>
        </w:tc>
        <w:tc>
          <w:tcPr>
            <w:tcW w:w="822" w:type="pct"/>
            <w:shd w:val="clear" w:color="auto" w:fill="F2F2F2" w:themeFill="background1" w:themeFillShade="F2"/>
            <w:noWrap/>
          </w:tcPr>
          <w:p w14:paraId="107D4284" w14:textId="77777777" w:rsidR="00A233CC" w:rsidRPr="00007F22" w:rsidRDefault="00A233CC" w:rsidP="00C86F4A">
            <w:pPr>
              <w:pStyle w:val="TableTextRight"/>
            </w:pPr>
            <w:r w:rsidRPr="00007F22">
              <w:t>885</w:t>
            </w:r>
          </w:p>
        </w:tc>
        <w:tc>
          <w:tcPr>
            <w:tcW w:w="821" w:type="pct"/>
            <w:shd w:val="clear" w:color="auto" w:fill="F2F2F2" w:themeFill="background1" w:themeFillShade="F2"/>
            <w:noWrap/>
            <w:hideMark/>
          </w:tcPr>
          <w:p w14:paraId="306D7F2C" w14:textId="77777777" w:rsidR="00A233CC" w:rsidRPr="00007F22" w:rsidRDefault="00A233CC" w:rsidP="00C86F4A">
            <w:pPr>
              <w:pStyle w:val="TableTextRight"/>
            </w:pPr>
            <w:r w:rsidRPr="00007F22">
              <w:t xml:space="preserve">911 </w:t>
            </w:r>
          </w:p>
        </w:tc>
      </w:tr>
      <w:tr w:rsidR="00A233CC" w:rsidRPr="006766FE" w14:paraId="05E9B771" w14:textId="77777777" w:rsidTr="003C2549">
        <w:trPr>
          <w:trHeight w:hRule="exact" w:val="300"/>
        </w:trPr>
        <w:tc>
          <w:tcPr>
            <w:tcW w:w="3357" w:type="pct"/>
            <w:shd w:val="clear" w:color="auto" w:fill="F2F2F2" w:themeFill="background1" w:themeFillShade="F2"/>
            <w:noWrap/>
            <w:hideMark/>
          </w:tcPr>
          <w:p w14:paraId="6E4BBC06" w14:textId="77777777" w:rsidR="00A233CC" w:rsidRPr="006534F5" w:rsidRDefault="00A233CC" w:rsidP="00C86F4A">
            <w:pPr>
              <w:pStyle w:val="TableTextLeft"/>
            </w:pPr>
            <w:r w:rsidRPr="006534F5">
              <w:t>Capital accretion and amortisation of net premiums</w:t>
            </w:r>
          </w:p>
        </w:tc>
        <w:tc>
          <w:tcPr>
            <w:tcW w:w="822" w:type="pct"/>
            <w:shd w:val="clear" w:color="auto" w:fill="F2F2F2" w:themeFill="background1" w:themeFillShade="F2"/>
            <w:noWrap/>
          </w:tcPr>
          <w:p w14:paraId="6A79312E" w14:textId="77777777" w:rsidR="00A233CC" w:rsidRPr="00007F22" w:rsidRDefault="00A233CC" w:rsidP="00C86F4A">
            <w:pPr>
              <w:pStyle w:val="TableTextRight"/>
            </w:pPr>
            <w:r w:rsidRPr="00007F22">
              <w:t>1,086</w:t>
            </w:r>
          </w:p>
        </w:tc>
        <w:tc>
          <w:tcPr>
            <w:tcW w:w="821" w:type="pct"/>
            <w:shd w:val="clear" w:color="auto" w:fill="F2F2F2" w:themeFill="background1" w:themeFillShade="F2"/>
            <w:noWrap/>
            <w:hideMark/>
          </w:tcPr>
          <w:p w14:paraId="4660AD6B" w14:textId="77777777" w:rsidR="00A233CC" w:rsidRPr="00007F22" w:rsidRDefault="00A233CC" w:rsidP="00C86F4A">
            <w:pPr>
              <w:pStyle w:val="TableTextRight"/>
            </w:pPr>
            <w:r w:rsidRPr="00007F22">
              <w:t xml:space="preserve">2,021 </w:t>
            </w:r>
          </w:p>
        </w:tc>
      </w:tr>
      <w:tr w:rsidR="00A233CC" w:rsidRPr="006534F5" w14:paraId="669CD440" w14:textId="77777777" w:rsidTr="003C2549">
        <w:trPr>
          <w:trHeight w:hRule="exact" w:val="300"/>
        </w:trPr>
        <w:tc>
          <w:tcPr>
            <w:tcW w:w="3357" w:type="pct"/>
            <w:shd w:val="clear" w:color="auto" w:fill="F2F2F2" w:themeFill="background1" w:themeFillShade="F2"/>
            <w:noWrap/>
            <w:hideMark/>
          </w:tcPr>
          <w:p w14:paraId="722F2E28" w14:textId="77777777" w:rsidR="00A233CC" w:rsidRPr="00D4247D" w:rsidRDefault="00A233CC" w:rsidP="00C86F4A">
            <w:pPr>
              <w:pStyle w:val="TableTextLeft"/>
              <w:rPr>
                <w:b/>
                <w:bCs/>
              </w:rPr>
            </w:pPr>
            <w:r w:rsidRPr="00D4247D">
              <w:rPr>
                <w:b/>
                <w:bCs/>
              </w:rPr>
              <w:t>Interest expense</w:t>
            </w:r>
          </w:p>
        </w:tc>
        <w:tc>
          <w:tcPr>
            <w:tcW w:w="822" w:type="pct"/>
            <w:shd w:val="clear" w:color="auto" w:fill="F2F2F2" w:themeFill="background1" w:themeFillShade="F2"/>
            <w:noWrap/>
          </w:tcPr>
          <w:p w14:paraId="170AB902" w14:textId="77777777" w:rsidR="00A233CC" w:rsidRPr="00D4247D" w:rsidRDefault="00A233CC" w:rsidP="00C86F4A">
            <w:pPr>
              <w:pStyle w:val="TableTextRight"/>
              <w:rPr>
                <w:b/>
                <w:bCs/>
              </w:rPr>
            </w:pPr>
            <w:r w:rsidRPr="00D4247D">
              <w:rPr>
                <w:b/>
                <w:bCs/>
              </w:rPr>
              <w:t>1,971</w:t>
            </w:r>
          </w:p>
        </w:tc>
        <w:tc>
          <w:tcPr>
            <w:tcW w:w="821" w:type="pct"/>
            <w:shd w:val="clear" w:color="auto" w:fill="F2F2F2" w:themeFill="background1" w:themeFillShade="F2"/>
            <w:noWrap/>
            <w:hideMark/>
          </w:tcPr>
          <w:p w14:paraId="11683A9A" w14:textId="77777777" w:rsidR="00A233CC" w:rsidRPr="00D4247D" w:rsidRDefault="00A233CC" w:rsidP="00C86F4A">
            <w:pPr>
              <w:pStyle w:val="TableTextRight"/>
              <w:rPr>
                <w:b/>
                <w:bCs/>
              </w:rPr>
            </w:pPr>
            <w:r w:rsidRPr="00D4247D">
              <w:rPr>
                <w:b/>
                <w:bCs/>
              </w:rPr>
              <w:t>2,932</w:t>
            </w:r>
          </w:p>
        </w:tc>
      </w:tr>
    </w:tbl>
    <w:p w14:paraId="29877ED5" w14:textId="77777777" w:rsidR="00A233CC" w:rsidRPr="006534F5" w:rsidRDefault="00A233CC" w:rsidP="00A233CC"/>
    <w:p w14:paraId="4E197437" w14:textId="3920AC56" w:rsidR="00A233CC" w:rsidRDefault="00A233CC" w:rsidP="00A233CC">
      <w:r w:rsidRPr="00AA6D13">
        <w:lastRenderedPageBreak/>
        <w:t xml:space="preserve">The interest expense on the Treasury Indexed Bond portfolio has fallen more recently due to the </w:t>
      </w:r>
      <w:r>
        <w:t>lower</w:t>
      </w:r>
      <w:r w:rsidRPr="00AA6D13">
        <w:t xml:space="preserve"> inflationary environment. The accrual yield for 2024</w:t>
      </w:r>
      <w:r w:rsidRPr="0084380D">
        <w:t>–</w:t>
      </w:r>
      <w:r w:rsidRPr="00AA6D13">
        <w:t xml:space="preserve">25 was </w:t>
      </w:r>
      <w:r>
        <w:t>3.56 </w:t>
      </w:r>
      <w:r w:rsidRPr="00AA6D13">
        <w:t>per</w:t>
      </w:r>
      <w:r w:rsidR="00D9372F">
        <w:t> </w:t>
      </w:r>
      <w:r w:rsidRPr="00AA6D13">
        <w:t xml:space="preserve">cent, </w:t>
      </w:r>
      <w:r>
        <w:t>201</w:t>
      </w:r>
      <w:r w:rsidRPr="00AA6D13">
        <w:t xml:space="preserve"> basis points </w:t>
      </w:r>
      <w:r w:rsidRPr="00EA78C2">
        <w:t>lower</w:t>
      </w:r>
      <w:r w:rsidRPr="00AA6D13">
        <w:t xml:space="preserve"> than the 2023</w:t>
      </w:r>
      <w:r w:rsidRPr="0084380D">
        <w:t>–</w:t>
      </w:r>
      <w:r w:rsidRPr="00AA6D13">
        <w:t xml:space="preserve">24 accrual yield of 5.57 per cent. </w:t>
      </w:r>
    </w:p>
    <w:p w14:paraId="2CE8950A" w14:textId="77777777" w:rsidR="00A233CC" w:rsidRPr="006534F5" w:rsidRDefault="00A233CC" w:rsidP="00A233CC">
      <w:pPr>
        <w:pStyle w:val="TableMainHeading"/>
        <w:keepLines/>
        <w:rPr>
          <w:rFonts w:asciiTheme="minorHAnsi" w:hAnsiTheme="minorHAnsi" w:cstheme="minorBidi"/>
          <w:lang w:eastAsia="en-US"/>
        </w:rPr>
      </w:pPr>
      <w:r w:rsidRPr="006534F5">
        <w:t>Carrying values – administered liabilities</w:t>
      </w:r>
    </w:p>
    <w:tbl>
      <w:tblPr>
        <w:tblStyle w:val="AOFMTablemain"/>
        <w:tblW w:w="5000" w:type="pct"/>
        <w:tblLook w:val="06A0" w:firstRow="1" w:lastRow="0" w:firstColumn="1" w:lastColumn="0" w:noHBand="1" w:noVBand="1"/>
      </w:tblPr>
      <w:tblGrid>
        <w:gridCol w:w="4821"/>
        <w:gridCol w:w="1377"/>
        <w:gridCol w:w="1513"/>
      </w:tblGrid>
      <w:tr w:rsidR="00E15250" w:rsidRPr="006534F5" w14:paraId="78B02DDE" w14:textId="77777777" w:rsidTr="002C5E6A">
        <w:trPr>
          <w:cnfStyle w:val="100000000000" w:firstRow="1" w:lastRow="0" w:firstColumn="0" w:lastColumn="0" w:oddVBand="0" w:evenVBand="0" w:oddHBand="0" w:evenHBand="0" w:firstRowFirstColumn="0" w:firstRowLastColumn="0" w:lastRowFirstColumn="0" w:lastRowLastColumn="0"/>
        </w:trPr>
        <w:tc>
          <w:tcPr>
            <w:tcW w:w="3126" w:type="pct"/>
            <w:tcBorders>
              <w:bottom w:val="single" w:sz="4" w:space="0" w:color="29114B" w:themeColor="text2"/>
            </w:tcBorders>
            <w:noWrap/>
            <w:tcMar>
              <w:top w:w="57" w:type="dxa"/>
              <w:bottom w:w="57" w:type="dxa"/>
            </w:tcMar>
            <w:hideMark/>
          </w:tcPr>
          <w:p w14:paraId="71AA69D6" w14:textId="77777777" w:rsidR="00A233CC" w:rsidRPr="00825FD1" w:rsidRDefault="00A233CC" w:rsidP="00C86F4A">
            <w:pPr>
              <w:pStyle w:val="TableColumnHeadingRight"/>
            </w:pPr>
            <w:r w:rsidRPr="00825FD1">
              <w:t> </w:t>
            </w:r>
          </w:p>
        </w:tc>
        <w:tc>
          <w:tcPr>
            <w:tcW w:w="893" w:type="pct"/>
            <w:tcBorders>
              <w:bottom w:val="single" w:sz="4" w:space="0" w:color="29114B" w:themeColor="text2"/>
            </w:tcBorders>
            <w:noWrap/>
            <w:tcMar>
              <w:top w:w="57" w:type="dxa"/>
              <w:bottom w:w="57" w:type="dxa"/>
            </w:tcMar>
            <w:hideMark/>
          </w:tcPr>
          <w:p w14:paraId="31AB2257" w14:textId="77777777" w:rsidR="00A233CC" w:rsidRDefault="00A233CC" w:rsidP="00C86F4A">
            <w:pPr>
              <w:pStyle w:val="TableColumnHeadingRight"/>
            </w:pPr>
            <w:r w:rsidRPr="00825FD1">
              <w:t>202</w:t>
            </w:r>
            <w:r>
              <w:t xml:space="preserve">5 </w:t>
            </w:r>
          </w:p>
          <w:p w14:paraId="0D513727" w14:textId="77777777" w:rsidR="00A233CC" w:rsidRPr="00825FD1" w:rsidRDefault="00A233CC" w:rsidP="00C86F4A">
            <w:pPr>
              <w:pStyle w:val="TableColumnHeadingRight"/>
            </w:pPr>
            <w:r>
              <w:t>($million)</w:t>
            </w:r>
          </w:p>
        </w:tc>
        <w:tc>
          <w:tcPr>
            <w:tcW w:w="981" w:type="pct"/>
            <w:tcBorders>
              <w:bottom w:val="single" w:sz="4" w:space="0" w:color="29114B" w:themeColor="text2"/>
            </w:tcBorders>
            <w:noWrap/>
            <w:tcMar>
              <w:top w:w="57" w:type="dxa"/>
              <w:bottom w:w="57" w:type="dxa"/>
            </w:tcMar>
            <w:hideMark/>
          </w:tcPr>
          <w:p w14:paraId="7FBD9AF2" w14:textId="77777777" w:rsidR="00A233CC" w:rsidRDefault="00A233CC" w:rsidP="00C86F4A">
            <w:pPr>
              <w:pStyle w:val="TableColumnHeadingRight"/>
            </w:pPr>
            <w:r w:rsidRPr="00825FD1">
              <w:t>202</w:t>
            </w:r>
            <w:r>
              <w:t xml:space="preserve">4 </w:t>
            </w:r>
          </w:p>
          <w:p w14:paraId="27EE3691" w14:textId="77777777" w:rsidR="00A233CC" w:rsidRPr="00825FD1" w:rsidRDefault="00A233CC" w:rsidP="00C86F4A">
            <w:pPr>
              <w:pStyle w:val="TableColumnHeadingRight"/>
            </w:pPr>
            <w:r>
              <w:t>($million)</w:t>
            </w:r>
          </w:p>
        </w:tc>
      </w:tr>
      <w:tr w:rsidR="00A233CC" w:rsidRPr="006534F5" w14:paraId="640C7F95" w14:textId="77777777" w:rsidTr="002C5E6A">
        <w:tc>
          <w:tcPr>
            <w:tcW w:w="3126"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19DC8BA5" w14:textId="77777777" w:rsidR="00A233CC" w:rsidRPr="002C5E6A" w:rsidRDefault="00A233CC" w:rsidP="00D92452">
            <w:pPr>
              <w:pStyle w:val="TableSecondHeading"/>
              <w:rPr>
                <w:b/>
                <w:bCs/>
              </w:rPr>
            </w:pPr>
            <w:r w:rsidRPr="002C5E6A">
              <w:rPr>
                <w:b/>
                <w:bCs/>
              </w:rPr>
              <w:t>Principal (adjusted capital value):</w:t>
            </w:r>
          </w:p>
        </w:tc>
        <w:tc>
          <w:tcPr>
            <w:tcW w:w="89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3CE6054B" w14:textId="77777777" w:rsidR="00A233CC" w:rsidRPr="00B85579" w:rsidRDefault="00A233CC" w:rsidP="00C86F4A">
            <w:pPr>
              <w:pStyle w:val="TableTextRight"/>
            </w:pPr>
            <w:r w:rsidRPr="00B85579">
              <w:t> </w:t>
            </w:r>
          </w:p>
        </w:tc>
        <w:tc>
          <w:tcPr>
            <w:tcW w:w="981"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5F65EB9B" w14:textId="77777777" w:rsidR="00A233CC" w:rsidRPr="00825FD1" w:rsidRDefault="00A233CC" w:rsidP="00C86F4A">
            <w:pPr>
              <w:pStyle w:val="TableTextRight"/>
              <w:rPr>
                <w:rStyle w:val="Strong"/>
              </w:rPr>
            </w:pPr>
            <w:r w:rsidRPr="00825FD1">
              <w:rPr>
                <w:rStyle w:val="Strong"/>
              </w:rPr>
              <w:t> </w:t>
            </w:r>
          </w:p>
        </w:tc>
      </w:tr>
      <w:tr w:rsidR="00A233CC" w:rsidRPr="006766FE" w14:paraId="24DE41FA" w14:textId="77777777" w:rsidTr="003C2549">
        <w:tc>
          <w:tcPr>
            <w:tcW w:w="3126" w:type="pct"/>
            <w:shd w:val="clear" w:color="auto" w:fill="F2F2F2" w:themeFill="background1" w:themeFillShade="F2"/>
            <w:noWrap/>
            <w:tcMar>
              <w:top w:w="57" w:type="dxa"/>
              <w:bottom w:w="57" w:type="dxa"/>
            </w:tcMar>
            <w:hideMark/>
          </w:tcPr>
          <w:p w14:paraId="4E877502" w14:textId="77777777" w:rsidR="00A233CC" w:rsidRPr="006534F5" w:rsidRDefault="00A233CC" w:rsidP="00C86F4A">
            <w:pPr>
              <w:pStyle w:val="TableTextLeft"/>
            </w:pPr>
            <w:r w:rsidRPr="006534F5">
              <w:t>Face value</w:t>
            </w:r>
          </w:p>
        </w:tc>
        <w:tc>
          <w:tcPr>
            <w:tcW w:w="893" w:type="pct"/>
            <w:shd w:val="clear" w:color="auto" w:fill="F2F2F2" w:themeFill="background1" w:themeFillShade="F2"/>
            <w:noWrap/>
            <w:tcMar>
              <w:top w:w="57" w:type="dxa"/>
              <w:bottom w:w="57" w:type="dxa"/>
            </w:tcMar>
          </w:tcPr>
          <w:p w14:paraId="3DA0AD8F" w14:textId="77777777" w:rsidR="00A233CC" w:rsidRPr="00B85579" w:rsidRDefault="00A233CC" w:rsidP="00C86F4A">
            <w:pPr>
              <w:pStyle w:val="TableTextRight"/>
            </w:pPr>
            <w:r w:rsidRPr="00B85579">
              <w:t>41,885</w:t>
            </w:r>
          </w:p>
        </w:tc>
        <w:tc>
          <w:tcPr>
            <w:tcW w:w="981" w:type="pct"/>
            <w:shd w:val="clear" w:color="auto" w:fill="F2F2F2" w:themeFill="background1" w:themeFillShade="F2"/>
            <w:noWrap/>
            <w:tcMar>
              <w:top w:w="57" w:type="dxa"/>
              <w:bottom w:w="57" w:type="dxa"/>
            </w:tcMar>
            <w:hideMark/>
          </w:tcPr>
          <w:p w14:paraId="582F2D00" w14:textId="77777777" w:rsidR="00A233CC" w:rsidRPr="00AE665D" w:rsidRDefault="00A233CC" w:rsidP="00C86F4A">
            <w:pPr>
              <w:pStyle w:val="TableTextRight"/>
            </w:pPr>
            <w:r>
              <w:rPr>
                <w:color w:val="202845"/>
              </w:rPr>
              <w:t xml:space="preserve">40,985 </w:t>
            </w:r>
          </w:p>
        </w:tc>
      </w:tr>
      <w:tr w:rsidR="00A233CC" w:rsidRPr="006766FE" w14:paraId="497D21B5" w14:textId="77777777" w:rsidTr="003C2549">
        <w:tc>
          <w:tcPr>
            <w:tcW w:w="3126" w:type="pct"/>
            <w:shd w:val="clear" w:color="auto" w:fill="F2F2F2" w:themeFill="background1" w:themeFillShade="F2"/>
            <w:noWrap/>
            <w:tcMar>
              <w:top w:w="57" w:type="dxa"/>
              <w:bottom w:w="57" w:type="dxa"/>
            </w:tcMar>
            <w:hideMark/>
          </w:tcPr>
          <w:p w14:paraId="7D95D9A6" w14:textId="77777777" w:rsidR="00A233CC" w:rsidRPr="006534F5" w:rsidRDefault="00A233CC" w:rsidP="00C86F4A">
            <w:pPr>
              <w:pStyle w:val="TableTextLeft"/>
            </w:pPr>
            <w:r w:rsidRPr="006534F5">
              <w:t>Capital accretion (to next coupon)</w:t>
            </w:r>
          </w:p>
        </w:tc>
        <w:tc>
          <w:tcPr>
            <w:tcW w:w="893" w:type="pct"/>
            <w:shd w:val="clear" w:color="auto" w:fill="F2F2F2" w:themeFill="background1" w:themeFillShade="F2"/>
            <w:noWrap/>
            <w:tcMar>
              <w:top w:w="57" w:type="dxa"/>
              <w:bottom w:w="57" w:type="dxa"/>
            </w:tcMar>
          </w:tcPr>
          <w:p w14:paraId="78CBC098" w14:textId="77777777" w:rsidR="00A233CC" w:rsidRPr="00B85579" w:rsidRDefault="00A233CC" w:rsidP="00C86F4A">
            <w:pPr>
              <w:pStyle w:val="TableTextRight"/>
            </w:pPr>
            <w:r w:rsidRPr="00B85579">
              <w:t>14,256</w:t>
            </w:r>
          </w:p>
        </w:tc>
        <w:tc>
          <w:tcPr>
            <w:tcW w:w="981" w:type="pct"/>
            <w:shd w:val="clear" w:color="auto" w:fill="F2F2F2" w:themeFill="background1" w:themeFillShade="F2"/>
            <w:noWrap/>
            <w:tcMar>
              <w:top w:w="57" w:type="dxa"/>
              <w:bottom w:w="57" w:type="dxa"/>
            </w:tcMar>
            <w:hideMark/>
          </w:tcPr>
          <w:p w14:paraId="3BA87AD5" w14:textId="77777777" w:rsidR="00A233CC" w:rsidRPr="00AE665D" w:rsidRDefault="00A233CC" w:rsidP="00C86F4A">
            <w:pPr>
              <w:pStyle w:val="TableTextRight"/>
            </w:pPr>
            <w:r>
              <w:rPr>
                <w:color w:val="202845"/>
              </w:rPr>
              <w:t xml:space="preserve">13,117 </w:t>
            </w:r>
          </w:p>
        </w:tc>
      </w:tr>
      <w:tr w:rsidR="00A233CC" w:rsidRPr="006766FE" w14:paraId="56C19313" w14:textId="77777777" w:rsidTr="003C2549">
        <w:tc>
          <w:tcPr>
            <w:tcW w:w="3126" w:type="pct"/>
            <w:shd w:val="clear" w:color="auto" w:fill="F2F2F2" w:themeFill="background1" w:themeFillShade="F2"/>
            <w:noWrap/>
            <w:tcMar>
              <w:top w:w="57" w:type="dxa"/>
              <w:bottom w:w="57" w:type="dxa"/>
            </w:tcMar>
            <w:hideMark/>
          </w:tcPr>
          <w:p w14:paraId="6082FEE9" w14:textId="77777777" w:rsidR="00A233CC" w:rsidRPr="0044712E" w:rsidRDefault="00A233CC" w:rsidP="00C86F4A">
            <w:pPr>
              <w:pStyle w:val="TableTextLeft"/>
              <w:rPr>
                <w:b/>
                <w:bCs/>
              </w:rPr>
            </w:pPr>
            <w:r w:rsidRPr="0044712E">
              <w:rPr>
                <w:b/>
                <w:bCs/>
              </w:rPr>
              <w:t>Principal value</w:t>
            </w:r>
          </w:p>
        </w:tc>
        <w:tc>
          <w:tcPr>
            <w:tcW w:w="893" w:type="pct"/>
            <w:shd w:val="clear" w:color="auto" w:fill="F2F2F2" w:themeFill="background1" w:themeFillShade="F2"/>
            <w:noWrap/>
            <w:tcMar>
              <w:top w:w="57" w:type="dxa"/>
              <w:bottom w:w="57" w:type="dxa"/>
            </w:tcMar>
          </w:tcPr>
          <w:p w14:paraId="1C7A088A" w14:textId="77777777" w:rsidR="00A233CC" w:rsidRPr="00A80ACC" w:rsidRDefault="00A233CC" w:rsidP="00C86F4A">
            <w:pPr>
              <w:pStyle w:val="TableTextRight"/>
              <w:rPr>
                <w:b/>
                <w:bCs/>
              </w:rPr>
            </w:pPr>
            <w:r w:rsidRPr="00A80ACC">
              <w:rPr>
                <w:b/>
                <w:bCs/>
              </w:rPr>
              <w:t>56</w:t>
            </w:r>
            <w:r>
              <w:rPr>
                <w:b/>
                <w:bCs/>
              </w:rPr>
              <w:t>,</w:t>
            </w:r>
            <w:r w:rsidRPr="00A80ACC">
              <w:rPr>
                <w:b/>
                <w:bCs/>
              </w:rPr>
              <w:t>141</w:t>
            </w:r>
          </w:p>
        </w:tc>
        <w:tc>
          <w:tcPr>
            <w:tcW w:w="981" w:type="pct"/>
            <w:shd w:val="clear" w:color="auto" w:fill="F2F2F2" w:themeFill="background1" w:themeFillShade="F2"/>
            <w:noWrap/>
            <w:tcMar>
              <w:top w:w="57" w:type="dxa"/>
              <w:bottom w:w="57" w:type="dxa"/>
            </w:tcMar>
            <w:hideMark/>
          </w:tcPr>
          <w:p w14:paraId="10A64C16" w14:textId="77777777" w:rsidR="00A233CC" w:rsidRPr="00A80ACC" w:rsidRDefault="00A233CC" w:rsidP="00C86F4A">
            <w:pPr>
              <w:pStyle w:val="TableTextRight"/>
              <w:rPr>
                <w:b/>
                <w:bCs/>
              </w:rPr>
            </w:pPr>
            <w:r w:rsidRPr="00A80ACC">
              <w:rPr>
                <w:b/>
                <w:bCs/>
              </w:rPr>
              <w:t xml:space="preserve">54,102 </w:t>
            </w:r>
          </w:p>
        </w:tc>
      </w:tr>
      <w:tr w:rsidR="00A233CC" w:rsidRPr="006766FE" w14:paraId="5E934A56" w14:textId="77777777" w:rsidTr="003C2549">
        <w:tc>
          <w:tcPr>
            <w:tcW w:w="3126" w:type="pct"/>
            <w:shd w:val="clear" w:color="auto" w:fill="F2F2F2" w:themeFill="background1" w:themeFillShade="F2"/>
            <w:noWrap/>
            <w:tcMar>
              <w:top w:w="57" w:type="dxa"/>
              <w:bottom w:w="57" w:type="dxa"/>
            </w:tcMar>
            <w:hideMark/>
          </w:tcPr>
          <w:p w14:paraId="5B342AC0" w14:textId="77777777" w:rsidR="00A233CC" w:rsidRPr="006534F5" w:rsidRDefault="00A233CC" w:rsidP="00C86F4A">
            <w:pPr>
              <w:pStyle w:val="TableTextLeft"/>
            </w:pPr>
            <w:r w:rsidRPr="006534F5">
              <w:t>Accrued interest</w:t>
            </w:r>
          </w:p>
        </w:tc>
        <w:tc>
          <w:tcPr>
            <w:tcW w:w="893" w:type="pct"/>
            <w:shd w:val="clear" w:color="auto" w:fill="F2F2F2" w:themeFill="background1" w:themeFillShade="F2"/>
            <w:noWrap/>
            <w:tcMar>
              <w:top w:w="57" w:type="dxa"/>
              <w:bottom w:w="57" w:type="dxa"/>
            </w:tcMar>
          </w:tcPr>
          <w:p w14:paraId="7B58E256" w14:textId="77777777" w:rsidR="00A233CC" w:rsidRPr="00B85579" w:rsidRDefault="00A233CC" w:rsidP="00C86F4A">
            <w:pPr>
              <w:pStyle w:val="TableTextRight"/>
            </w:pPr>
            <w:r w:rsidRPr="00B85579">
              <w:t>61</w:t>
            </w:r>
          </w:p>
        </w:tc>
        <w:tc>
          <w:tcPr>
            <w:tcW w:w="981" w:type="pct"/>
            <w:shd w:val="clear" w:color="auto" w:fill="F2F2F2" w:themeFill="background1" w:themeFillShade="F2"/>
            <w:noWrap/>
            <w:tcMar>
              <w:top w:w="57" w:type="dxa"/>
              <w:bottom w:w="57" w:type="dxa"/>
            </w:tcMar>
            <w:hideMark/>
          </w:tcPr>
          <w:p w14:paraId="1BEFEE3D" w14:textId="77777777" w:rsidR="00A233CC" w:rsidRPr="00AE665D" w:rsidRDefault="00A233CC" w:rsidP="00C86F4A">
            <w:pPr>
              <w:pStyle w:val="TableTextRight"/>
            </w:pPr>
            <w:r>
              <w:rPr>
                <w:color w:val="202845"/>
              </w:rPr>
              <w:t xml:space="preserve">58 </w:t>
            </w:r>
          </w:p>
        </w:tc>
      </w:tr>
      <w:tr w:rsidR="00A233CC" w:rsidRPr="006766FE" w14:paraId="450E4189" w14:textId="77777777" w:rsidTr="003C2549">
        <w:tc>
          <w:tcPr>
            <w:tcW w:w="3126" w:type="pct"/>
            <w:shd w:val="clear" w:color="auto" w:fill="F2F2F2" w:themeFill="background1" w:themeFillShade="F2"/>
            <w:noWrap/>
            <w:tcMar>
              <w:top w:w="57" w:type="dxa"/>
              <w:bottom w:w="57" w:type="dxa"/>
            </w:tcMar>
            <w:hideMark/>
          </w:tcPr>
          <w:p w14:paraId="5397BD93" w14:textId="77777777" w:rsidR="00A233CC" w:rsidRPr="006534F5" w:rsidRDefault="00A233CC" w:rsidP="00C86F4A">
            <w:pPr>
              <w:pStyle w:val="TableTextLeft"/>
            </w:pPr>
            <w:r w:rsidRPr="006534F5">
              <w:t>Unamortised net premiums</w:t>
            </w:r>
          </w:p>
        </w:tc>
        <w:tc>
          <w:tcPr>
            <w:tcW w:w="893" w:type="pct"/>
            <w:shd w:val="clear" w:color="auto" w:fill="F2F2F2" w:themeFill="background1" w:themeFillShade="F2"/>
            <w:noWrap/>
            <w:tcMar>
              <w:top w:w="57" w:type="dxa"/>
              <w:bottom w:w="57" w:type="dxa"/>
            </w:tcMar>
          </w:tcPr>
          <w:p w14:paraId="7F50A5A9" w14:textId="77777777" w:rsidR="00A233CC" w:rsidRPr="00B85579" w:rsidRDefault="00A233CC" w:rsidP="00C86F4A">
            <w:pPr>
              <w:pStyle w:val="TableTextRight"/>
            </w:pPr>
            <w:r w:rsidRPr="00B85579">
              <w:t>632</w:t>
            </w:r>
          </w:p>
        </w:tc>
        <w:tc>
          <w:tcPr>
            <w:tcW w:w="981" w:type="pct"/>
            <w:shd w:val="clear" w:color="auto" w:fill="F2F2F2" w:themeFill="background1" w:themeFillShade="F2"/>
            <w:noWrap/>
            <w:tcMar>
              <w:top w:w="57" w:type="dxa"/>
              <w:bottom w:w="57" w:type="dxa"/>
            </w:tcMar>
            <w:hideMark/>
          </w:tcPr>
          <w:p w14:paraId="53F04EDC" w14:textId="77777777" w:rsidR="00A233CC" w:rsidRPr="00AE665D" w:rsidRDefault="00A233CC" w:rsidP="00C86F4A">
            <w:pPr>
              <w:pStyle w:val="TableTextRight"/>
            </w:pPr>
            <w:r>
              <w:rPr>
                <w:color w:val="202845"/>
              </w:rPr>
              <w:t xml:space="preserve">1,167 </w:t>
            </w:r>
          </w:p>
        </w:tc>
      </w:tr>
      <w:tr w:rsidR="00A233CC" w:rsidRPr="006766FE" w14:paraId="3CE3A0D5" w14:textId="77777777" w:rsidTr="003C2549">
        <w:tc>
          <w:tcPr>
            <w:tcW w:w="3126" w:type="pct"/>
            <w:shd w:val="clear" w:color="auto" w:fill="F2F2F2" w:themeFill="background1" w:themeFillShade="F2"/>
            <w:noWrap/>
            <w:tcMar>
              <w:top w:w="57" w:type="dxa"/>
              <w:bottom w:w="57" w:type="dxa"/>
            </w:tcMar>
            <w:hideMark/>
          </w:tcPr>
          <w:p w14:paraId="4EF50906" w14:textId="77777777" w:rsidR="00A233CC" w:rsidRPr="006534F5" w:rsidRDefault="00A233CC" w:rsidP="00C86F4A">
            <w:pPr>
              <w:pStyle w:val="TableTextLeft"/>
            </w:pPr>
            <w:r w:rsidRPr="006534F5">
              <w:t>Market value adjustment</w:t>
            </w:r>
          </w:p>
        </w:tc>
        <w:tc>
          <w:tcPr>
            <w:tcW w:w="893" w:type="pct"/>
            <w:shd w:val="clear" w:color="auto" w:fill="F2F2F2" w:themeFill="background1" w:themeFillShade="F2"/>
            <w:noWrap/>
            <w:tcMar>
              <w:top w:w="57" w:type="dxa"/>
              <w:bottom w:w="57" w:type="dxa"/>
            </w:tcMar>
          </w:tcPr>
          <w:p w14:paraId="2968065E" w14:textId="77777777" w:rsidR="00A233CC" w:rsidRPr="00B85579" w:rsidRDefault="00A233CC" w:rsidP="00C86F4A">
            <w:pPr>
              <w:pStyle w:val="TableTextRight"/>
            </w:pPr>
            <w:r w:rsidRPr="00B85579">
              <w:t>(3,787)</w:t>
            </w:r>
          </w:p>
        </w:tc>
        <w:tc>
          <w:tcPr>
            <w:tcW w:w="981" w:type="pct"/>
            <w:shd w:val="clear" w:color="auto" w:fill="F2F2F2" w:themeFill="background1" w:themeFillShade="F2"/>
            <w:noWrap/>
            <w:tcMar>
              <w:top w:w="57" w:type="dxa"/>
              <w:bottom w:w="57" w:type="dxa"/>
            </w:tcMar>
            <w:hideMark/>
          </w:tcPr>
          <w:p w14:paraId="16C9202A" w14:textId="77777777" w:rsidR="00A233CC" w:rsidRPr="00AE665D" w:rsidRDefault="00A233CC" w:rsidP="00C86F4A">
            <w:pPr>
              <w:pStyle w:val="TableTextRight"/>
            </w:pPr>
            <w:r>
              <w:rPr>
                <w:color w:val="202845"/>
              </w:rPr>
              <w:t>(3,564)</w:t>
            </w:r>
          </w:p>
        </w:tc>
      </w:tr>
      <w:tr w:rsidR="00A233CC" w:rsidRPr="006534F5" w14:paraId="7A1E1883" w14:textId="77777777" w:rsidTr="003C2549">
        <w:tc>
          <w:tcPr>
            <w:tcW w:w="3126" w:type="pct"/>
            <w:shd w:val="clear" w:color="auto" w:fill="F2F2F2" w:themeFill="background1" w:themeFillShade="F2"/>
            <w:noWrap/>
            <w:tcMar>
              <w:top w:w="57" w:type="dxa"/>
              <w:bottom w:w="57" w:type="dxa"/>
            </w:tcMar>
            <w:hideMark/>
          </w:tcPr>
          <w:p w14:paraId="039DE05A" w14:textId="77777777" w:rsidR="00A233CC" w:rsidRPr="0044712E" w:rsidRDefault="00A233CC" w:rsidP="00C86F4A">
            <w:pPr>
              <w:pStyle w:val="TableTextLeft"/>
              <w:rPr>
                <w:b/>
                <w:bCs/>
              </w:rPr>
            </w:pPr>
            <w:r w:rsidRPr="0044712E">
              <w:rPr>
                <w:b/>
                <w:bCs/>
              </w:rPr>
              <w:t>Carrying value</w:t>
            </w:r>
          </w:p>
        </w:tc>
        <w:tc>
          <w:tcPr>
            <w:tcW w:w="893" w:type="pct"/>
            <w:shd w:val="clear" w:color="auto" w:fill="F2F2F2" w:themeFill="background1" w:themeFillShade="F2"/>
            <w:noWrap/>
            <w:tcMar>
              <w:top w:w="57" w:type="dxa"/>
              <w:bottom w:w="57" w:type="dxa"/>
            </w:tcMar>
          </w:tcPr>
          <w:p w14:paraId="5AB48F6C" w14:textId="77777777" w:rsidR="00A233CC" w:rsidRPr="00A80ACC" w:rsidRDefault="00A233CC" w:rsidP="00C86F4A">
            <w:pPr>
              <w:pStyle w:val="TableTextRight"/>
              <w:rPr>
                <w:b/>
                <w:bCs/>
              </w:rPr>
            </w:pPr>
            <w:r w:rsidRPr="00A80ACC">
              <w:rPr>
                <w:b/>
                <w:bCs/>
              </w:rPr>
              <w:t>53,047</w:t>
            </w:r>
          </w:p>
        </w:tc>
        <w:tc>
          <w:tcPr>
            <w:tcW w:w="981" w:type="pct"/>
            <w:shd w:val="clear" w:color="auto" w:fill="F2F2F2" w:themeFill="background1" w:themeFillShade="F2"/>
            <w:noWrap/>
            <w:tcMar>
              <w:top w:w="57" w:type="dxa"/>
              <w:bottom w:w="57" w:type="dxa"/>
            </w:tcMar>
            <w:hideMark/>
          </w:tcPr>
          <w:p w14:paraId="5BEEFAF3" w14:textId="77777777" w:rsidR="00A233CC" w:rsidRPr="00A80ACC" w:rsidRDefault="00A233CC" w:rsidP="00C86F4A">
            <w:pPr>
              <w:pStyle w:val="TableTextRight"/>
              <w:rPr>
                <w:b/>
                <w:bCs/>
              </w:rPr>
            </w:pPr>
            <w:r w:rsidRPr="00A80ACC">
              <w:rPr>
                <w:b/>
                <w:bCs/>
              </w:rPr>
              <w:t xml:space="preserve">51,763 </w:t>
            </w:r>
          </w:p>
        </w:tc>
      </w:tr>
    </w:tbl>
    <w:p w14:paraId="6F9F4A6E" w14:textId="77777777" w:rsidR="00A233CC" w:rsidRPr="006534F5" w:rsidRDefault="00A233CC" w:rsidP="00A233CC"/>
    <w:p w14:paraId="4CF74D14" w14:textId="77777777" w:rsidR="00A233CC" w:rsidRDefault="00A233CC" w:rsidP="00A233CC">
      <w:proofErr w:type="gramStart"/>
      <w:r w:rsidRPr="00AA6D13">
        <w:t>At</w:t>
      </w:r>
      <w:proofErr w:type="gramEnd"/>
      <w:r w:rsidRPr="00AA6D13">
        <w:t xml:space="preserve"> 30 June 2025, the weighted average market (real) yield on Treasury Indexed Bonds was </w:t>
      </w:r>
      <w:r>
        <w:t>1.71</w:t>
      </w:r>
      <w:r w:rsidRPr="00AA6D13">
        <w:t xml:space="preserve"> per cent (30 June 2024: 1.80 per cent). </w:t>
      </w:r>
      <w:proofErr w:type="gramStart"/>
      <w:r w:rsidRPr="00AA6D13">
        <w:t>At</w:t>
      </w:r>
      <w:proofErr w:type="gramEnd"/>
      <w:r w:rsidRPr="00AA6D13">
        <w:t xml:space="preserve"> 30 June 2025, the weighted average (real) issuance yield on Treasury Indexed Bonds was </w:t>
      </w:r>
      <w:r>
        <w:t>0.99</w:t>
      </w:r>
      <w:r w:rsidRPr="00AA6D13">
        <w:t> per cent (30 June 2024: 1.02 per cent).</w:t>
      </w:r>
      <w:r>
        <w:t xml:space="preserve"> </w:t>
      </w:r>
    </w:p>
    <w:p w14:paraId="4654E07E" w14:textId="77777777" w:rsidR="00A233CC" w:rsidRDefault="00A233CC" w:rsidP="00A233CC">
      <w:r w:rsidRPr="00AA6D13">
        <w:t>These figures are weighted by aggregate</w:t>
      </w:r>
      <w:r>
        <w:t xml:space="preserve"> (total)</w:t>
      </w:r>
      <w:r w:rsidRPr="00AA6D13">
        <w:t xml:space="preserve"> value. </w:t>
      </w:r>
    </w:p>
    <w:p w14:paraId="4277F3EE" w14:textId="77777777" w:rsidR="005E20ED" w:rsidRDefault="005E20ED" w:rsidP="00DB1065"/>
    <w:p w14:paraId="2238AE68" w14:textId="77777777" w:rsidR="00531012" w:rsidRDefault="00531012">
      <w:pPr>
        <w:spacing w:after="0" w:line="240" w:lineRule="auto"/>
      </w:pPr>
      <w:r>
        <w:br w:type="page"/>
      </w:r>
    </w:p>
    <w:p w14:paraId="50CEE9AC" w14:textId="77777777" w:rsidR="00361FD9" w:rsidRPr="00426BDA" w:rsidRDefault="00361FD9" w:rsidP="00361FD9">
      <w:pPr>
        <w:rPr>
          <w:rFonts w:asciiTheme="minorHAnsi" w:hAnsiTheme="minorHAnsi" w:cstheme="minorBidi"/>
          <w:b/>
          <w:bCs/>
        </w:rPr>
      </w:pPr>
      <w:r w:rsidRPr="00426BDA">
        <w:rPr>
          <w:b/>
          <w:bCs/>
        </w:rPr>
        <w:lastRenderedPageBreak/>
        <w:t>Changes in principal value for the period</w:t>
      </w:r>
    </w:p>
    <w:tbl>
      <w:tblPr>
        <w:tblStyle w:val="AOFMTablemain"/>
        <w:tblW w:w="5000" w:type="pct"/>
        <w:tblLook w:val="06A0" w:firstRow="1" w:lastRow="0" w:firstColumn="1" w:lastColumn="0" w:noHBand="1" w:noVBand="1"/>
      </w:tblPr>
      <w:tblGrid>
        <w:gridCol w:w="4821"/>
        <w:gridCol w:w="1377"/>
        <w:gridCol w:w="1513"/>
      </w:tblGrid>
      <w:tr w:rsidR="00E15250" w:rsidRPr="006534F5" w14:paraId="4A6F32FE" w14:textId="77777777" w:rsidTr="002C5E6A">
        <w:trPr>
          <w:cnfStyle w:val="100000000000" w:firstRow="1" w:lastRow="0" w:firstColumn="0" w:lastColumn="0" w:oddVBand="0" w:evenVBand="0" w:oddHBand="0" w:evenHBand="0" w:firstRowFirstColumn="0" w:firstRowLastColumn="0" w:lastRowFirstColumn="0" w:lastRowLastColumn="0"/>
        </w:trPr>
        <w:tc>
          <w:tcPr>
            <w:tcW w:w="3126" w:type="pct"/>
            <w:tcBorders>
              <w:bottom w:val="single" w:sz="4" w:space="0" w:color="29114B" w:themeColor="text2"/>
            </w:tcBorders>
            <w:noWrap/>
            <w:tcMar>
              <w:top w:w="57" w:type="dxa"/>
              <w:bottom w:w="57" w:type="dxa"/>
            </w:tcMar>
            <w:hideMark/>
          </w:tcPr>
          <w:p w14:paraId="2CE75C54" w14:textId="77777777" w:rsidR="00361FD9" w:rsidRPr="00DA2A88" w:rsidRDefault="00361FD9" w:rsidP="00C86F4A">
            <w:pPr>
              <w:pStyle w:val="TableTextRight"/>
              <w:rPr>
                <w:color w:val="FFFFFF" w:themeColor="background1"/>
              </w:rPr>
            </w:pPr>
            <w:r w:rsidRPr="00DA2A88">
              <w:rPr>
                <w:color w:val="FFFFFF" w:themeColor="background1"/>
              </w:rPr>
              <w:t> </w:t>
            </w:r>
          </w:p>
        </w:tc>
        <w:tc>
          <w:tcPr>
            <w:tcW w:w="893" w:type="pct"/>
            <w:tcBorders>
              <w:bottom w:val="single" w:sz="4" w:space="0" w:color="29114B" w:themeColor="text2"/>
            </w:tcBorders>
            <w:noWrap/>
            <w:tcMar>
              <w:top w:w="57" w:type="dxa"/>
              <w:bottom w:w="57" w:type="dxa"/>
            </w:tcMar>
            <w:hideMark/>
          </w:tcPr>
          <w:p w14:paraId="42CDCB1F" w14:textId="77777777" w:rsidR="00361FD9" w:rsidRDefault="00361FD9" w:rsidP="00C86F4A">
            <w:pPr>
              <w:pStyle w:val="TableColumnHeadingRight"/>
            </w:pPr>
            <w:r w:rsidRPr="00825FD1">
              <w:t>202</w:t>
            </w:r>
            <w:r>
              <w:t xml:space="preserve">5 </w:t>
            </w:r>
          </w:p>
          <w:p w14:paraId="6BF63E79" w14:textId="77777777" w:rsidR="00361FD9" w:rsidRPr="00DA2A88" w:rsidRDefault="00361FD9" w:rsidP="00C86F4A">
            <w:pPr>
              <w:pStyle w:val="TableColumnHeadingRight"/>
            </w:pPr>
            <w:r>
              <w:t>($million)</w:t>
            </w:r>
          </w:p>
        </w:tc>
        <w:tc>
          <w:tcPr>
            <w:tcW w:w="981" w:type="pct"/>
            <w:tcBorders>
              <w:bottom w:val="single" w:sz="4" w:space="0" w:color="29114B" w:themeColor="text2"/>
            </w:tcBorders>
            <w:noWrap/>
            <w:tcMar>
              <w:top w:w="57" w:type="dxa"/>
              <w:bottom w:w="57" w:type="dxa"/>
            </w:tcMar>
            <w:hideMark/>
          </w:tcPr>
          <w:p w14:paraId="60C79C78" w14:textId="77777777" w:rsidR="00361FD9" w:rsidRDefault="00361FD9" w:rsidP="00C86F4A">
            <w:pPr>
              <w:pStyle w:val="TableColumnHeadingRight"/>
            </w:pPr>
            <w:r w:rsidRPr="00825FD1">
              <w:t>202</w:t>
            </w:r>
            <w:r>
              <w:t xml:space="preserve">4 </w:t>
            </w:r>
          </w:p>
          <w:p w14:paraId="64CA92D0" w14:textId="77777777" w:rsidR="00361FD9" w:rsidRPr="00DA2A88" w:rsidRDefault="00361FD9" w:rsidP="00C86F4A">
            <w:pPr>
              <w:pStyle w:val="TableColumnHeadingRight"/>
            </w:pPr>
            <w:r>
              <w:t>($million)</w:t>
            </w:r>
          </w:p>
        </w:tc>
      </w:tr>
      <w:tr w:rsidR="00361FD9" w:rsidRPr="006534F5" w14:paraId="2901EF10" w14:textId="77777777" w:rsidTr="002C5E6A">
        <w:tc>
          <w:tcPr>
            <w:tcW w:w="3126"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270416A9" w14:textId="77777777" w:rsidR="00361FD9" w:rsidRPr="002C5E6A" w:rsidRDefault="00361FD9" w:rsidP="00D92452">
            <w:pPr>
              <w:pStyle w:val="TableSecondHeading"/>
              <w:rPr>
                <w:b/>
                <w:bCs/>
              </w:rPr>
            </w:pPr>
            <w:r w:rsidRPr="002C5E6A">
              <w:rPr>
                <w:b/>
                <w:bCs/>
              </w:rPr>
              <w:t>Changes in face value due to:</w:t>
            </w:r>
          </w:p>
        </w:tc>
        <w:tc>
          <w:tcPr>
            <w:tcW w:w="89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62E629CF" w14:textId="77777777" w:rsidR="00361FD9" w:rsidRPr="00B85579" w:rsidRDefault="00361FD9" w:rsidP="00C86F4A">
            <w:pPr>
              <w:pStyle w:val="TableTextRight"/>
              <w:rPr>
                <w:szCs w:val="16"/>
              </w:rPr>
            </w:pPr>
            <w:r w:rsidRPr="00B85579">
              <w:rPr>
                <w:szCs w:val="16"/>
              </w:rPr>
              <w:t> </w:t>
            </w:r>
          </w:p>
        </w:tc>
        <w:tc>
          <w:tcPr>
            <w:tcW w:w="981"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32DED0ED" w14:textId="77777777" w:rsidR="00361FD9" w:rsidRPr="006534F5" w:rsidRDefault="00361FD9" w:rsidP="00C86F4A">
            <w:pPr>
              <w:pStyle w:val="TableTextRight"/>
              <w:rPr>
                <w:color w:val="202845"/>
                <w:szCs w:val="16"/>
              </w:rPr>
            </w:pPr>
            <w:r w:rsidRPr="006534F5">
              <w:rPr>
                <w:color w:val="202845"/>
                <w:szCs w:val="16"/>
              </w:rPr>
              <w:t> </w:t>
            </w:r>
          </w:p>
        </w:tc>
      </w:tr>
      <w:tr w:rsidR="00361FD9" w:rsidRPr="006766FE" w14:paraId="7B0FBE2B" w14:textId="77777777" w:rsidTr="003C2549">
        <w:tc>
          <w:tcPr>
            <w:tcW w:w="3126" w:type="pct"/>
            <w:shd w:val="clear" w:color="auto" w:fill="F2F2F2" w:themeFill="background1" w:themeFillShade="F2"/>
            <w:noWrap/>
            <w:tcMar>
              <w:top w:w="57" w:type="dxa"/>
              <w:bottom w:w="57" w:type="dxa"/>
            </w:tcMar>
            <w:hideMark/>
          </w:tcPr>
          <w:p w14:paraId="4A3CFFEB" w14:textId="77777777" w:rsidR="00361FD9" w:rsidRPr="006534F5" w:rsidRDefault="00361FD9" w:rsidP="00C86F4A">
            <w:pPr>
              <w:pStyle w:val="TableTextLeft"/>
            </w:pPr>
            <w:r w:rsidRPr="006534F5">
              <w:t>Issuance</w:t>
            </w:r>
          </w:p>
        </w:tc>
        <w:tc>
          <w:tcPr>
            <w:tcW w:w="893" w:type="pct"/>
            <w:shd w:val="clear" w:color="auto" w:fill="F2F2F2" w:themeFill="background1" w:themeFillShade="F2"/>
            <w:noWrap/>
            <w:tcMar>
              <w:top w:w="57" w:type="dxa"/>
              <w:bottom w:w="57" w:type="dxa"/>
            </w:tcMar>
          </w:tcPr>
          <w:p w14:paraId="2132C2AC" w14:textId="77777777" w:rsidR="00361FD9" w:rsidRPr="00AE665D" w:rsidRDefault="00361FD9" w:rsidP="00C86F4A">
            <w:pPr>
              <w:pStyle w:val="TableTextRight"/>
              <w:rPr>
                <w:szCs w:val="16"/>
              </w:rPr>
            </w:pPr>
            <w:r>
              <w:rPr>
                <w:szCs w:val="16"/>
              </w:rPr>
              <w:t>2,900</w:t>
            </w:r>
          </w:p>
        </w:tc>
        <w:tc>
          <w:tcPr>
            <w:tcW w:w="981" w:type="pct"/>
            <w:shd w:val="clear" w:color="auto" w:fill="F2F2F2" w:themeFill="background1" w:themeFillShade="F2"/>
            <w:noWrap/>
            <w:tcMar>
              <w:top w:w="57" w:type="dxa"/>
              <w:bottom w:w="57" w:type="dxa"/>
            </w:tcMar>
            <w:hideMark/>
          </w:tcPr>
          <w:p w14:paraId="33631455" w14:textId="77777777" w:rsidR="00361FD9" w:rsidRPr="00AE665D" w:rsidRDefault="00361FD9" w:rsidP="00C86F4A">
            <w:pPr>
              <w:pStyle w:val="TableTextRight"/>
              <w:rPr>
                <w:szCs w:val="16"/>
              </w:rPr>
            </w:pPr>
            <w:r>
              <w:rPr>
                <w:szCs w:val="16"/>
              </w:rPr>
              <w:t>3,550</w:t>
            </w:r>
            <w:r w:rsidRPr="00AE665D">
              <w:rPr>
                <w:szCs w:val="16"/>
              </w:rPr>
              <w:t xml:space="preserve"> </w:t>
            </w:r>
          </w:p>
        </w:tc>
      </w:tr>
      <w:tr w:rsidR="00361FD9" w:rsidRPr="006766FE" w14:paraId="7D2BC937" w14:textId="77777777" w:rsidTr="002C5E6A">
        <w:tc>
          <w:tcPr>
            <w:tcW w:w="3126" w:type="pct"/>
            <w:tcBorders>
              <w:bottom w:val="single" w:sz="4" w:space="0" w:color="29114B" w:themeColor="text2"/>
            </w:tcBorders>
            <w:shd w:val="clear" w:color="auto" w:fill="F2F2F2" w:themeFill="background1" w:themeFillShade="F2"/>
            <w:noWrap/>
            <w:tcMar>
              <w:top w:w="57" w:type="dxa"/>
              <w:bottom w:w="57" w:type="dxa"/>
            </w:tcMar>
            <w:hideMark/>
          </w:tcPr>
          <w:p w14:paraId="25FF67CA" w14:textId="77777777" w:rsidR="00361FD9" w:rsidRPr="006534F5" w:rsidRDefault="00361FD9" w:rsidP="00C86F4A">
            <w:pPr>
              <w:pStyle w:val="TableTextLeft"/>
            </w:pPr>
            <w:r w:rsidRPr="006534F5">
              <w:t>Debt repurchased</w:t>
            </w:r>
          </w:p>
        </w:tc>
        <w:tc>
          <w:tcPr>
            <w:tcW w:w="893" w:type="pct"/>
            <w:tcBorders>
              <w:bottom w:val="single" w:sz="4" w:space="0" w:color="29114B" w:themeColor="text2"/>
            </w:tcBorders>
            <w:shd w:val="clear" w:color="auto" w:fill="F2F2F2" w:themeFill="background1" w:themeFillShade="F2"/>
            <w:noWrap/>
            <w:tcMar>
              <w:top w:w="57" w:type="dxa"/>
              <w:bottom w:w="57" w:type="dxa"/>
            </w:tcMar>
          </w:tcPr>
          <w:p w14:paraId="523D8713" w14:textId="77777777" w:rsidR="00361FD9" w:rsidRPr="00AE665D" w:rsidRDefault="00361FD9" w:rsidP="00C86F4A">
            <w:pPr>
              <w:pStyle w:val="TableTextRight"/>
              <w:rPr>
                <w:szCs w:val="16"/>
              </w:rPr>
            </w:pPr>
            <w:r>
              <w:rPr>
                <w:szCs w:val="16"/>
              </w:rPr>
              <w:t>(2,000)</w:t>
            </w:r>
          </w:p>
        </w:tc>
        <w:tc>
          <w:tcPr>
            <w:tcW w:w="981" w:type="pct"/>
            <w:tcBorders>
              <w:bottom w:val="single" w:sz="4" w:space="0" w:color="29114B" w:themeColor="text2"/>
            </w:tcBorders>
            <w:shd w:val="clear" w:color="auto" w:fill="F2F2F2" w:themeFill="background1" w:themeFillShade="F2"/>
            <w:noWrap/>
            <w:tcMar>
              <w:top w:w="57" w:type="dxa"/>
              <w:bottom w:w="57" w:type="dxa"/>
            </w:tcMar>
            <w:hideMark/>
          </w:tcPr>
          <w:p w14:paraId="1D73C3D0" w14:textId="77777777" w:rsidR="00361FD9" w:rsidRPr="00AE665D" w:rsidRDefault="00361FD9" w:rsidP="00C86F4A">
            <w:pPr>
              <w:pStyle w:val="TableTextRight"/>
              <w:rPr>
                <w:szCs w:val="16"/>
              </w:rPr>
            </w:pPr>
            <w:r>
              <w:rPr>
                <w:szCs w:val="16"/>
              </w:rPr>
              <w:t>(2,000)</w:t>
            </w:r>
            <w:r w:rsidRPr="00AE665D">
              <w:rPr>
                <w:szCs w:val="16"/>
              </w:rPr>
              <w:t xml:space="preserve"> </w:t>
            </w:r>
          </w:p>
        </w:tc>
      </w:tr>
      <w:tr w:rsidR="00361FD9" w:rsidRPr="006766FE" w14:paraId="1AE6251C" w14:textId="77777777" w:rsidTr="002C5E6A">
        <w:tc>
          <w:tcPr>
            <w:tcW w:w="3126"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13D34E33" w14:textId="77777777" w:rsidR="00361FD9" w:rsidRPr="002C5E6A" w:rsidRDefault="00361FD9" w:rsidP="00D92452">
            <w:pPr>
              <w:pStyle w:val="TableSecondHeading"/>
              <w:rPr>
                <w:b/>
                <w:bCs/>
              </w:rPr>
            </w:pPr>
            <w:r w:rsidRPr="002C5E6A">
              <w:rPr>
                <w:b/>
                <w:bCs/>
              </w:rPr>
              <w:t>Changes in capital accretion due to:</w:t>
            </w:r>
          </w:p>
        </w:tc>
        <w:tc>
          <w:tcPr>
            <w:tcW w:w="89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2C6BC0E3" w14:textId="77777777" w:rsidR="00361FD9" w:rsidRPr="00AE665D" w:rsidRDefault="00361FD9" w:rsidP="00C86F4A">
            <w:pPr>
              <w:pStyle w:val="TableTextRight"/>
              <w:rPr>
                <w:szCs w:val="16"/>
              </w:rPr>
            </w:pPr>
          </w:p>
        </w:tc>
        <w:tc>
          <w:tcPr>
            <w:tcW w:w="981"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3CD38D72" w14:textId="77777777" w:rsidR="00361FD9" w:rsidRPr="00AE665D" w:rsidRDefault="00361FD9" w:rsidP="00C86F4A">
            <w:pPr>
              <w:pStyle w:val="TableTextRight"/>
              <w:rPr>
                <w:szCs w:val="16"/>
              </w:rPr>
            </w:pPr>
            <w:r w:rsidRPr="00AE665D">
              <w:rPr>
                <w:szCs w:val="16"/>
              </w:rPr>
              <w:t> </w:t>
            </w:r>
          </w:p>
        </w:tc>
      </w:tr>
      <w:tr w:rsidR="00361FD9" w:rsidRPr="006766FE" w14:paraId="5AA9FD44" w14:textId="77777777" w:rsidTr="003C2549">
        <w:tc>
          <w:tcPr>
            <w:tcW w:w="3126" w:type="pct"/>
            <w:shd w:val="clear" w:color="auto" w:fill="F2F2F2" w:themeFill="background1" w:themeFillShade="F2"/>
            <w:noWrap/>
            <w:tcMar>
              <w:top w:w="57" w:type="dxa"/>
              <w:bottom w:w="57" w:type="dxa"/>
            </w:tcMar>
            <w:hideMark/>
          </w:tcPr>
          <w:p w14:paraId="0A2A5CB8" w14:textId="77777777" w:rsidR="00361FD9" w:rsidRPr="006534F5" w:rsidRDefault="00361FD9" w:rsidP="00C86F4A">
            <w:pPr>
              <w:pStyle w:val="TableTextLeft"/>
            </w:pPr>
            <w:r w:rsidRPr="006534F5">
              <w:t>Issuance</w:t>
            </w:r>
          </w:p>
        </w:tc>
        <w:tc>
          <w:tcPr>
            <w:tcW w:w="893" w:type="pct"/>
            <w:shd w:val="clear" w:color="auto" w:fill="F2F2F2" w:themeFill="background1" w:themeFillShade="F2"/>
            <w:noWrap/>
            <w:tcMar>
              <w:top w:w="57" w:type="dxa"/>
              <w:bottom w:w="57" w:type="dxa"/>
            </w:tcMar>
          </w:tcPr>
          <w:p w14:paraId="1633C581" w14:textId="77777777" w:rsidR="00361FD9" w:rsidRPr="00AE665D" w:rsidRDefault="00361FD9" w:rsidP="00C86F4A">
            <w:pPr>
              <w:pStyle w:val="TableTextRight"/>
              <w:rPr>
                <w:szCs w:val="16"/>
              </w:rPr>
            </w:pPr>
            <w:r>
              <w:rPr>
                <w:szCs w:val="16"/>
              </w:rPr>
              <w:t>823</w:t>
            </w:r>
          </w:p>
        </w:tc>
        <w:tc>
          <w:tcPr>
            <w:tcW w:w="981" w:type="pct"/>
            <w:shd w:val="clear" w:color="auto" w:fill="F2F2F2" w:themeFill="background1" w:themeFillShade="F2"/>
            <w:noWrap/>
            <w:tcMar>
              <w:top w:w="57" w:type="dxa"/>
              <w:bottom w:w="57" w:type="dxa"/>
            </w:tcMar>
            <w:hideMark/>
          </w:tcPr>
          <w:p w14:paraId="5B2CA45A" w14:textId="77777777" w:rsidR="00361FD9" w:rsidRPr="00AE665D" w:rsidRDefault="00361FD9" w:rsidP="00C86F4A">
            <w:pPr>
              <w:pStyle w:val="TableTextRight"/>
              <w:rPr>
                <w:szCs w:val="16"/>
              </w:rPr>
            </w:pPr>
            <w:r>
              <w:rPr>
                <w:szCs w:val="16"/>
              </w:rPr>
              <w:t>958</w:t>
            </w:r>
          </w:p>
        </w:tc>
      </w:tr>
      <w:tr w:rsidR="00361FD9" w:rsidRPr="006766FE" w14:paraId="691C39CB" w14:textId="77777777" w:rsidTr="003C2549">
        <w:tc>
          <w:tcPr>
            <w:tcW w:w="3126" w:type="pct"/>
            <w:shd w:val="clear" w:color="auto" w:fill="F2F2F2" w:themeFill="background1" w:themeFillShade="F2"/>
            <w:noWrap/>
            <w:tcMar>
              <w:top w:w="57" w:type="dxa"/>
              <w:bottom w:w="57" w:type="dxa"/>
            </w:tcMar>
            <w:hideMark/>
          </w:tcPr>
          <w:p w14:paraId="4665FB1C" w14:textId="77777777" w:rsidR="00361FD9" w:rsidRPr="006534F5" w:rsidRDefault="00361FD9" w:rsidP="00C86F4A">
            <w:pPr>
              <w:pStyle w:val="TableTextLeft"/>
            </w:pPr>
            <w:r w:rsidRPr="006534F5">
              <w:t>Debt repurchased</w:t>
            </w:r>
          </w:p>
        </w:tc>
        <w:tc>
          <w:tcPr>
            <w:tcW w:w="893" w:type="pct"/>
            <w:shd w:val="clear" w:color="auto" w:fill="F2F2F2" w:themeFill="background1" w:themeFillShade="F2"/>
            <w:noWrap/>
            <w:tcMar>
              <w:top w:w="57" w:type="dxa"/>
              <w:bottom w:w="57" w:type="dxa"/>
            </w:tcMar>
          </w:tcPr>
          <w:p w14:paraId="515F401B" w14:textId="77777777" w:rsidR="00361FD9" w:rsidRPr="00AE665D" w:rsidRDefault="00361FD9" w:rsidP="00C86F4A">
            <w:pPr>
              <w:pStyle w:val="TableTextRight"/>
              <w:rPr>
                <w:szCs w:val="16"/>
              </w:rPr>
            </w:pPr>
            <w:r>
              <w:rPr>
                <w:szCs w:val="16"/>
              </w:rPr>
              <w:t>(993)</w:t>
            </w:r>
          </w:p>
        </w:tc>
        <w:tc>
          <w:tcPr>
            <w:tcW w:w="981" w:type="pct"/>
            <w:shd w:val="clear" w:color="auto" w:fill="F2F2F2" w:themeFill="background1" w:themeFillShade="F2"/>
            <w:noWrap/>
            <w:tcMar>
              <w:top w:w="57" w:type="dxa"/>
              <w:bottom w:w="57" w:type="dxa"/>
            </w:tcMar>
            <w:hideMark/>
          </w:tcPr>
          <w:p w14:paraId="4E2B2AF8" w14:textId="77777777" w:rsidR="00361FD9" w:rsidRPr="00AE665D" w:rsidRDefault="00361FD9" w:rsidP="00C86F4A">
            <w:pPr>
              <w:pStyle w:val="TableTextRight"/>
              <w:rPr>
                <w:szCs w:val="16"/>
              </w:rPr>
            </w:pPr>
            <w:r>
              <w:rPr>
                <w:szCs w:val="16"/>
              </w:rPr>
              <w:t>(941)</w:t>
            </w:r>
            <w:r w:rsidRPr="00AE665D">
              <w:rPr>
                <w:szCs w:val="16"/>
              </w:rPr>
              <w:t xml:space="preserve"> </w:t>
            </w:r>
          </w:p>
        </w:tc>
      </w:tr>
      <w:tr w:rsidR="00361FD9" w:rsidRPr="006766FE" w14:paraId="3C2725EA" w14:textId="77777777" w:rsidTr="003C2549">
        <w:tc>
          <w:tcPr>
            <w:tcW w:w="3126" w:type="pct"/>
            <w:shd w:val="clear" w:color="auto" w:fill="F2F2F2" w:themeFill="background1" w:themeFillShade="F2"/>
            <w:noWrap/>
            <w:tcMar>
              <w:top w:w="57" w:type="dxa"/>
              <w:bottom w:w="57" w:type="dxa"/>
            </w:tcMar>
            <w:hideMark/>
          </w:tcPr>
          <w:p w14:paraId="7AE20872" w14:textId="77777777" w:rsidR="00361FD9" w:rsidRPr="006534F5" w:rsidRDefault="00361FD9" w:rsidP="00C86F4A">
            <w:pPr>
              <w:pStyle w:val="TableTextLeft"/>
            </w:pPr>
            <w:r w:rsidRPr="006534F5">
              <w:t>Accretion for the period</w:t>
            </w:r>
          </w:p>
        </w:tc>
        <w:tc>
          <w:tcPr>
            <w:tcW w:w="893" w:type="pct"/>
            <w:shd w:val="clear" w:color="auto" w:fill="F2F2F2" w:themeFill="background1" w:themeFillShade="F2"/>
            <w:noWrap/>
            <w:tcMar>
              <w:top w:w="57" w:type="dxa"/>
              <w:bottom w:w="57" w:type="dxa"/>
            </w:tcMar>
          </w:tcPr>
          <w:p w14:paraId="4C6AE63D" w14:textId="77777777" w:rsidR="00361FD9" w:rsidRPr="00AE665D" w:rsidRDefault="00361FD9" w:rsidP="00C86F4A">
            <w:pPr>
              <w:pStyle w:val="TableTextRight"/>
              <w:rPr>
                <w:szCs w:val="16"/>
              </w:rPr>
            </w:pPr>
            <w:r>
              <w:rPr>
                <w:szCs w:val="16"/>
              </w:rPr>
              <w:t>1,309</w:t>
            </w:r>
          </w:p>
        </w:tc>
        <w:tc>
          <w:tcPr>
            <w:tcW w:w="981" w:type="pct"/>
            <w:shd w:val="clear" w:color="auto" w:fill="F2F2F2" w:themeFill="background1" w:themeFillShade="F2"/>
            <w:noWrap/>
            <w:tcMar>
              <w:top w:w="57" w:type="dxa"/>
              <w:bottom w:w="57" w:type="dxa"/>
            </w:tcMar>
            <w:hideMark/>
          </w:tcPr>
          <w:p w14:paraId="3C0F907F" w14:textId="77777777" w:rsidR="00361FD9" w:rsidRPr="00AE665D" w:rsidRDefault="00361FD9" w:rsidP="00C86F4A">
            <w:pPr>
              <w:pStyle w:val="TableTextRight"/>
              <w:rPr>
                <w:szCs w:val="16"/>
              </w:rPr>
            </w:pPr>
            <w:r>
              <w:rPr>
                <w:szCs w:val="16"/>
              </w:rPr>
              <w:t>1,996</w:t>
            </w:r>
            <w:r w:rsidRPr="00AE665D">
              <w:rPr>
                <w:szCs w:val="16"/>
              </w:rPr>
              <w:t xml:space="preserve"> </w:t>
            </w:r>
          </w:p>
        </w:tc>
      </w:tr>
      <w:tr w:rsidR="00361FD9" w:rsidRPr="006534F5" w14:paraId="02883F65" w14:textId="77777777" w:rsidTr="003C2549">
        <w:tc>
          <w:tcPr>
            <w:tcW w:w="3126" w:type="pct"/>
            <w:shd w:val="clear" w:color="auto" w:fill="F2F2F2" w:themeFill="background1" w:themeFillShade="F2"/>
            <w:noWrap/>
            <w:tcMar>
              <w:top w:w="57" w:type="dxa"/>
              <w:bottom w:w="57" w:type="dxa"/>
            </w:tcMar>
            <w:hideMark/>
          </w:tcPr>
          <w:p w14:paraId="44E64A50" w14:textId="77777777" w:rsidR="00361FD9" w:rsidRPr="00B92834" w:rsidRDefault="00361FD9" w:rsidP="00C86F4A">
            <w:pPr>
              <w:pStyle w:val="TableTextLeft"/>
              <w:rPr>
                <w:b/>
                <w:bCs/>
              </w:rPr>
            </w:pPr>
            <w:r w:rsidRPr="00B92834">
              <w:rPr>
                <w:b/>
                <w:bCs/>
              </w:rPr>
              <w:t>Change in principal value</w:t>
            </w:r>
          </w:p>
        </w:tc>
        <w:tc>
          <w:tcPr>
            <w:tcW w:w="893" w:type="pct"/>
            <w:shd w:val="clear" w:color="auto" w:fill="F2F2F2" w:themeFill="background1" w:themeFillShade="F2"/>
            <w:noWrap/>
            <w:tcMar>
              <w:top w:w="57" w:type="dxa"/>
              <w:bottom w:w="57" w:type="dxa"/>
            </w:tcMar>
          </w:tcPr>
          <w:p w14:paraId="51BDC3C4" w14:textId="77777777" w:rsidR="00361FD9" w:rsidRPr="00B92834" w:rsidRDefault="00361FD9" w:rsidP="00C86F4A">
            <w:pPr>
              <w:pStyle w:val="TableTextRight"/>
              <w:rPr>
                <w:b/>
                <w:bCs/>
              </w:rPr>
            </w:pPr>
            <w:r w:rsidRPr="00B92834">
              <w:rPr>
                <w:b/>
                <w:bCs/>
              </w:rPr>
              <w:t>2,039</w:t>
            </w:r>
          </w:p>
        </w:tc>
        <w:tc>
          <w:tcPr>
            <w:tcW w:w="981" w:type="pct"/>
            <w:shd w:val="clear" w:color="auto" w:fill="F2F2F2" w:themeFill="background1" w:themeFillShade="F2"/>
            <w:noWrap/>
            <w:tcMar>
              <w:top w:w="57" w:type="dxa"/>
              <w:bottom w:w="57" w:type="dxa"/>
            </w:tcMar>
            <w:hideMark/>
          </w:tcPr>
          <w:p w14:paraId="780C14D6" w14:textId="77777777" w:rsidR="00361FD9" w:rsidRPr="00B92834" w:rsidRDefault="00361FD9" w:rsidP="00C86F4A">
            <w:pPr>
              <w:pStyle w:val="TableTextRight"/>
              <w:rPr>
                <w:b/>
                <w:bCs/>
              </w:rPr>
            </w:pPr>
            <w:r w:rsidRPr="00B92834">
              <w:rPr>
                <w:b/>
                <w:bCs/>
              </w:rPr>
              <w:t xml:space="preserve">3,563 </w:t>
            </w:r>
          </w:p>
        </w:tc>
      </w:tr>
    </w:tbl>
    <w:p w14:paraId="3FF4BDAA" w14:textId="77777777" w:rsidR="00361FD9" w:rsidRPr="006534F5" w:rsidRDefault="00361FD9" w:rsidP="00361FD9"/>
    <w:p w14:paraId="2B1CF08A" w14:textId="5C8AE00C" w:rsidR="00361FD9" w:rsidRPr="006534F5" w:rsidRDefault="00361FD9" w:rsidP="00361FD9">
      <w:pPr>
        <w:pStyle w:val="TableMainHeading"/>
        <w:keepLines/>
        <w:rPr>
          <w:rFonts w:asciiTheme="minorHAnsi" w:hAnsiTheme="minorHAnsi" w:cstheme="minorBidi"/>
          <w:lang w:eastAsia="en-US"/>
        </w:rPr>
      </w:pPr>
      <w:r w:rsidRPr="006534F5">
        <w:t>Interest paid –</w:t>
      </w:r>
      <w:r w:rsidR="004D302A">
        <w:t xml:space="preserve"> </w:t>
      </w:r>
      <w:r w:rsidRPr="006534F5">
        <w:t>cash flow</w:t>
      </w:r>
      <w:r>
        <w:t xml:space="preserve"> statement</w:t>
      </w:r>
    </w:p>
    <w:tbl>
      <w:tblPr>
        <w:tblStyle w:val="AOFMTablemain"/>
        <w:tblW w:w="5000" w:type="pct"/>
        <w:tblLook w:val="06A0" w:firstRow="1" w:lastRow="0" w:firstColumn="1" w:lastColumn="0" w:noHBand="1" w:noVBand="1"/>
      </w:tblPr>
      <w:tblGrid>
        <w:gridCol w:w="4821"/>
        <w:gridCol w:w="1377"/>
        <w:gridCol w:w="1513"/>
      </w:tblGrid>
      <w:tr w:rsidR="0048600D" w:rsidRPr="006534F5" w14:paraId="00F6669A" w14:textId="77777777" w:rsidTr="00EC03D4">
        <w:trPr>
          <w:cnfStyle w:val="100000000000" w:firstRow="1" w:lastRow="0" w:firstColumn="0" w:lastColumn="0" w:oddVBand="0" w:evenVBand="0" w:oddHBand="0" w:evenHBand="0" w:firstRowFirstColumn="0" w:firstRowLastColumn="0" w:lastRowFirstColumn="0" w:lastRowLastColumn="0"/>
          <w:trHeight w:hRule="exact" w:val="574"/>
        </w:trPr>
        <w:tc>
          <w:tcPr>
            <w:tcW w:w="3126" w:type="pct"/>
            <w:noWrap/>
            <w:tcMar>
              <w:top w:w="57" w:type="dxa"/>
              <w:bottom w:w="57" w:type="dxa"/>
            </w:tcMar>
            <w:hideMark/>
          </w:tcPr>
          <w:p w14:paraId="10449715" w14:textId="77777777" w:rsidR="00361FD9" w:rsidRPr="00DA2A88" w:rsidRDefault="00361FD9" w:rsidP="00C86F4A">
            <w:pPr>
              <w:pStyle w:val="TableColumnHeadingRight"/>
            </w:pPr>
            <w:r w:rsidRPr="00DA2A88">
              <w:t> </w:t>
            </w:r>
          </w:p>
        </w:tc>
        <w:tc>
          <w:tcPr>
            <w:tcW w:w="893" w:type="pct"/>
            <w:noWrap/>
            <w:tcMar>
              <w:top w:w="57" w:type="dxa"/>
              <w:bottom w:w="57" w:type="dxa"/>
            </w:tcMar>
            <w:hideMark/>
          </w:tcPr>
          <w:p w14:paraId="3264B5E7" w14:textId="77777777" w:rsidR="00361FD9" w:rsidRDefault="00361FD9" w:rsidP="00C86F4A">
            <w:pPr>
              <w:pStyle w:val="TableColumnHeadingRight"/>
            </w:pPr>
            <w:r w:rsidRPr="00825FD1">
              <w:t>202</w:t>
            </w:r>
            <w:r>
              <w:t xml:space="preserve">5 </w:t>
            </w:r>
          </w:p>
          <w:p w14:paraId="5CA33E60" w14:textId="77777777" w:rsidR="00361FD9" w:rsidRPr="00DA2A88" w:rsidRDefault="00361FD9" w:rsidP="00C86F4A">
            <w:pPr>
              <w:pStyle w:val="TableColumnHeadingRight"/>
            </w:pPr>
            <w:r>
              <w:t>($million)</w:t>
            </w:r>
          </w:p>
        </w:tc>
        <w:tc>
          <w:tcPr>
            <w:tcW w:w="981" w:type="pct"/>
            <w:noWrap/>
            <w:tcMar>
              <w:top w:w="57" w:type="dxa"/>
              <w:bottom w:w="57" w:type="dxa"/>
            </w:tcMar>
            <w:hideMark/>
          </w:tcPr>
          <w:p w14:paraId="7D9CD272" w14:textId="77777777" w:rsidR="00361FD9" w:rsidRDefault="00361FD9" w:rsidP="00C86F4A">
            <w:pPr>
              <w:pStyle w:val="TableColumnHeadingRight"/>
            </w:pPr>
            <w:r w:rsidRPr="00825FD1">
              <w:t>202</w:t>
            </w:r>
            <w:r>
              <w:t xml:space="preserve">4 </w:t>
            </w:r>
          </w:p>
          <w:p w14:paraId="04425CFF" w14:textId="77777777" w:rsidR="00361FD9" w:rsidRPr="00DA2A88" w:rsidRDefault="00361FD9" w:rsidP="00C86F4A">
            <w:pPr>
              <w:pStyle w:val="TableColumnHeadingRight"/>
            </w:pPr>
            <w:r>
              <w:t>($million)</w:t>
            </w:r>
          </w:p>
        </w:tc>
      </w:tr>
      <w:tr w:rsidR="00361FD9" w:rsidRPr="006534F5" w14:paraId="442898B4" w14:textId="77777777" w:rsidTr="003C2549">
        <w:trPr>
          <w:trHeight w:val="234"/>
        </w:trPr>
        <w:tc>
          <w:tcPr>
            <w:tcW w:w="3126" w:type="pct"/>
            <w:shd w:val="clear" w:color="auto" w:fill="F2F2F2" w:themeFill="background1" w:themeFillShade="F2"/>
            <w:noWrap/>
            <w:tcMar>
              <w:top w:w="57" w:type="dxa"/>
              <w:bottom w:w="57" w:type="dxa"/>
            </w:tcMar>
            <w:hideMark/>
          </w:tcPr>
          <w:p w14:paraId="07CACBC2" w14:textId="77777777" w:rsidR="00361FD9" w:rsidRPr="006534F5" w:rsidRDefault="00361FD9" w:rsidP="00C86F4A">
            <w:pPr>
              <w:pStyle w:val="TableTextLeft"/>
            </w:pPr>
            <w:r w:rsidRPr="006534F5">
              <w:t>Coupons paid</w:t>
            </w:r>
          </w:p>
        </w:tc>
        <w:tc>
          <w:tcPr>
            <w:tcW w:w="893" w:type="pct"/>
            <w:shd w:val="clear" w:color="auto" w:fill="F2F2F2" w:themeFill="background1" w:themeFillShade="F2"/>
            <w:noWrap/>
            <w:tcMar>
              <w:top w:w="57" w:type="dxa"/>
              <w:bottom w:w="57" w:type="dxa"/>
            </w:tcMar>
          </w:tcPr>
          <w:p w14:paraId="09F79298" w14:textId="77777777" w:rsidR="00361FD9" w:rsidRPr="00AE665D" w:rsidRDefault="00361FD9" w:rsidP="00C86F4A">
            <w:pPr>
              <w:pStyle w:val="TableTextRight"/>
            </w:pPr>
            <w:r>
              <w:t>867</w:t>
            </w:r>
          </w:p>
        </w:tc>
        <w:tc>
          <w:tcPr>
            <w:tcW w:w="981" w:type="pct"/>
            <w:shd w:val="clear" w:color="auto" w:fill="F2F2F2" w:themeFill="background1" w:themeFillShade="F2"/>
            <w:noWrap/>
            <w:tcMar>
              <w:top w:w="57" w:type="dxa"/>
              <w:bottom w:w="57" w:type="dxa"/>
            </w:tcMar>
            <w:hideMark/>
          </w:tcPr>
          <w:p w14:paraId="79BF8A46" w14:textId="77777777" w:rsidR="00361FD9" w:rsidRPr="00AE665D" w:rsidRDefault="00361FD9" w:rsidP="00C86F4A">
            <w:pPr>
              <w:pStyle w:val="TableTextRight"/>
            </w:pPr>
            <w:r>
              <w:t>908</w:t>
            </w:r>
            <w:r w:rsidRPr="00AE665D">
              <w:t xml:space="preserve"> </w:t>
            </w:r>
          </w:p>
        </w:tc>
      </w:tr>
      <w:tr w:rsidR="00361FD9" w:rsidRPr="006534F5" w14:paraId="72CD76A0" w14:textId="77777777" w:rsidTr="003C2549">
        <w:trPr>
          <w:trHeight w:val="234"/>
        </w:trPr>
        <w:tc>
          <w:tcPr>
            <w:tcW w:w="3126" w:type="pct"/>
            <w:shd w:val="clear" w:color="auto" w:fill="F2F2F2" w:themeFill="background1" w:themeFillShade="F2"/>
            <w:noWrap/>
            <w:tcMar>
              <w:top w:w="57" w:type="dxa"/>
              <w:bottom w:w="57" w:type="dxa"/>
            </w:tcMar>
            <w:hideMark/>
          </w:tcPr>
          <w:p w14:paraId="6476F799" w14:textId="77777777" w:rsidR="00361FD9" w:rsidRPr="006534F5" w:rsidRDefault="00361FD9" w:rsidP="00C86F4A">
            <w:pPr>
              <w:pStyle w:val="TableTextLeft"/>
            </w:pPr>
            <w:r w:rsidRPr="006534F5">
              <w:t>Interest received on issuance</w:t>
            </w:r>
          </w:p>
        </w:tc>
        <w:tc>
          <w:tcPr>
            <w:tcW w:w="893" w:type="pct"/>
            <w:shd w:val="clear" w:color="auto" w:fill="F2F2F2" w:themeFill="background1" w:themeFillShade="F2"/>
            <w:noWrap/>
            <w:tcMar>
              <w:top w:w="57" w:type="dxa"/>
              <w:bottom w:w="57" w:type="dxa"/>
            </w:tcMar>
          </w:tcPr>
          <w:p w14:paraId="430589FD" w14:textId="77777777" w:rsidR="00361FD9" w:rsidRPr="00AE665D" w:rsidRDefault="00361FD9" w:rsidP="00C86F4A">
            <w:pPr>
              <w:pStyle w:val="TableTextRight"/>
            </w:pPr>
            <w:r>
              <w:t>(3)</w:t>
            </w:r>
          </w:p>
        </w:tc>
        <w:tc>
          <w:tcPr>
            <w:tcW w:w="981" w:type="pct"/>
            <w:shd w:val="clear" w:color="auto" w:fill="F2F2F2" w:themeFill="background1" w:themeFillShade="F2"/>
            <w:noWrap/>
            <w:tcMar>
              <w:top w:w="57" w:type="dxa"/>
              <w:bottom w:w="57" w:type="dxa"/>
            </w:tcMar>
            <w:hideMark/>
          </w:tcPr>
          <w:p w14:paraId="468B8DD8" w14:textId="77777777" w:rsidR="00361FD9" w:rsidRPr="00AE665D" w:rsidRDefault="00361FD9" w:rsidP="00C86F4A">
            <w:pPr>
              <w:pStyle w:val="TableTextRight"/>
            </w:pPr>
            <w:r w:rsidRPr="00AE665D">
              <w:t>(</w:t>
            </w:r>
            <w:r>
              <w:t>6</w:t>
            </w:r>
            <w:r w:rsidRPr="00AE665D">
              <w:t>)</w:t>
            </w:r>
          </w:p>
        </w:tc>
      </w:tr>
      <w:tr w:rsidR="00361FD9" w:rsidRPr="006534F5" w14:paraId="00E6BE4A" w14:textId="77777777" w:rsidTr="003C2549">
        <w:trPr>
          <w:trHeight w:val="234"/>
        </w:trPr>
        <w:tc>
          <w:tcPr>
            <w:tcW w:w="3126" w:type="pct"/>
            <w:shd w:val="clear" w:color="auto" w:fill="F2F2F2" w:themeFill="background1" w:themeFillShade="F2"/>
            <w:noWrap/>
            <w:tcMar>
              <w:top w:w="57" w:type="dxa"/>
              <w:bottom w:w="57" w:type="dxa"/>
            </w:tcMar>
            <w:hideMark/>
          </w:tcPr>
          <w:p w14:paraId="4F4CCC30" w14:textId="77777777" w:rsidR="00361FD9" w:rsidRPr="006534F5" w:rsidRDefault="00361FD9" w:rsidP="00C86F4A">
            <w:pPr>
              <w:pStyle w:val="TableTextLeft"/>
            </w:pPr>
            <w:r w:rsidRPr="006534F5">
              <w:t>Interest paid on repurchase</w:t>
            </w:r>
          </w:p>
        </w:tc>
        <w:tc>
          <w:tcPr>
            <w:tcW w:w="893" w:type="pct"/>
            <w:shd w:val="clear" w:color="auto" w:fill="F2F2F2" w:themeFill="background1" w:themeFillShade="F2"/>
            <w:noWrap/>
            <w:tcMar>
              <w:top w:w="57" w:type="dxa"/>
              <w:bottom w:w="57" w:type="dxa"/>
            </w:tcMar>
          </w:tcPr>
          <w:p w14:paraId="50423536" w14:textId="77777777" w:rsidR="00361FD9" w:rsidRPr="00AE665D" w:rsidRDefault="00361FD9" w:rsidP="00C86F4A">
            <w:pPr>
              <w:pStyle w:val="TableTextRight"/>
            </w:pPr>
            <w:r>
              <w:t>19</w:t>
            </w:r>
          </w:p>
        </w:tc>
        <w:tc>
          <w:tcPr>
            <w:tcW w:w="981" w:type="pct"/>
            <w:shd w:val="clear" w:color="auto" w:fill="F2F2F2" w:themeFill="background1" w:themeFillShade="F2"/>
            <w:noWrap/>
            <w:tcMar>
              <w:top w:w="57" w:type="dxa"/>
              <w:bottom w:w="57" w:type="dxa"/>
            </w:tcMar>
            <w:hideMark/>
          </w:tcPr>
          <w:p w14:paraId="1700486A" w14:textId="77777777" w:rsidR="00361FD9" w:rsidRPr="00AE665D" w:rsidRDefault="00361FD9" w:rsidP="00C86F4A">
            <w:pPr>
              <w:pStyle w:val="TableTextRight"/>
            </w:pPr>
            <w:r>
              <w:t>4</w:t>
            </w:r>
            <w:r w:rsidRPr="00AE665D">
              <w:t xml:space="preserve"> </w:t>
            </w:r>
          </w:p>
        </w:tc>
      </w:tr>
      <w:tr w:rsidR="00361FD9" w:rsidRPr="006534F5" w14:paraId="2CE26705" w14:textId="77777777" w:rsidTr="003C2549">
        <w:trPr>
          <w:trHeight w:val="234"/>
        </w:trPr>
        <w:tc>
          <w:tcPr>
            <w:tcW w:w="3126" w:type="pct"/>
            <w:shd w:val="clear" w:color="auto" w:fill="F2F2F2" w:themeFill="background1" w:themeFillShade="F2"/>
            <w:noWrap/>
            <w:tcMar>
              <w:top w:w="57" w:type="dxa"/>
              <w:bottom w:w="57" w:type="dxa"/>
            </w:tcMar>
            <w:hideMark/>
          </w:tcPr>
          <w:p w14:paraId="2F1EBDB4" w14:textId="77777777" w:rsidR="00361FD9" w:rsidRPr="006534F5" w:rsidRDefault="00361FD9" w:rsidP="00C86F4A">
            <w:pPr>
              <w:pStyle w:val="TableTextLeft"/>
            </w:pPr>
            <w:r w:rsidRPr="006534F5">
              <w:t>Accretion since issuance (paid on redemption)</w:t>
            </w:r>
          </w:p>
        </w:tc>
        <w:tc>
          <w:tcPr>
            <w:tcW w:w="893" w:type="pct"/>
            <w:shd w:val="clear" w:color="auto" w:fill="F2F2F2" w:themeFill="background1" w:themeFillShade="F2"/>
            <w:noWrap/>
            <w:tcMar>
              <w:top w:w="57" w:type="dxa"/>
              <w:bottom w:w="57" w:type="dxa"/>
            </w:tcMar>
          </w:tcPr>
          <w:p w14:paraId="49606B4C" w14:textId="77777777" w:rsidR="00361FD9" w:rsidRPr="00AE665D" w:rsidRDefault="00361FD9" w:rsidP="00C86F4A">
            <w:pPr>
              <w:pStyle w:val="TableTextRight"/>
            </w:pPr>
            <w:r>
              <w:t>988</w:t>
            </w:r>
          </w:p>
        </w:tc>
        <w:tc>
          <w:tcPr>
            <w:tcW w:w="981" w:type="pct"/>
            <w:shd w:val="clear" w:color="auto" w:fill="F2F2F2" w:themeFill="background1" w:themeFillShade="F2"/>
            <w:noWrap/>
            <w:tcMar>
              <w:top w:w="57" w:type="dxa"/>
              <w:bottom w:w="57" w:type="dxa"/>
            </w:tcMar>
            <w:hideMark/>
          </w:tcPr>
          <w:p w14:paraId="13011DD6" w14:textId="77777777" w:rsidR="00361FD9" w:rsidRPr="00AE665D" w:rsidRDefault="00361FD9" w:rsidP="00C86F4A">
            <w:pPr>
              <w:pStyle w:val="TableTextRight"/>
            </w:pPr>
            <w:r>
              <w:t>934</w:t>
            </w:r>
            <w:r w:rsidRPr="00AE665D">
              <w:t xml:space="preserve"> </w:t>
            </w:r>
          </w:p>
        </w:tc>
      </w:tr>
      <w:tr w:rsidR="00361FD9" w:rsidRPr="00B92834" w14:paraId="0785298F" w14:textId="77777777" w:rsidTr="003C2549">
        <w:trPr>
          <w:trHeight w:val="234"/>
        </w:trPr>
        <w:tc>
          <w:tcPr>
            <w:tcW w:w="3126" w:type="pct"/>
            <w:shd w:val="clear" w:color="auto" w:fill="F2F2F2" w:themeFill="background1" w:themeFillShade="F2"/>
            <w:noWrap/>
            <w:tcMar>
              <w:top w:w="57" w:type="dxa"/>
              <w:bottom w:w="57" w:type="dxa"/>
            </w:tcMar>
            <w:hideMark/>
          </w:tcPr>
          <w:p w14:paraId="04970136" w14:textId="77777777" w:rsidR="00361FD9" w:rsidRPr="00B92834" w:rsidRDefault="00361FD9" w:rsidP="00C86F4A">
            <w:pPr>
              <w:pStyle w:val="TableTextLeft"/>
              <w:rPr>
                <w:b/>
                <w:bCs/>
              </w:rPr>
            </w:pPr>
            <w:r w:rsidRPr="00B92834">
              <w:rPr>
                <w:b/>
                <w:bCs/>
              </w:rPr>
              <w:t>Interest paid</w:t>
            </w:r>
          </w:p>
        </w:tc>
        <w:tc>
          <w:tcPr>
            <w:tcW w:w="893" w:type="pct"/>
            <w:shd w:val="clear" w:color="auto" w:fill="F2F2F2" w:themeFill="background1" w:themeFillShade="F2"/>
            <w:noWrap/>
            <w:tcMar>
              <w:top w:w="57" w:type="dxa"/>
              <w:bottom w:w="57" w:type="dxa"/>
            </w:tcMar>
          </w:tcPr>
          <w:p w14:paraId="301638A7" w14:textId="77777777" w:rsidR="00361FD9" w:rsidRPr="00B92834" w:rsidRDefault="00361FD9" w:rsidP="00C86F4A">
            <w:pPr>
              <w:pStyle w:val="TableTextRight"/>
              <w:rPr>
                <w:b/>
                <w:bCs/>
              </w:rPr>
            </w:pPr>
            <w:r w:rsidRPr="00B92834">
              <w:rPr>
                <w:b/>
                <w:bCs/>
              </w:rPr>
              <w:t>1,871</w:t>
            </w:r>
          </w:p>
        </w:tc>
        <w:tc>
          <w:tcPr>
            <w:tcW w:w="981" w:type="pct"/>
            <w:shd w:val="clear" w:color="auto" w:fill="F2F2F2" w:themeFill="background1" w:themeFillShade="F2"/>
            <w:noWrap/>
            <w:tcMar>
              <w:top w:w="57" w:type="dxa"/>
              <w:bottom w:w="57" w:type="dxa"/>
            </w:tcMar>
            <w:hideMark/>
          </w:tcPr>
          <w:p w14:paraId="5F8835CF" w14:textId="77777777" w:rsidR="00361FD9" w:rsidRPr="00B92834" w:rsidRDefault="00361FD9" w:rsidP="00C86F4A">
            <w:pPr>
              <w:pStyle w:val="TableTextRight"/>
              <w:rPr>
                <w:b/>
                <w:bCs/>
              </w:rPr>
            </w:pPr>
            <w:r w:rsidRPr="00B92834">
              <w:rPr>
                <w:b/>
                <w:bCs/>
              </w:rPr>
              <w:t xml:space="preserve">1,840 </w:t>
            </w:r>
          </w:p>
        </w:tc>
      </w:tr>
    </w:tbl>
    <w:p w14:paraId="1A9800E2" w14:textId="77777777" w:rsidR="00361FD9" w:rsidRDefault="00361FD9" w:rsidP="00361FD9">
      <w:pPr>
        <w:rPr>
          <w:lang w:eastAsia="en-AU"/>
        </w:rPr>
      </w:pPr>
      <w:r w:rsidRPr="006534F5">
        <w:rPr>
          <w:lang w:eastAsia="en-AU"/>
        </w:rPr>
        <w:br w:type="page"/>
      </w:r>
    </w:p>
    <w:p w14:paraId="6A62CD48" w14:textId="77777777" w:rsidR="00FF1C02" w:rsidRPr="006534F5" w:rsidRDefault="00FF1C02" w:rsidP="00FF1C02">
      <w:pPr>
        <w:pStyle w:val="Heading2"/>
        <w:rPr>
          <w:rFonts w:cs="Times New Roman"/>
        </w:rPr>
      </w:pPr>
      <w:bookmarkStart w:id="1693" w:name="_Toc146112239"/>
      <w:bookmarkStart w:id="1694" w:name="_Toc207792934"/>
      <w:bookmarkStart w:id="1695" w:name="_Toc207793974"/>
      <w:bookmarkStart w:id="1696" w:name="_Toc207796138"/>
      <w:bookmarkStart w:id="1697" w:name="_Toc207796978"/>
      <w:bookmarkStart w:id="1698" w:name="_Toc207800281"/>
      <w:bookmarkStart w:id="1699" w:name="_Toc207810859"/>
      <w:bookmarkStart w:id="1700" w:name="_Toc208914139"/>
      <w:bookmarkStart w:id="1701" w:name="_Toc209424536"/>
      <w:r w:rsidRPr="006534F5">
        <w:lastRenderedPageBreak/>
        <w:t>Note 4: Treasury Notes</w:t>
      </w:r>
      <w:bookmarkEnd w:id="1693"/>
      <w:bookmarkEnd w:id="1694"/>
      <w:bookmarkEnd w:id="1695"/>
      <w:bookmarkEnd w:id="1696"/>
      <w:bookmarkEnd w:id="1697"/>
      <w:bookmarkEnd w:id="1698"/>
      <w:bookmarkEnd w:id="1699"/>
      <w:bookmarkEnd w:id="1700"/>
      <w:bookmarkEnd w:id="1701"/>
    </w:p>
    <w:p w14:paraId="6B6A406F" w14:textId="77777777" w:rsidR="00FF1C02" w:rsidRPr="00EE18AD" w:rsidRDefault="00FF1C02" w:rsidP="00FF1C02">
      <w:r w:rsidRPr="00EE18AD">
        <w:t>Treasury Notes are short term discount instruments, denominated in Australian dollars and repayable at face value on maturity.</w:t>
      </w:r>
    </w:p>
    <w:p w14:paraId="6636D723" w14:textId="77777777" w:rsidR="00FF1C02" w:rsidRDefault="00FF1C02" w:rsidP="00FF1C02">
      <w:r w:rsidRPr="00EE18AD">
        <w:t>Treasury Notes are used to accommodate within</w:t>
      </w:r>
      <w:r w:rsidRPr="00EE18AD">
        <w:noBreakHyphen/>
        <w:t>year cash requirements. The AOFM conducts issuance of Treasury Notes via competitive tenders.</w:t>
      </w: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FF1C02" w14:paraId="78740006" w14:textId="77777777" w:rsidTr="00630831">
        <w:tc>
          <w:tcPr>
            <w:tcW w:w="7700" w:type="dxa"/>
            <w:tcBorders>
              <w:bottom w:val="single" w:sz="24" w:space="0" w:color="472978" w:themeColor="accent1"/>
            </w:tcBorders>
            <w:shd w:val="clear" w:color="auto" w:fill="E7DCF7" w:themeFill="text2" w:themeFillTint="1A"/>
          </w:tcPr>
          <w:p w14:paraId="60E83A72" w14:textId="77777777" w:rsidR="00FF1C02" w:rsidRDefault="00FF1C02" w:rsidP="00630831">
            <w:pPr>
              <w:pStyle w:val="Boxheading"/>
            </w:pPr>
            <w:r w:rsidRPr="00A80ACC">
              <w:t>Accounting policy</w:t>
            </w:r>
          </w:p>
          <w:p w14:paraId="4817145C" w14:textId="77777777" w:rsidR="00FF1C02" w:rsidRPr="00187A88" w:rsidRDefault="00FF1C02" w:rsidP="00630831">
            <w:pPr>
              <w:pStyle w:val="BoxText"/>
            </w:pPr>
            <w:r w:rsidRPr="00187A88">
              <w:t>The AOFM monitors the cost and risk on Treasury Notes primarily on an accrual basis, but also on a fair value basis. The AOFM has designated Treasury Notes to be carried at fair value through profit or loss under AASB 9 Financial Instruments.</w:t>
            </w:r>
          </w:p>
          <w:p w14:paraId="3874EB4F" w14:textId="77777777" w:rsidR="00FF1C02" w:rsidRPr="006574CB" w:rsidRDefault="00FF1C02" w:rsidP="00630831">
            <w:pPr>
              <w:pStyle w:val="BoxText"/>
            </w:pPr>
            <w:r w:rsidRPr="00187A88">
              <w:t>The fair value of Treasury Notes is determined by reference to observable market rates for these instruments. As such, they are included as Level 1 financial instruments in the fair value hierarchy.</w:t>
            </w:r>
          </w:p>
        </w:tc>
      </w:tr>
    </w:tbl>
    <w:p w14:paraId="1531ED94" w14:textId="77777777" w:rsidR="00FF1C02" w:rsidRDefault="00FF1C02" w:rsidP="00FF1C02">
      <w:pPr>
        <w:pStyle w:val="Heading3"/>
      </w:pPr>
      <w:bookmarkStart w:id="1702" w:name="_Toc146112241"/>
      <w:bookmarkStart w:id="1703" w:name="_Toc207796139"/>
      <w:r w:rsidRPr="006534F5">
        <w:t>Key aggregates</w:t>
      </w:r>
      <w:bookmarkEnd w:id="1702"/>
      <w:bookmarkEnd w:id="1703"/>
    </w:p>
    <w:p w14:paraId="377402EF" w14:textId="77777777" w:rsidR="00FF1C02" w:rsidRPr="006534F5" w:rsidRDefault="00FF1C02" w:rsidP="00FF1C02">
      <w:pPr>
        <w:pStyle w:val="TableMainHeading"/>
        <w:keepLines/>
        <w:rPr>
          <w:rFonts w:asciiTheme="minorHAnsi" w:hAnsiTheme="minorHAnsi" w:cstheme="minorBidi"/>
          <w:lang w:eastAsia="en-US"/>
        </w:rPr>
      </w:pPr>
      <w:r w:rsidRPr="006534F5">
        <w:t xml:space="preserve">Interest expense </w:t>
      </w:r>
    </w:p>
    <w:tbl>
      <w:tblPr>
        <w:tblStyle w:val="AOFMTablemain"/>
        <w:tblW w:w="5000" w:type="pct"/>
        <w:tblLook w:val="06A0" w:firstRow="1" w:lastRow="0" w:firstColumn="1" w:lastColumn="0" w:noHBand="1" w:noVBand="1"/>
      </w:tblPr>
      <w:tblGrid>
        <w:gridCol w:w="5145"/>
        <w:gridCol w:w="1237"/>
        <w:gridCol w:w="1329"/>
      </w:tblGrid>
      <w:tr w:rsidR="004676A8" w:rsidRPr="006534F5" w14:paraId="04623A6D" w14:textId="77777777" w:rsidTr="00EC03D4">
        <w:trPr>
          <w:cnfStyle w:val="100000000000" w:firstRow="1" w:lastRow="0" w:firstColumn="0" w:lastColumn="0" w:oddVBand="0" w:evenVBand="0" w:oddHBand="0" w:evenHBand="0" w:firstRowFirstColumn="0" w:firstRowLastColumn="0" w:lastRowFirstColumn="0" w:lastRowLastColumn="0"/>
          <w:trHeight w:hRule="exact" w:val="615"/>
        </w:trPr>
        <w:tc>
          <w:tcPr>
            <w:tcW w:w="3336" w:type="pct"/>
            <w:noWrap/>
            <w:hideMark/>
          </w:tcPr>
          <w:p w14:paraId="78A15F31" w14:textId="77777777" w:rsidR="00FF1C02" w:rsidRPr="00DA2A88" w:rsidRDefault="00FF1C02" w:rsidP="00630831">
            <w:pPr>
              <w:pStyle w:val="TableColumnHeadingRight"/>
            </w:pPr>
          </w:p>
        </w:tc>
        <w:tc>
          <w:tcPr>
            <w:tcW w:w="802" w:type="pct"/>
            <w:noWrap/>
            <w:hideMark/>
          </w:tcPr>
          <w:p w14:paraId="61CDC8DE" w14:textId="77777777" w:rsidR="00FF1C02" w:rsidRDefault="00FF1C02" w:rsidP="00630831">
            <w:pPr>
              <w:pStyle w:val="TableColumnHeadingRight"/>
            </w:pPr>
            <w:r w:rsidRPr="00825FD1">
              <w:t>202</w:t>
            </w:r>
            <w:r>
              <w:t xml:space="preserve">5 </w:t>
            </w:r>
          </w:p>
          <w:p w14:paraId="2E9FE669" w14:textId="77777777" w:rsidR="00FF1C02" w:rsidRPr="00DA2A88" w:rsidRDefault="00FF1C02" w:rsidP="00630831">
            <w:pPr>
              <w:pStyle w:val="TableColumnHeadingRight"/>
            </w:pPr>
            <w:r>
              <w:t>($million)</w:t>
            </w:r>
            <w:r w:rsidRPr="00825FD1">
              <w:t xml:space="preserve"> </w:t>
            </w:r>
          </w:p>
        </w:tc>
        <w:tc>
          <w:tcPr>
            <w:tcW w:w="862" w:type="pct"/>
            <w:noWrap/>
            <w:hideMark/>
          </w:tcPr>
          <w:p w14:paraId="475703FD" w14:textId="77777777" w:rsidR="00FF1C02" w:rsidRDefault="00FF1C02" w:rsidP="00630831">
            <w:pPr>
              <w:pStyle w:val="TableColumnHeadingRight"/>
            </w:pPr>
            <w:r w:rsidRPr="00825FD1">
              <w:t>202</w:t>
            </w:r>
            <w:r>
              <w:t xml:space="preserve">4 </w:t>
            </w:r>
          </w:p>
          <w:p w14:paraId="7040E370" w14:textId="77777777" w:rsidR="00FF1C02" w:rsidRPr="00DA2A88" w:rsidRDefault="00FF1C02" w:rsidP="00630831">
            <w:pPr>
              <w:pStyle w:val="TableColumnHeadingRight"/>
            </w:pPr>
            <w:r>
              <w:t>($million)</w:t>
            </w:r>
          </w:p>
        </w:tc>
      </w:tr>
      <w:tr w:rsidR="00FF1C02" w:rsidRPr="00E0103B" w14:paraId="2D7A6A62" w14:textId="77777777" w:rsidTr="003C2549">
        <w:trPr>
          <w:trHeight w:val="234"/>
        </w:trPr>
        <w:tc>
          <w:tcPr>
            <w:tcW w:w="3336" w:type="pct"/>
            <w:shd w:val="clear" w:color="auto" w:fill="F2F2F2" w:themeFill="background1" w:themeFillShade="F2"/>
            <w:noWrap/>
            <w:hideMark/>
          </w:tcPr>
          <w:p w14:paraId="47680917" w14:textId="77777777" w:rsidR="00FF1C02" w:rsidRPr="006534F5" w:rsidRDefault="00FF1C02" w:rsidP="00630831">
            <w:pPr>
              <w:pStyle w:val="TableTextLeft"/>
            </w:pPr>
            <w:r w:rsidRPr="006534F5">
              <w:t>Interest paid / payable</w:t>
            </w:r>
          </w:p>
        </w:tc>
        <w:tc>
          <w:tcPr>
            <w:tcW w:w="802" w:type="pct"/>
            <w:shd w:val="clear" w:color="auto" w:fill="F2F2F2" w:themeFill="background1" w:themeFillShade="F2"/>
            <w:noWrap/>
          </w:tcPr>
          <w:p w14:paraId="7D31989C" w14:textId="77777777" w:rsidR="00FF1C02" w:rsidRPr="00AE665D" w:rsidRDefault="00FF1C02" w:rsidP="00630831">
            <w:pPr>
              <w:pStyle w:val="TableTextRight"/>
            </w:pPr>
            <w:r>
              <w:t>1,419</w:t>
            </w:r>
          </w:p>
        </w:tc>
        <w:tc>
          <w:tcPr>
            <w:tcW w:w="862" w:type="pct"/>
            <w:shd w:val="clear" w:color="auto" w:fill="F2F2F2" w:themeFill="background1" w:themeFillShade="F2"/>
            <w:noWrap/>
            <w:hideMark/>
          </w:tcPr>
          <w:p w14:paraId="72B89008" w14:textId="77777777" w:rsidR="00FF1C02" w:rsidRPr="00AE665D" w:rsidRDefault="00FF1C02" w:rsidP="00630831">
            <w:pPr>
              <w:pStyle w:val="TableTextRight"/>
            </w:pPr>
            <w:r>
              <w:t>1,141</w:t>
            </w:r>
          </w:p>
        </w:tc>
      </w:tr>
      <w:tr w:rsidR="00FF1C02" w:rsidRPr="006534F5" w14:paraId="15904CFF" w14:textId="77777777" w:rsidTr="003C2549">
        <w:trPr>
          <w:trHeight w:val="234"/>
        </w:trPr>
        <w:tc>
          <w:tcPr>
            <w:tcW w:w="3336" w:type="pct"/>
            <w:shd w:val="clear" w:color="auto" w:fill="F2F2F2" w:themeFill="background1" w:themeFillShade="F2"/>
            <w:noWrap/>
            <w:hideMark/>
          </w:tcPr>
          <w:p w14:paraId="4C500599" w14:textId="77777777" w:rsidR="00FF1C02" w:rsidRPr="00B92834" w:rsidRDefault="00FF1C02" w:rsidP="00630831">
            <w:pPr>
              <w:pStyle w:val="TableTextLeft"/>
              <w:rPr>
                <w:b/>
                <w:bCs/>
              </w:rPr>
            </w:pPr>
            <w:r w:rsidRPr="00B92834">
              <w:rPr>
                <w:b/>
                <w:bCs/>
              </w:rPr>
              <w:t>Interest expense</w:t>
            </w:r>
          </w:p>
        </w:tc>
        <w:tc>
          <w:tcPr>
            <w:tcW w:w="802" w:type="pct"/>
            <w:shd w:val="clear" w:color="auto" w:fill="F2F2F2" w:themeFill="background1" w:themeFillShade="F2"/>
            <w:noWrap/>
          </w:tcPr>
          <w:p w14:paraId="34F389D0" w14:textId="77777777" w:rsidR="00FF1C02" w:rsidRPr="00B92834" w:rsidRDefault="00FF1C02" w:rsidP="00630831">
            <w:pPr>
              <w:pStyle w:val="TableTextRight"/>
              <w:rPr>
                <w:b/>
                <w:bCs/>
              </w:rPr>
            </w:pPr>
            <w:r w:rsidRPr="00B92834">
              <w:rPr>
                <w:b/>
                <w:bCs/>
              </w:rPr>
              <w:t>1,419</w:t>
            </w:r>
          </w:p>
        </w:tc>
        <w:tc>
          <w:tcPr>
            <w:tcW w:w="862" w:type="pct"/>
            <w:shd w:val="clear" w:color="auto" w:fill="F2F2F2" w:themeFill="background1" w:themeFillShade="F2"/>
            <w:noWrap/>
            <w:hideMark/>
          </w:tcPr>
          <w:p w14:paraId="7DFAB21F" w14:textId="77777777" w:rsidR="00FF1C02" w:rsidRPr="00B92834" w:rsidRDefault="00FF1C02" w:rsidP="00630831">
            <w:pPr>
              <w:pStyle w:val="TableTextRight"/>
              <w:rPr>
                <w:b/>
                <w:bCs/>
              </w:rPr>
            </w:pPr>
            <w:r w:rsidRPr="00B92834">
              <w:rPr>
                <w:b/>
                <w:bCs/>
              </w:rPr>
              <w:t>1,141</w:t>
            </w:r>
          </w:p>
        </w:tc>
      </w:tr>
    </w:tbl>
    <w:p w14:paraId="5BE67E52" w14:textId="77777777" w:rsidR="00FF1C02" w:rsidRPr="00352E8F" w:rsidRDefault="00FF1C02" w:rsidP="00FF1C02"/>
    <w:p w14:paraId="3488E5A8" w14:textId="77777777" w:rsidR="00FF1C02" w:rsidRDefault="00FF1C02" w:rsidP="00FF1C02">
      <w:r w:rsidRPr="002D787D">
        <w:t xml:space="preserve">The accrual yield on the Treasury Note portfolio was 4.27 per cent for 2024–25, 5 basis points higher than the 2023–24 accrual yield of 4.22 per cent. This increase was due to the higher interest rate environment. </w:t>
      </w:r>
    </w:p>
    <w:p w14:paraId="02DF3E05" w14:textId="77777777" w:rsidR="00FF1C02" w:rsidRDefault="00FF1C02" w:rsidP="00FF1C02">
      <w:pPr>
        <w:spacing w:after="0" w:line="240" w:lineRule="auto"/>
      </w:pPr>
      <w:r>
        <w:br w:type="page"/>
      </w:r>
    </w:p>
    <w:p w14:paraId="68CC3C10" w14:textId="77777777" w:rsidR="00FF1C02" w:rsidRPr="006534F5" w:rsidRDefault="00FF1C02" w:rsidP="00FF1C02">
      <w:pPr>
        <w:pStyle w:val="TableMainHeading"/>
        <w:keepLines/>
        <w:rPr>
          <w:rFonts w:asciiTheme="minorHAnsi" w:hAnsiTheme="minorHAnsi" w:cstheme="minorBidi"/>
          <w:lang w:eastAsia="en-US"/>
        </w:rPr>
      </w:pPr>
      <w:r w:rsidRPr="006534F5">
        <w:lastRenderedPageBreak/>
        <w:t xml:space="preserve">Carrying values – administered liabilities </w:t>
      </w:r>
    </w:p>
    <w:tbl>
      <w:tblPr>
        <w:tblStyle w:val="AOFMTablemain"/>
        <w:tblW w:w="5000" w:type="pct"/>
        <w:tblLook w:val="06A0" w:firstRow="1" w:lastRow="0" w:firstColumn="1" w:lastColumn="0" w:noHBand="1" w:noVBand="1"/>
      </w:tblPr>
      <w:tblGrid>
        <w:gridCol w:w="5177"/>
        <w:gridCol w:w="1268"/>
        <w:gridCol w:w="1266"/>
      </w:tblGrid>
      <w:tr w:rsidR="004676A8" w:rsidRPr="006534F5" w14:paraId="43B1A54F" w14:textId="77777777" w:rsidTr="00EC03D4">
        <w:trPr>
          <w:cnfStyle w:val="100000000000" w:firstRow="1" w:lastRow="0" w:firstColumn="0" w:lastColumn="0" w:oddVBand="0" w:evenVBand="0" w:oddHBand="0" w:evenHBand="0" w:firstRowFirstColumn="0" w:firstRowLastColumn="0" w:lastRowFirstColumn="0" w:lastRowLastColumn="0"/>
          <w:trHeight w:hRule="exact" w:val="563"/>
        </w:trPr>
        <w:tc>
          <w:tcPr>
            <w:tcW w:w="3357" w:type="pct"/>
            <w:noWrap/>
            <w:hideMark/>
          </w:tcPr>
          <w:p w14:paraId="7E291D08" w14:textId="77777777" w:rsidR="00FF1C02" w:rsidRPr="00DA2A88" w:rsidRDefault="00FF1C02" w:rsidP="00630831">
            <w:pPr>
              <w:pStyle w:val="TableColumnHeadingRight"/>
            </w:pPr>
            <w:r w:rsidRPr="00DA2A88">
              <w:t> </w:t>
            </w:r>
          </w:p>
        </w:tc>
        <w:tc>
          <w:tcPr>
            <w:tcW w:w="822" w:type="pct"/>
            <w:noWrap/>
            <w:hideMark/>
          </w:tcPr>
          <w:p w14:paraId="0A4BB957" w14:textId="77777777" w:rsidR="00FF1C02" w:rsidRDefault="00FF1C02" w:rsidP="00630831">
            <w:pPr>
              <w:pStyle w:val="TableColumnHeadingRight"/>
            </w:pPr>
            <w:r w:rsidRPr="00825FD1">
              <w:t>202</w:t>
            </w:r>
            <w:r>
              <w:t xml:space="preserve">5 </w:t>
            </w:r>
          </w:p>
          <w:p w14:paraId="1611F4C8" w14:textId="77777777" w:rsidR="00FF1C02" w:rsidRPr="00DA2A88" w:rsidRDefault="00FF1C02" w:rsidP="00630831">
            <w:pPr>
              <w:pStyle w:val="TableColumnHeadingRight"/>
            </w:pPr>
            <w:r>
              <w:t>($million)</w:t>
            </w:r>
          </w:p>
        </w:tc>
        <w:tc>
          <w:tcPr>
            <w:tcW w:w="821" w:type="pct"/>
            <w:noWrap/>
            <w:hideMark/>
          </w:tcPr>
          <w:p w14:paraId="49E85CA5" w14:textId="77777777" w:rsidR="00FF1C02" w:rsidRDefault="00FF1C02" w:rsidP="00630831">
            <w:pPr>
              <w:pStyle w:val="TableColumnHeadingRight"/>
            </w:pPr>
            <w:r w:rsidRPr="00825FD1">
              <w:t>202</w:t>
            </w:r>
            <w:r>
              <w:t xml:space="preserve">4 </w:t>
            </w:r>
          </w:p>
          <w:p w14:paraId="7237046C" w14:textId="77777777" w:rsidR="00FF1C02" w:rsidRPr="00DA2A88" w:rsidRDefault="00FF1C02" w:rsidP="00630831">
            <w:pPr>
              <w:pStyle w:val="TableColumnHeadingRight"/>
            </w:pPr>
            <w:r>
              <w:t>($million)</w:t>
            </w:r>
          </w:p>
        </w:tc>
      </w:tr>
      <w:tr w:rsidR="00FF1C02" w:rsidRPr="006534F5" w14:paraId="28D1D55D" w14:textId="77777777" w:rsidTr="003C2549">
        <w:trPr>
          <w:trHeight w:val="234"/>
        </w:trPr>
        <w:tc>
          <w:tcPr>
            <w:tcW w:w="3357" w:type="pct"/>
            <w:shd w:val="clear" w:color="auto" w:fill="F2F2F2" w:themeFill="background1" w:themeFillShade="F2"/>
            <w:noWrap/>
            <w:hideMark/>
          </w:tcPr>
          <w:p w14:paraId="111FAE21" w14:textId="77777777" w:rsidR="00FF1C02" w:rsidRPr="006534F5" w:rsidRDefault="00FF1C02" w:rsidP="00630831">
            <w:pPr>
              <w:pStyle w:val="TableTextLeft"/>
            </w:pPr>
            <w:r w:rsidRPr="006534F5">
              <w:t xml:space="preserve">Face value </w:t>
            </w:r>
          </w:p>
        </w:tc>
        <w:tc>
          <w:tcPr>
            <w:tcW w:w="822" w:type="pct"/>
            <w:shd w:val="clear" w:color="auto" w:fill="F2F2F2" w:themeFill="background1" w:themeFillShade="F2"/>
            <w:noWrap/>
          </w:tcPr>
          <w:p w14:paraId="0767E715" w14:textId="77777777" w:rsidR="00FF1C02" w:rsidRPr="00B85579" w:rsidRDefault="00FF1C02" w:rsidP="00630831">
            <w:pPr>
              <w:pStyle w:val="TableTextRight"/>
            </w:pPr>
            <w:r w:rsidRPr="00B85579">
              <w:t>33,000</w:t>
            </w:r>
          </w:p>
        </w:tc>
        <w:tc>
          <w:tcPr>
            <w:tcW w:w="821" w:type="pct"/>
            <w:shd w:val="clear" w:color="auto" w:fill="F2F2F2" w:themeFill="background1" w:themeFillShade="F2"/>
            <w:noWrap/>
            <w:hideMark/>
          </w:tcPr>
          <w:p w14:paraId="3818C1DC" w14:textId="77777777" w:rsidR="00FF1C02" w:rsidRPr="006534F5" w:rsidRDefault="00FF1C02" w:rsidP="00630831">
            <w:pPr>
              <w:pStyle w:val="TableTextRight"/>
              <w:rPr>
                <w:color w:val="202845"/>
              </w:rPr>
            </w:pPr>
            <w:r>
              <w:rPr>
                <w:color w:val="202845"/>
              </w:rPr>
              <w:t xml:space="preserve">28,000 </w:t>
            </w:r>
          </w:p>
        </w:tc>
      </w:tr>
      <w:tr w:rsidR="00FF1C02" w:rsidRPr="006534F5" w14:paraId="25AB7ECF" w14:textId="77777777" w:rsidTr="003C2549">
        <w:trPr>
          <w:trHeight w:val="234"/>
        </w:trPr>
        <w:tc>
          <w:tcPr>
            <w:tcW w:w="3357" w:type="pct"/>
            <w:shd w:val="clear" w:color="auto" w:fill="F2F2F2" w:themeFill="background1" w:themeFillShade="F2"/>
            <w:noWrap/>
            <w:hideMark/>
          </w:tcPr>
          <w:p w14:paraId="14F30C5B" w14:textId="77777777" w:rsidR="00FF1C02" w:rsidRPr="006534F5" w:rsidRDefault="00FF1C02" w:rsidP="00630831">
            <w:pPr>
              <w:pStyle w:val="TableTextLeft"/>
            </w:pPr>
            <w:r w:rsidRPr="006534F5">
              <w:t>Unexpired interest discount</w:t>
            </w:r>
          </w:p>
        </w:tc>
        <w:tc>
          <w:tcPr>
            <w:tcW w:w="822" w:type="pct"/>
            <w:shd w:val="clear" w:color="auto" w:fill="F2F2F2" w:themeFill="background1" w:themeFillShade="F2"/>
            <w:noWrap/>
          </w:tcPr>
          <w:p w14:paraId="4B2DC20B" w14:textId="77777777" w:rsidR="00FF1C02" w:rsidRPr="00B85579" w:rsidRDefault="00FF1C02" w:rsidP="00630831">
            <w:pPr>
              <w:pStyle w:val="TableTextRight"/>
            </w:pPr>
            <w:r w:rsidRPr="00B85579">
              <w:t>(181)</w:t>
            </w:r>
          </w:p>
        </w:tc>
        <w:tc>
          <w:tcPr>
            <w:tcW w:w="821" w:type="pct"/>
            <w:shd w:val="clear" w:color="auto" w:fill="F2F2F2" w:themeFill="background1" w:themeFillShade="F2"/>
            <w:noWrap/>
            <w:hideMark/>
          </w:tcPr>
          <w:p w14:paraId="357A08AC" w14:textId="77777777" w:rsidR="00FF1C02" w:rsidRPr="006534F5" w:rsidRDefault="00FF1C02" w:rsidP="00630831">
            <w:pPr>
              <w:pStyle w:val="TableTextRight"/>
              <w:rPr>
                <w:color w:val="202845"/>
              </w:rPr>
            </w:pPr>
            <w:r>
              <w:rPr>
                <w:color w:val="202845"/>
              </w:rPr>
              <w:t>(178)</w:t>
            </w:r>
          </w:p>
        </w:tc>
      </w:tr>
      <w:tr w:rsidR="00FF1C02" w:rsidRPr="006534F5" w14:paraId="174D279A" w14:textId="77777777" w:rsidTr="003C2549">
        <w:trPr>
          <w:trHeight w:val="234"/>
        </w:trPr>
        <w:tc>
          <w:tcPr>
            <w:tcW w:w="3357" w:type="pct"/>
            <w:shd w:val="clear" w:color="auto" w:fill="F2F2F2" w:themeFill="background1" w:themeFillShade="F2"/>
            <w:noWrap/>
            <w:hideMark/>
          </w:tcPr>
          <w:p w14:paraId="3F2C9A40" w14:textId="77777777" w:rsidR="00FF1C02" w:rsidRPr="006534F5" w:rsidRDefault="00FF1C02" w:rsidP="00630831">
            <w:pPr>
              <w:pStyle w:val="TableTextLeft"/>
            </w:pPr>
            <w:r w:rsidRPr="006534F5">
              <w:t>Market value adjustment</w:t>
            </w:r>
          </w:p>
        </w:tc>
        <w:tc>
          <w:tcPr>
            <w:tcW w:w="822" w:type="pct"/>
            <w:shd w:val="clear" w:color="auto" w:fill="F2F2F2" w:themeFill="background1" w:themeFillShade="F2"/>
            <w:noWrap/>
          </w:tcPr>
          <w:p w14:paraId="2D2654EE" w14:textId="77777777" w:rsidR="00FF1C02" w:rsidRPr="00B85579" w:rsidRDefault="00FF1C02" w:rsidP="00630831">
            <w:pPr>
              <w:pStyle w:val="TableTextRight"/>
            </w:pPr>
            <w:r w:rsidRPr="00B85579">
              <w:t>8</w:t>
            </w:r>
          </w:p>
        </w:tc>
        <w:tc>
          <w:tcPr>
            <w:tcW w:w="821" w:type="pct"/>
            <w:shd w:val="clear" w:color="auto" w:fill="F2F2F2" w:themeFill="background1" w:themeFillShade="F2"/>
            <w:noWrap/>
            <w:hideMark/>
          </w:tcPr>
          <w:p w14:paraId="3294F379" w14:textId="77777777" w:rsidR="00FF1C02" w:rsidRPr="006534F5" w:rsidRDefault="00FF1C02" w:rsidP="00630831">
            <w:pPr>
              <w:pStyle w:val="TableTextRight"/>
              <w:rPr>
                <w:color w:val="202845"/>
              </w:rPr>
            </w:pPr>
            <w:r>
              <w:rPr>
                <w:color w:val="202845"/>
              </w:rPr>
              <w:noBreakHyphen/>
            </w:r>
          </w:p>
        </w:tc>
      </w:tr>
      <w:tr w:rsidR="00FF1C02" w:rsidRPr="006534F5" w14:paraId="35B6884D" w14:textId="77777777" w:rsidTr="003C2549">
        <w:trPr>
          <w:trHeight w:val="234"/>
        </w:trPr>
        <w:tc>
          <w:tcPr>
            <w:tcW w:w="3357" w:type="pct"/>
            <w:shd w:val="clear" w:color="auto" w:fill="F2F2F2" w:themeFill="background1" w:themeFillShade="F2"/>
            <w:noWrap/>
            <w:hideMark/>
          </w:tcPr>
          <w:p w14:paraId="05F4ECBB" w14:textId="77777777" w:rsidR="00FF1C02" w:rsidRPr="00B92834" w:rsidRDefault="00FF1C02" w:rsidP="00630831">
            <w:pPr>
              <w:pStyle w:val="TableTextLeft"/>
              <w:rPr>
                <w:b/>
                <w:bCs/>
              </w:rPr>
            </w:pPr>
            <w:r w:rsidRPr="00B92834">
              <w:rPr>
                <w:b/>
                <w:bCs/>
              </w:rPr>
              <w:t>Carrying value</w:t>
            </w:r>
          </w:p>
        </w:tc>
        <w:tc>
          <w:tcPr>
            <w:tcW w:w="822" w:type="pct"/>
            <w:shd w:val="clear" w:color="auto" w:fill="F2F2F2" w:themeFill="background1" w:themeFillShade="F2"/>
            <w:noWrap/>
          </w:tcPr>
          <w:p w14:paraId="202A74BD" w14:textId="77777777" w:rsidR="00FF1C02" w:rsidRPr="00B92834" w:rsidRDefault="00FF1C02" w:rsidP="00630831">
            <w:pPr>
              <w:pStyle w:val="TableTextRight"/>
              <w:rPr>
                <w:b/>
                <w:bCs/>
              </w:rPr>
            </w:pPr>
            <w:r w:rsidRPr="00B92834">
              <w:rPr>
                <w:b/>
                <w:bCs/>
              </w:rPr>
              <w:t>32,827</w:t>
            </w:r>
          </w:p>
        </w:tc>
        <w:tc>
          <w:tcPr>
            <w:tcW w:w="821" w:type="pct"/>
            <w:shd w:val="clear" w:color="auto" w:fill="F2F2F2" w:themeFill="background1" w:themeFillShade="F2"/>
            <w:noWrap/>
            <w:hideMark/>
          </w:tcPr>
          <w:p w14:paraId="17CD2FFC" w14:textId="77777777" w:rsidR="00FF1C02" w:rsidRPr="00B92834" w:rsidRDefault="00FF1C02" w:rsidP="00630831">
            <w:pPr>
              <w:pStyle w:val="TableTextRight"/>
              <w:rPr>
                <w:b/>
                <w:bCs/>
              </w:rPr>
            </w:pPr>
            <w:r w:rsidRPr="00B92834">
              <w:rPr>
                <w:b/>
                <w:bCs/>
              </w:rPr>
              <w:t xml:space="preserve">27,822 </w:t>
            </w:r>
          </w:p>
        </w:tc>
      </w:tr>
    </w:tbl>
    <w:p w14:paraId="3697BCD4" w14:textId="77777777" w:rsidR="00FF1C02" w:rsidRDefault="00FF1C02" w:rsidP="00FF1C02"/>
    <w:p w14:paraId="7633D619" w14:textId="77777777" w:rsidR="00FF1C02" w:rsidRPr="006534F5" w:rsidRDefault="00FF1C02" w:rsidP="00FF1C02">
      <w:pPr>
        <w:pStyle w:val="TableMainHeading"/>
        <w:keepLines/>
        <w:rPr>
          <w:rFonts w:asciiTheme="minorHAnsi" w:hAnsiTheme="minorHAnsi" w:cstheme="minorBidi"/>
          <w:lang w:eastAsia="en-US"/>
        </w:rPr>
      </w:pPr>
      <w:r w:rsidRPr="006534F5">
        <w:t>Changes in principal value (face value) for the period</w:t>
      </w:r>
    </w:p>
    <w:tbl>
      <w:tblPr>
        <w:tblStyle w:val="AOFMTablemain"/>
        <w:tblW w:w="5000" w:type="pct"/>
        <w:tblLook w:val="06A0" w:firstRow="1" w:lastRow="0" w:firstColumn="1" w:lastColumn="0" w:noHBand="1" w:noVBand="1"/>
      </w:tblPr>
      <w:tblGrid>
        <w:gridCol w:w="5177"/>
        <w:gridCol w:w="1268"/>
        <w:gridCol w:w="1266"/>
      </w:tblGrid>
      <w:tr w:rsidR="004676A8" w:rsidRPr="006534F5" w14:paraId="46ADB416" w14:textId="77777777" w:rsidTr="00EC03D4">
        <w:trPr>
          <w:cnfStyle w:val="100000000000" w:firstRow="1" w:lastRow="0" w:firstColumn="0" w:lastColumn="0" w:oddVBand="0" w:evenVBand="0" w:oddHBand="0" w:evenHBand="0" w:firstRowFirstColumn="0" w:firstRowLastColumn="0" w:lastRowFirstColumn="0" w:lastRowLastColumn="0"/>
          <w:trHeight w:hRule="exact" w:val="567"/>
        </w:trPr>
        <w:tc>
          <w:tcPr>
            <w:tcW w:w="3357" w:type="pct"/>
            <w:noWrap/>
            <w:hideMark/>
          </w:tcPr>
          <w:p w14:paraId="3DA9690E" w14:textId="77777777" w:rsidR="00FF1C02" w:rsidRPr="000F30B0" w:rsidRDefault="00FF1C02" w:rsidP="00630831">
            <w:pPr>
              <w:pStyle w:val="TableColumnHeadingRight"/>
            </w:pPr>
            <w:r w:rsidRPr="000F30B0">
              <w:t> </w:t>
            </w:r>
          </w:p>
        </w:tc>
        <w:tc>
          <w:tcPr>
            <w:tcW w:w="822" w:type="pct"/>
            <w:noWrap/>
            <w:hideMark/>
          </w:tcPr>
          <w:p w14:paraId="27300E30" w14:textId="77777777" w:rsidR="00FF1C02" w:rsidRDefault="00FF1C02" w:rsidP="00630831">
            <w:pPr>
              <w:pStyle w:val="TableColumnHeadingRight"/>
            </w:pPr>
            <w:r w:rsidRPr="00825FD1">
              <w:t>202</w:t>
            </w:r>
            <w:r>
              <w:t xml:space="preserve">5 </w:t>
            </w:r>
          </w:p>
          <w:p w14:paraId="799D0194" w14:textId="77777777" w:rsidR="00FF1C02" w:rsidRPr="000F30B0" w:rsidRDefault="00FF1C02" w:rsidP="00630831">
            <w:pPr>
              <w:pStyle w:val="TableColumnHeadingRight"/>
            </w:pPr>
            <w:r>
              <w:t>($million)</w:t>
            </w:r>
          </w:p>
        </w:tc>
        <w:tc>
          <w:tcPr>
            <w:tcW w:w="821" w:type="pct"/>
            <w:noWrap/>
            <w:hideMark/>
          </w:tcPr>
          <w:p w14:paraId="1752892C" w14:textId="77777777" w:rsidR="00FF1C02" w:rsidRDefault="00FF1C02" w:rsidP="00630831">
            <w:pPr>
              <w:pStyle w:val="TableColumnHeadingRight"/>
            </w:pPr>
            <w:r w:rsidRPr="00825FD1">
              <w:t>202</w:t>
            </w:r>
            <w:r>
              <w:t xml:space="preserve">4 </w:t>
            </w:r>
          </w:p>
          <w:p w14:paraId="546520F2" w14:textId="77777777" w:rsidR="00FF1C02" w:rsidRPr="000F30B0" w:rsidRDefault="00FF1C02" w:rsidP="00630831">
            <w:pPr>
              <w:pStyle w:val="TableColumnHeadingRight"/>
            </w:pPr>
            <w:r>
              <w:t>($million)</w:t>
            </w:r>
          </w:p>
        </w:tc>
      </w:tr>
      <w:tr w:rsidR="00FF1C02" w:rsidRPr="006534F5" w14:paraId="151859AB" w14:textId="77777777" w:rsidTr="003C2549">
        <w:trPr>
          <w:trHeight w:hRule="exact" w:val="300"/>
        </w:trPr>
        <w:tc>
          <w:tcPr>
            <w:tcW w:w="3357" w:type="pct"/>
            <w:shd w:val="clear" w:color="auto" w:fill="F2F2F2" w:themeFill="background1" w:themeFillShade="F2"/>
            <w:noWrap/>
            <w:hideMark/>
          </w:tcPr>
          <w:p w14:paraId="10E29779" w14:textId="77777777" w:rsidR="00FF1C02" w:rsidRPr="006534F5" w:rsidRDefault="00FF1C02" w:rsidP="00630831">
            <w:pPr>
              <w:pStyle w:val="TableTextLeft"/>
            </w:pPr>
            <w:r w:rsidRPr="006534F5">
              <w:t xml:space="preserve">Issuance </w:t>
            </w:r>
          </w:p>
        </w:tc>
        <w:tc>
          <w:tcPr>
            <w:tcW w:w="822" w:type="pct"/>
            <w:shd w:val="clear" w:color="auto" w:fill="F2F2F2" w:themeFill="background1" w:themeFillShade="F2"/>
            <w:noWrap/>
          </w:tcPr>
          <w:p w14:paraId="5FD9AA83" w14:textId="77777777" w:rsidR="00FF1C02" w:rsidRPr="006534F5" w:rsidRDefault="00FF1C02" w:rsidP="00630831">
            <w:pPr>
              <w:pStyle w:val="TableTextRight"/>
              <w:rPr>
                <w:color w:val="202845"/>
              </w:rPr>
            </w:pPr>
            <w:r>
              <w:rPr>
                <w:color w:val="202845"/>
              </w:rPr>
              <w:t>115,500</w:t>
            </w:r>
          </w:p>
        </w:tc>
        <w:tc>
          <w:tcPr>
            <w:tcW w:w="821" w:type="pct"/>
            <w:shd w:val="clear" w:color="auto" w:fill="F2F2F2" w:themeFill="background1" w:themeFillShade="F2"/>
            <w:noWrap/>
            <w:hideMark/>
          </w:tcPr>
          <w:p w14:paraId="3C6F4E37" w14:textId="77777777" w:rsidR="00FF1C02" w:rsidRPr="006534F5" w:rsidRDefault="00FF1C02" w:rsidP="00630831">
            <w:pPr>
              <w:pStyle w:val="TableTextRight"/>
              <w:rPr>
                <w:color w:val="202845"/>
              </w:rPr>
            </w:pPr>
            <w:r>
              <w:rPr>
                <w:color w:val="202845"/>
              </w:rPr>
              <w:t xml:space="preserve"> 95,000 </w:t>
            </w:r>
          </w:p>
        </w:tc>
      </w:tr>
      <w:tr w:rsidR="00FF1C02" w:rsidRPr="006534F5" w14:paraId="09B326E3" w14:textId="77777777" w:rsidTr="003C2549">
        <w:trPr>
          <w:trHeight w:hRule="exact" w:val="300"/>
        </w:trPr>
        <w:tc>
          <w:tcPr>
            <w:tcW w:w="3357" w:type="pct"/>
            <w:shd w:val="clear" w:color="auto" w:fill="F2F2F2" w:themeFill="background1" w:themeFillShade="F2"/>
            <w:noWrap/>
            <w:hideMark/>
          </w:tcPr>
          <w:p w14:paraId="6234A5BF" w14:textId="77777777" w:rsidR="00FF1C02" w:rsidRPr="006534F5" w:rsidRDefault="00FF1C02" w:rsidP="00630831">
            <w:pPr>
              <w:pStyle w:val="TableTextLeft"/>
            </w:pPr>
            <w:r w:rsidRPr="006534F5">
              <w:t>Maturities</w:t>
            </w:r>
          </w:p>
        </w:tc>
        <w:tc>
          <w:tcPr>
            <w:tcW w:w="822" w:type="pct"/>
            <w:shd w:val="clear" w:color="auto" w:fill="F2F2F2" w:themeFill="background1" w:themeFillShade="F2"/>
            <w:noWrap/>
          </w:tcPr>
          <w:p w14:paraId="18C78C2C" w14:textId="77777777" w:rsidR="00FF1C02" w:rsidRPr="006534F5" w:rsidRDefault="00FF1C02" w:rsidP="00630831">
            <w:pPr>
              <w:pStyle w:val="TableTextRight"/>
              <w:rPr>
                <w:color w:val="202845"/>
              </w:rPr>
            </w:pPr>
            <w:r>
              <w:rPr>
                <w:color w:val="202845"/>
              </w:rPr>
              <w:t>(110,500)</w:t>
            </w:r>
          </w:p>
        </w:tc>
        <w:tc>
          <w:tcPr>
            <w:tcW w:w="821" w:type="pct"/>
            <w:shd w:val="clear" w:color="auto" w:fill="F2F2F2" w:themeFill="background1" w:themeFillShade="F2"/>
            <w:noWrap/>
            <w:hideMark/>
          </w:tcPr>
          <w:p w14:paraId="3A592A29" w14:textId="77777777" w:rsidR="00FF1C02" w:rsidRPr="006534F5" w:rsidRDefault="00FF1C02" w:rsidP="00630831">
            <w:pPr>
              <w:pStyle w:val="TableTextRight"/>
              <w:rPr>
                <w:color w:val="202845"/>
              </w:rPr>
            </w:pPr>
            <w:r>
              <w:rPr>
                <w:color w:val="202845"/>
              </w:rPr>
              <w:t>(93,500)</w:t>
            </w:r>
          </w:p>
        </w:tc>
      </w:tr>
      <w:tr w:rsidR="00FF1C02" w:rsidRPr="006534F5" w14:paraId="51758DE1" w14:textId="77777777" w:rsidTr="003C2549">
        <w:trPr>
          <w:trHeight w:hRule="exact" w:val="340"/>
        </w:trPr>
        <w:tc>
          <w:tcPr>
            <w:tcW w:w="3357" w:type="pct"/>
            <w:shd w:val="clear" w:color="auto" w:fill="F2F2F2" w:themeFill="background1" w:themeFillShade="F2"/>
            <w:noWrap/>
            <w:hideMark/>
          </w:tcPr>
          <w:p w14:paraId="38E78A96" w14:textId="77777777" w:rsidR="00FF1C02" w:rsidRPr="00BE11AF" w:rsidRDefault="00FF1C02" w:rsidP="00630831">
            <w:pPr>
              <w:pStyle w:val="TableTextLeft"/>
              <w:rPr>
                <w:b/>
                <w:bCs/>
              </w:rPr>
            </w:pPr>
            <w:r w:rsidRPr="00BE11AF">
              <w:rPr>
                <w:b/>
                <w:bCs/>
              </w:rPr>
              <w:t>Change in principal value</w:t>
            </w:r>
          </w:p>
        </w:tc>
        <w:tc>
          <w:tcPr>
            <w:tcW w:w="822" w:type="pct"/>
            <w:shd w:val="clear" w:color="auto" w:fill="F2F2F2" w:themeFill="background1" w:themeFillShade="F2"/>
            <w:noWrap/>
          </w:tcPr>
          <w:p w14:paraId="25BC7835" w14:textId="77777777" w:rsidR="00FF1C02" w:rsidRPr="00BE11AF" w:rsidRDefault="00FF1C02" w:rsidP="00630831">
            <w:pPr>
              <w:pStyle w:val="TableTextRight"/>
              <w:rPr>
                <w:b/>
                <w:bCs/>
              </w:rPr>
            </w:pPr>
            <w:r w:rsidRPr="00BE11AF">
              <w:rPr>
                <w:b/>
                <w:bCs/>
              </w:rPr>
              <w:t>5,000</w:t>
            </w:r>
          </w:p>
        </w:tc>
        <w:tc>
          <w:tcPr>
            <w:tcW w:w="821" w:type="pct"/>
            <w:shd w:val="clear" w:color="auto" w:fill="F2F2F2" w:themeFill="background1" w:themeFillShade="F2"/>
            <w:noWrap/>
            <w:hideMark/>
          </w:tcPr>
          <w:p w14:paraId="4A5C4951" w14:textId="77777777" w:rsidR="00FF1C02" w:rsidRPr="00BE11AF" w:rsidRDefault="00FF1C02" w:rsidP="00630831">
            <w:pPr>
              <w:pStyle w:val="TableTextRight"/>
              <w:rPr>
                <w:b/>
                <w:bCs/>
              </w:rPr>
            </w:pPr>
            <w:r w:rsidRPr="00BE11AF">
              <w:rPr>
                <w:b/>
                <w:bCs/>
              </w:rPr>
              <w:t>1,500</w:t>
            </w:r>
          </w:p>
        </w:tc>
      </w:tr>
    </w:tbl>
    <w:p w14:paraId="25D0C855" w14:textId="77777777" w:rsidR="00FF1C02" w:rsidRDefault="00FF1C02" w:rsidP="00FF1C02">
      <w:r>
        <w:br w:type="page"/>
      </w:r>
    </w:p>
    <w:p w14:paraId="42984B7D" w14:textId="77777777" w:rsidR="00FF1C02" w:rsidRPr="006534F5" w:rsidRDefault="00FF1C02" w:rsidP="00FF1C02">
      <w:pPr>
        <w:pStyle w:val="Heading2"/>
        <w:rPr>
          <w:lang w:eastAsia="en-AU"/>
        </w:rPr>
      </w:pPr>
      <w:bookmarkStart w:id="1704" w:name="_Toc207792935"/>
      <w:bookmarkStart w:id="1705" w:name="_Toc207793975"/>
      <w:bookmarkStart w:id="1706" w:name="_Toc207796140"/>
      <w:bookmarkStart w:id="1707" w:name="_Toc207796979"/>
      <w:bookmarkStart w:id="1708" w:name="_Toc207800282"/>
      <w:bookmarkStart w:id="1709" w:name="_Toc207810860"/>
      <w:bookmarkStart w:id="1710" w:name="_Toc208914140"/>
      <w:bookmarkStart w:id="1711" w:name="_Toc209424537"/>
      <w:r w:rsidRPr="006534F5">
        <w:lastRenderedPageBreak/>
        <w:t xml:space="preserve">Note </w:t>
      </w:r>
      <w:r>
        <w:t>5</w:t>
      </w:r>
      <w:r w:rsidRPr="006534F5">
        <w:t xml:space="preserve">: Cash held in </w:t>
      </w:r>
      <w:r>
        <w:t xml:space="preserve">the </w:t>
      </w:r>
      <w:r w:rsidRPr="006534F5">
        <w:t>cash management account (CMA)</w:t>
      </w:r>
      <w:bookmarkEnd w:id="1704"/>
      <w:bookmarkEnd w:id="1705"/>
      <w:bookmarkEnd w:id="1706"/>
      <w:bookmarkEnd w:id="1707"/>
      <w:bookmarkEnd w:id="1708"/>
      <w:bookmarkEnd w:id="1709"/>
      <w:bookmarkEnd w:id="1710"/>
      <w:bookmarkEnd w:id="1711"/>
    </w:p>
    <w:p w14:paraId="6794C483" w14:textId="77777777" w:rsidR="00FF1C02" w:rsidRDefault="00FF1C02" w:rsidP="00FF1C02">
      <w:r w:rsidRPr="00185382">
        <w:t xml:space="preserve">The CMA was created under the authority of section 53 of the </w:t>
      </w:r>
      <w:r w:rsidRPr="00185382">
        <w:rPr>
          <w:i/>
        </w:rPr>
        <w:t>Public Governance, Performance and Accountability Act 2013</w:t>
      </w:r>
      <w:r w:rsidRPr="00185382">
        <w:t>. The CMA resides outside the O</w:t>
      </w:r>
      <w:r>
        <w:t>PA</w:t>
      </w:r>
      <w:r w:rsidRPr="00185382">
        <w:t xml:space="preserve"> and earns a market rate of interest. The agreement is structured so that excess OPA balances (above an agreed minimum threshold) are swept to the CMA at the end of each day and returned to the OPA at the start of the next day. The cash balance of the OPA is reported by the Department of Finance. </w:t>
      </w: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FF1C02" w14:paraId="5E0D9645" w14:textId="77777777" w:rsidTr="00630831">
        <w:tc>
          <w:tcPr>
            <w:tcW w:w="7797" w:type="dxa"/>
            <w:tcBorders>
              <w:bottom w:val="single" w:sz="24" w:space="0" w:color="472978" w:themeColor="accent1"/>
            </w:tcBorders>
            <w:shd w:val="clear" w:color="auto" w:fill="E7DCF7" w:themeFill="text2" w:themeFillTint="1A"/>
          </w:tcPr>
          <w:p w14:paraId="5143C814" w14:textId="77777777" w:rsidR="00FF1C02" w:rsidRDefault="00FF1C02" w:rsidP="00630831">
            <w:pPr>
              <w:pStyle w:val="Boxheading"/>
            </w:pPr>
            <w:r>
              <w:t>Accounting policy</w:t>
            </w:r>
          </w:p>
          <w:p w14:paraId="305F9616" w14:textId="77777777" w:rsidR="00FF1C02" w:rsidRPr="006574CB" w:rsidRDefault="00FF1C02" w:rsidP="00630831">
            <w:pPr>
              <w:pStyle w:val="BoxText"/>
            </w:pPr>
            <w:r>
              <w:t>The balances held in the cash management account are effectively ‘at call’ and classified as ‘cash’ in the administered schedule of assets and liabilities.</w:t>
            </w:r>
          </w:p>
        </w:tc>
      </w:tr>
    </w:tbl>
    <w:p w14:paraId="4A4AAB75" w14:textId="77777777" w:rsidR="00FF1C02" w:rsidRPr="006534F5" w:rsidRDefault="00FF1C02" w:rsidP="00FF1C02">
      <w:pPr>
        <w:pStyle w:val="Heading3"/>
      </w:pPr>
      <w:bookmarkStart w:id="1712" w:name="_Toc146112247"/>
      <w:bookmarkStart w:id="1713" w:name="_Toc207796141"/>
      <w:r w:rsidRPr="006534F5">
        <w:t>Key aggregates</w:t>
      </w:r>
      <w:bookmarkEnd w:id="1712"/>
      <w:bookmarkEnd w:id="1713"/>
    </w:p>
    <w:p w14:paraId="2DA091E7" w14:textId="77777777" w:rsidR="00FF1C02" w:rsidRPr="006534F5" w:rsidRDefault="00FF1C02" w:rsidP="00FF1C02">
      <w:pPr>
        <w:pStyle w:val="TableMainHeading"/>
        <w:keepLines/>
        <w:rPr>
          <w:rFonts w:asciiTheme="minorHAnsi" w:hAnsiTheme="minorHAnsi" w:cstheme="minorBidi"/>
          <w:lang w:eastAsia="en-US"/>
        </w:rPr>
      </w:pPr>
      <w:r w:rsidRPr="006534F5">
        <w:t>Interest revenue</w:t>
      </w:r>
    </w:p>
    <w:tbl>
      <w:tblPr>
        <w:tblStyle w:val="AOFMTablemain"/>
        <w:tblW w:w="5000" w:type="pct"/>
        <w:tblLook w:val="06A0" w:firstRow="1" w:lastRow="0" w:firstColumn="1" w:lastColumn="0" w:noHBand="1" w:noVBand="1"/>
      </w:tblPr>
      <w:tblGrid>
        <w:gridCol w:w="5177"/>
        <w:gridCol w:w="1268"/>
        <w:gridCol w:w="1266"/>
      </w:tblGrid>
      <w:tr w:rsidR="004676A8" w:rsidRPr="006534F5" w14:paraId="1D390BFA" w14:textId="77777777" w:rsidTr="00EC03D4">
        <w:trPr>
          <w:cnfStyle w:val="100000000000" w:firstRow="1" w:lastRow="0" w:firstColumn="0" w:lastColumn="0" w:oddVBand="0" w:evenVBand="0" w:oddHBand="0" w:evenHBand="0" w:firstRowFirstColumn="0" w:firstRowLastColumn="0" w:lastRowFirstColumn="0" w:lastRowLastColumn="0"/>
          <w:trHeight w:hRule="exact" w:val="588"/>
        </w:trPr>
        <w:tc>
          <w:tcPr>
            <w:tcW w:w="3357" w:type="pct"/>
            <w:noWrap/>
            <w:hideMark/>
          </w:tcPr>
          <w:p w14:paraId="040A2210" w14:textId="77777777" w:rsidR="00FF1C02" w:rsidRPr="00910647" w:rsidRDefault="00FF1C02" w:rsidP="00630831">
            <w:pPr>
              <w:pStyle w:val="TableColumnHeadingRight"/>
            </w:pPr>
            <w:r w:rsidRPr="00910647">
              <w:t> </w:t>
            </w:r>
          </w:p>
        </w:tc>
        <w:tc>
          <w:tcPr>
            <w:tcW w:w="822" w:type="pct"/>
            <w:noWrap/>
            <w:hideMark/>
          </w:tcPr>
          <w:p w14:paraId="13C97CCF" w14:textId="77777777" w:rsidR="00FF1C02" w:rsidRDefault="00FF1C02" w:rsidP="00630831">
            <w:pPr>
              <w:pStyle w:val="TableColumnHeadingRight"/>
            </w:pPr>
            <w:r w:rsidRPr="00825FD1">
              <w:t>202</w:t>
            </w:r>
            <w:r>
              <w:t xml:space="preserve">5 </w:t>
            </w:r>
          </w:p>
          <w:p w14:paraId="33C5BF22" w14:textId="77777777" w:rsidR="00FF1C02" w:rsidRPr="00910647" w:rsidRDefault="00FF1C02" w:rsidP="00630831">
            <w:pPr>
              <w:pStyle w:val="TableColumnHeadingRight"/>
            </w:pPr>
            <w:r>
              <w:t>($million)</w:t>
            </w:r>
          </w:p>
        </w:tc>
        <w:tc>
          <w:tcPr>
            <w:tcW w:w="821" w:type="pct"/>
            <w:noWrap/>
            <w:hideMark/>
          </w:tcPr>
          <w:p w14:paraId="44423C17" w14:textId="77777777" w:rsidR="00FF1C02" w:rsidRDefault="00FF1C02" w:rsidP="00630831">
            <w:pPr>
              <w:pStyle w:val="TableColumnHeadingRight"/>
            </w:pPr>
            <w:r w:rsidRPr="00825FD1">
              <w:t>202</w:t>
            </w:r>
            <w:r>
              <w:t xml:space="preserve">4 </w:t>
            </w:r>
          </w:p>
          <w:p w14:paraId="3C0815CC" w14:textId="77777777" w:rsidR="00FF1C02" w:rsidRPr="00910647" w:rsidRDefault="00FF1C02" w:rsidP="00630831">
            <w:pPr>
              <w:pStyle w:val="TableColumnHeadingRight"/>
            </w:pPr>
            <w:r>
              <w:t>($million)</w:t>
            </w:r>
          </w:p>
        </w:tc>
      </w:tr>
      <w:tr w:rsidR="00FF1C02" w:rsidRPr="006534F5" w14:paraId="79D2B649" w14:textId="77777777" w:rsidTr="003C2549">
        <w:trPr>
          <w:trHeight w:hRule="exact" w:val="300"/>
        </w:trPr>
        <w:tc>
          <w:tcPr>
            <w:tcW w:w="3357" w:type="pct"/>
            <w:shd w:val="clear" w:color="auto" w:fill="F2F2F2" w:themeFill="background1" w:themeFillShade="F2"/>
            <w:noWrap/>
            <w:hideMark/>
          </w:tcPr>
          <w:p w14:paraId="308D39A2" w14:textId="77777777" w:rsidR="00FF1C02" w:rsidRPr="006534F5" w:rsidRDefault="00FF1C02" w:rsidP="00630831">
            <w:pPr>
              <w:pStyle w:val="TableTextLeft"/>
              <w:rPr>
                <w:color w:val="202845"/>
              </w:rPr>
            </w:pPr>
            <w:r w:rsidRPr="00AE665D">
              <w:rPr>
                <w:color w:val="auto"/>
              </w:rPr>
              <w:t>Interest received / receivable</w:t>
            </w:r>
          </w:p>
        </w:tc>
        <w:tc>
          <w:tcPr>
            <w:tcW w:w="822" w:type="pct"/>
            <w:shd w:val="clear" w:color="auto" w:fill="F2F2F2" w:themeFill="background1" w:themeFillShade="F2"/>
            <w:noWrap/>
          </w:tcPr>
          <w:p w14:paraId="34E8BE17" w14:textId="77777777" w:rsidR="00FF1C02" w:rsidRPr="00AE665D" w:rsidRDefault="00FF1C02" w:rsidP="00630831">
            <w:pPr>
              <w:pStyle w:val="TableTextRight"/>
              <w:rPr>
                <w:color w:val="auto"/>
              </w:rPr>
            </w:pPr>
            <w:r>
              <w:rPr>
                <w:color w:val="auto"/>
              </w:rPr>
              <w:t>2</w:t>
            </w:r>
            <w:r>
              <w:t>,786</w:t>
            </w:r>
          </w:p>
        </w:tc>
        <w:tc>
          <w:tcPr>
            <w:tcW w:w="821" w:type="pct"/>
            <w:shd w:val="clear" w:color="auto" w:fill="F2F2F2" w:themeFill="background1" w:themeFillShade="F2"/>
            <w:noWrap/>
            <w:hideMark/>
          </w:tcPr>
          <w:p w14:paraId="5FD141B5" w14:textId="77777777" w:rsidR="00FF1C02" w:rsidRPr="00AE665D" w:rsidRDefault="00FF1C02" w:rsidP="00630831">
            <w:pPr>
              <w:pStyle w:val="TableTextRight"/>
              <w:rPr>
                <w:color w:val="auto"/>
              </w:rPr>
            </w:pPr>
            <w:r>
              <w:rPr>
                <w:color w:val="auto"/>
              </w:rPr>
              <w:t>2,872</w:t>
            </w:r>
            <w:r w:rsidRPr="00AE665D">
              <w:rPr>
                <w:color w:val="auto"/>
              </w:rPr>
              <w:t xml:space="preserve"> </w:t>
            </w:r>
          </w:p>
        </w:tc>
      </w:tr>
      <w:tr w:rsidR="00FF1C02" w:rsidRPr="006534F5" w14:paraId="10E2AFC5" w14:textId="77777777" w:rsidTr="003C2549">
        <w:trPr>
          <w:trHeight w:hRule="exact" w:val="300"/>
        </w:trPr>
        <w:tc>
          <w:tcPr>
            <w:tcW w:w="3357" w:type="pct"/>
            <w:shd w:val="clear" w:color="auto" w:fill="F2F2F2" w:themeFill="background1" w:themeFillShade="F2"/>
            <w:noWrap/>
            <w:hideMark/>
          </w:tcPr>
          <w:p w14:paraId="23A80030" w14:textId="77777777" w:rsidR="00FF1C02" w:rsidRPr="00BE11AF" w:rsidRDefault="00FF1C02" w:rsidP="00630831">
            <w:pPr>
              <w:pStyle w:val="TableTextLeft"/>
              <w:rPr>
                <w:b/>
                <w:bCs/>
              </w:rPr>
            </w:pPr>
            <w:r w:rsidRPr="00BE11AF">
              <w:rPr>
                <w:b/>
                <w:bCs/>
              </w:rPr>
              <w:t>Interest revenue</w:t>
            </w:r>
          </w:p>
        </w:tc>
        <w:tc>
          <w:tcPr>
            <w:tcW w:w="822" w:type="pct"/>
            <w:shd w:val="clear" w:color="auto" w:fill="F2F2F2" w:themeFill="background1" w:themeFillShade="F2"/>
            <w:noWrap/>
          </w:tcPr>
          <w:p w14:paraId="7F1BFA0A" w14:textId="77777777" w:rsidR="00FF1C02" w:rsidRPr="00BE11AF" w:rsidRDefault="00FF1C02" w:rsidP="00630831">
            <w:pPr>
              <w:pStyle w:val="TableTextRight"/>
              <w:rPr>
                <w:b/>
                <w:bCs/>
              </w:rPr>
            </w:pPr>
            <w:r w:rsidRPr="00BE11AF">
              <w:rPr>
                <w:b/>
                <w:bCs/>
              </w:rPr>
              <w:t>2,786</w:t>
            </w:r>
          </w:p>
        </w:tc>
        <w:tc>
          <w:tcPr>
            <w:tcW w:w="821" w:type="pct"/>
            <w:shd w:val="clear" w:color="auto" w:fill="F2F2F2" w:themeFill="background1" w:themeFillShade="F2"/>
            <w:noWrap/>
            <w:hideMark/>
          </w:tcPr>
          <w:p w14:paraId="6F545235" w14:textId="77777777" w:rsidR="00FF1C02" w:rsidRPr="00BE11AF" w:rsidRDefault="00FF1C02" w:rsidP="00630831">
            <w:pPr>
              <w:pStyle w:val="TableTextRight"/>
              <w:rPr>
                <w:b/>
                <w:bCs/>
              </w:rPr>
            </w:pPr>
            <w:r w:rsidRPr="00BE11AF">
              <w:rPr>
                <w:b/>
                <w:bCs/>
              </w:rPr>
              <w:t>2,872</w:t>
            </w:r>
          </w:p>
        </w:tc>
      </w:tr>
    </w:tbl>
    <w:p w14:paraId="637DDD6C" w14:textId="77777777" w:rsidR="00FF1C02" w:rsidRDefault="00FF1C02" w:rsidP="00FF1C02"/>
    <w:p w14:paraId="6EA475A9" w14:textId="77777777" w:rsidR="00FF1C02" w:rsidRPr="006534F5" w:rsidRDefault="00FF1C02" w:rsidP="00FF1C02">
      <w:pPr>
        <w:pStyle w:val="TableMainHeading"/>
        <w:keepLines/>
        <w:rPr>
          <w:rFonts w:asciiTheme="minorHAnsi" w:hAnsiTheme="minorHAnsi" w:cstheme="minorBidi"/>
          <w:lang w:eastAsia="en-US"/>
        </w:rPr>
      </w:pPr>
      <w:r w:rsidRPr="006534F5">
        <w:t>Carrying values – administered assets</w:t>
      </w:r>
    </w:p>
    <w:tbl>
      <w:tblPr>
        <w:tblStyle w:val="AOFMTablemain"/>
        <w:tblW w:w="5000" w:type="pct"/>
        <w:tblLook w:val="06A0" w:firstRow="1" w:lastRow="0" w:firstColumn="1" w:lastColumn="0" w:noHBand="1" w:noVBand="1"/>
      </w:tblPr>
      <w:tblGrid>
        <w:gridCol w:w="5177"/>
        <w:gridCol w:w="1268"/>
        <w:gridCol w:w="1266"/>
      </w:tblGrid>
      <w:tr w:rsidR="004676A8" w:rsidRPr="006534F5" w14:paraId="2A8EDCD7" w14:textId="77777777" w:rsidTr="00EC03D4">
        <w:trPr>
          <w:cnfStyle w:val="100000000000" w:firstRow="1" w:lastRow="0" w:firstColumn="0" w:lastColumn="0" w:oddVBand="0" w:evenVBand="0" w:oddHBand="0" w:evenHBand="0" w:firstRowFirstColumn="0" w:firstRowLastColumn="0" w:lastRowFirstColumn="0" w:lastRowLastColumn="0"/>
        </w:trPr>
        <w:tc>
          <w:tcPr>
            <w:tcW w:w="3357" w:type="pct"/>
            <w:noWrap/>
            <w:hideMark/>
          </w:tcPr>
          <w:p w14:paraId="3642D725" w14:textId="77777777" w:rsidR="00FF1C02" w:rsidRPr="00910647" w:rsidRDefault="00FF1C02" w:rsidP="00630831">
            <w:pPr>
              <w:pStyle w:val="TableColumnHeadingRight"/>
            </w:pPr>
            <w:r w:rsidRPr="00910647">
              <w:t> </w:t>
            </w:r>
          </w:p>
        </w:tc>
        <w:tc>
          <w:tcPr>
            <w:tcW w:w="822" w:type="pct"/>
            <w:noWrap/>
            <w:hideMark/>
          </w:tcPr>
          <w:p w14:paraId="3D447EEF" w14:textId="77777777" w:rsidR="00FF1C02" w:rsidRDefault="00FF1C02" w:rsidP="00630831">
            <w:pPr>
              <w:pStyle w:val="TableColumnHeadingRight"/>
            </w:pPr>
            <w:r w:rsidRPr="00825FD1">
              <w:t>202</w:t>
            </w:r>
            <w:r>
              <w:t xml:space="preserve">5 </w:t>
            </w:r>
          </w:p>
          <w:p w14:paraId="07C65E29" w14:textId="77777777" w:rsidR="00FF1C02" w:rsidRPr="00910647" w:rsidRDefault="00FF1C02" w:rsidP="00630831">
            <w:pPr>
              <w:pStyle w:val="TableColumnHeadingRight"/>
            </w:pPr>
            <w:r>
              <w:t>($million)</w:t>
            </w:r>
          </w:p>
        </w:tc>
        <w:tc>
          <w:tcPr>
            <w:tcW w:w="821" w:type="pct"/>
            <w:noWrap/>
            <w:hideMark/>
          </w:tcPr>
          <w:p w14:paraId="6016FB5F" w14:textId="77777777" w:rsidR="00FF1C02" w:rsidRDefault="00FF1C02" w:rsidP="00630831">
            <w:pPr>
              <w:pStyle w:val="TableColumnHeadingRight"/>
            </w:pPr>
            <w:r w:rsidRPr="00825FD1">
              <w:t>202</w:t>
            </w:r>
            <w:r>
              <w:t xml:space="preserve">4 </w:t>
            </w:r>
          </w:p>
          <w:p w14:paraId="6CB6595B" w14:textId="77777777" w:rsidR="00FF1C02" w:rsidRPr="00910647" w:rsidRDefault="00FF1C02" w:rsidP="00630831">
            <w:pPr>
              <w:pStyle w:val="TableColumnHeadingRight"/>
            </w:pPr>
            <w:r>
              <w:t>($million)</w:t>
            </w:r>
          </w:p>
        </w:tc>
      </w:tr>
      <w:tr w:rsidR="00FF1C02" w:rsidRPr="006534F5" w14:paraId="6028598C" w14:textId="77777777" w:rsidTr="003C2549">
        <w:tc>
          <w:tcPr>
            <w:tcW w:w="3357" w:type="pct"/>
            <w:shd w:val="clear" w:color="auto" w:fill="F2F2F2" w:themeFill="background1" w:themeFillShade="F2"/>
            <w:noWrap/>
            <w:hideMark/>
          </w:tcPr>
          <w:p w14:paraId="45BAE36B" w14:textId="77777777" w:rsidR="00FF1C02" w:rsidRPr="00AE665D" w:rsidRDefault="00FF1C02" w:rsidP="00630831">
            <w:pPr>
              <w:pStyle w:val="TableTextLeft"/>
              <w:rPr>
                <w:color w:val="auto"/>
              </w:rPr>
            </w:pPr>
            <w:r w:rsidRPr="00AE665D">
              <w:rPr>
                <w:color w:val="auto"/>
              </w:rPr>
              <w:t>Face value</w:t>
            </w:r>
          </w:p>
        </w:tc>
        <w:tc>
          <w:tcPr>
            <w:tcW w:w="822" w:type="pct"/>
            <w:shd w:val="clear" w:color="auto" w:fill="F2F2F2" w:themeFill="background1" w:themeFillShade="F2"/>
            <w:noWrap/>
          </w:tcPr>
          <w:p w14:paraId="2DB36C5E" w14:textId="77777777" w:rsidR="00FF1C02" w:rsidRPr="00AE665D" w:rsidRDefault="00FF1C02" w:rsidP="00630831">
            <w:pPr>
              <w:pStyle w:val="TableTextRight"/>
              <w:rPr>
                <w:color w:val="auto"/>
              </w:rPr>
            </w:pPr>
            <w:r>
              <w:rPr>
                <w:color w:val="auto"/>
              </w:rPr>
              <w:t>6</w:t>
            </w:r>
            <w:r>
              <w:t>8,379</w:t>
            </w:r>
          </w:p>
        </w:tc>
        <w:tc>
          <w:tcPr>
            <w:tcW w:w="821" w:type="pct"/>
            <w:shd w:val="clear" w:color="auto" w:fill="F2F2F2" w:themeFill="background1" w:themeFillShade="F2"/>
            <w:noWrap/>
            <w:hideMark/>
          </w:tcPr>
          <w:p w14:paraId="57512C96" w14:textId="77777777" w:rsidR="00FF1C02" w:rsidRPr="00AE665D" w:rsidRDefault="00FF1C02" w:rsidP="00630831">
            <w:pPr>
              <w:pStyle w:val="TableTextRight"/>
              <w:rPr>
                <w:color w:val="auto"/>
              </w:rPr>
            </w:pPr>
            <w:r>
              <w:rPr>
                <w:color w:val="auto"/>
              </w:rPr>
              <w:t>85,552</w:t>
            </w:r>
          </w:p>
        </w:tc>
      </w:tr>
      <w:tr w:rsidR="00FF1C02" w:rsidRPr="006534F5" w14:paraId="35F7917B" w14:textId="77777777" w:rsidTr="003C2549">
        <w:tc>
          <w:tcPr>
            <w:tcW w:w="3357" w:type="pct"/>
            <w:shd w:val="clear" w:color="auto" w:fill="F2F2F2" w:themeFill="background1" w:themeFillShade="F2"/>
            <w:noWrap/>
            <w:hideMark/>
          </w:tcPr>
          <w:p w14:paraId="07002EA6" w14:textId="77777777" w:rsidR="00FF1C02" w:rsidRPr="00AE665D" w:rsidRDefault="00FF1C02" w:rsidP="00630831">
            <w:pPr>
              <w:pStyle w:val="TableTextLeft"/>
              <w:rPr>
                <w:color w:val="auto"/>
              </w:rPr>
            </w:pPr>
            <w:r w:rsidRPr="00AE665D">
              <w:rPr>
                <w:color w:val="auto"/>
              </w:rPr>
              <w:t>Accrued interest (a)</w:t>
            </w:r>
          </w:p>
        </w:tc>
        <w:tc>
          <w:tcPr>
            <w:tcW w:w="822" w:type="pct"/>
            <w:shd w:val="clear" w:color="auto" w:fill="F2F2F2" w:themeFill="background1" w:themeFillShade="F2"/>
            <w:noWrap/>
          </w:tcPr>
          <w:p w14:paraId="2D0A412A" w14:textId="77777777" w:rsidR="00FF1C02" w:rsidRPr="00AE665D" w:rsidRDefault="00FF1C02" w:rsidP="00630831">
            <w:pPr>
              <w:pStyle w:val="TableTextRight"/>
              <w:rPr>
                <w:color w:val="auto"/>
              </w:rPr>
            </w:pPr>
            <w:r>
              <w:rPr>
                <w:color w:val="auto"/>
              </w:rPr>
              <w:t>2</w:t>
            </w:r>
            <w:r>
              <w:t>30</w:t>
            </w:r>
          </w:p>
        </w:tc>
        <w:tc>
          <w:tcPr>
            <w:tcW w:w="821" w:type="pct"/>
            <w:shd w:val="clear" w:color="auto" w:fill="F2F2F2" w:themeFill="background1" w:themeFillShade="F2"/>
            <w:noWrap/>
            <w:hideMark/>
          </w:tcPr>
          <w:p w14:paraId="7D72BE32" w14:textId="77777777" w:rsidR="00FF1C02" w:rsidRPr="00AE665D" w:rsidRDefault="00FF1C02" w:rsidP="00630831">
            <w:pPr>
              <w:pStyle w:val="TableTextRight"/>
              <w:rPr>
                <w:color w:val="auto"/>
              </w:rPr>
            </w:pPr>
            <w:r w:rsidRPr="00AE665D">
              <w:rPr>
                <w:color w:val="auto"/>
              </w:rPr>
              <w:t>29</w:t>
            </w:r>
            <w:r>
              <w:rPr>
                <w:color w:val="auto"/>
              </w:rPr>
              <w:t>5</w:t>
            </w:r>
            <w:r w:rsidRPr="00AE665D">
              <w:rPr>
                <w:color w:val="auto"/>
              </w:rPr>
              <w:t xml:space="preserve"> </w:t>
            </w:r>
          </w:p>
        </w:tc>
      </w:tr>
      <w:tr w:rsidR="00FF1C02" w:rsidRPr="006534F5" w14:paraId="5EFACB3C" w14:textId="77777777" w:rsidTr="003C2549">
        <w:tc>
          <w:tcPr>
            <w:tcW w:w="3357" w:type="pct"/>
            <w:shd w:val="clear" w:color="auto" w:fill="F2F2F2" w:themeFill="background1" w:themeFillShade="F2"/>
            <w:noWrap/>
            <w:hideMark/>
          </w:tcPr>
          <w:p w14:paraId="7594E556" w14:textId="77777777" w:rsidR="00FF1C02" w:rsidRPr="00E83855" w:rsidRDefault="00FF1C02" w:rsidP="00630831">
            <w:pPr>
              <w:pStyle w:val="TableTextLeft"/>
              <w:rPr>
                <w:b/>
                <w:bCs/>
              </w:rPr>
            </w:pPr>
            <w:r w:rsidRPr="00E83855">
              <w:rPr>
                <w:b/>
                <w:bCs/>
              </w:rPr>
              <w:t>Carrying value</w:t>
            </w:r>
          </w:p>
        </w:tc>
        <w:tc>
          <w:tcPr>
            <w:tcW w:w="822" w:type="pct"/>
            <w:shd w:val="clear" w:color="auto" w:fill="F2F2F2" w:themeFill="background1" w:themeFillShade="F2"/>
            <w:noWrap/>
          </w:tcPr>
          <w:p w14:paraId="6C2F0349" w14:textId="77777777" w:rsidR="00FF1C02" w:rsidRPr="00E83855" w:rsidRDefault="00FF1C02" w:rsidP="00630831">
            <w:pPr>
              <w:pStyle w:val="TableTextRight"/>
              <w:rPr>
                <w:b/>
                <w:bCs/>
              </w:rPr>
            </w:pPr>
            <w:r w:rsidRPr="00E83855">
              <w:rPr>
                <w:b/>
                <w:bCs/>
              </w:rPr>
              <w:t>68,608</w:t>
            </w:r>
          </w:p>
        </w:tc>
        <w:tc>
          <w:tcPr>
            <w:tcW w:w="821" w:type="pct"/>
            <w:shd w:val="clear" w:color="auto" w:fill="F2F2F2" w:themeFill="background1" w:themeFillShade="F2"/>
            <w:noWrap/>
            <w:hideMark/>
          </w:tcPr>
          <w:p w14:paraId="629DE8D9" w14:textId="77777777" w:rsidR="00FF1C02" w:rsidRPr="00E83855" w:rsidRDefault="00FF1C02" w:rsidP="00630831">
            <w:pPr>
              <w:pStyle w:val="TableTextRight"/>
              <w:rPr>
                <w:b/>
                <w:bCs/>
              </w:rPr>
            </w:pPr>
            <w:r w:rsidRPr="00E83855">
              <w:rPr>
                <w:b/>
                <w:bCs/>
              </w:rPr>
              <w:t xml:space="preserve">85,847 </w:t>
            </w:r>
          </w:p>
        </w:tc>
      </w:tr>
    </w:tbl>
    <w:p w14:paraId="5653A70B" w14:textId="77777777" w:rsidR="00FF1C02" w:rsidRPr="006534F5" w:rsidRDefault="00FF1C02" w:rsidP="006D2EDF">
      <w:pPr>
        <w:pStyle w:val="ChartorTableNoteAlpha"/>
        <w:numPr>
          <w:ilvl w:val="0"/>
          <w:numId w:val="40"/>
        </w:numPr>
      </w:pPr>
      <w:r w:rsidRPr="006534F5">
        <w:t xml:space="preserve">The accrued interest on the cash management account is reported separately to the principal value of the cash balance on the administered </w:t>
      </w:r>
      <w:r>
        <w:t>schedule of assets and liabilities</w:t>
      </w:r>
      <w:r w:rsidRPr="006534F5">
        <w:t>.</w:t>
      </w:r>
    </w:p>
    <w:p w14:paraId="24980EB4" w14:textId="77777777" w:rsidR="00FF1C02" w:rsidRPr="006534F5" w:rsidRDefault="00531012" w:rsidP="00FF1C02">
      <w:pPr>
        <w:pStyle w:val="Heading2"/>
        <w:rPr>
          <w:rFonts w:cs="Arial"/>
          <w:lang w:eastAsia="en-AU"/>
        </w:rPr>
      </w:pPr>
      <w:r>
        <w:br w:type="page"/>
      </w:r>
      <w:bookmarkStart w:id="1714" w:name="_Toc146112248"/>
      <w:bookmarkStart w:id="1715" w:name="_Toc207792936"/>
      <w:bookmarkStart w:id="1716" w:name="_Toc207793976"/>
      <w:bookmarkStart w:id="1717" w:name="_Toc207796142"/>
      <w:bookmarkStart w:id="1718" w:name="_Toc207796980"/>
      <w:bookmarkStart w:id="1719" w:name="_Toc207800283"/>
      <w:bookmarkStart w:id="1720" w:name="_Toc207810861"/>
      <w:bookmarkStart w:id="1721" w:name="_Toc208914141"/>
      <w:bookmarkStart w:id="1722" w:name="_Toc209424538"/>
      <w:r w:rsidR="00FF1C02" w:rsidRPr="006534F5">
        <w:lastRenderedPageBreak/>
        <w:t xml:space="preserve">Note </w:t>
      </w:r>
      <w:r w:rsidR="00FF1C02">
        <w:t>6</w:t>
      </w:r>
      <w:r w:rsidR="00FF1C02" w:rsidRPr="006534F5">
        <w:t>: Investments in structured finance securities</w:t>
      </w:r>
      <w:bookmarkEnd w:id="1714"/>
      <w:bookmarkEnd w:id="1715"/>
      <w:bookmarkEnd w:id="1716"/>
      <w:bookmarkEnd w:id="1717"/>
      <w:bookmarkEnd w:id="1718"/>
      <w:bookmarkEnd w:id="1719"/>
      <w:bookmarkEnd w:id="1720"/>
      <w:bookmarkEnd w:id="1721"/>
      <w:bookmarkEnd w:id="1722"/>
    </w:p>
    <w:p w14:paraId="7878CFD3" w14:textId="77777777" w:rsidR="00FF1C02" w:rsidRPr="00185382" w:rsidRDefault="00FF1C02" w:rsidP="00FF1C02">
      <w:r w:rsidRPr="00185382">
        <w:t>Investments acquired by the AOFM through the ABSF and SFSF represent debt securities in structured finance vehicles, and are either public term securitisations, private warehouse financing facilities, or the debt securities issued by the Forbearance SPV. The contractual cash flows received on these debt securities represent payments of principal and interest on outstanding principal. This is consistent with a basic lending arrangement.</w:t>
      </w:r>
    </w:p>
    <w:p w14:paraId="4DC9D9F2" w14:textId="77777777" w:rsidR="00FF1C02" w:rsidRDefault="00FF1C02" w:rsidP="00FF1C02">
      <w:r>
        <w:t>During 2024</w:t>
      </w:r>
      <w:r w:rsidRPr="0084380D">
        <w:t>–</w:t>
      </w:r>
      <w:r>
        <w:t xml:space="preserve">25, the SFSF exited its remaining warehouse commitments, remaining Forbearance SPV amounts were repaid and remaining public market investments were sold. The SFSF does not hold any public market investments, warehouse commitments or outstanding Forbearance SPV balances as </w:t>
      </w:r>
      <w:proofErr w:type="gramStart"/>
      <w:r>
        <w:t>at</w:t>
      </w:r>
      <w:proofErr w:type="gramEnd"/>
      <w:r>
        <w:t xml:space="preserve"> 30 June 2025. </w:t>
      </w:r>
    </w:p>
    <w:p w14:paraId="6E9F97A9" w14:textId="77777777" w:rsidR="000F35C5" w:rsidRDefault="000F35C5" w:rsidP="000F35C5">
      <w:pPr>
        <w:pStyle w:val="SingleReturn"/>
      </w:pP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FF1C02" w14:paraId="66EF2203" w14:textId="77777777" w:rsidTr="000F35C5">
        <w:tc>
          <w:tcPr>
            <w:tcW w:w="7797" w:type="dxa"/>
            <w:tcBorders>
              <w:bottom w:val="single" w:sz="24" w:space="0" w:color="472978" w:themeColor="accent1"/>
            </w:tcBorders>
            <w:shd w:val="clear" w:color="auto" w:fill="E7DCF7" w:themeFill="text2" w:themeFillTint="1A"/>
          </w:tcPr>
          <w:p w14:paraId="53BB0256" w14:textId="77777777" w:rsidR="00FF1C02" w:rsidRDefault="00FF1C02" w:rsidP="00630831">
            <w:pPr>
              <w:pStyle w:val="Boxheading"/>
            </w:pPr>
            <w:r>
              <w:t>Accounting policy</w:t>
            </w:r>
          </w:p>
          <w:p w14:paraId="48558CE3" w14:textId="77777777" w:rsidR="00FF1C02" w:rsidRPr="00E83855" w:rsidRDefault="00FF1C02" w:rsidP="00630831">
            <w:pPr>
              <w:pStyle w:val="BoxText"/>
            </w:pPr>
            <w:r w:rsidRPr="00E83855">
              <w:t>The AOFM recognises these investments at fair value on initial recognition. The AOFM’s business model is to hold these investments primarily to collect the contractual cash flows, and as such they are carried at amortised cost on subsequent measurement using the effective interest method.</w:t>
            </w:r>
          </w:p>
          <w:p w14:paraId="150AACAB" w14:textId="77777777" w:rsidR="00FF1C02" w:rsidRPr="00E83855" w:rsidRDefault="00FF1C02" w:rsidP="00630831">
            <w:pPr>
              <w:pStyle w:val="BoxText"/>
            </w:pPr>
            <w:r w:rsidRPr="00E83855">
              <w:t>Periodically, actual historical performance of each investment is used to revise expected future performance. This information is used to gauge whether credit risk has increased significantly since acquisition, and to provide a revised estimate as to the expected future credit losses. Where relevant, the impairment provision is revised accordingly.</w:t>
            </w:r>
          </w:p>
          <w:p w14:paraId="558EEB8B" w14:textId="77777777" w:rsidR="00FF1C02" w:rsidRPr="006574CB" w:rsidRDefault="00FF1C02" w:rsidP="00630831">
            <w:pPr>
              <w:pStyle w:val="BoxText"/>
            </w:pPr>
            <w:r w:rsidRPr="00E83855">
              <w:t>Impairments on these investments are required to be measured on an expected credit loss (ECL) basis under AASB 9. The process of calculating the forward-looking loss allowance for both the 12</w:t>
            </w:r>
            <w:r>
              <w:t>-</w:t>
            </w:r>
            <w:r w:rsidRPr="00E83855">
              <w:t>month ECL and lifetime ECL categories requires the use of significant estimates and judgements of the probability of default, loss given default, exposure at default, and economic conditions.</w:t>
            </w:r>
          </w:p>
        </w:tc>
      </w:tr>
    </w:tbl>
    <w:p w14:paraId="7EF8CA37" w14:textId="77777777" w:rsidR="00FF1C02" w:rsidRDefault="00FF1C02" w:rsidP="00FF1C02"/>
    <w:p w14:paraId="1125545E" w14:textId="77777777" w:rsidR="00FF1C02" w:rsidRPr="006534F5" w:rsidRDefault="00FF1C02" w:rsidP="00FF1C02">
      <w:pPr>
        <w:pStyle w:val="Heading3"/>
      </w:pPr>
      <w:r>
        <w:br w:type="page"/>
      </w:r>
      <w:bookmarkStart w:id="1723" w:name="_Toc207796143"/>
      <w:r w:rsidRPr="006534F5">
        <w:lastRenderedPageBreak/>
        <w:t>Key aggregates</w:t>
      </w:r>
      <w:bookmarkEnd w:id="1723"/>
    </w:p>
    <w:p w14:paraId="602243F5" w14:textId="77777777" w:rsidR="00FF1C02" w:rsidRDefault="00FF1C02" w:rsidP="00FF1C02">
      <w:pPr>
        <w:pStyle w:val="TableMainHeading"/>
        <w:keepLines/>
      </w:pPr>
      <w:r w:rsidRPr="006534F5">
        <w:t>Interest revenue</w:t>
      </w:r>
    </w:p>
    <w:tbl>
      <w:tblPr>
        <w:tblStyle w:val="AOFMTablemain"/>
        <w:tblW w:w="5000" w:type="pct"/>
        <w:tblLook w:val="06A0" w:firstRow="1" w:lastRow="0" w:firstColumn="1" w:lastColumn="0" w:noHBand="1" w:noVBand="1"/>
      </w:tblPr>
      <w:tblGrid>
        <w:gridCol w:w="5585"/>
        <w:gridCol w:w="1063"/>
        <w:gridCol w:w="1063"/>
      </w:tblGrid>
      <w:tr w:rsidR="00E15250" w:rsidRPr="002A72FE" w14:paraId="3CE9C8F2" w14:textId="77777777" w:rsidTr="00982988">
        <w:trPr>
          <w:cnfStyle w:val="100000000000" w:firstRow="1" w:lastRow="0" w:firstColumn="0" w:lastColumn="0" w:oddVBand="0" w:evenVBand="0" w:oddHBand="0" w:evenHBand="0" w:firstRowFirstColumn="0" w:firstRowLastColumn="0" w:lastRowFirstColumn="0" w:lastRowLastColumn="0"/>
          <w:trHeight w:val="329"/>
        </w:trPr>
        <w:tc>
          <w:tcPr>
            <w:tcW w:w="3622" w:type="pct"/>
            <w:tcBorders>
              <w:bottom w:val="single" w:sz="4" w:space="0" w:color="29114B" w:themeColor="text2"/>
            </w:tcBorders>
            <w:noWrap/>
            <w:hideMark/>
          </w:tcPr>
          <w:p w14:paraId="1D95F57B" w14:textId="77777777" w:rsidR="00FF1C02" w:rsidRPr="00910647" w:rsidRDefault="00FF1C02" w:rsidP="00630831">
            <w:pPr>
              <w:pStyle w:val="TableColumnHeadingRight"/>
            </w:pPr>
          </w:p>
        </w:tc>
        <w:tc>
          <w:tcPr>
            <w:tcW w:w="689" w:type="pct"/>
            <w:tcBorders>
              <w:bottom w:val="single" w:sz="4" w:space="0" w:color="29114B" w:themeColor="text2"/>
            </w:tcBorders>
            <w:noWrap/>
            <w:hideMark/>
          </w:tcPr>
          <w:p w14:paraId="1CF7439B" w14:textId="77777777" w:rsidR="00FF1C02" w:rsidRDefault="00FF1C02" w:rsidP="00630831">
            <w:pPr>
              <w:pStyle w:val="TableColumnHeadingRight"/>
            </w:pPr>
            <w:r w:rsidRPr="00825FD1">
              <w:t>202</w:t>
            </w:r>
            <w:r>
              <w:t xml:space="preserve">5 </w:t>
            </w:r>
          </w:p>
          <w:p w14:paraId="54E95591" w14:textId="77777777" w:rsidR="00FF1C02" w:rsidRPr="00910647" w:rsidRDefault="00FF1C02" w:rsidP="00630831">
            <w:pPr>
              <w:pStyle w:val="TableColumnHeadingRight"/>
            </w:pPr>
            <w:r>
              <w:t>($million)</w:t>
            </w:r>
          </w:p>
        </w:tc>
        <w:tc>
          <w:tcPr>
            <w:tcW w:w="689" w:type="pct"/>
            <w:tcBorders>
              <w:bottom w:val="single" w:sz="4" w:space="0" w:color="29114B" w:themeColor="text2"/>
            </w:tcBorders>
            <w:noWrap/>
            <w:hideMark/>
          </w:tcPr>
          <w:p w14:paraId="168487BA" w14:textId="77777777" w:rsidR="00FF1C02" w:rsidRDefault="00FF1C02" w:rsidP="00630831">
            <w:pPr>
              <w:pStyle w:val="TableColumnHeadingRight"/>
            </w:pPr>
            <w:r w:rsidRPr="00825FD1">
              <w:t>202</w:t>
            </w:r>
            <w:r>
              <w:t xml:space="preserve">4 </w:t>
            </w:r>
          </w:p>
          <w:p w14:paraId="75579B32" w14:textId="77777777" w:rsidR="00FF1C02" w:rsidRPr="00910647" w:rsidRDefault="00FF1C02" w:rsidP="00630831">
            <w:pPr>
              <w:pStyle w:val="TableColumnHeadingRight"/>
            </w:pPr>
            <w:r>
              <w:t>($million)</w:t>
            </w:r>
          </w:p>
        </w:tc>
      </w:tr>
      <w:tr w:rsidR="00FF1C02" w:rsidRPr="002A72FE" w14:paraId="1089E77D" w14:textId="77777777" w:rsidTr="00982988">
        <w:trPr>
          <w:trHeight w:val="170"/>
        </w:trPr>
        <w:tc>
          <w:tcPr>
            <w:tcW w:w="3622"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6FCEC873" w14:textId="77777777" w:rsidR="00FF1C02" w:rsidRPr="00982988" w:rsidRDefault="00FF1C02" w:rsidP="00630831">
            <w:pPr>
              <w:pStyle w:val="TableSecondHeading"/>
              <w:rPr>
                <w:b/>
              </w:rPr>
            </w:pPr>
            <w:r w:rsidRPr="00982988">
              <w:rPr>
                <w:b/>
              </w:rPr>
              <w:t xml:space="preserve">Australian Business Securitisation Fund (ABSF): </w:t>
            </w:r>
          </w:p>
        </w:tc>
        <w:tc>
          <w:tcPr>
            <w:tcW w:w="689"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6AECCA21" w14:textId="77777777" w:rsidR="00FF1C02" w:rsidRPr="00E83855" w:rsidRDefault="00FF1C02" w:rsidP="00630831">
            <w:pPr>
              <w:pStyle w:val="TableTextRight"/>
            </w:pPr>
          </w:p>
        </w:tc>
        <w:tc>
          <w:tcPr>
            <w:tcW w:w="689" w:type="pct"/>
            <w:tcBorders>
              <w:top w:val="single" w:sz="4" w:space="0" w:color="29114B" w:themeColor="text2"/>
              <w:left w:val="single" w:sz="4" w:space="0" w:color="F2F2F2" w:themeColor="background1" w:themeShade="F2"/>
            </w:tcBorders>
            <w:shd w:val="clear" w:color="auto" w:fill="F2F2F2" w:themeFill="background1" w:themeFillShade="F2"/>
            <w:noWrap/>
          </w:tcPr>
          <w:p w14:paraId="191332A0" w14:textId="77777777" w:rsidR="00FF1C02" w:rsidRPr="00E83855" w:rsidRDefault="00FF1C02" w:rsidP="00630831">
            <w:pPr>
              <w:pStyle w:val="TableTextRight"/>
            </w:pPr>
          </w:p>
        </w:tc>
      </w:tr>
      <w:tr w:rsidR="00FF1C02" w:rsidRPr="002A72FE" w14:paraId="440EA3A7" w14:textId="77777777" w:rsidTr="003C2549">
        <w:trPr>
          <w:trHeight w:val="168"/>
        </w:trPr>
        <w:tc>
          <w:tcPr>
            <w:tcW w:w="3622" w:type="pct"/>
            <w:shd w:val="clear" w:color="auto" w:fill="F2F2F2" w:themeFill="background1" w:themeFillShade="F2"/>
            <w:noWrap/>
            <w:hideMark/>
          </w:tcPr>
          <w:p w14:paraId="15826534" w14:textId="77777777" w:rsidR="00FF1C02" w:rsidRPr="00E83855" w:rsidRDefault="00FF1C02" w:rsidP="00630831">
            <w:pPr>
              <w:pStyle w:val="TableTextLeft"/>
            </w:pPr>
            <w:r w:rsidRPr="00E83855">
              <w:t>Interest and fees received / receivable</w:t>
            </w:r>
          </w:p>
        </w:tc>
        <w:tc>
          <w:tcPr>
            <w:tcW w:w="689" w:type="pct"/>
            <w:shd w:val="clear" w:color="auto" w:fill="F2F2F2" w:themeFill="background1" w:themeFillShade="F2"/>
            <w:noWrap/>
          </w:tcPr>
          <w:p w14:paraId="4671379C" w14:textId="77777777" w:rsidR="00FF1C02" w:rsidRPr="00E83855" w:rsidRDefault="00FF1C02" w:rsidP="00630831">
            <w:pPr>
              <w:pStyle w:val="TableTextRight"/>
            </w:pPr>
            <w:r w:rsidRPr="00E83855">
              <w:t>12</w:t>
            </w:r>
          </w:p>
        </w:tc>
        <w:tc>
          <w:tcPr>
            <w:tcW w:w="689" w:type="pct"/>
            <w:shd w:val="clear" w:color="auto" w:fill="F2F2F2" w:themeFill="background1" w:themeFillShade="F2"/>
            <w:noWrap/>
            <w:hideMark/>
          </w:tcPr>
          <w:p w14:paraId="006F2C99" w14:textId="77777777" w:rsidR="00FF1C02" w:rsidRPr="00E83855" w:rsidRDefault="00FF1C02" w:rsidP="00630831">
            <w:pPr>
              <w:pStyle w:val="TableTextRight"/>
            </w:pPr>
            <w:r w:rsidRPr="00E83855">
              <w:t xml:space="preserve">21 </w:t>
            </w:r>
          </w:p>
        </w:tc>
      </w:tr>
      <w:tr w:rsidR="00FF1C02" w:rsidRPr="002A72FE" w14:paraId="5232EE4D" w14:textId="77777777" w:rsidTr="00982988">
        <w:trPr>
          <w:trHeight w:val="170"/>
        </w:trPr>
        <w:tc>
          <w:tcPr>
            <w:tcW w:w="3622" w:type="pct"/>
            <w:tcBorders>
              <w:bottom w:val="single" w:sz="4" w:space="0" w:color="29114B" w:themeColor="text2"/>
            </w:tcBorders>
            <w:shd w:val="clear" w:color="auto" w:fill="F2F2F2" w:themeFill="background1" w:themeFillShade="F2"/>
            <w:noWrap/>
            <w:hideMark/>
          </w:tcPr>
          <w:p w14:paraId="00A90EBF" w14:textId="77777777" w:rsidR="00FF1C02" w:rsidRPr="00017917" w:rsidRDefault="00FF1C02" w:rsidP="00630831">
            <w:pPr>
              <w:pStyle w:val="TableTextLeft"/>
              <w:rPr>
                <w:b/>
                <w:bCs/>
              </w:rPr>
            </w:pPr>
            <w:r w:rsidRPr="00017917">
              <w:rPr>
                <w:b/>
                <w:bCs/>
              </w:rPr>
              <w:t>ABSF Sub</w:t>
            </w:r>
            <w:r w:rsidRPr="00017917">
              <w:rPr>
                <w:b/>
                <w:bCs/>
              </w:rPr>
              <w:noBreakHyphen/>
              <w:t>total</w:t>
            </w:r>
          </w:p>
        </w:tc>
        <w:tc>
          <w:tcPr>
            <w:tcW w:w="689" w:type="pct"/>
            <w:tcBorders>
              <w:bottom w:val="single" w:sz="4" w:space="0" w:color="29114B" w:themeColor="text2"/>
            </w:tcBorders>
            <w:shd w:val="clear" w:color="auto" w:fill="F2F2F2" w:themeFill="background1" w:themeFillShade="F2"/>
            <w:noWrap/>
          </w:tcPr>
          <w:p w14:paraId="70A7627E" w14:textId="77777777" w:rsidR="00FF1C02" w:rsidRPr="00E83855" w:rsidRDefault="00FF1C02" w:rsidP="00630831">
            <w:pPr>
              <w:pStyle w:val="TableTextRight"/>
              <w:rPr>
                <w:b/>
                <w:bCs/>
              </w:rPr>
            </w:pPr>
            <w:r w:rsidRPr="00E83855">
              <w:rPr>
                <w:b/>
                <w:bCs/>
              </w:rPr>
              <w:t>12</w:t>
            </w:r>
          </w:p>
        </w:tc>
        <w:tc>
          <w:tcPr>
            <w:tcW w:w="689" w:type="pct"/>
            <w:tcBorders>
              <w:bottom w:val="single" w:sz="4" w:space="0" w:color="29114B" w:themeColor="text2"/>
            </w:tcBorders>
            <w:shd w:val="clear" w:color="auto" w:fill="F2F2F2" w:themeFill="background1" w:themeFillShade="F2"/>
            <w:noWrap/>
            <w:hideMark/>
          </w:tcPr>
          <w:p w14:paraId="607A62F3" w14:textId="77777777" w:rsidR="00FF1C02" w:rsidRPr="00E83855" w:rsidRDefault="00FF1C02" w:rsidP="00630831">
            <w:pPr>
              <w:pStyle w:val="TableTextRight"/>
              <w:rPr>
                <w:b/>
                <w:bCs/>
              </w:rPr>
            </w:pPr>
            <w:r w:rsidRPr="00E83855">
              <w:rPr>
                <w:b/>
                <w:bCs/>
              </w:rPr>
              <w:t xml:space="preserve">21 </w:t>
            </w:r>
          </w:p>
        </w:tc>
      </w:tr>
      <w:tr w:rsidR="00FF1C02" w:rsidRPr="002A72FE" w14:paraId="6DAF6EE4" w14:textId="77777777" w:rsidTr="00982988">
        <w:trPr>
          <w:trHeight w:val="170"/>
        </w:trPr>
        <w:tc>
          <w:tcPr>
            <w:tcW w:w="3622"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06ECDAA4" w14:textId="77777777" w:rsidR="00FF1C02" w:rsidRPr="00982988" w:rsidRDefault="00FF1C02" w:rsidP="00630831">
            <w:pPr>
              <w:pStyle w:val="TableSecondHeading"/>
              <w:rPr>
                <w:b/>
              </w:rPr>
            </w:pPr>
            <w:r w:rsidRPr="00982988">
              <w:rPr>
                <w:b/>
              </w:rPr>
              <w:t xml:space="preserve">Structured Finance Securitisation Fund: </w:t>
            </w:r>
          </w:p>
        </w:tc>
        <w:tc>
          <w:tcPr>
            <w:tcW w:w="689"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478C70D0" w14:textId="77777777" w:rsidR="00FF1C02" w:rsidRPr="00982988" w:rsidRDefault="00FF1C02" w:rsidP="00630831">
            <w:pPr>
              <w:pStyle w:val="TableTextRight"/>
              <w:jc w:val="left"/>
              <w:rPr>
                <w:b/>
              </w:rPr>
            </w:pPr>
          </w:p>
        </w:tc>
        <w:tc>
          <w:tcPr>
            <w:tcW w:w="689"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71D0ADFB" w14:textId="77777777" w:rsidR="00FF1C02" w:rsidRPr="00982988" w:rsidRDefault="00FF1C02" w:rsidP="00630831">
            <w:pPr>
              <w:pStyle w:val="TableTextRight"/>
              <w:jc w:val="left"/>
              <w:rPr>
                <w:b/>
              </w:rPr>
            </w:pPr>
            <w:r w:rsidRPr="00982988">
              <w:rPr>
                <w:b/>
              </w:rPr>
              <w:t> </w:t>
            </w:r>
          </w:p>
        </w:tc>
      </w:tr>
      <w:tr w:rsidR="00FF1C02" w:rsidRPr="002A72FE" w14:paraId="65D74396" w14:textId="77777777" w:rsidTr="003C2549">
        <w:trPr>
          <w:trHeight w:val="170"/>
        </w:trPr>
        <w:tc>
          <w:tcPr>
            <w:tcW w:w="3622" w:type="pct"/>
            <w:shd w:val="clear" w:color="auto" w:fill="F2F2F2" w:themeFill="background1" w:themeFillShade="F2"/>
            <w:noWrap/>
            <w:hideMark/>
          </w:tcPr>
          <w:p w14:paraId="7E3E12A4" w14:textId="77777777" w:rsidR="00FF1C02" w:rsidRPr="00E83855" w:rsidRDefault="00FF1C02" w:rsidP="00630831">
            <w:pPr>
              <w:pStyle w:val="TableTextLeft"/>
            </w:pPr>
            <w:r w:rsidRPr="00E83855">
              <w:t>Interest and fees received / receivable (a)</w:t>
            </w:r>
          </w:p>
        </w:tc>
        <w:tc>
          <w:tcPr>
            <w:tcW w:w="689" w:type="pct"/>
            <w:shd w:val="clear" w:color="auto" w:fill="F2F2F2" w:themeFill="background1" w:themeFillShade="F2"/>
            <w:noWrap/>
          </w:tcPr>
          <w:p w14:paraId="2E5E1A7C" w14:textId="77777777" w:rsidR="00FF1C02" w:rsidRPr="00E83855" w:rsidRDefault="00FF1C02" w:rsidP="00630831">
            <w:pPr>
              <w:pStyle w:val="TableTextRight"/>
            </w:pPr>
            <w:r w:rsidRPr="00E83855">
              <w:t>4</w:t>
            </w:r>
          </w:p>
        </w:tc>
        <w:tc>
          <w:tcPr>
            <w:tcW w:w="689" w:type="pct"/>
            <w:shd w:val="clear" w:color="auto" w:fill="F2F2F2" w:themeFill="background1" w:themeFillShade="F2"/>
            <w:noWrap/>
            <w:hideMark/>
          </w:tcPr>
          <w:p w14:paraId="6B2AD917" w14:textId="77777777" w:rsidR="00FF1C02" w:rsidRPr="00E83855" w:rsidRDefault="00FF1C02" w:rsidP="00630831">
            <w:pPr>
              <w:pStyle w:val="TableTextRight"/>
            </w:pPr>
            <w:r w:rsidRPr="00E83855">
              <w:t xml:space="preserve">14 </w:t>
            </w:r>
          </w:p>
        </w:tc>
      </w:tr>
      <w:tr w:rsidR="00FF1C02" w:rsidRPr="002A72FE" w14:paraId="2B8C4D4B" w14:textId="77777777" w:rsidTr="003C2549">
        <w:trPr>
          <w:trHeight w:val="170"/>
        </w:trPr>
        <w:tc>
          <w:tcPr>
            <w:tcW w:w="3622" w:type="pct"/>
            <w:shd w:val="clear" w:color="auto" w:fill="F2F2F2" w:themeFill="background1" w:themeFillShade="F2"/>
            <w:noWrap/>
            <w:hideMark/>
          </w:tcPr>
          <w:p w14:paraId="0E48B1A1" w14:textId="77777777" w:rsidR="00FF1C02" w:rsidRPr="00E83855" w:rsidRDefault="00FF1C02" w:rsidP="00630831">
            <w:pPr>
              <w:pStyle w:val="TableTextLeft"/>
            </w:pPr>
            <w:r w:rsidRPr="00E83855">
              <w:t>Amortisation of discounts</w:t>
            </w:r>
          </w:p>
        </w:tc>
        <w:tc>
          <w:tcPr>
            <w:tcW w:w="689" w:type="pct"/>
            <w:shd w:val="clear" w:color="auto" w:fill="F2F2F2" w:themeFill="background1" w:themeFillShade="F2"/>
            <w:noWrap/>
          </w:tcPr>
          <w:p w14:paraId="15D322B1" w14:textId="77777777" w:rsidR="00FF1C02" w:rsidRPr="00E83855" w:rsidRDefault="00FF1C02" w:rsidP="00630831">
            <w:pPr>
              <w:pStyle w:val="TableTextRight"/>
            </w:pPr>
            <w:r w:rsidRPr="00E83855">
              <w:noBreakHyphen/>
            </w:r>
          </w:p>
        </w:tc>
        <w:tc>
          <w:tcPr>
            <w:tcW w:w="689" w:type="pct"/>
            <w:shd w:val="clear" w:color="auto" w:fill="F2F2F2" w:themeFill="background1" w:themeFillShade="F2"/>
            <w:noWrap/>
            <w:hideMark/>
          </w:tcPr>
          <w:p w14:paraId="5FE6926D" w14:textId="77777777" w:rsidR="00FF1C02" w:rsidRPr="00E83855" w:rsidRDefault="00FF1C02" w:rsidP="00630831">
            <w:pPr>
              <w:pStyle w:val="TableTextRight"/>
            </w:pPr>
            <w:r w:rsidRPr="00E83855">
              <w:t xml:space="preserve">1 </w:t>
            </w:r>
          </w:p>
        </w:tc>
      </w:tr>
      <w:tr w:rsidR="00FF1C02" w:rsidRPr="002A72FE" w14:paraId="5B6A33EB" w14:textId="77777777" w:rsidTr="003C2549">
        <w:trPr>
          <w:trHeight w:val="170"/>
        </w:trPr>
        <w:tc>
          <w:tcPr>
            <w:tcW w:w="3622" w:type="pct"/>
            <w:shd w:val="clear" w:color="auto" w:fill="F2F2F2" w:themeFill="background1" w:themeFillShade="F2"/>
            <w:noWrap/>
            <w:hideMark/>
          </w:tcPr>
          <w:p w14:paraId="407E0D17" w14:textId="77777777" w:rsidR="00FF1C02" w:rsidRPr="00017917" w:rsidRDefault="00FF1C02" w:rsidP="00630831">
            <w:pPr>
              <w:pStyle w:val="TableTextLeft"/>
              <w:rPr>
                <w:b/>
                <w:bCs/>
              </w:rPr>
            </w:pPr>
            <w:r w:rsidRPr="00017917">
              <w:rPr>
                <w:b/>
                <w:bCs/>
              </w:rPr>
              <w:t>SFSF Sub</w:t>
            </w:r>
            <w:r w:rsidRPr="00017917">
              <w:rPr>
                <w:b/>
                <w:bCs/>
              </w:rPr>
              <w:noBreakHyphen/>
              <w:t>total</w:t>
            </w:r>
          </w:p>
        </w:tc>
        <w:tc>
          <w:tcPr>
            <w:tcW w:w="689" w:type="pct"/>
            <w:shd w:val="clear" w:color="auto" w:fill="F2F2F2" w:themeFill="background1" w:themeFillShade="F2"/>
            <w:noWrap/>
          </w:tcPr>
          <w:p w14:paraId="3EC8F2D6" w14:textId="77777777" w:rsidR="00FF1C02" w:rsidRPr="00E83855" w:rsidRDefault="00FF1C02" w:rsidP="00630831">
            <w:pPr>
              <w:pStyle w:val="TableTextRight"/>
              <w:rPr>
                <w:b/>
                <w:bCs/>
              </w:rPr>
            </w:pPr>
            <w:r w:rsidRPr="00E83855">
              <w:rPr>
                <w:b/>
                <w:bCs/>
              </w:rPr>
              <w:t>4</w:t>
            </w:r>
          </w:p>
        </w:tc>
        <w:tc>
          <w:tcPr>
            <w:tcW w:w="689" w:type="pct"/>
            <w:shd w:val="clear" w:color="auto" w:fill="F2F2F2" w:themeFill="background1" w:themeFillShade="F2"/>
            <w:noWrap/>
            <w:hideMark/>
          </w:tcPr>
          <w:p w14:paraId="3E18E085" w14:textId="77777777" w:rsidR="00FF1C02" w:rsidRPr="00E83855" w:rsidRDefault="00FF1C02" w:rsidP="00630831">
            <w:pPr>
              <w:pStyle w:val="TableTextRight"/>
              <w:rPr>
                <w:b/>
                <w:bCs/>
              </w:rPr>
            </w:pPr>
            <w:r w:rsidRPr="00E83855">
              <w:rPr>
                <w:b/>
                <w:bCs/>
              </w:rPr>
              <w:t>15</w:t>
            </w:r>
          </w:p>
        </w:tc>
      </w:tr>
      <w:tr w:rsidR="00FF1C02" w:rsidRPr="002A72FE" w14:paraId="61CB4449" w14:textId="77777777" w:rsidTr="003C2549">
        <w:trPr>
          <w:trHeight w:val="170"/>
        </w:trPr>
        <w:tc>
          <w:tcPr>
            <w:tcW w:w="3622" w:type="pct"/>
            <w:shd w:val="clear" w:color="auto" w:fill="F2F2F2" w:themeFill="background1" w:themeFillShade="F2"/>
            <w:noWrap/>
            <w:hideMark/>
          </w:tcPr>
          <w:p w14:paraId="1456A3E7" w14:textId="77777777" w:rsidR="00FF1C02" w:rsidRPr="00E83855" w:rsidRDefault="00FF1C02" w:rsidP="00630831">
            <w:pPr>
              <w:pStyle w:val="TableTextLeft"/>
              <w:rPr>
                <w:b/>
                <w:bCs/>
              </w:rPr>
            </w:pPr>
            <w:r w:rsidRPr="00E83855">
              <w:rPr>
                <w:b/>
                <w:bCs/>
              </w:rPr>
              <w:t>Total interest revenue</w:t>
            </w:r>
          </w:p>
        </w:tc>
        <w:tc>
          <w:tcPr>
            <w:tcW w:w="689" w:type="pct"/>
            <w:shd w:val="clear" w:color="auto" w:fill="F2F2F2" w:themeFill="background1" w:themeFillShade="F2"/>
            <w:noWrap/>
          </w:tcPr>
          <w:p w14:paraId="5ADA8D1D" w14:textId="77777777" w:rsidR="00FF1C02" w:rsidRPr="00E83855" w:rsidRDefault="00FF1C02" w:rsidP="00630831">
            <w:pPr>
              <w:pStyle w:val="TableTextRight"/>
              <w:rPr>
                <w:b/>
                <w:bCs/>
              </w:rPr>
            </w:pPr>
            <w:r w:rsidRPr="00E83855">
              <w:rPr>
                <w:b/>
                <w:bCs/>
              </w:rPr>
              <w:t>16</w:t>
            </w:r>
          </w:p>
        </w:tc>
        <w:tc>
          <w:tcPr>
            <w:tcW w:w="689" w:type="pct"/>
            <w:shd w:val="clear" w:color="auto" w:fill="F2F2F2" w:themeFill="background1" w:themeFillShade="F2"/>
            <w:noWrap/>
            <w:hideMark/>
          </w:tcPr>
          <w:p w14:paraId="0D647438" w14:textId="77777777" w:rsidR="00FF1C02" w:rsidRPr="00E83855" w:rsidRDefault="00FF1C02" w:rsidP="00630831">
            <w:pPr>
              <w:pStyle w:val="TableTextRight"/>
              <w:rPr>
                <w:b/>
                <w:bCs/>
              </w:rPr>
            </w:pPr>
            <w:r w:rsidRPr="00E83855">
              <w:rPr>
                <w:b/>
                <w:bCs/>
              </w:rPr>
              <w:t xml:space="preserve">36 </w:t>
            </w:r>
          </w:p>
        </w:tc>
      </w:tr>
    </w:tbl>
    <w:p w14:paraId="4E078A59" w14:textId="77777777" w:rsidR="00FF1C02" w:rsidRDefault="00FF1C02" w:rsidP="006D2EDF">
      <w:pPr>
        <w:pStyle w:val="ChartorTableNoteAlpha"/>
        <w:numPr>
          <w:ilvl w:val="0"/>
          <w:numId w:val="41"/>
        </w:numPr>
      </w:pPr>
      <w:r w:rsidRPr="006534F5">
        <w:t>Includes earnings from debt securities issued by the Forbearance SPV.</w:t>
      </w:r>
    </w:p>
    <w:p w14:paraId="2C6BF49E" w14:textId="77777777" w:rsidR="00FF1C02" w:rsidRPr="006534F5" w:rsidRDefault="00FF1C02" w:rsidP="00FF1C02">
      <w:pPr>
        <w:pStyle w:val="TableMainHeading"/>
        <w:keepLines/>
        <w:rPr>
          <w:rFonts w:asciiTheme="minorHAnsi" w:hAnsiTheme="minorHAnsi" w:cstheme="minorBidi"/>
          <w:lang w:eastAsia="en-US"/>
        </w:rPr>
      </w:pPr>
      <w:r>
        <w:br w:type="page"/>
      </w:r>
      <w:r w:rsidRPr="006534F5">
        <w:lastRenderedPageBreak/>
        <w:t>Carrying values – administered assets</w:t>
      </w:r>
    </w:p>
    <w:tbl>
      <w:tblPr>
        <w:tblStyle w:val="AOFMTablemain"/>
        <w:tblW w:w="5000" w:type="pct"/>
        <w:tblLook w:val="06A0" w:firstRow="1" w:lastRow="0" w:firstColumn="1" w:lastColumn="0" w:noHBand="1" w:noVBand="1"/>
      </w:tblPr>
      <w:tblGrid>
        <w:gridCol w:w="5234"/>
        <w:gridCol w:w="1240"/>
        <w:gridCol w:w="1237"/>
      </w:tblGrid>
      <w:tr w:rsidR="00843643" w:rsidRPr="006534F5" w14:paraId="42C7D610" w14:textId="77777777" w:rsidTr="00982988">
        <w:trPr>
          <w:cnfStyle w:val="100000000000" w:firstRow="1" w:lastRow="0" w:firstColumn="0" w:lastColumn="0" w:oddVBand="0" w:evenVBand="0" w:oddHBand="0" w:evenHBand="0" w:firstRowFirstColumn="0" w:firstRowLastColumn="0" w:lastRowFirstColumn="0" w:lastRowLastColumn="0"/>
          <w:cantSplit/>
        </w:trPr>
        <w:tc>
          <w:tcPr>
            <w:tcW w:w="3394" w:type="pct"/>
            <w:tcBorders>
              <w:bottom w:val="single" w:sz="4" w:space="0" w:color="29114B" w:themeColor="text2"/>
            </w:tcBorders>
            <w:noWrap/>
            <w:tcMar>
              <w:top w:w="57" w:type="dxa"/>
              <w:bottom w:w="57" w:type="dxa"/>
            </w:tcMar>
            <w:hideMark/>
          </w:tcPr>
          <w:p w14:paraId="4494150F" w14:textId="77777777" w:rsidR="00FF1C02" w:rsidRPr="00A43DB9" w:rsidRDefault="00FF1C02" w:rsidP="00630831">
            <w:pPr>
              <w:pStyle w:val="TableColumnHeadingRight"/>
            </w:pPr>
            <w:r w:rsidRPr="00A43DB9">
              <w:t> </w:t>
            </w:r>
          </w:p>
        </w:tc>
        <w:tc>
          <w:tcPr>
            <w:tcW w:w="804" w:type="pct"/>
            <w:tcBorders>
              <w:bottom w:val="single" w:sz="4" w:space="0" w:color="29114B" w:themeColor="text2"/>
            </w:tcBorders>
            <w:noWrap/>
            <w:tcMar>
              <w:top w:w="57" w:type="dxa"/>
              <w:bottom w:w="57" w:type="dxa"/>
            </w:tcMar>
            <w:hideMark/>
          </w:tcPr>
          <w:p w14:paraId="7FF8BB1C" w14:textId="77777777" w:rsidR="00FF1C02" w:rsidRDefault="00FF1C02" w:rsidP="00630831">
            <w:pPr>
              <w:pStyle w:val="TableColumnHeadingRight"/>
            </w:pPr>
            <w:r w:rsidRPr="00825FD1">
              <w:t>202</w:t>
            </w:r>
            <w:r>
              <w:t xml:space="preserve">5 </w:t>
            </w:r>
          </w:p>
          <w:p w14:paraId="042F1923" w14:textId="77777777" w:rsidR="00FF1C02" w:rsidRPr="00A43DB9" w:rsidRDefault="00FF1C02" w:rsidP="00630831">
            <w:pPr>
              <w:pStyle w:val="TableColumnHeadingRight"/>
            </w:pPr>
            <w:r>
              <w:t>($million)</w:t>
            </w:r>
          </w:p>
        </w:tc>
        <w:tc>
          <w:tcPr>
            <w:tcW w:w="802" w:type="pct"/>
            <w:tcBorders>
              <w:bottom w:val="single" w:sz="4" w:space="0" w:color="29114B" w:themeColor="text2"/>
            </w:tcBorders>
            <w:noWrap/>
            <w:tcMar>
              <w:top w:w="57" w:type="dxa"/>
              <w:bottom w:w="57" w:type="dxa"/>
            </w:tcMar>
            <w:hideMark/>
          </w:tcPr>
          <w:p w14:paraId="1DE3FFDA" w14:textId="77777777" w:rsidR="00FF1C02" w:rsidRDefault="00FF1C02" w:rsidP="00630831">
            <w:pPr>
              <w:pStyle w:val="TableColumnHeadingRight"/>
            </w:pPr>
            <w:r w:rsidRPr="00825FD1">
              <w:t>202</w:t>
            </w:r>
            <w:r>
              <w:t xml:space="preserve">4 </w:t>
            </w:r>
          </w:p>
          <w:p w14:paraId="4EDB0125" w14:textId="77777777" w:rsidR="00FF1C02" w:rsidRPr="00A43DB9" w:rsidRDefault="00FF1C02" w:rsidP="00630831">
            <w:pPr>
              <w:pStyle w:val="TableColumnHeadingRight"/>
            </w:pPr>
            <w:r>
              <w:t>($million)</w:t>
            </w:r>
          </w:p>
        </w:tc>
      </w:tr>
      <w:tr w:rsidR="00FF1C02" w:rsidRPr="00E970C3" w14:paraId="0772FCE6" w14:textId="77777777" w:rsidTr="00982988">
        <w:trPr>
          <w:cantSplit/>
        </w:trPr>
        <w:tc>
          <w:tcPr>
            <w:tcW w:w="3394"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hideMark/>
          </w:tcPr>
          <w:p w14:paraId="076BF3B1" w14:textId="77777777" w:rsidR="00FF1C02" w:rsidRPr="00982988" w:rsidRDefault="00FF1C02" w:rsidP="00630831">
            <w:pPr>
              <w:pStyle w:val="TableSecondHeading"/>
              <w:rPr>
                <w:b/>
              </w:rPr>
            </w:pPr>
            <w:r w:rsidRPr="00982988">
              <w:rPr>
                <w:b/>
              </w:rPr>
              <w:t>Australian Business Securitisation Fund (ABSF)</w:t>
            </w:r>
          </w:p>
        </w:tc>
        <w:tc>
          <w:tcPr>
            <w:tcW w:w="80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hideMark/>
          </w:tcPr>
          <w:p w14:paraId="5370728A" w14:textId="77777777" w:rsidR="00FF1C02" w:rsidRPr="00E24AB7" w:rsidRDefault="00FF1C02" w:rsidP="00630831">
            <w:pPr>
              <w:pStyle w:val="TableTextRight"/>
            </w:pPr>
            <w:r w:rsidRPr="00E24AB7">
              <w:t> </w:t>
            </w:r>
          </w:p>
        </w:tc>
        <w:tc>
          <w:tcPr>
            <w:tcW w:w="802"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hideMark/>
          </w:tcPr>
          <w:p w14:paraId="1BE6FC8A" w14:textId="77777777" w:rsidR="00FF1C02" w:rsidRPr="00E24AB7" w:rsidRDefault="00FF1C02" w:rsidP="00630831">
            <w:pPr>
              <w:pStyle w:val="TableTextRight"/>
            </w:pPr>
            <w:r w:rsidRPr="00E24AB7">
              <w:t> </w:t>
            </w:r>
          </w:p>
        </w:tc>
      </w:tr>
      <w:tr w:rsidR="00FF1C02" w:rsidRPr="00E970C3" w14:paraId="5C6DAE55" w14:textId="77777777" w:rsidTr="003C2549">
        <w:trPr>
          <w:cantSplit/>
        </w:trPr>
        <w:tc>
          <w:tcPr>
            <w:tcW w:w="3394" w:type="pct"/>
            <w:shd w:val="clear" w:color="auto" w:fill="F2F2F2" w:themeFill="background1" w:themeFillShade="F2"/>
            <w:tcMar>
              <w:top w:w="57" w:type="dxa"/>
              <w:bottom w:w="57" w:type="dxa"/>
            </w:tcMar>
            <w:hideMark/>
          </w:tcPr>
          <w:p w14:paraId="615CB0F6" w14:textId="77777777" w:rsidR="00FF1C02" w:rsidRPr="00E970C3" w:rsidRDefault="00FF1C02" w:rsidP="00630831">
            <w:pPr>
              <w:pStyle w:val="TableTextLeft"/>
            </w:pPr>
            <w:r w:rsidRPr="00E970C3">
              <w:t>Face value</w:t>
            </w:r>
          </w:p>
        </w:tc>
        <w:tc>
          <w:tcPr>
            <w:tcW w:w="804" w:type="pct"/>
            <w:shd w:val="clear" w:color="auto" w:fill="F2F2F2" w:themeFill="background1" w:themeFillShade="F2"/>
            <w:tcMar>
              <w:top w:w="57" w:type="dxa"/>
              <w:bottom w:w="57" w:type="dxa"/>
            </w:tcMar>
          </w:tcPr>
          <w:p w14:paraId="3BFDAA0E" w14:textId="77777777" w:rsidR="00FF1C02" w:rsidRPr="00E24AB7" w:rsidRDefault="00FF1C02" w:rsidP="00630831">
            <w:pPr>
              <w:pStyle w:val="TableTextRight"/>
            </w:pPr>
            <w:r w:rsidRPr="00E24AB7">
              <w:t>219</w:t>
            </w:r>
          </w:p>
        </w:tc>
        <w:tc>
          <w:tcPr>
            <w:tcW w:w="802" w:type="pct"/>
            <w:shd w:val="clear" w:color="auto" w:fill="F2F2F2" w:themeFill="background1" w:themeFillShade="F2"/>
            <w:tcMar>
              <w:top w:w="57" w:type="dxa"/>
              <w:bottom w:w="57" w:type="dxa"/>
            </w:tcMar>
            <w:hideMark/>
          </w:tcPr>
          <w:p w14:paraId="0D71A904" w14:textId="77777777" w:rsidR="00FF1C02" w:rsidRPr="00E24AB7" w:rsidRDefault="00FF1C02" w:rsidP="00630831">
            <w:pPr>
              <w:pStyle w:val="TableTextRight"/>
            </w:pPr>
            <w:r w:rsidRPr="00E24AB7">
              <w:t xml:space="preserve">161 </w:t>
            </w:r>
          </w:p>
        </w:tc>
      </w:tr>
      <w:tr w:rsidR="00FF1C02" w:rsidRPr="00E970C3" w14:paraId="7F13D228" w14:textId="77777777" w:rsidTr="003C2549">
        <w:trPr>
          <w:cantSplit/>
        </w:trPr>
        <w:tc>
          <w:tcPr>
            <w:tcW w:w="3394" w:type="pct"/>
            <w:shd w:val="clear" w:color="auto" w:fill="F2F2F2" w:themeFill="background1" w:themeFillShade="F2"/>
            <w:tcMar>
              <w:top w:w="57" w:type="dxa"/>
              <w:bottom w:w="57" w:type="dxa"/>
            </w:tcMar>
            <w:hideMark/>
          </w:tcPr>
          <w:p w14:paraId="76C5CF56" w14:textId="77777777" w:rsidR="00FF1C02" w:rsidRPr="00E970C3" w:rsidRDefault="00FF1C02" w:rsidP="00630831">
            <w:pPr>
              <w:pStyle w:val="TableTextLeft"/>
            </w:pPr>
            <w:r w:rsidRPr="00E970C3">
              <w:t>Accrued interest</w:t>
            </w:r>
          </w:p>
        </w:tc>
        <w:tc>
          <w:tcPr>
            <w:tcW w:w="804" w:type="pct"/>
            <w:shd w:val="clear" w:color="auto" w:fill="F2F2F2" w:themeFill="background1" w:themeFillShade="F2"/>
            <w:tcMar>
              <w:top w:w="57" w:type="dxa"/>
              <w:bottom w:w="57" w:type="dxa"/>
            </w:tcMar>
          </w:tcPr>
          <w:p w14:paraId="1DB01BFE" w14:textId="77777777" w:rsidR="00FF1C02" w:rsidRPr="00E24AB7" w:rsidRDefault="00FF1C02" w:rsidP="00630831">
            <w:pPr>
              <w:pStyle w:val="TableTextRight"/>
            </w:pPr>
            <w:r w:rsidRPr="00E24AB7">
              <w:t>1</w:t>
            </w:r>
          </w:p>
        </w:tc>
        <w:tc>
          <w:tcPr>
            <w:tcW w:w="802" w:type="pct"/>
            <w:shd w:val="clear" w:color="auto" w:fill="F2F2F2" w:themeFill="background1" w:themeFillShade="F2"/>
            <w:tcMar>
              <w:top w:w="57" w:type="dxa"/>
              <w:bottom w:w="57" w:type="dxa"/>
            </w:tcMar>
            <w:hideMark/>
          </w:tcPr>
          <w:p w14:paraId="082E9B98" w14:textId="77777777" w:rsidR="00FF1C02" w:rsidRPr="00E24AB7" w:rsidRDefault="00FF1C02" w:rsidP="00630831">
            <w:pPr>
              <w:pStyle w:val="TableTextRight"/>
            </w:pPr>
            <w:r w:rsidRPr="00E24AB7">
              <w:noBreakHyphen/>
              <w:t xml:space="preserve"> </w:t>
            </w:r>
          </w:p>
        </w:tc>
      </w:tr>
      <w:tr w:rsidR="00FF1C02" w:rsidRPr="00E970C3" w14:paraId="7028119A" w14:textId="77777777" w:rsidTr="003C2549">
        <w:trPr>
          <w:cantSplit/>
        </w:trPr>
        <w:tc>
          <w:tcPr>
            <w:tcW w:w="3394" w:type="pct"/>
            <w:shd w:val="clear" w:color="auto" w:fill="F2F2F2" w:themeFill="background1" w:themeFillShade="F2"/>
            <w:tcMar>
              <w:top w:w="57" w:type="dxa"/>
              <w:bottom w:w="57" w:type="dxa"/>
            </w:tcMar>
          </w:tcPr>
          <w:p w14:paraId="367254B9" w14:textId="77777777" w:rsidR="00FF1C02" w:rsidRPr="00E970C3" w:rsidRDefault="00FF1C02" w:rsidP="00630831">
            <w:pPr>
              <w:pStyle w:val="TableTextLeft"/>
            </w:pPr>
            <w:r w:rsidRPr="00E970C3">
              <w:t>Expected credit loss provision</w:t>
            </w:r>
          </w:p>
        </w:tc>
        <w:tc>
          <w:tcPr>
            <w:tcW w:w="804" w:type="pct"/>
            <w:shd w:val="clear" w:color="auto" w:fill="F2F2F2" w:themeFill="background1" w:themeFillShade="F2"/>
            <w:tcMar>
              <w:top w:w="57" w:type="dxa"/>
              <w:bottom w:w="57" w:type="dxa"/>
            </w:tcMar>
          </w:tcPr>
          <w:p w14:paraId="5B29115A" w14:textId="77777777" w:rsidR="00FF1C02" w:rsidRPr="00E24AB7" w:rsidRDefault="00FF1C02" w:rsidP="00630831">
            <w:pPr>
              <w:pStyle w:val="TableTextRight"/>
            </w:pPr>
            <w:r w:rsidRPr="00E24AB7">
              <w:t>(1)</w:t>
            </w:r>
          </w:p>
        </w:tc>
        <w:tc>
          <w:tcPr>
            <w:tcW w:w="802" w:type="pct"/>
            <w:shd w:val="clear" w:color="auto" w:fill="F2F2F2" w:themeFill="background1" w:themeFillShade="F2"/>
            <w:tcMar>
              <w:top w:w="57" w:type="dxa"/>
              <w:bottom w:w="57" w:type="dxa"/>
            </w:tcMar>
          </w:tcPr>
          <w:p w14:paraId="518B82DC" w14:textId="77777777" w:rsidR="00FF1C02" w:rsidRPr="00E24AB7" w:rsidRDefault="00FF1C02" w:rsidP="00630831">
            <w:pPr>
              <w:pStyle w:val="TableTextRight"/>
            </w:pPr>
            <w:r w:rsidRPr="00E24AB7">
              <w:noBreakHyphen/>
            </w:r>
          </w:p>
        </w:tc>
      </w:tr>
      <w:tr w:rsidR="00FF1C02" w:rsidRPr="00E970C3" w14:paraId="74A2FCAD" w14:textId="77777777" w:rsidTr="00982988">
        <w:trPr>
          <w:cantSplit/>
        </w:trPr>
        <w:tc>
          <w:tcPr>
            <w:tcW w:w="3394" w:type="pct"/>
            <w:tcBorders>
              <w:bottom w:val="single" w:sz="4" w:space="0" w:color="29114B" w:themeColor="text2"/>
            </w:tcBorders>
            <w:shd w:val="clear" w:color="auto" w:fill="F2F2F2" w:themeFill="background1" w:themeFillShade="F2"/>
            <w:tcMar>
              <w:top w:w="57" w:type="dxa"/>
              <w:bottom w:w="57" w:type="dxa"/>
            </w:tcMar>
            <w:hideMark/>
          </w:tcPr>
          <w:p w14:paraId="4C383F6D" w14:textId="77777777" w:rsidR="00FF1C02" w:rsidRPr="00E24AB7" w:rsidRDefault="00FF1C02" w:rsidP="00630831">
            <w:pPr>
              <w:pStyle w:val="TableTextLeft"/>
              <w:rPr>
                <w:b/>
                <w:bCs/>
              </w:rPr>
            </w:pPr>
            <w:r w:rsidRPr="00E24AB7">
              <w:rPr>
                <w:b/>
                <w:bCs/>
              </w:rPr>
              <w:t>ABSF Sub</w:t>
            </w:r>
            <w:r w:rsidRPr="00E24AB7">
              <w:rPr>
                <w:b/>
                <w:bCs/>
              </w:rPr>
              <w:noBreakHyphen/>
              <w:t>total</w:t>
            </w:r>
          </w:p>
        </w:tc>
        <w:tc>
          <w:tcPr>
            <w:tcW w:w="804" w:type="pct"/>
            <w:tcBorders>
              <w:bottom w:val="single" w:sz="4" w:space="0" w:color="29114B" w:themeColor="text2"/>
            </w:tcBorders>
            <w:shd w:val="clear" w:color="auto" w:fill="F2F2F2" w:themeFill="background1" w:themeFillShade="F2"/>
            <w:tcMar>
              <w:top w:w="57" w:type="dxa"/>
              <w:bottom w:w="57" w:type="dxa"/>
            </w:tcMar>
          </w:tcPr>
          <w:p w14:paraId="24E60374" w14:textId="77777777" w:rsidR="00FF1C02" w:rsidRPr="00E970C3" w:rsidRDefault="00FF1C02" w:rsidP="00630831">
            <w:pPr>
              <w:pStyle w:val="TableTextRight"/>
              <w:rPr>
                <w:b/>
                <w:bCs/>
              </w:rPr>
            </w:pPr>
            <w:r w:rsidRPr="00E970C3">
              <w:rPr>
                <w:b/>
                <w:bCs/>
              </w:rPr>
              <w:t>219</w:t>
            </w:r>
          </w:p>
        </w:tc>
        <w:tc>
          <w:tcPr>
            <w:tcW w:w="802" w:type="pct"/>
            <w:tcBorders>
              <w:bottom w:val="single" w:sz="4" w:space="0" w:color="29114B" w:themeColor="text2"/>
            </w:tcBorders>
            <w:shd w:val="clear" w:color="auto" w:fill="F2F2F2" w:themeFill="background1" w:themeFillShade="F2"/>
            <w:tcMar>
              <w:top w:w="57" w:type="dxa"/>
              <w:bottom w:w="57" w:type="dxa"/>
            </w:tcMar>
            <w:hideMark/>
          </w:tcPr>
          <w:p w14:paraId="271F3E3A" w14:textId="77777777" w:rsidR="00FF1C02" w:rsidRPr="00E970C3" w:rsidRDefault="00FF1C02" w:rsidP="00630831">
            <w:pPr>
              <w:pStyle w:val="TableTextRight"/>
              <w:rPr>
                <w:b/>
                <w:bCs/>
              </w:rPr>
            </w:pPr>
            <w:r w:rsidRPr="00E970C3">
              <w:rPr>
                <w:b/>
                <w:bCs/>
              </w:rPr>
              <w:t xml:space="preserve">161 </w:t>
            </w:r>
          </w:p>
        </w:tc>
      </w:tr>
      <w:tr w:rsidR="00FF1C02" w:rsidRPr="00E970C3" w14:paraId="613FB64A" w14:textId="77777777" w:rsidTr="00982988">
        <w:trPr>
          <w:cantSplit/>
        </w:trPr>
        <w:tc>
          <w:tcPr>
            <w:tcW w:w="3394"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hideMark/>
          </w:tcPr>
          <w:p w14:paraId="2BC46F3C" w14:textId="77777777" w:rsidR="00FF1C02" w:rsidRPr="00982988" w:rsidRDefault="00FF1C02" w:rsidP="00630831">
            <w:pPr>
              <w:pStyle w:val="TableSecondHeading"/>
              <w:rPr>
                <w:b/>
              </w:rPr>
            </w:pPr>
            <w:r w:rsidRPr="00982988">
              <w:rPr>
                <w:b/>
              </w:rPr>
              <w:t>Structured Finance Support Fund (SFSF)</w:t>
            </w:r>
            <w:r w:rsidRPr="00982988">
              <w:rPr>
                <w:rStyle w:val="TableTextLeftChar"/>
                <w:b/>
              </w:rPr>
              <w:t xml:space="preserve"> </w:t>
            </w:r>
            <w:r w:rsidRPr="00982988">
              <w:rPr>
                <w:bCs/>
                <w:color w:val="000000" w:themeColor="text1"/>
                <w:lang w:eastAsia="en-US"/>
              </w:rPr>
              <w:t>(a)</w:t>
            </w:r>
          </w:p>
        </w:tc>
        <w:tc>
          <w:tcPr>
            <w:tcW w:w="80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tcMar>
              <w:top w:w="57" w:type="dxa"/>
              <w:bottom w:w="57" w:type="dxa"/>
            </w:tcMar>
          </w:tcPr>
          <w:p w14:paraId="29EC2A56" w14:textId="77777777" w:rsidR="00FF1C02" w:rsidRPr="00982988" w:rsidRDefault="00FF1C02" w:rsidP="00630831">
            <w:pPr>
              <w:pStyle w:val="TableTextRight"/>
              <w:rPr>
                <w:b/>
              </w:rPr>
            </w:pPr>
          </w:p>
        </w:tc>
        <w:tc>
          <w:tcPr>
            <w:tcW w:w="802" w:type="pct"/>
            <w:tcBorders>
              <w:top w:val="single" w:sz="4" w:space="0" w:color="29114B" w:themeColor="text2"/>
              <w:left w:val="single" w:sz="4" w:space="0" w:color="F2F2F2" w:themeColor="background1" w:themeShade="F2"/>
            </w:tcBorders>
            <w:shd w:val="clear" w:color="auto" w:fill="F2F2F2" w:themeFill="background1" w:themeFillShade="F2"/>
            <w:tcMar>
              <w:top w:w="57" w:type="dxa"/>
              <w:bottom w:w="57" w:type="dxa"/>
            </w:tcMar>
            <w:hideMark/>
          </w:tcPr>
          <w:p w14:paraId="64210167" w14:textId="77777777" w:rsidR="00FF1C02" w:rsidRPr="00982988" w:rsidRDefault="00FF1C02" w:rsidP="00630831">
            <w:pPr>
              <w:pStyle w:val="TableTextRight"/>
              <w:rPr>
                <w:b/>
              </w:rPr>
            </w:pPr>
            <w:r w:rsidRPr="00982988">
              <w:rPr>
                <w:b/>
              </w:rPr>
              <w:t> </w:t>
            </w:r>
          </w:p>
        </w:tc>
      </w:tr>
      <w:tr w:rsidR="00FF1C02" w:rsidRPr="00E970C3" w14:paraId="44E3A18C" w14:textId="77777777" w:rsidTr="003C2549">
        <w:trPr>
          <w:cantSplit/>
        </w:trPr>
        <w:tc>
          <w:tcPr>
            <w:tcW w:w="3394" w:type="pct"/>
            <w:shd w:val="clear" w:color="auto" w:fill="F2F2F2" w:themeFill="background1" w:themeFillShade="F2"/>
            <w:tcMar>
              <w:top w:w="57" w:type="dxa"/>
              <w:bottom w:w="57" w:type="dxa"/>
            </w:tcMar>
            <w:hideMark/>
          </w:tcPr>
          <w:p w14:paraId="644127F9" w14:textId="77777777" w:rsidR="00FF1C02" w:rsidRPr="00E970C3" w:rsidRDefault="00FF1C02" w:rsidP="00630831">
            <w:pPr>
              <w:pStyle w:val="TableTextLeft"/>
            </w:pPr>
            <w:r w:rsidRPr="00E970C3">
              <w:t>Face value</w:t>
            </w:r>
          </w:p>
        </w:tc>
        <w:tc>
          <w:tcPr>
            <w:tcW w:w="804" w:type="pct"/>
            <w:shd w:val="clear" w:color="auto" w:fill="F2F2F2" w:themeFill="background1" w:themeFillShade="F2"/>
            <w:tcMar>
              <w:top w:w="57" w:type="dxa"/>
              <w:bottom w:w="57" w:type="dxa"/>
            </w:tcMar>
          </w:tcPr>
          <w:p w14:paraId="32A7554C" w14:textId="77777777" w:rsidR="00FF1C02" w:rsidRPr="00E24AB7" w:rsidRDefault="00FF1C02" w:rsidP="00630831">
            <w:pPr>
              <w:pStyle w:val="TableTextRight"/>
            </w:pPr>
            <w:r w:rsidRPr="00E24AB7">
              <w:noBreakHyphen/>
            </w:r>
          </w:p>
        </w:tc>
        <w:tc>
          <w:tcPr>
            <w:tcW w:w="802" w:type="pct"/>
            <w:shd w:val="clear" w:color="auto" w:fill="F2F2F2" w:themeFill="background1" w:themeFillShade="F2"/>
            <w:tcMar>
              <w:top w:w="57" w:type="dxa"/>
              <w:bottom w:w="57" w:type="dxa"/>
            </w:tcMar>
            <w:hideMark/>
          </w:tcPr>
          <w:p w14:paraId="58801648" w14:textId="77777777" w:rsidR="00FF1C02" w:rsidRPr="00E24AB7" w:rsidRDefault="00FF1C02" w:rsidP="00630831">
            <w:pPr>
              <w:pStyle w:val="TableTextRight"/>
            </w:pPr>
            <w:r w:rsidRPr="00E24AB7">
              <w:t xml:space="preserve">161 </w:t>
            </w:r>
          </w:p>
        </w:tc>
      </w:tr>
      <w:tr w:rsidR="00FF1C02" w:rsidRPr="00E970C3" w14:paraId="73F6FC89" w14:textId="77777777" w:rsidTr="003C2549">
        <w:trPr>
          <w:cantSplit/>
        </w:trPr>
        <w:tc>
          <w:tcPr>
            <w:tcW w:w="3394" w:type="pct"/>
            <w:shd w:val="clear" w:color="auto" w:fill="F2F2F2" w:themeFill="background1" w:themeFillShade="F2"/>
            <w:tcMar>
              <w:top w:w="57" w:type="dxa"/>
              <w:bottom w:w="57" w:type="dxa"/>
            </w:tcMar>
            <w:hideMark/>
          </w:tcPr>
          <w:p w14:paraId="6BB94615" w14:textId="77777777" w:rsidR="00FF1C02" w:rsidRPr="00E970C3" w:rsidRDefault="00FF1C02" w:rsidP="00630831">
            <w:pPr>
              <w:pStyle w:val="TableTextLeft"/>
            </w:pPr>
            <w:r w:rsidRPr="00E970C3">
              <w:t>Accrued Interest</w:t>
            </w:r>
          </w:p>
        </w:tc>
        <w:tc>
          <w:tcPr>
            <w:tcW w:w="804" w:type="pct"/>
            <w:shd w:val="clear" w:color="auto" w:fill="F2F2F2" w:themeFill="background1" w:themeFillShade="F2"/>
            <w:tcMar>
              <w:top w:w="57" w:type="dxa"/>
              <w:bottom w:w="57" w:type="dxa"/>
            </w:tcMar>
          </w:tcPr>
          <w:p w14:paraId="3DC285BF" w14:textId="77777777" w:rsidR="00FF1C02" w:rsidRPr="00E24AB7" w:rsidRDefault="00FF1C02" w:rsidP="00630831">
            <w:pPr>
              <w:pStyle w:val="TableTextRight"/>
            </w:pPr>
            <w:r w:rsidRPr="00E24AB7">
              <w:noBreakHyphen/>
            </w:r>
          </w:p>
        </w:tc>
        <w:tc>
          <w:tcPr>
            <w:tcW w:w="802" w:type="pct"/>
            <w:shd w:val="clear" w:color="auto" w:fill="F2F2F2" w:themeFill="background1" w:themeFillShade="F2"/>
            <w:tcMar>
              <w:top w:w="57" w:type="dxa"/>
              <w:bottom w:w="57" w:type="dxa"/>
            </w:tcMar>
            <w:hideMark/>
          </w:tcPr>
          <w:p w14:paraId="6A91BC70" w14:textId="77777777" w:rsidR="00FF1C02" w:rsidRPr="00E24AB7" w:rsidRDefault="00FF1C02" w:rsidP="00630831">
            <w:pPr>
              <w:pStyle w:val="TableTextRight"/>
            </w:pPr>
            <w:r w:rsidRPr="00E24AB7">
              <w:t>1</w:t>
            </w:r>
          </w:p>
        </w:tc>
      </w:tr>
      <w:tr w:rsidR="00FF1C02" w:rsidRPr="00E970C3" w14:paraId="290917CF" w14:textId="77777777" w:rsidTr="003C2549">
        <w:trPr>
          <w:cantSplit/>
        </w:trPr>
        <w:tc>
          <w:tcPr>
            <w:tcW w:w="3394" w:type="pct"/>
            <w:shd w:val="clear" w:color="auto" w:fill="F2F2F2" w:themeFill="background1" w:themeFillShade="F2"/>
            <w:tcMar>
              <w:top w:w="57" w:type="dxa"/>
              <w:bottom w:w="57" w:type="dxa"/>
            </w:tcMar>
            <w:hideMark/>
          </w:tcPr>
          <w:p w14:paraId="65430A87" w14:textId="77777777" w:rsidR="00FF1C02" w:rsidRPr="00E24AB7" w:rsidRDefault="00FF1C02" w:rsidP="00630831">
            <w:pPr>
              <w:pStyle w:val="TableTextLeft"/>
              <w:rPr>
                <w:b/>
                <w:bCs/>
              </w:rPr>
            </w:pPr>
            <w:r w:rsidRPr="00E24AB7">
              <w:rPr>
                <w:b/>
                <w:bCs/>
              </w:rPr>
              <w:t>SFSF Sub</w:t>
            </w:r>
            <w:r w:rsidRPr="00E24AB7">
              <w:rPr>
                <w:b/>
                <w:bCs/>
              </w:rPr>
              <w:noBreakHyphen/>
              <w:t>total</w:t>
            </w:r>
          </w:p>
        </w:tc>
        <w:tc>
          <w:tcPr>
            <w:tcW w:w="804" w:type="pct"/>
            <w:shd w:val="clear" w:color="auto" w:fill="F2F2F2" w:themeFill="background1" w:themeFillShade="F2"/>
            <w:tcMar>
              <w:top w:w="57" w:type="dxa"/>
              <w:bottom w:w="57" w:type="dxa"/>
            </w:tcMar>
          </w:tcPr>
          <w:p w14:paraId="57F7D97F" w14:textId="77777777" w:rsidR="00FF1C02" w:rsidRPr="00AB663E" w:rsidRDefault="00FF1C02" w:rsidP="00630831">
            <w:pPr>
              <w:pStyle w:val="TableTextRight"/>
              <w:rPr>
                <w:b/>
                <w:bCs/>
              </w:rPr>
            </w:pPr>
            <w:r w:rsidRPr="00AB663E">
              <w:rPr>
                <w:b/>
                <w:bCs/>
              </w:rPr>
              <w:noBreakHyphen/>
            </w:r>
          </w:p>
        </w:tc>
        <w:tc>
          <w:tcPr>
            <w:tcW w:w="802" w:type="pct"/>
            <w:shd w:val="clear" w:color="auto" w:fill="F2F2F2" w:themeFill="background1" w:themeFillShade="F2"/>
            <w:tcMar>
              <w:top w:w="57" w:type="dxa"/>
              <w:bottom w:w="57" w:type="dxa"/>
            </w:tcMar>
            <w:hideMark/>
          </w:tcPr>
          <w:p w14:paraId="5A5FD206" w14:textId="77777777" w:rsidR="00FF1C02" w:rsidRPr="00AB663E" w:rsidRDefault="00FF1C02" w:rsidP="00630831">
            <w:pPr>
              <w:pStyle w:val="TableTextRight"/>
              <w:rPr>
                <w:b/>
                <w:bCs/>
              </w:rPr>
            </w:pPr>
            <w:r w:rsidRPr="00AB663E">
              <w:rPr>
                <w:b/>
                <w:bCs/>
              </w:rPr>
              <w:t xml:space="preserve">162 </w:t>
            </w:r>
          </w:p>
        </w:tc>
      </w:tr>
      <w:tr w:rsidR="00FF1C02" w:rsidRPr="00E970C3" w14:paraId="42784BAD" w14:textId="77777777" w:rsidTr="003C2549">
        <w:trPr>
          <w:cantSplit/>
        </w:trPr>
        <w:tc>
          <w:tcPr>
            <w:tcW w:w="3394" w:type="pct"/>
            <w:shd w:val="clear" w:color="auto" w:fill="F2F2F2" w:themeFill="background1" w:themeFillShade="F2"/>
            <w:tcMar>
              <w:top w:w="57" w:type="dxa"/>
              <w:bottom w:w="57" w:type="dxa"/>
            </w:tcMar>
            <w:hideMark/>
          </w:tcPr>
          <w:p w14:paraId="5CE31BB1" w14:textId="77777777" w:rsidR="00FF1C02" w:rsidRPr="00E24AB7" w:rsidRDefault="00FF1C02" w:rsidP="00630831">
            <w:pPr>
              <w:pStyle w:val="TableTextLeft"/>
              <w:rPr>
                <w:b/>
                <w:bCs/>
              </w:rPr>
            </w:pPr>
            <w:r w:rsidRPr="00E24AB7">
              <w:rPr>
                <w:b/>
                <w:bCs/>
              </w:rPr>
              <w:t>Total carrying value</w:t>
            </w:r>
          </w:p>
        </w:tc>
        <w:tc>
          <w:tcPr>
            <w:tcW w:w="804" w:type="pct"/>
            <w:shd w:val="clear" w:color="auto" w:fill="F2F2F2" w:themeFill="background1" w:themeFillShade="F2"/>
            <w:tcMar>
              <w:top w:w="57" w:type="dxa"/>
              <w:bottom w:w="57" w:type="dxa"/>
            </w:tcMar>
          </w:tcPr>
          <w:p w14:paraId="0FAA37AF" w14:textId="77777777" w:rsidR="00FF1C02" w:rsidRPr="00E970C3" w:rsidRDefault="00FF1C02" w:rsidP="00630831">
            <w:pPr>
              <w:pStyle w:val="TableTextRight"/>
              <w:rPr>
                <w:b/>
                <w:bCs/>
              </w:rPr>
            </w:pPr>
            <w:r w:rsidRPr="00E970C3">
              <w:rPr>
                <w:b/>
                <w:bCs/>
              </w:rPr>
              <w:t>219</w:t>
            </w:r>
          </w:p>
        </w:tc>
        <w:tc>
          <w:tcPr>
            <w:tcW w:w="802" w:type="pct"/>
            <w:shd w:val="clear" w:color="auto" w:fill="F2F2F2" w:themeFill="background1" w:themeFillShade="F2"/>
            <w:tcMar>
              <w:top w:w="57" w:type="dxa"/>
              <w:bottom w:w="57" w:type="dxa"/>
            </w:tcMar>
            <w:hideMark/>
          </w:tcPr>
          <w:p w14:paraId="1026FB03" w14:textId="77777777" w:rsidR="00FF1C02" w:rsidRPr="00E970C3" w:rsidRDefault="00FF1C02" w:rsidP="00630831">
            <w:pPr>
              <w:pStyle w:val="TableTextRight"/>
              <w:rPr>
                <w:b/>
                <w:bCs/>
              </w:rPr>
            </w:pPr>
            <w:r w:rsidRPr="00E970C3">
              <w:rPr>
                <w:b/>
                <w:bCs/>
              </w:rPr>
              <w:t>323</w:t>
            </w:r>
          </w:p>
        </w:tc>
      </w:tr>
      <w:tr w:rsidR="00FF1C02" w:rsidRPr="00E970C3" w14:paraId="76B0745E" w14:textId="77777777" w:rsidTr="003C2549">
        <w:trPr>
          <w:cantSplit/>
        </w:trPr>
        <w:tc>
          <w:tcPr>
            <w:tcW w:w="3394" w:type="pct"/>
            <w:shd w:val="clear" w:color="auto" w:fill="F2F2F2" w:themeFill="background1" w:themeFillShade="F2"/>
            <w:tcMar>
              <w:top w:w="57" w:type="dxa"/>
              <w:bottom w:w="57" w:type="dxa"/>
            </w:tcMar>
            <w:hideMark/>
          </w:tcPr>
          <w:p w14:paraId="1BFBFE6C" w14:textId="77777777" w:rsidR="00FF1C02" w:rsidRPr="00E24AB7" w:rsidRDefault="00FF1C02" w:rsidP="00630831">
            <w:pPr>
              <w:pStyle w:val="TableTextLeft"/>
            </w:pPr>
            <w:r w:rsidRPr="00E24AB7">
              <w:t>Expected to be received (b):</w:t>
            </w:r>
          </w:p>
        </w:tc>
        <w:tc>
          <w:tcPr>
            <w:tcW w:w="804" w:type="pct"/>
            <w:shd w:val="clear" w:color="auto" w:fill="F2F2F2" w:themeFill="background1" w:themeFillShade="F2"/>
            <w:tcMar>
              <w:top w:w="57" w:type="dxa"/>
              <w:bottom w:w="57" w:type="dxa"/>
            </w:tcMar>
          </w:tcPr>
          <w:p w14:paraId="2D5C2F28" w14:textId="77777777" w:rsidR="00FF1C02" w:rsidRPr="00E970C3" w:rsidRDefault="00FF1C02" w:rsidP="00630831">
            <w:pPr>
              <w:pStyle w:val="TableTextRight"/>
            </w:pPr>
          </w:p>
        </w:tc>
        <w:tc>
          <w:tcPr>
            <w:tcW w:w="802" w:type="pct"/>
            <w:shd w:val="clear" w:color="auto" w:fill="F2F2F2" w:themeFill="background1" w:themeFillShade="F2"/>
            <w:tcMar>
              <w:top w:w="57" w:type="dxa"/>
              <w:bottom w:w="57" w:type="dxa"/>
            </w:tcMar>
            <w:hideMark/>
          </w:tcPr>
          <w:p w14:paraId="4489D4AB" w14:textId="77777777" w:rsidR="00FF1C02" w:rsidRPr="00E970C3" w:rsidRDefault="00FF1C02" w:rsidP="00630831">
            <w:pPr>
              <w:pStyle w:val="TableTextRight"/>
            </w:pPr>
            <w:r w:rsidRPr="00E970C3">
              <w:t> </w:t>
            </w:r>
          </w:p>
        </w:tc>
      </w:tr>
      <w:tr w:rsidR="00FF1C02" w:rsidRPr="00E970C3" w14:paraId="5EFA433B" w14:textId="77777777" w:rsidTr="003C2549">
        <w:trPr>
          <w:cantSplit/>
        </w:trPr>
        <w:tc>
          <w:tcPr>
            <w:tcW w:w="3394" w:type="pct"/>
            <w:shd w:val="clear" w:color="auto" w:fill="F2F2F2" w:themeFill="background1" w:themeFillShade="F2"/>
            <w:tcMar>
              <w:top w:w="57" w:type="dxa"/>
              <w:bottom w:w="57" w:type="dxa"/>
            </w:tcMar>
            <w:hideMark/>
          </w:tcPr>
          <w:p w14:paraId="6A6D2897" w14:textId="77777777" w:rsidR="00FF1C02" w:rsidRPr="00E24AB7" w:rsidRDefault="00FF1C02" w:rsidP="00630831">
            <w:pPr>
              <w:pStyle w:val="TableTextLeft"/>
            </w:pPr>
            <w:r w:rsidRPr="00E24AB7">
              <w:t>Within one year</w:t>
            </w:r>
          </w:p>
        </w:tc>
        <w:tc>
          <w:tcPr>
            <w:tcW w:w="804" w:type="pct"/>
            <w:shd w:val="clear" w:color="auto" w:fill="F2F2F2" w:themeFill="background1" w:themeFillShade="F2"/>
            <w:tcMar>
              <w:top w:w="57" w:type="dxa"/>
              <w:bottom w:w="57" w:type="dxa"/>
            </w:tcMar>
          </w:tcPr>
          <w:p w14:paraId="78BB1F2A" w14:textId="77777777" w:rsidR="00FF1C02" w:rsidRPr="00E970C3" w:rsidRDefault="00FF1C02" w:rsidP="00630831">
            <w:pPr>
              <w:pStyle w:val="TableTextRight"/>
            </w:pPr>
            <w:r w:rsidRPr="00E970C3">
              <w:t>64</w:t>
            </w:r>
          </w:p>
        </w:tc>
        <w:tc>
          <w:tcPr>
            <w:tcW w:w="802" w:type="pct"/>
            <w:shd w:val="clear" w:color="auto" w:fill="F2F2F2" w:themeFill="background1" w:themeFillShade="F2"/>
            <w:tcMar>
              <w:top w:w="57" w:type="dxa"/>
              <w:bottom w:w="57" w:type="dxa"/>
            </w:tcMar>
            <w:hideMark/>
          </w:tcPr>
          <w:p w14:paraId="3DA78731" w14:textId="77777777" w:rsidR="00FF1C02" w:rsidRPr="00E970C3" w:rsidRDefault="00FF1C02" w:rsidP="00630831">
            <w:pPr>
              <w:pStyle w:val="TableTextRight"/>
            </w:pPr>
            <w:r w:rsidRPr="00E970C3">
              <w:t>251</w:t>
            </w:r>
          </w:p>
        </w:tc>
      </w:tr>
      <w:tr w:rsidR="00FF1C02" w:rsidRPr="00E970C3" w14:paraId="66CFD50F" w14:textId="77777777" w:rsidTr="003C2549">
        <w:trPr>
          <w:cantSplit/>
        </w:trPr>
        <w:tc>
          <w:tcPr>
            <w:tcW w:w="3394" w:type="pct"/>
            <w:shd w:val="clear" w:color="auto" w:fill="F2F2F2" w:themeFill="background1" w:themeFillShade="F2"/>
            <w:tcMar>
              <w:top w:w="57" w:type="dxa"/>
              <w:bottom w:w="57" w:type="dxa"/>
            </w:tcMar>
            <w:hideMark/>
          </w:tcPr>
          <w:p w14:paraId="41F225DF" w14:textId="77777777" w:rsidR="00FF1C02" w:rsidRPr="00E24AB7" w:rsidRDefault="00FF1C02" w:rsidP="00630831">
            <w:pPr>
              <w:pStyle w:val="TableTextLeft"/>
            </w:pPr>
            <w:r w:rsidRPr="00E24AB7">
              <w:t>In one to five years</w:t>
            </w:r>
          </w:p>
        </w:tc>
        <w:tc>
          <w:tcPr>
            <w:tcW w:w="804" w:type="pct"/>
            <w:shd w:val="clear" w:color="auto" w:fill="F2F2F2" w:themeFill="background1" w:themeFillShade="F2"/>
            <w:tcMar>
              <w:top w:w="57" w:type="dxa"/>
              <w:bottom w:w="57" w:type="dxa"/>
            </w:tcMar>
          </w:tcPr>
          <w:p w14:paraId="01A3A406" w14:textId="77777777" w:rsidR="00FF1C02" w:rsidRPr="00E970C3" w:rsidRDefault="00FF1C02" w:rsidP="00630831">
            <w:pPr>
              <w:pStyle w:val="TableTextRight"/>
            </w:pPr>
            <w:r w:rsidRPr="00E970C3">
              <w:t>65</w:t>
            </w:r>
          </w:p>
        </w:tc>
        <w:tc>
          <w:tcPr>
            <w:tcW w:w="802" w:type="pct"/>
            <w:shd w:val="clear" w:color="auto" w:fill="F2F2F2" w:themeFill="background1" w:themeFillShade="F2"/>
            <w:tcMar>
              <w:top w:w="57" w:type="dxa"/>
              <w:bottom w:w="57" w:type="dxa"/>
            </w:tcMar>
            <w:hideMark/>
          </w:tcPr>
          <w:p w14:paraId="7DD81CA5" w14:textId="77777777" w:rsidR="00FF1C02" w:rsidRPr="00E970C3" w:rsidRDefault="00FF1C02" w:rsidP="00630831">
            <w:pPr>
              <w:pStyle w:val="TableTextRight"/>
            </w:pPr>
            <w:r w:rsidRPr="00E970C3">
              <w:t xml:space="preserve">72 </w:t>
            </w:r>
          </w:p>
        </w:tc>
      </w:tr>
      <w:tr w:rsidR="00FF1C02" w:rsidRPr="00E970C3" w14:paraId="1CBCD535" w14:textId="77777777" w:rsidTr="003C2549">
        <w:trPr>
          <w:cantSplit/>
        </w:trPr>
        <w:tc>
          <w:tcPr>
            <w:tcW w:w="3394" w:type="pct"/>
            <w:shd w:val="clear" w:color="auto" w:fill="F2F2F2" w:themeFill="background1" w:themeFillShade="F2"/>
            <w:tcMar>
              <w:top w:w="57" w:type="dxa"/>
              <w:bottom w:w="57" w:type="dxa"/>
            </w:tcMar>
            <w:hideMark/>
          </w:tcPr>
          <w:p w14:paraId="4E2D9436" w14:textId="77777777" w:rsidR="00FF1C02" w:rsidRPr="00E24AB7" w:rsidRDefault="00FF1C02" w:rsidP="00630831">
            <w:pPr>
              <w:pStyle w:val="TableTextLeft"/>
            </w:pPr>
            <w:r w:rsidRPr="00E24AB7">
              <w:t>In more than five years</w:t>
            </w:r>
          </w:p>
        </w:tc>
        <w:tc>
          <w:tcPr>
            <w:tcW w:w="804" w:type="pct"/>
            <w:shd w:val="clear" w:color="auto" w:fill="F2F2F2" w:themeFill="background1" w:themeFillShade="F2"/>
            <w:tcMar>
              <w:top w:w="57" w:type="dxa"/>
              <w:bottom w:w="57" w:type="dxa"/>
            </w:tcMar>
          </w:tcPr>
          <w:p w14:paraId="459BCDCF" w14:textId="77777777" w:rsidR="00FF1C02" w:rsidRPr="00E970C3" w:rsidRDefault="00FF1C02" w:rsidP="00630831">
            <w:pPr>
              <w:pStyle w:val="TableTextRight"/>
            </w:pPr>
            <w:r w:rsidRPr="00E970C3">
              <w:t>90</w:t>
            </w:r>
          </w:p>
        </w:tc>
        <w:tc>
          <w:tcPr>
            <w:tcW w:w="802" w:type="pct"/>
            <w:shd w:val="clear" w:color="auto" w:fill="F2F2F2" w:themeFill="background1" w:themeFillShade="F2"/>
            <w:tcMar>
              <w:top w:w="57" w:type="dxa"/>
              <w:bottom w:w="57" w:type="dxa"/>
            </w:tcMar>
            <w:hideMark/>
          </w:tcPr>
          <w:p w14:paraId="05335126" w14:textId="77777777" w:rsidR="00FF1C02" w:rsidRPr="00E970C3" w:rsidRDefault="00FF1C02" w:rsidP="00630831">
            <w:pPr>
              <w:pStyle w:val="TableTextRight"/>
            </w:pPr>
            <w:r w:rsidRPr="00E970C3">
              <w:t xml:space="preserve">– </w:t>
            </w:r>
          </w:p>
        </w:tc>
      </w:tr>
      <w:tr w:rsidR="00FF1C02" w:rsidRPr="00E970C3" w14:paraId="3E97C2DF" w14:textId="77777777" w:rsidTr="003C2549">
        <w:trPr>
          <w:cantSplit/>
        </w:trPr>
        <w:tc>
          <w:tcPr>
            <w:tcW w:w="3394" w:type="pct"/>
            <w:shd w:val="clear" w:color="auto" w:fill="F2F2F2" w:themeFill="background1" w:themeFillShade="F2"/>
            <w:tcMar>
              <w:top w:w="57" w:type="dxa"/>
              <w:bottom w:w="57" w:type="dxa"/>
            </w:tcMar>
            <w:hideMark/>
          </w:tcPr>
          <w:p w14:paraId="134C00CA" w14:textId="77777777" w:rsidR="00FF1C02" w:rsidRPr="00E24AB7" w:rsidRDefault="00FF1C02" w:rsidP="00630831">
            <w:pPr>
              <w:pStyle w:val="TableTextLeft"/>
            </w:pPr>
            <w:r w:rsidRPr="00E24AB7">
              <w:t>Carrying value by expected recovery</w:t>
            </w:r>
          </w:p>
        </w:tc>
        <w:tc>
          <w:tcPr>
            <w:tcW w:w="804" w:type="pct"/>
            <w:shd w:val="clear" w:color="auto" w:fill="F2F2F2" w:themeFill="background1" w:themeFillShade="F2"/>
            <w:tcMar>
              <w:top w:w="57" w:type="dxa"/>
              <w:bottom w:w="57" w:type="dxa"/>
            </w:tcMar>
          </w:tcPr>
          <w:p w14:paraId="65C6F124" w14:textId="77777777" w:rsidR="00FF1C02" w:rsidRPr="00E970C3" w:rsidRDefault="00FF1C02" w:rsidP="00630831">
            <w:pPr>
              <w:pStyle w:val="TableTextRight"/>
              <w:rPr>
                <w:b/>
                <w:bCs/>
              </w:rPr>
            </w:pPr>
            <w:r w:rsidRPr="00E970C3">
              <w:rPr>
                <w:b/>
                <w:bCs/>
              </w:rPr>
              <w:t>219</w:t>
            </w:r>
          </w:p>
        </w:tc>
        <w:tc>
          <w:tcPr>
            <w:tcW w:w="802" w:type="pct"/>
            <w:shd w:val="clear" w:color="auto" w:fill="F2F2F2" w:themeFill="background1" w:themeFillShade="F2"/>
            <w:tcMar>
              <w:top w:w="57" w:type="dxa"/>
              <w:bottom w:w="57" w:type="dxa"/>
            </w:tcMar>
            <w:hideMark/>
          </w:tcPr>
          <w:p w14:paraId="1C1DCEEB" w14:textId="77777777" w:rsidR="00FF1C02" w:rsidRPr="00E970C3" w:rsidRDefault="00FF1C02" w:rsidP="00630831">
            <w:pPr>
              <w:pStyle w:val="TableTextRight"/>
              <w:rPr>
                <w:b/>
                <w:bCs/>
              </w:rPr>
            </w:pPr>
            <w:r w:rsidRPr="00E970C3">
              <w:rPr>
                <w:b/>
                <w:bCs/>
              </w:rPr>
              <w:t xml:space="preserve">323 </w:t>
            </w:r>
          </w:p>
        </w:tc>
      </w:tr>
      <w:tr w:rsidR="00FF1C02" w:rsidRPr="00E970C3" w14:paraId="5B66C5D2" w14:textId="77777777" w:rsidTr="003C2549">
        <w:trPr>
          <w:cantSplit/>
        </w:trPr>
        <w:tc>
          <w:tcPr>
            <w:tcW w:w="3394" w:type="pct"/>
            <w:shd w:val="clear" w:color="auto" w:fill="F2F2F2" w:themeFill="background1" w:themeFillShade="F2"/>
            <w:tcMar>
              <w:top w:w="57" w:type="dxa"/>
              <w:bottom w:w="57" w:type="dxa"/>
            </w:tcMar>
            <w:hideMark/>
          </w:tcPr>
          <w:p w14:paraId="5F1BB303" w14:textId="77777777" w:rsidR="00FF1C02" w:rsidRPr="00E24AB7" w:rsidRDefault="00FF1C02" w:rsidP="00630831">
            <w:pPr>
              <w:pStyle w:val="TableTextLeft"/>
              <w:rPr>
                <w:rStyle w:val="Strong"/>
              </w:rPr>
            </w:pPr>
            <w:r w:rsidRPr="00E24AB7">
              <w:rPr>
                <w:rStyle w:val="Strong"/>
              </w:rPr>
              <w:t>Ageing:</w:t>
            </w:r>
          </w:p>
        </w:tc>
        <w:tc>
          <w:tcPr>
            <w:tcW w:w="804" w:type="pct"/>
            <w:shd w:val="clear" w:color="auto" w:fill="F2F2F2" w:themeFill="background1" w:themeFillShade="F2"/>
            <w:tcMar>
              <w:top w:w="57" w:type="dxa"/>
              <w:bottom w:w="57" w:type="dxa"/>
            </w:tcMar>
          </w:tcPr>
          <w:p w14:paraId="44AF574D" w14:textId="77777777" w:rsidR="00FF1C02" w:rsidRPr="00E970C3" w:rsidRDefault="00FF1C02" w:rsidP="00630831">
            <w:pPr>
              <w:pStyle w:val="TableTextRight"/>
              <w:spacing w:before="10" w:after="0"/>
              <w:rPr>
                <w:rStyle w:val="Strong"/>
              </w:rPr>
            </w:pPr>
          </w:p>
        </w:tc>
        <w:tc>
          <w:tcPr>
            <w:tcW w:w="802" w:type="pct"/>
            <w:shd w:val="clear" w:color="auto" w:fill="F2F2F2" w:themeFill="background1" w:themeFillShade="F2"/>
            <w:tcMar>
              <w:top w:w="57" w:type="dxa"/>
              <w:bottom w:w="57" w:type="dxa"/>
            </w:tcMar>
            <w:hideMark/>
          </w:tcPr>
          <w:p w14:paraId="15B4FD51" w14:textId="77777777" w:rsidR="00FF1C02" w:rsidRPr="00E970C3" w:rsidRDefault="00FF1C02" w:rsidP="00630831">
            <w:pPr>
              <w:pStyle w:val="TableTextRight"/>
              <w:spacing w:before="10" w:after="0"/>
            </w:pPr>
            <w:r w:rsidRPr="00E970C3">
              <w:rPr>
                <w:rStyle w:val="Strong"/>
              </w:rPr>
              <w:t> </w:t>
            </w:r>
          </w:p>
        </w:tc>
      </w:tr>
      <w:tr w:rsidR="00FF1C02" w:rsidRPr="00E970C3" w14:paraId="3A6F6170" w14:textId="77777777" w:rsidTr="003C2549">
        <w:trPr>
          <w:cantSplit/>
        </w:trPr>
        <w:tc>
          <w:tcPr>
            <w:tcW w:w="3394" w:type="pct"/>
            <w:shd w:val="clear" w:color="auto" w:fill="F2F2F2" w:themeFill="background1" w:themeFillShade="F2"/>
            <w:tcMar>
              <w:top w:w="57" w:type="dxa"/>
              <w:bottom w:w="57" w:type="dxa"/>
            </w:tcMar>
            <w:hideMark/>
          </w:tcPr>
          <w:p w14:paraId="10BFE860" w14:textId="77777777" w:rsidR="00FF1C02" w:rsidRPr="00E24AB7" w:rsidRDefault="00FF1C02" w:rsidP="00630831">
            <w:pPr>
              <w:pStyle w:val="TableTextLeft"/>
            </w:pPr>
            <w:r w:rsidRPr="00E24AB7">
              <w:t>Not overdue</w:t>
            </w:r>
          </w:p>
        </w:tc>
        <w:tc>
          <w:tcPr>
            <w:tcW w:w="804" w:type="pct"/>
            <w:shd w:val="clear" w:color="auto" w:fill="F2F2F2" w:themeFill="background1" w:themeFillShade="F2"/>
            <w:tcMar>
              <w:top w:w="57" w:type="dxa"/>
              <w:bottom w:w="57" w:type="dxa"/>
            </w:tcMar>
          </w:tcPr>
          <w:p w14:paraId="2D42719C" w14:textId="77777777" w:rsidR="00FF1C02" w:rsidRPr="00E970C3" w:rsidRDefault="00FF1C02" w:rsidP="00630831">
            <w:pPr>
              <w:pStyle w:val="TableTextRight"/>
            </w:pPr>
            <w:r w:rsidRPr="00E970C3">
              <w:t>219</w:t>
            </w:r>
          </w:p>
        </w:tc>
        <w:tc>
          <w:tcPr>
            <w:tcW w:w="802" w:type="pct"/>
            <w:shd w:val="clear" w:color="auto" w:fill="F2F2F2" w:themeFill="background1" w:themeFillShade="F2"/>
            <w:tcMar>
              <w:top w:w="57" w:type="dxa"/>
              <w:bottom w:w="57" w:type="dxa"/>
            </w:tcMar>
            <w:hideMark/>
          </w:tcPr>
          <w:p w14:paraId="690D3321" w14:textId="77777777" w:rsidR="00FF1C02" w:rsidRPr="00E970C3" w:rsidRDefault="00FF1C02" w:rsidP="00630831">
            <w:pPr>
              <w:pStyle w:val="TableTextRight"/>
            </w:pPr>
            <w:r w:rsidRPr="00E970C3">
              <w:t xml:space="preserve">323 </w:t>
            </w:r>
          </w:p>
        </w:tc>
      </w:tr>
      <w:tr w:rsidR="00FF1C02" w:rsidRPr="00E970C3" w14:paraId="508E46BB" w14:textId="77777777" w:rsidTr="003C2549">
        <w:trPr>
          <w:cantSplit/>
        </w:trPr>
        <w:tc>
          <w:tcPr>
            <w:tcW w:w="3394" w:type="pct"/>
            <w:shd w:val="clear" w:color="auto" w:fill="F2F2F2" w:themeFill="background1" w:themeFillShade="F2"/>
            <w:tcMar>
              <w:top w:w="57" w:type="dxa"/>
              <w:bottom w:w="57" w:type="dxa"/>
            </w:tcMar>
            <w:hideMark/>
          </w:tcPr>
          <w:p w14:paraId="5DF9E778" w14:textId="77777777" w:rsidR="00FF1C02" w:rsidRPr="00E24AB7" w:rsidRDefault="00FF1C02" w:rsidP="00630831">
            <w:pPr>
              <w:pStyle w:val="TableTextLeft"/>
              <w:rPr>
                <w:rStyle w:val="Strong"/>
              </w:rPr>
            </w:pPr>
            <w:r w:rsidRPr="00E24AB7">
              <w:rPr>
                <w:rStyle w:val="Strong"/>
              </w:rPr>
              <w:t>Carrying value by ageing</w:t>
            </w:r>
          </w:p>
        </w:tc>
        <w:tc>
          <w:tcPr>
            <w:tcW w:w="804" w:type="pct"/>
            <w:shd w:val="clear" w:color="auto" w:fill="F2F2F2" w:themeFill="background1" w:themeFillShade="F2"/>
            <w:tcMar>
              <w:top w:w="57" w:type="dxa"/>
              <w:bottom w:w="57" w:type="dxa"/>
            </w:tcMar>
          </w:tcPr>
          <w:p w14:paraId="5731C201" w14:textId="77777777" w:rsidR="00FF1C02" w:rsidRPr="00E970C3" w:rsidRDefault="00FF1C02" w:rsidP="00630831">
            <w:pPr>
              <w:pStyle w:val="TableTextRight"/>
              <w:spacing w:before="10" w:after="0"/>
              <w:rPr>
                <w:rStyle w:val="Strong"/>
              </w:rPr>
            </w:pPr>
            <w:r w:rsidRPr="00E970C3">
              <w:rPr>
                <w:rStyle w:val="Strong"/>
              </w:rPr>
              <w:t>219</w:t>
            </w:r>
          </w:p>
        </w:tc>
        <w:tc>
          <w:tcPr>
            <w:tcW w:w="802" w:type="pct"/>
            <w:shd w:val="clear" w:color="auto" w:fill="F2F2F2" w:themeFill="background1" w:themeFillShade="F2"/>
            <w:tcMar>
              <w:top w:w="57" w:type="dxa"/>
              <w:bottom w:w="57" w:type="dxa"/>
            </w:tcMar>
            <w:hideMark/>
          </w:tcPr>
          <w:p w14:paraId="2AEC9148" w14:textId="77777777" w:rsidR="00FF1C02" w:rsidRPr="00E970C3" w:rsidRDefault="00FF1C02" w:rsidP="00630831">
            <w:pPr>
              <w:pStyle w:val="TableTextRight"/>
              <w:spacing w:before="10" w:after="0"/>
              <w:rPr>
                <w:rStyle w:val="Strong"/>
              </w:rPr>
            </w:pPr>
            <w:r w:rsidRPr="00E970C3">
              <w:rPr>
                <w:rStyle w:val="Strong"/>
              </w:rPr>
              <w:t xml:space="preserve">323 </w:t>
            </w:r>
          </w:p>
        </w:tc>
      </w:tr>
    </w:tbl>
    <w:p w14:paraId="7D3C4A06" w14:textId="77777777" w:rsidR="00FF1C02" w:rsidRPr="006534F5" w:rsidRDefault="00FF1C02" w:rsidP="006D2EDF">
      <w:pPr>
        <w:pStyle w:val="ChartorTableNoteAlpha"/>
        <w:numPr>
          <w:ilvl w:val="0"/>
          <w:numId w:val="42"/>
        </w:numPr>
      </w:pPr>
      <w:r w:rsidRPr="006534F5">
        <w:t>Includes debt securities issued by the Forbearance SPV.</w:t>
      </w:r>
    </w:p>
    <w:p w14:paraId="0CF0BD12" w14:textId="77777777" w:rsidR="00FF1C02" w:rsidRPr="006534F5" w:rsidRDefault="00FF1C02" w:rsidP="001F10B3">
      <w:pPr>
        <w:pStyle w:val="ChartorTableNoteAlpha"/>
      </w:pPr>
      <w:r w:rsidRPr="006534F5">
        <w:t>The maturity profile is based on the weighted average life of each investment and disregarding estimated principal repayments (the timing and quantum of which are uncertain) prior to that time.</w:t>
      </w:r>
    </w:p>
    <w:p w14:paraId="47F78883" w14:textId="77777777" w:rsidR="00FF1C02" w:rsidRPr="006534F5" w:rsidRDefault="00FF1C02" w:rsidP="00FF1C02">
      <w:pPr>
        <w:pStyle w:val="SingleReturn"/>
      </w:pPr>
    </w:p>
    <w:p w14:paraId="0DBF5399" w14:textId="77777777" w:rsidR="00982988" w:rsidRDefault="00982988">
      <w:pPr>
        <w:spacing w:after="0" w:line="240" w:lineRule="auto"/>
        <w:rPr>
          <w:b/>
          <w:lang w:eastAsia="en-AU"/>
        </w:rPr>
      </w:pPr>
      <w:r>
        <w:br w:type="page"/>
      </w:r>
    </w:p>
    <w:p w14:paraId="2267C655" w14:textId="1CFF6B2D" w:rsidR="00FF1C02" w:rsidRPr="006534F5" w:rsidRDefault="00FF1C02" w:rsidP="00FF1C02">
      <w:pPr>
        <w:pStyle w:val="TableMainHeading"/>
        <w:keepLines/>
        <w:rPr>
          <w:rFonts w:asciiTheme="minorHAnsi" w:hAnsiTheme="minorHAnsi" w:cstheme="minorBidi"/>
          <w:lang w:eastAsia="en-US"/>
        </w:rPr>
      </w:pPr>
      <w:r w:rsidRPr="006534F5">
        <w:lastRenderedPageBreak/>
        <w:t xml:space="preserve">Change in principal value (face value) of investments for the period </w:t>
      </w:r>
    </w:p>
    <w:tbl>
      <w:tblPr>
        <w:tblStyle w:val="AOFMTablemain"/>
        <w:tblW w:w="5000" w:type="pct"/>
        <w:tblLook w:val="06A0" w:firstRow="1" w:lastRow="0" w:firstColumn="1" w:lastColumn="0" w:noHBand="1" w:noVBand="1"/>
      </w:tblPr>
      <w:tblGrid>
        <w:gridCol w:w="5177"/>
        <w:gridCol w:w="1268"/>
        <w:gridCol w:w="1266"/>
      </w:tblGrid>
      <w:tr w:rsidR="00E15250" w:rsidRPr="006534F5" w14:paraId="2242EB05" w14:textId="77777777" w:rsidTr="00982988">
        <w:trPr>
          <w:cnfStyle w:val="100000000000" w:firstRow="1" w:lastRow="0" w:firstColumn="0" w:lastColumn="0" w:oddVBand="0" w:evenVBand="0" w:oddHBand="0" w:evenHBand="0" w:firstRowFirstColumn="0" w:firstRowLastColumn="0" w:lastRowFirstColumn="0" w:lastRowLastColumn="0"/>
        </w:trPr>
        <w:tc>
          <w:tcPr>
            <w:tcW w:w="3357" w:type="pct"/>
            <w:tcBorders>
              <w:bottom w:val="single" w:sz="4" w:space="0" w:color="29114B" w:themeColor="text2"/>
            </w:tcBorders>
            <w:noWrap/>
            <w:tcMar>
              <w:top w:w="57" w:type="dxa"/>
              <w:bottom w:w="57" w:type="dxa"/>
            </w:tcMar>
            <w:hideMark/>
          </w:tcPr>
          <w:p w14:paraId="023066E7" w14:textId="77777777" w:rsidR="00FF1C02" w:rsidRPr="00740983" w:rsidRDefault="00FF1C02" w:rsidP="00630831">
            <w:pPr>
              <w:pStyle w:val="TableColumnHeadingRight"/>
            </w:pPr>
            <w:r w:rsidRPr="00740983">
              <w:t> </w:t>
            </w:r>
          </w:p>
        </w:tc>
        <w:tc>
          <w:tcPr>
            <w:tcW w:w="822" w:type="pct"/>
            <w:tcBorders>
              <w:bottom w:val="single" w:sz="4" w:space="0" w:color="29114B" w:themeColor="text2"/>
            </w:tcBorders>
            <w:noWrap/>
            <w:tcMar>
              <w:top w:w="57" w:type="dxa"/>
              <w:bottom w:w="57" w:type="dxa"/>
            </w:tcMar>
            <w:hideMark/>
          </w:tcPr>
          <w:p w14:paraId="15E84BFD" w14:textId="77777777" w:rsidR="00FF1C02" w:rsidRDefault="00FF1C02" w:rsidP="00630831">
            <w:pPr>
              <w:pStyle w:val="TableColumnHeadingRight"/>
            </w:pPr>
            <w:r w:rsidRPr="00825FD1">
              <w:t>202</w:t>
            </w:r>
            <w:r>
              <w:t xml:space="preserve">5 </w:t>
            </w:r>
          </w:p>
          <w:p w14:paraId="0BB7F8DD" w14:textId="77777777" w:rsidR="00FF1C02" w:rsidRPr="00740983" w:rsidRDefault="00FF1C02" w:rsidP="00630831">
            <w:pPr>
              <w:pStyle w:val="TableColumnHeadingRight"/>
            </w:pPr>
            <w:r>
              <w:t>($million)</w:t>
            </w:r>
          </w:p>
        </w:tc>
        <w:tc>
          <w:tcPr>
            <w:tcW w:w="821" w:type="pct"/>
            <w:tcBorders>
              <w:bottom w:val="single" w:sz="4" w:space="0" w:color="29114B" w:themeColor="text2"/>
            </w:tcBorders>
            <w:noWrap/>
            <w:tcMar>
              <w:top w:w="57" w:type="dxa"/>
              <w:bottom w:w="57" w:type="dxa"/>
            </w:tcMar>
            <w:hideMark/>
          </w:tcPr>
          <w:p w14:paraId="2BD2F97F" w14:textId="77777777" w:rsidR="00FF1C02" w:rsidRDefault="00FF1C02" w:rsidP="00630831">
            <w:pPr>
              <w:pStyle w:val="TableColumnHeadingRight"/>
            </w:pPr>
            <w:r w:rsidRPr="00825FD1">
              <w:t>202</w:t>
            </w:r>
            <w:r>
              <w:t xml:space="preserve">4 </w:t>
            </w:r>
          </w:p>
          <w:p w14:paraId="57BA545A" w14:textId="77777777" w:rsidR="00FF1C02" w:rsidRPr="00740983" w:rsidRDefault="00FF1C02" w:rsidP="00630831">
            <w:pPr>
              <w:pStyle w:val="TableColumnHeadingRight"/>
            </w:pPr>
            <w:r>
              <w:t>($million)</w:t>
            </w:r>
          </w:p>
        </w:tc>
      </w:tr>
      <w:tr w:rsidR="00FF1C02" w:rsidRPr="006534F5" w14:paraId="1EB1CC99" w14:textId="77777777" w:rsidTr="00982988">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7C3EEEFD" w14:textId="77777777" w:rsidR="00FF1C02" w:rsidRPr="00982988" w:rsidRDefault="00FF1C02" w:rsidP="00630831">
            <w:pPr>
              <w:pStyle w:val="TableSecondHeading"/>
              <w:rPr>
                <w:b/>
              </w:rPr>
            </w:pPr>
            <w:r w:rsidRPr="00982988">
              <w:rPr>
                <w:b/>
              </w:rPr>
              <w:t>Australian Business Securitisation Fund (ABSF)</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15634764" w14:textId="77777777" w:rsidR="00FF1C02" w:rsidRPr="00982988" w:rsidRDefault="00FF1C02" w:rsidP="00630831">
            <w:pPr>
              <w:pStyle w:val="TableTextRight"/>
              <w:rPr>
                <w:b/>
              </w:rPr>
            </w:pPr>
            <w:r w:rsidRPr="00982988">
              <w:rPr>
                <w:b/>
              </w:rPr>
              <w:t> </w:t>
            </w: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1CB674F6" w14:textId="77777777" w:rsidR="00FF1C02" w:rsidRPr="00982988" w:rsidRDefault="00FF1C02" w:rsidP="00630831">
            <w:pPr>
              <w:pStyle w:val="TableTextRight"/>
              <w:rPr>
                <w:b/>
                <w:color w:val="202845"/>
              </w:rPr>
            </w:pPr>
            <w:r w:rsidRPr="00982988">
              <w:rPr>
                <w:b/>
                <w:color w:val="202845"/>
              </w:rPr>
              <w:t> </w:t>
            </w:r>
          </w:p>
        </w:tc>
      </w:tr>
      <w:tr w:rsidR="00FF1C02" w:rsidRPr="006534F5" w14:paraId="2B568B04" w14:textId="77777777" w:rsidTr="003C2549">
        <w:tc>
          <w:tcPr>
            <w:tcW w:w="3357" w:type="pct"/>
            <w:shd w:val="clear" w:color="auto" w:fill="F2F2F2" w:themeFill="background1" w:themeFillShade="F2"/>
            <w:noWrap/>
            <w:tcMar>
              <w:top w:w="57" w:type="dxa"/>
              <w:bottom w:w="57" w:type="dxa"/>
            </w:tcMar>
            <w:hideMark/>
          </w:tcPr>
          <w:p w14:paraId="2602CB25" w14:textId="77777777" w:rsidR="00FF1C02" w:rsidRPr="00AE665D" w:rsidRDefault="00FF1C02" w:rsidP="00630831">
            <w:pPr>
              <w:pStyle w:val="TableTextLeft"/>
            </w:pPr>
            <w:r w:rsidRPr="00AE665D">
              <w:t>Acquisitions</w:t>
            </w:r>
          </w:p>
        </w:tc>
        <w:tc>
          <w:tcPr>
            <w:tcW w:w="822" w:type="pct"/>
            <w:shd w:val="clear" w:color="auto" w:fill="F2F2F2" w:themeFill="background1" w:themeFillShade="F2"/>
            <w:noWrap/>
            <w:tcMar>
              <w:top w:w="57" w:type="dxa"/>
              <w:bottom w:w="57" w:type="dxa"/>
            </w:tcMar>
          </w:tcPr>
          <w:p w14:paraId="543821CF" w14:textId="77777777" w:rsidR="00FF1C02" w:rsidRPr="00AE665D" w:rsidRDefault="00FF1C02" w:rsidP="00630831">
            <w:pPr>
              <w:pStyle w:val="TableTextRight"/>
            </w:pPr>
            <w:r>
              <w:t>189</w:t>
            </w:r>
          </w:p>
        </w:tc>
        <w:tc>
          <w:tcPr>
            <w:tcW w:w="821" w:type="pct"/>
            <w:shd w:val="clear" w:color="auto" w:fill="F2F2F2" w:themeFill="background1" w:themeFillShade="F2"/>
            <w:noWrap/>
            <w:tcMar>
              <w:top w:w="57" w:type="dxa"/>
              <w:bottom w:w="57" w:type="dxa"/>
            </w:tcMar>
            <w:hideMark/>
          </w:tcPr>
          <w:p w14:paraId="0875D419" w14:textId="77777777" w:rsidR="00FF1C02" w:rsidRPr="00AE665D" w:rsidRDefault="00FF1C02" w:rsidP="00630831">
            <w:pPr>
              <w:pStyle w:val="TableTextRight"/>
            </w:pPr>
            <w:r>
              <w:t>89</w:t>
            </w:r>
            <w:r w:rsidRPr="00AE665D">
              <w:t xml:space="preserve"> </w:t>
            </w:r>
          </w:p>
        </w:tc>
      </w:tr>
      <w:tr w:rsidR="00FF1C02" w:rsidRPr="006534F5" w14:paraId="5E844E2E" w14:textId="77777777" w:rsidTr="003C2549">
        <w:tc>
          <w:tcPr>
            <w:tcW w:w="3357" w:type="pct"/>
            <w:shd w:val="clear" w:color="auto" w:fill="F2F2F2" w:themeFill="background1" w:themeFillShade="F2"/>
            <w:noWrap/>
            <w:tcMar>
              <w:top w:w="57" w:type="dxa"/>
              <w:bottom w:w="57" w:type="dxa"/>
            </w:tcMar>
            <w:hideMark/>
          </w:tcPr>
          <w:p w14:paraId="321FDA51" w14:textId="77777777" w:rsidR="00FF1C02" w:rsidRPr="00AE665D" w:rsidRDefault="00FF1C02" w:rsidP="00630831">
            <w:pPr>
              <w:pStyle w:val="TableTextLeft"/>
            </w:pPr>
            <w:r w:rsidRPr="00AE665D">
              <w:t>Redemptions</w:t>
            </w:r>
          </w:p>
        </w:tc>
        <w:tc>
          <w:tcPr>
            <w:tcW w:w="822" w:type="pct"/>
            <w:shd w:val="clear" w:color="auto" w:fill="F2F2F2" w:themeFill="background1" w:themeFillShade="F2"/>
            <w:noWrap/>
            <w:tcMar>
              <w:top w:w="57" w:type="dxa"/>
              <w:bottom w:w="57" w:type="dxa"/>
            </w:tcMar>
          </w:tcPr>
          <w:p w14:paraId="0B07224E" w14:textId="77777777" w:rsidR="00FF1C02" w:rsidRPr="00AE665D" w:rsidRDefault="00FF1C02" w:rsidP="00630831">
            <w:pPr>
              <w:pStyle w:val="TableTextRight"/>
            </w:pPr>
            <w:r>
              <w:t>(132)</w:t>
            </w:r>
          </w:p>
        </w:tc>
        <w:tc>
          <w:tcPr>
            <w:tcW w:w="821" w:type="pct"/>
            <w:shd w:val="clear" w:color="auto" w:fill="F2F2F2" w:themeFill="background1" w:themeFillShade="F2"/>
            <w:noWrap/>
            <w:tcMar>
              <w:top w:w="57" w:type="dxa"/>
              <w:bottom w:w="57" w:type="dxa"/>
            </w:tcMar>
            <w:hideMark/>
          </w:tcPr>
          <w:p w14:paraId="2BBBCBC0" w14:textId="77777777" w:rsidR="00FF1C02" w:rsidRPr="00AE665D" w:rsidRDefault="00FF1C02" w:rsidP="00630831">
            <w:pPr>
              <w:pStyle w:val="TableTextRight"/>
            </w:pPr>
            <w:r w:rsidRPr="00AE665D">
              <w:t>(</w:t>
            </w:r>
            <w:r>
              <w:t>231</w:t>
            </w:r>
            <w:r w:rsidRPr="00AE665D">
              <w:t>)</w:t>
            </w:r>
          </w:p>
        </w:tc>
      </w:tr>
      <w:tr w:rsidR="00FF1C02" w:rsidRPr="006534F5" w14:paraId="273C0B3E" w14:textId="77777777" w:rsidTr="00982988">
        <w:tc>
          <w:tcPr>
            <w:tcW w:w="3357" w:type="pct"/>
            <w:tcBorders>
              <w:bottom w:val="single" w:sz="4" w:space="0" w:color="29114B" w:themeColor="text2"/>
            </w:tcBorders>
            <w:shd w:val="clear" w:color="auto" w:fill="F2F2F2" w:themeFill="background1" w:themeFillShade="F2"/>
            <w:noWrap/>
            <w:tcMar>
              <w:top w:w="57" w:type="dxa"/>
              <w:bottom w:w="57" w:type="dxa"/>
            </w:tcMar>
            <w:hideMark/>
          </w:tcPr>
          <w:p w14:paraId="14B814DA" w14:textId="77777777" w:rsidR="00FF1C02" w:rsidRPr="00E970C3" w:rsidRDefault="00FF1C02" w:rsidP="00630831">
            <w:pPr>
              <w:pStyle w:val="TableTextLeft"/>
              <w:rPr>
                <w:b/>
                <w:bCs/>
              </w:rPr>
            </w:pPr>
            <w:r w:rsidRPr="00E970C3">
              <w:rPr>
                <w:b/>
                <w:bCs/>
              </w:rPr>
              <w:t>Total change in principal value for ABSF</w:t>
            </w:r>
          </w:p>
        </w:tc>
        <w:tc>
          <w:tcPr>
            <w:tcW w:w="822" w:type="pct"/>
            <w:tcBorders>
              <w:bottom w:val="single" w:sz="4" w:space="0" w:color="29114B" w:themeColor="text2"/>
            </w:tcBorders>
            <w:shd w:val="clear" w:color="auto" w:fill="F2F2F2" w:themeFill="background1" w:themeFillShade="F2"/>
            <w:noWrap/>
            <w:tcMar>
              <w:top w:w="57" w:type="dxa"/>
              <w:bottom w:w="57" w:type="dxa"/>
            </w:tcMar>
          </w:tcPr>
          <w:p w14:paraId="7504B660" w14:textId="77777777" w:rsidR="00FF1C02" w:rsidRPr="00B85579" w:rsidRDefault="00FF1C02" w:rsidP="00630831">
            <w:pPr>
              <w:pStyle w:val="TableTextRight"/>
              <w:rPr>
                <w:b/>
                <w:bCs/>
              </w:rPr>
            </w:pPr>
            <w:r w:rsidRPr="00B85579">
              <w:rPr>
                <w:b/>
                <w:bCs/>
              </w:rPr>
              <w:t>58</w:t>
            </w:r>
          </w:p>
        </w:tc>
        <w:tc>
          <w:tcPr>
            <w:tcW w:w="821" w:type="pct"/>
            <w:tcBorders>
              <w:bottom w:val="single" w:sz="4" w:space="0" w:color="29114B" w:themeColor="text2"/>
            </w:tcBorders>
            <w:shd w:val="clear" w:color="auto" w:fill="F2F2F2" w:themeFill="background1" w:themeFillShade="F2"/>
            <w:noWrap/>
            <w:tcMar>
              <w:top w:w="57" w:type="dxa"/>
              <w:bottom w:w="57" w:type="dxa"/>
            </w:tcMar>
            <w:hideMark/>
          </w:tcPr>
          <w:p w14:paraId="50D57025" w14:textId="77777777" w:rsidR="00FF1C02" w:rsidRPr="00E970C3" w:rsidRDefault="00FF1C02" w:rsidP="00630831">
            <w:pPr>
              <w:pStyle w:val="TableTextRight"/>
              <w:rPr>
                <w:b/>
                <w:bCs/>
              </w:rPr>
            </w:pPr>
            <w:r w:rsidRPr="00E970C3">
              <w:rPr>
                <w:b/>
                <w:bCs/>
              </w:rPr>
              <w:t xml:space="preserve">(142) </w:t>
            </w:r>
          </w:p>
        </w:tc>
      </w:tr>
      <w:tr w:rsidR="00FF1C02" w:rsidRPr="006534F5" w14:paraId="69C0EB08" w14:textId="77777777" w:rsidTr="00982988">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45880E28" w14:textId="77777777" w:rsidR="00FF1C02" w:rsidRPr="00E24AB7" w:rsidRDefault="00FF1C02" w:rsidP="00630831">
            <w:pPr>
              <w:pStyle w:val="TableSecondHeading"/>
              <w:rPr>
                <w:b/>
                <w:bCs/>
              </w:rPr>
            </w:pPr>
            <w:r w:rsidRPr="00982988">
              <w:rPr>
                <w:b/>
              </w:rPr>
              <w:t>Structured Finance Support Fund (SFSF)</w:t>
            </w:r>
            <w:r w:rsidRPr="00E24AB7">
              <w:rPr>
                <w:bCs/>
              </w:rPr>
              <w:t xml:space="preserve"> </w:t>
            </w:r>
            <w:r w:rsidRPr="00E24AB7">
              <w:rPr>
                <w:bCs/>
                <w:color w:val="000000" w:themeColor="text1"/>
              </w:rPr>
              <w:t>(a)</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0F93FD0F" w14:textId="77777777" w:rsidR="00FF1C02" w:rsidRPr="00B85579" w:rsidRDefault="00FF1C02" w:rsidP="00630831">
            <w:pPr>
              <w:pStyle w:val="TableTextRight"/>
            </w:pP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3B5FEAD6" w14:textId="77777777" w:rsidR="00FF1C02" w:rsidRPr="00E970C3" w:rsidRDefault="00FF1C02" w:rsidP="00630831">
            <w:pPr>
              <w:pStyle w:val="TableTextRight"/>
              <w:rPr>
                <w:b/>
                <w:bCs/>
              </w:rPr>
            </w:pPr>
            <w:r w:rsidRPr="00E970C3">
              <w:rPr>
                <w:b/>
                <w:bCs/>
              </w:rPr>
              <w:t> </w:t>
            </w:r>
          </w:p>
        </w:tc>
      </w:tr>
      <w:tr w:rsidR="00FF1C02" w:rsidRPr="006534F5" w14:paraId="2A309DCC" w14:textId="77777777" w:rsidTr="003C2549">
        <w:tc>
          <w:tcPr>
            <w:tcW w:w="3357" w:type="pct"/>
            <w:shd w:val="clear" w:color="auto" w:fill="F2F2F2" w:themeFill="background1" w:themeFillShade="F2"/>
            <w:noWrap/>
            <w:tcMar>
              <w:top w:w="57" w:type="dxa"/>
              <w:bottom w:w="57" w:type="dxa"/>
            </w:tcMar>
            <w:hideMark/>
          </w:tcPr>
          <w:p w14:paraId="29058333" w14:textId="77777777" w:rsidR="00FF1C02" w:rsidRPr="00AE665D" w:rsidRDefault="00FF1C02" w:rsidP="00630831">
            <w:pPr>
              <w:pStyle w:val="TableTextLeft"/>
            </w:pPr>
            <w:r w:rsidRPr="00AE665D">
              <w:t>Redemptions</w:t>
            </w:r>
          </w:p>
        </w:tc>
        <w:tc>
          <w:tcPr>
            <w:tcW w:w="822" w:type="pct"/>
            <w:shd w:val="clear" w:color="auto" w:fill="F2F2F2" w:themeFill="background1" w:themeFillShade="F2"/>
            <w:noWrap/>
            <w:tcMar>
              <w:top w:w="57" w:type="dxa"/>
              <w:bottom w:w="57" w:type="dxa"/>
            </w:tcMar>
          </w:tcPr>
          <w:p w14:paraId="53870794" w14:textId="77777777" w:rsidR="00FF1C02" w:rsidRPr="00AE665D" w:rsidRDefault="00FF1C02" w:rsidP="00630831">
            <w:pPr>
              <w:pStyle w:val="TableTextRight"/>
            </w:pPr>
            <w:r>
              <w:t>(161)</w:t>
            </w:r>
          </w:p>
        </w:tc>
        <w:tc>
          <w:tcPr>
            <w:tcW w:w="821" w:type="pct"/>
            <w:shd w:val="clear" w:color="auto" w:fill="F2F2F2" w:themeFill="background1" w:themeFillShade="F2"/>
            <w:noWrap/>
            <w:tcMar>
              <w:top w:w="57" w:type="dxa"/>
              <w:bottom w:w="57" w:type="dxa"/>
            </w:tcMar>
            <w:hideMark/>
          </w:tcPr>
          <w:p w14:paraId="7E3AA09D" w14:textId="77777777" w:rsidR="00FF1C02" w:rsidRPr="00AE665D" w:rsidRDefault="00FF1C02" w:rsidP="00630831">
            <w:pPr>
              <w:pStyle w:val="TableTextRight"/>
            </w:pPr>
            <w:r w:rsidRPr="00AE665D">
              <w:t>(</w:t>
            </w:r>
            <w:r>
              <w:t>194</w:t>
            </w:r>
            <w:r w:rsidRPr="00AE665D">
              <w:t>)</w:t>
            </w:r>
          </w:p>
        </w:tc>
      </w:tr>
      <w:tr w:rsidR="00FF1C02" w:rsidRPr="006534F5" w14:paraId="2398B236" w14:textId="77777777" w:rsidTr="003C2549">
        <w:tc>
          <w:tcPr>
            <w:tcW w:w="3357" w:type="pct"/>
            <w:shd w:val="clear" w:color="auto" w:fill="F2F2F2" w:themeFill="background1" w:themeFillShade="F2"/>
            <w:noWrap/>
            <w:tcMar>
              <w:top w:w="57" w:type="dxa"/>
              <w:bottom w:w="57" w:type="dxa"/>
            </w:tcMar>
            <w:hideMark/>
          </w:tcPr>
          <w:p w14:paraId="26227134" w14:textId="77777777" w:rsidR="00FF1C02" w:rsidRPr="00E970C3" w:rsidRDefault="00FF1C02" w:rsidP="00630831">
            <w:pPr>
              <w:pStyle w:val="TableTextLeft"/>
              <w:rPr>
                <w:b/>
                <w:bCs/>
              </w:rPr>
            </w:pPr>
            <w:r w:rsidRPr="00E970C3">
              <w:rPr>
                <w:b/>
                <w:bCs/>
              </w:rPr>
              <w:t>Total change in principal value for SFSF</w:t>
            </w:r>
          </w:p>
        </w:tc>
        <w:tc>
          <w:tcPr>
            <w:tcW w:w="822" w:type="pct"/>
            <w:shd w:val="clear" w:color="auto" w:fill="F2F2F2" w:themeFill="background1" w:themeFillShade="F2"/>
            <w:noWrap/>
            <w:tcMar>
              <w:top w:w="57" w:type="dxa"/>
              <w:bottom w:w="57" w:type="dxa"/>
            </w:tcMar>
          </w:tcPr>
          <w:p w14:paraId="125DA66B" w14:textId="77777777" w:rsidR="00FF1C02" w:rsidRPr="00E970C3" w:rsidRDefault="00FF1C02" w:rsidP="00630831">
            <w:pPr>
              <w:pStyle w:val="TableTextRight"/>
              <w:rPr>
                <w:b/>
                <w:bCs/>
              </w:rPr>
            </w:pPr>
            <w:r w:rsidRPr="00E970C3">
              <w:rPr>
                <w:b/>
                <w:bCs/>
              </w:rPr>
              <w:t>(161)</w:t>
            </w:r>
          </w:p>
        </w:tc>
        <w:tc>
          <w:tcPr>
            <w:tcW w:w="821" w:type="pct"/>
            <w:shd w:val="clear" w:color="auto" w:fill="F2F2F2" w:themeFill="background1" w:themeFillShade="F2"/>
            <w:noWrap/>
            <w:tcMar>
              <w:top w:w="57" w:type="dxa"/>
              <w:bottom w:w="57" w:type="dxa"/>
            </w:tcMar>
            <w:hideMark/>
          </w:tcPr>
          <w:p w14:paraId="2DC61823" w14:textId="77777777" w:rsidR="00FF1C02" w:rsidRPr="00E970C3" w:rsidRDefault="00FF1C02" w:rsidP="00630831">
            <w:pPr>
              <w:pStyle w:val="TableTextRight"/>
              <w:rPr>
                <w:b/>
                <w:bCs/>
              </w:rPr>
            </w:pPr>
            <w:r w:rsidRPr="00E970C3">
              <w:rPr>
                <w:b/>
                <w:bCs/>
              </w:rPr>
              <w:t>(194)</w:t>
            </w:r>
          </w:p>
        </w:tc>
      </w:tr>
    </w:tbl>
    <w:p w14:paraId="33F97DA3" w14:textId="77777777" w:rsidR="00FF1C02" w:rsidRPr="006534F5" w:rsidRDefault="00FF1C02" w:rsidP="006D2EDF">
      <w:pPr>
        <w:pStyle w:val="ChartorTableNoteAlpha"/>
        <w:numPr>
          <w:ilvl w:val="0"/>
          <w:numId w:val="43"/>
        </w:numPr>
      </w:pPr>
      <w:r w:rsidRPr="006534F5">
        <w:t>Includes debt securities issued by the Forbearance SPV.</w:t>
      </w:r>
    </w:p>
    <w:p w14:paraId="36C91455" w14:textId="391AB504" w:rsidR="00FF1C02" w:rsidRPr="006534F5" w:rsidRDefault="00FF1C02" w:rsidP="00FF1C02">
      <w:pPr>
        <w:pStyle w:val="Heading3"/>
      </w:pPr>
      <w:bookmarkStart w:id="1724" w:name="_Toc146112251"/>
      <w:bookmarkStart w:id="1725" w:name="_Toc207796144"/>
      <w:r w:rsidRPr="006534F5">
        <w:t>The Forbearance SPV</w:t>
      </w:r>
      <w:bookmarkEnd w:id="1724"/>
      <w:bookmarkEnd w:id="1725"/>
    </w:p>
    <w:p w14:paraId="5B1DC3F0" w14:textId="77777777" w:rsidR="00FF1C02" w:rsidRPr="00B34A9B" w:rsidRDefault="00FF1C02" w:rsidP="00FF1C02">
      <w:r w:rsidRPr="00B34A9B">
        <w:t>The AOFM forbearance SPV is a single special purpose vehicle funded by AOFM through the Structured Finance Support Fund. The provision of liquidity funding to participating trust vehicles ceased on 31 March 2021.</w:t>
      </w:r>
    </w:p>
    <w:p w14:paraId="1FF2BDD5" w14:textId="77777777" w:rsidR="00FF1C02" w:rsidRPr="00B34A9B" w:rsidRDefault="00FF1C02" w:rsidP="00FF1C02">
      <w:r w:rsidRPr="00B34A9B">
        <w:t>The value of interest revenue earned, and investments identified in the above tables for the Structured Finance Support Fund are inclusive of the Forbearance SPV.</w:t>
      </w:r>
    </w:p>
    <w:p w14:paraId="3E696095" w14:textId="77777777" w:rsidR="00FF1C02" w:rsidRPr="00B34A9B" w:rsidRDefault="00FF1C02" w:rsidP="00FF1C02">
      <w:r w:rsidRPr="00B34A9B">
        <w:t>The AOFM acquired variable funding notes issued by the Forbearance SPV to fund the making of liquidity payment loans to participating trust vehicles. As the Participation Unitholder of the Forbearance SPV, the Commonwealth is entitled to any residual income generated by the Forbearance SPV.</w:t>
      </w:r>
    </w:p>
    <w:p w14:paraId="6BAB038D" w14:textId="77777777" w:rsidR="00FF1C02" w:rsidRPr="00B34A9B" w:rsidRDefault="00FF1C02" w:rsidP="00FF1C02">
      <w:r w:rsidRPr="00B34A9B">
        <w:t xml:space="preserve">In accordance with the requirements of clause 32 of the </w:t>
      </w:r>
      <w:r w:rsidRPr="00B34A9B">
        <w:rPr>
          <w:i/>
          <w:iCs/>
        </w:rPr>
        <w:t>Public Governance, Performance and Accountability (Financial Reporting) Rule 2015</w:t>
      </w:r>
      <w:r w:rsidRPr="00B34A9B">
        <w:t xml:space="preserve"> the Forbearance SPV has not been consolidated in accordance </w:t>
      </w:r>
      <w:r w:rsidRPr="00813075">
        <w:t>with AASB 10 Consolidated Financial Statements</w:t>
      </w:r>
      <w:r w:rsidRPr="00B34A9B">
        <w:t xml:space="preserve">, or in accordance </w:t>
      </w:r>
      <w:r w:rsidRPr="00EC5056">
        <w:t>with AASB 128 Investments in Associates and Joint Ventures. The AOFM has applied AASB 9 Financial Instruments to its debt security investments in the Forbearance</w:t>
      </w:r>
      <w:r w:rsidRPr="00B34A9B">
        <w:t xml:space="preserve"> SPV. </w:t>
      </w:r>
    </w:p>
    <w:p w14:paraId="1AB426BF" w14:textId="1093FD07" w:rsidR="00982988" w:rsidRDefault="00FF1C02" w:rsidP="00FF1C02">
      <w:r w:rsidRPr="00B34A9B">
        <w:t>Interest revenue earned from the Forbearance SPV in 2024–25 was $0.1 million (2023–</w:t>
      </w:r>
      <w:r>
        <w:t>‍</w:t>
      </w:r>
      <w:r w:rsidRPr="00B34A9B">
        <w:t>24: $0.6 million). As at the end of the financial year the carrying value of debt securities held in the Forbearance SPV was as follows:</w:t>
      </w:r>
    </w:p>
    <w:p w14:paraId="185EAF8A" w14:textId="77777777" w:rsidR="00982988" w:rsidRDefault="00982988">
      <w:pPr>
        <w:spacing w:after="0" w:line="240" w:lineRule="auto"/>
      </w:pPr>
      <w:r>
        <w:br w:type="page"/>
      </w:r>
    </w:p>
    <w:p w14:paraId="0C3F1DDE" w14:textId="77777777" w:rsidR="00FF1C02" w:rsidRPr="006534F5" w:rsidRDefault="00FF1C02" w:rsidP="00FF1C02">
      <w:pPr>
        <w:pStyle w:val="TableMainHeading"/>
        <w:keepLines/>
        <w:rPr>
          <w:rFonts w:asciiTheme="minorHAnsi" w:hAnsiTheme="minorHAnsi" w:cstheme="minorBidi"/>
          <w:lang w:eastAsia="en-US"/>
        </w:rPr>
      </w:pPr>
      <w:r w:rsidRPr="006534F5">
        <w:lastRenderedPageBreak/>
        <w:t>Carrying value of debt securities held in the Forbearance SPV </w:t>
      </w:r>
      <w:proofErr w:type="gramStart"/>
      <w:r w:rsidRPr="006534F5">
        <w:t>at</w:t>
      </w:r>
      <w:proofErr w:type="gramEnd"/>
      <w:r w:rsidRPr="006534F5">
        <w:t xml:space="preserve"> 30 June 202</w:t>
      </w:r>
      <w:r>
        <w:t>5</w:t>
      </w:r>
    </w:p>
    <w:tbl>
      <w:tblPr>
        <w:tblStyle w:val="AOFMTablemain"/>
        <w:tblW w:w="5000" w:type="pct"/>
        <w:tblLook w:val="06A0" w:firstRow="1" w:lastRow="0" w:firstColumn="1" w:lastColumn="0" w:noHBand="1" w:noVBand="1"/>
      </w:tblPr>
      <w:tblGrid>
        <w:gridCol w:w="5128"/>
        <w:gridCol w:w="1365"/>
        <w:gridCol w:w="1218"/>
      </w:tblGrid>
      <w:tr w:rsidR="00E15250" w:rsidRPr="006534F5" w14:paraId="1F9017DB" w14:textId="77777777" w:rsidTr="00982988">
        <w:trPr>
          <w:cnfStyle w:val="100000000000" w:firstRow="1" w:lastRow="0" w:firstColumn="0" w:lastColumn="0" w:oddVBand="0" w:evenVBand="0" w:oddHBand="0" w:evenHBand="0" w:firstRowFirstColumn="0" w:firstRowLastColumn="0" w:lastRowFirstColumn="0" w:lastRowLastColumn="0"/>
        </w:trPr>
        <w:tc>
          <w:tcPr>
            <w:tcW w:w="3325" w:type="pct"/>
            <w:tcBorders>
              <w:bottom w:val="single" w:sz="4" w:space="0" w:color="29114B" w:themeColor="text2"/>
            </w:tcBorders>
            <w:noWrap/>
            <w:hideMark/>
          </w:tcPr>
          <w:p w14:paraId="6C699521" w14:textId="77777777" w:rsidR="00FF1C02" w:rsidRPr="00EC4166" w:rsidRDefault="00FF1C02" w:rsidP="00630831">
            <w:pPr>
              <w:pStyle w:val="TableColumnHeadingRight"/>
            </w:pPr>
            <w:r w:rsidRPr="00EC4166">
              <w:t> </w:t>
            </w:r>
          </w:p>
        </w:tc>
        <w:tc>
          <w:tcPr>
            <w:tcW w:w="885" w:type="pct"/>
            <w:tcBorders>
              <w:bottom w:val="single" w:sz="4" w:space="0" w:color="29114B" w:themeColor="text2"/>
            </w:tcBorders>
            <w:noWrap/>
            <w:hideMark/>
          </w:tcPr>
          <w:p w14:paraId="298AF7C5" w14:textId="77777777" w:rsidR="00FF1C02" w:rsidRDefault="00FF1C02" w:rsidP="00630831">
            <w:pPr>
              <w:pStyle w:val="TableColumnHeadingRight"/>
            </w:pPr>
            <w:r w:rsidRPr="00825FD1">
              <w:t>202</w:t>
            </w:r>
            <w:r>
              <w:t xml:space="preserve">5 </w:t>
            </w:r>
          </w:p>
          <w:p w14:paraId="534FFFE1" w14:textId="77777777" w:rsidR="00FF1C02" w:rsidRPr="00EC4166" w:rsidRDefault="00FF1C02" w:rsidP="00630831">
            <w:pPr>
              <w:pStyle w:val="TableColumnHeadingRight"/>
            </w:pPr>
            <w:r>
              <w:t>($million)</w:t>
            </w:r>
          </w:p>
        </w:tc>
        <w:tc>
          <w:tcPr>
            <w:tcW w:w="790" w:type="pct"/>
            <w:tcBorders>
              <w:bottom w:val="single" w:sz="4" w:space="0" w:color="29114B" w:themeColor="text2"/>
            </w:tcBorders>
            <w:noWrap/>
            <w:hideMark/>
          </w:tcPr>
          <w:p w14:paraId="3F18473C" w14:textId="77777777" w:rsidR="00FF1C02" w:rsidRDefault="00FF1C02" w:rsidP="00630831">
            <w:pPr>
              <w:pStyle w:val="TableColumnHeadingRight"/>
            </w:pPr>
            <w:r w:rsidRPr="00825FD1">
              <w:t>202</w:t>
            </w:r>
            <w:r>
              <w:t xml:space="preserve">4 </w:t>
            </w:r>
          </w:p>
          <w:p w14:paraId="2171A33D" w14:textId="77777777" w:rsidR="00FF1C02" w:rsidRPr="00EC4166" w:rsidRDefault="00FF1C02" w:rsidP="00630831">
            <w:pPr>
              <w:pStyle w:val="TableColumnHeadingRight"/>
            </w:pPr>
            <w:r>
              <w:t>($million)</w:t>
            </w:r>
          </w:p>
        </w:tc>
      </w:tr>
      <w:tr w:rsidR="00FF1C02" w:rsidRPr="006534F5" w14:paraId="77FB5128" w14:textId="77777777" w:rsidTr="00982988">
        <w:tc>
          <w:tcPr>
            <w:tcW w:w="3325"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75EFE4FA" w14:textId="77777777" w:rsidR="00FF1C02" w:rsidRPr="00982988" w:rsidRDefault="00FF1C02" w:rsidP="00630831">
            <w:pPr>
              <w:pStyle w:val="TableSecondHeading"/>
              <w:rPr>
                <w:b/>
              </w:rPr>
            </w:pPr>
            <w:r w:rsidRPr="00982988">
              <w:rPr>
                <w:b/>
              </w:rPr>
              <w:t>Forbearance SPV</w:t>
            </w:r>
          </w:p>
        </w:tc>
        <w:tc>
          <w:tcPr>
            <w:tcW w:w="885"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hideMark/>
          </w:tcPr>
          <w:p w14:paraId="0F304269" w14:textId="77777777" w:rsidR="00FF1C02" w:rsidRPr="006534F5" w:rsidRDefault="00FF1C02" w:rsidP="00630831">
            <w:pPr>
              <w:pStyle w:val="TableTextRight"/>
            </w:pPr>
            <w:r w:rsidRPr="006534F5">
              <w:t> </w:t>
            </w:r>
          </w:p>
        </w:tc>
        <w:tc>
          <w:tcPr>
            <w:tcW w:w="790"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497065B9" w14:textId="77777777" w:rsidR="00FF1C02" w:rsidRPr="006534F5" w:rsidRDefault="00FF1C02" w:rsidP="00630831">
            <w:pPr>
              <w:pStyle w:val="TableTextRight"/>
            </w:pPr>
            <w:r w:rsidRPr="006534F5">
              <w:t> </w:t>
            </w:r>
          </w:p>
        </w:tc>
      </w:tr>
      <w:tr w:rsidR="00FF1C02" w:rsidRPr="006534F5" w14:paraId="4A9433E8" w14:textId="77777777" w:rsidTr="003C2549">
        <w:tc>
          <w:tcPr>
            <w:tcW w:w="3325" w:type="pct"/>
            <w:shd w:val="clear" w:color="auto" w:fill="F2F2F2" w:themeFill="background1" w:themeFillShade="F2"/>
            <w:noWrap/>
            <w:hideMark/>
          </w:tcPr>
          <w:p w14:paraId="7F655B65" w14:textId="77777777" w:rsidR="00FF1C02" w:rsidRPr="006534F5" w:rsidRDefault="00FF1C02" w:rsidP="00630831">
            <w:pPr>
              <w:pStyle w:val="TableTextLeft"/>
            </w:pPr>
            <w:r w:rsidRPr="006534F5">
              <w:t>Face value of securities</w:t>
            </w:r>
          </w:p>
        </w:tc>
        <w:tc>
          <w:tcPr>
            <w:tcW w:w="885" w:type="pct"/>
            <w:shd w:val="clear" w:color="auto" w:fill="F2F2F2" w:themeFill="background1" w:themeFillShade="F2"/>
            <w:noWrap/>
          </w:tcPr>
          <w:p w14:paraId="6E70393C" w14:textId="77777777" w:rsidR="00FF1C02" w:rsidRPr="006534F5" w:rsidRDefault="00FF1C02" w:rsidP="00630831">
            <w:pPr>
              <w:pStyle w:val="TableTextRight"/>
            </w:pPr>
            <w:r>
              <w:noBreakHyphen/>
            </w:r>
          </w:p>
        </w:tc>
        <w:tc>
          <w:tcPr>
            <w:tcW w:w="790" w:type="pct"/>
            <w:shd w:val="clear" w:color="auto" w:fill="F2F2F2" w:themeFill="background1" w:themeFillShade="F2"/>
            <w:noWrap/>
            <w:hideMark/>
          </w:tcPr>
          <w:p w14:paraId="6250A343" w14:textId="77777777" w:rsidR="00FF1C02" w:rsidRPr="006534F5" w:rsidRDefault="00FF1C02" w:rsidP="00630831">
            <w:pPr>
              <w:pStyle w:val="TableTextRight"/>
            </w:pPr>
            <w:r>
              <w:t xml:space="preserve">8 </w:t>
            </w:r>
          </w:p>
        </w:tc>
      </w:tr>
      <w:tr w:rsidR="00FF1C02" w:rsidRPr="006534F5" w14:paraId="7243A105" w14:textId="77777777" w:rsidTr="003C2549">
        <w:tc>
          <w:tcPr>
            <w:tcW w:w="3325" w:type="pct"/>
            <w:shd w:val="clear" w:color="auto" w:fill="F2F2F2" w:themeFill="background1" w:themeFillShade="F2"/>
            <w:noWrap/>
            <w:hideMark/>
          </w:tcPr>
          <w:p w14:paraId="32981AB5" w14:textId="77777777" w:rsidR="00FF1C02" w:rsidRPr="00D101EB" w:rsidRDefault="00FF1C02" w:rsidP="00630831">
            <w:pPr>
              <w:pStyle w:val="TableTextLeft"/>
              <w:rPr>
                <w:b/>
                <w:bCs/>
              </w:rPr>
            </w:pPr>
            <w:r w:rsidRPr="00D101EB">
              <w:rPr>
                <w:b/>
                <w:bCs/>
              </w:rPr>
              <w:t>Total Carrying Value</w:t>
            </w:r>
          </w:p>
        </w:tc>
        <w:tc>
          <w:tcPr>
            <w:tcW w:w="885" w:type="pct"/>
            <w:shd w:val="clear" w:color="auto" w:fill="F2F2F2" w:themeFill="background1" w:themeFillShade="F2"/>
            <w:noWrap/>
          </w:tcPr>
          <w:p w14:paraId="104559EA" w14:textId="77777777" w:rsidR="00FF1C02" w:rsidRPr="00D101EB" w:rsidRDefault="00FF1C02" w:rsidP="00630831">
            <w:pPr>
              <w:pStyle w:val="TableTextRight"/>
              <w:rPr>
                <w:b/>
                <w:bCs/>
              </w:rPr>
            </w:pPr>
            <w:r w:rsidRPr="00D101EB">
              <w:rPr>
                <w:b/>
                <w:bCs/>
              </w:rPr>
              <w:noBreakHyphen/>
            </w:r>
          </w:p>
        </w:tc>
        <w:tc>
          <w:tcPr>
            <w:tcW w:w="790" w:type="pct"/>
            <w:shd w:val="clear" w:color="auto" w:fill="F2F2F2" w:themeFill="background1" w:themeFillShade="F2"/>
            <w:noWrap/>
            <w:hideMark/>
          </w:tcPr>
          <w:p w14:paraId="4F971669" w14:textId="77777777" w:rsidR="00FF1C02" w:rsidRPr="00D101EB" w:rsidRDefault="00FF1C02" w:rsidP="00630831">
            <w:pPr>
              <w:pStyle w:val="TableTextRight"/>
              <w:rPr>
                <w:b/>
                <w:bCs/>
              </w:rPr>
            </w:pPr>
            <w:r w:rsidRPr="00D101EB">
              <w:rPr>
                <w:b/>
                <w:bCs/>
              </w:rPr>
              <w:t xml:space="preserve">8 </w:t>
            </w:r>
          </w:p>
        </w:tc>
      </w:tr>
    </w:tbl>
    <w:p w14:paraId="278525B8" w14:textId="77777777" w:rsidR="00FF1C02" w:rsidRPr="006534F5" w:rsidRDefault="00FF1C02" w:rsidP="00FF1C02"/>
    <w:p w14:paraId="3A04C2B6" w14:textId="77777777" w:rsidR="00FF1C02" w:rsidRPr="006534F5" w:rsidRDefault="00FF1C02" w:rsidP="00FF1C02">
      <w:pPr>
        <w:pStyle w:val="TableMainHeading"/>
        <w:keepLines/>
        <w:rPr>
          <w:rFonts w:asciiTheme="minorHAnsi" w:hAnsiTheme="minorHAnsi" w:cstheme="minorBidi"/>
          <w:lang w:eastAsia="en-US"/>
        </w:rPr>
      </w:pPr>
      <w:r w:rsidRPr="006534F5">
        <w:t xml:space="preserve">Change in principal value (face value) of investments for the period </w:t>
      </w:r>
    </w:p>
    <w:tbl>
      <w:tblPr>
        <w:tblStyle w:val="AOFMTablemain"/>
        <w:tblW w:w="5000" w:type="pct"/>
        <w:tblLook w:val="06A0" w:firstRow="1" w:lastRow="0" w:firstColumn="1" w:lastColumn="0" w:noHBand="1" w:noVBand="1"/>
      </w:tblPr>
      <w:tblGrid>
        <w:gridCol w:w="5177"/>
        <w:gridCol w:w="1268"/>
        <w:gridCol w:w="1266"/>
      </w:tblGrid>
      <w:tr w:rsidR="00E15250" w:rsidRPr="006534F5" w14:paraId="5527A6BB" w14:textId="77777777" w:rsidTr="00982988">
        <w:trPr>
          <w:cnfStyle w:val="100000000000" w:firstRow="1" w:lastRow="0" w:firstColumn="0" w:lastColumn="0" w:oddVBand="0" w:evenVBand="0" w:oddHBand="0" w:evenHBand="0" w:firstRowFirstColumn="0" w:firstRowLastColumn="0" w:lastRowFirstColumn="0" w:lastRowLastColumn="0"/>
        </w:trPr>
        <w:tc>
          <w:tcPr>
            <w:tcW w:w="3357" w:type="pct"/>
            <w:tcBorders>
              <w:bottom w:val="single" w:sz="4" w:space="0" w:color="29114B" w:themeColor="text2"/>
            </w:tcBorders>
            <w:noWrap/>
            <w:hideMark/>
          </w:tcPr>
          <w:p w14:paraId="63AE82CD" w14:textId="77777777" w:rsidR="00FF1C02" w:rsidRPr="00EC4166" w:rsidRDefault="00FF1C02" w:rsidP="00630831">
            <w:pPr>
              <w:pStyle w:val="TableColumnHeadingRight"/>
            </w:pPr>
            <w:r w:rsidRPr="00EC4166">
              <w:t> </w:t>
            </w:r>
          </w:p>
        </w:tc>
        <w:tc>
          <w:tcPr>
            <w:tcW w:w="822" w:type="pct"/>
            <w:tcBorders>
              <w:bottom w:val="single" w:sz="4" w:space="0" w:color="29114B" w:themeColor="text2"/>
            </w:tcBorders>
            <w:noWrap/>
            <w:hideMark/>
          </w:tcPr>
          <w:p w14:paraId="38DCE5A3" w14:textId="77777777" w:rsidR="00FF1C02" w:rsidRDefault="00FF1C02" w:rsidP="00630831">
            <w:pPr>
              <w:pStyle w:val="TableColumnHeadingRight"/>
            </w:pPr>
            <w:r w:rsidRPr="00825FD1">
              <w:t>202</w:t>
            </w:r>
            <w:r>
              <w:t xml:space="preserve">5 </w:t>
            </w:r>
          </w:p>
          <w:p w14:paraId="0D627F07" w14:textId="77777777" w:rsidR="00FF1C02" w:rsidRPr="00EC4166" w:rsidRDefault="00FF1C02" w:rsidP="00630831">
            <w:pPr>
              <w:pStyle w:val="TableColumnHeadingRight"/>
            </w:pPr>
            <w:r>
              <w:t>($million)</w:t>
            </w:r>
          </w:p>
        </w:tc>
        <w:tc>
          <w:tcPr>
            <w:tcW w:w="821" w:type="pct"/>
            <w:tcBorders>
              <w:bottom w:val="single" w:sz="4" w:space="0" w:color="29114B" w:themeColor="text2"/>
            </w:tcBorders>
            <w:noWrap/>
            <w:hideMark/>
          </w:tcPr>
          <w:p w14:paraId="16AFD6BC" w14:textId="77777777" w:rsidR="00FF1C02" w:rsidRDefault="00FF1C02" w:rsidP="00630831">
            <w:pPr>
              <w:pStyle w:val="TableColumnHeadingRight"/>
            </w:pPr>
            <w:r w:rsidRPr="00825FD1">
              <w:t>202</w:t>
            </w:r>
            <w:r>
              <w:t xml:space="preserve">4 </w:t>
            </w:r>
          </w:p>
          <w:p w14:paraId="72CD9DB2" w14:textId="77777777" w:rsidR="00FF1C02" w:rsidRPr="00EC4166" w:rsidRDefault="00FF1C02" w:rsidP="00630831">
            <w:pPr>
              <w:pStyle w:val="TableColumnHeadingRight"/>
            </w:pPr>
            <w:r>
              <w:t>($million)</w:t>
            </w:r>
          </w:p>
        </w:tc>
      </w:tr>
      <w:tr w:rsidR="00FF1C02" w:rsidRPr="006534F5" w14:paraId="630E7A9B" w14:textId="77777777" w:rsidTr="00982988">
        <w:tc>
          <w:tcPr>
            <w:tcW w:w="3357"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6D343184" w14:textId="77777777" w:rsidR="00FF1C02" w:rsidRPr="00982988" w:rsidRDefault="00FF1C02" w:rsidP="00630831">
            <w:pPr>
              <w:pStyle w:val="TableSecondHeading"/>
              <w:rPr>
                <w:b/>
              </w:rPr>
            </w:pPr>
            <w:r w:rsidRPr="00982988">
              <w:rPr>
                <w:b/>
              </w:rPr>
              <w:t>Forbearance SPV</w:t>
            </w:r>
          </w:p>
        </w:tc>
        <w:tc>
          <w:tcPr>
            <w:tcW w:w="822"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hideMark/>
          </w:tcPr>
          <w:p w14:paraId="065C9024" w14:textId="77777777" w:rsidR="00FF1C02" w:rsidRPr="00982988" w:rsidRDefault="00FF1C02" w:rsidP="00630831">
            <w:pPr>
              <w:pStyle w:val="TableTextRight"/>
              <w:jc w:val="left"/>
              <w:rPr>
                <w:b/>
                <w:color w:val="202845"/>
              </w:rPr>
            </w:pPr>
            <w:r w:rsidRPr="00982988">
              <w:rPr>
                <w:b/>
                <w:color w:val="202845"/>
              </w:rPr>
              <w:t> </w:t>
            </w:r>
          </w:p>
        </w:tc>
        <w:tc>
          <w:tcPr>
            <w:tcW w:w="821"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281259DF" w14:textId="77777777" w:rsidR="00FF1C02" w:rsidRPr="00982988" w:rsidRDefault="00FF1C02" w:rsidP="00630831">
            <w:pPr>
              <w:pStyle w:val="TableTextRight"/>
              <w:rPr>
                <w:b/>
                <w:color w:val="202845"/>
              </w:rPr>
            </w:pPr>
            <w:r w:rsidRPr="00982988">
              <w:rPr>
                <w:b/>
                <w:color w:val="202845"/>
              </w:rPr>
              <w:t> </w:t>
            </w:r>
          </w:p>
        </w:tc>
      </w:tr>
      <w:tr w:rsidR="00FF1C02" w:rsidRPr="006534F5" w14:paraId="2B67CECE" w14:textId="77777777" w:rsidTr="003C2549">
        <w:tc>
          <w:tcPr>
            <w:tcW w:w="3357" w:type="pct"/>
            <w:shd w:val="clear" w:color="auto" w:fill="F2F2F2" w:themeFill="background1" w:themeFillShade="F2"/>
            <w:noWrap/>
            <w:hideMark/>
          </w:tcPr>
          <w:p w14:paraId="3D8267CC" w14:textId="77777777" w:rsidR="00FF1C02" w:rsidRPr="006534F5" w:rsidRDefault="00FF1C02" w:rsidP="00630831">
            <w:pPr>
              <w:pStyle w:val="TableTextLeft"/>
              <w:rPr>
                <w:color w:val="202845"/>
              </w:rPr>
            </w:pPr>
            <w:r w:rsidRPr="006534F5">
              <w:rPr>
                <w:color w:val="202845"/>
              </w:rPr>
              <w:t>Redemptions</w:t>
            </w:r>
          </w:p>
        </w:tc>
        <w:tc>
          <w:tcPr>
            <w:tcW w:w="822" w:type="pct"/>
            <w:shd w:val="clear" w:color="auto" w:fill="F2F2F2" w:themeFill="background1" w:themeFillShade="F2"/>
            <w:noWrap/>
          </w:tcPr>
          <w:p w14:paraId="4ED4CEA1" w14:textId="77777777" w:rsidR="00FF1C02" w:rsidRPr="006534F5" w:rsidRDefault="00FF1C02" w:rsidP="00630831">
            <w:pPr>
              <w:pStyle w:val="TableTextRight"/>
              <w:rPr>
                <w:color w:val="202845"/>
              </w:rPr>
            </w:pPr>
            <w:r>
              <w:rPr>
                <w:color w:val="202845"/>
              </w:rPr>
              <w:t>(8)</w:t>
            </w:r>
          </w:p>
        </w:tc>
        <w:tc>
          <w:tcPr>
            <w:tcW w:w="821" w:type="pct"/>
            <w:shd w:val="clear" w:color="auto" w:fill="F2F2F2" w:themeFill="background1" w:themeFillShade="F2"/>
            <w:noWrap/>
            <w:hideMark/>
          </w:tcPr>
          <w:p w14:paraId="5507E84E" w14:textId="77777777" w:rsidR="00FF1C02" w:rsidRPr="006534F5" w:rsidRDefault="00FF1C02" w:rsidP="00630831">
            <w:pPr>
              <w:pStyle w:val="TableTextRight"/>
              <w:rPr>
                <w:color w:val="202845"/>
              </w:rPr>
            </w:pPr>
            <w:r>
              <w:rPr>
                <w:color w:val="202845"/>
              </w:rPr>
              <w:t>(8)</w:t>
            </w:r>
          </w:p>
        </w:tc>
      </w:tr>
      <w:tr w:rsidR="00FF1C02" w:rsidRPr="006534F5" w14:paraId="3F8124D5" w14:textId="77777777" w:rsidTr="003C2549">
        <w:tc>
          <w:tcPr>
            <w:tcW w:w="3357" w:type="pct"/>
            <w:shd w:val="clear" w:color="auto" w:fill="F2F2F2" w:themeFill="background1" w:themeFillShade="F2"/>
            <w:noWrap/>
            <w:hideMark/>
          </w:tcPr>
          <w:p w14:paraId="48757FD7" w14:textId="77777777" w:rsidR="00FF1C02" w:rsidRPr="00EC4166" w:rsidRDefault="00FF1C02" w:rsidP="00630831">
            <w:pPr>
              <w:pStyle w:val="TableTextLeft"/>
              <w:rPr>
                <w:rStyle w:val="Strong"/>
              </w:rPr>
            </w:pPr>
            <w:r w:rsidRPr="00EC4166">
              <w:rPr>
                <w:rStyle w:val="Strong"/>
              </w:rPr>
              <w:t>Total change in principal value</w:t>
            </w:r>
          </w:p>
        </w:tc>
        <w:tc>
          <w:tcPr>
            <w:tcW w:w="822" w:type="pct"/>
            <w:shd w:val="clear" w:color="auto" w:fill="F2F2F2" w:themeFill="background1" w:themeFillShade="F2"/>
            <w:noWrap/>
          </w:tcPr>
          <w:p w14:paraId="5EB62E20" w14:textId="77777777" w:rsidR="00FF1C02" w:rsidRPr="00D101EB" w:rsidRDefault="00FF1C02" w:rsidP="00630831">
            <w:pPr>
              <w:pStyle w:val="TableTextRight"/>
              <w:rPr>
                <w:b/>
                <w:bCs/>
              </w:rPr>
            </w:pPr>
            <w:r w:rsidRPr="00D101EB">
              <w:rPr>
                <w:b/>
                <w:bCs/>
              </w:rPr>
              <w:t>(8)</w:t>
            </w:r>
          </w:p>
        </w:tc>
        <w:tc>
          <w:tcPr>
            <w:tcW w:w="821" w:type="pct"/>
            <w:shd w:val="clear" w:color="auto" w:fill="F2F2F2" w:themeFill="background1" w:themeFillShade="F2"/>
            <w:noWrap/>
            <w:hideMark/>
          </w:tcPr>
          <w:p w14:paraId="0E14655C" w14:textId="77777777" w:rsidR="00FF1C02" w:rsidRPr="00D101EB" w:rsidRDefault="00FF1C02" w:rsidP="00630831">
            <w:pPr>
              <w:pStyle w:val="TableTextRight"/>
              <w:rPr>
                <w:b/>
                <w:bCs/>
              </w:rPr>
            </w:pPr>
            <w:r w:rsidRPr="00D101EB">
              <w:rPr>
                <w:b/>
                <w:bCs/>
              </w:rPr>
              <w:t>(8)</w:t>
            </w:r>
          </w:p>
        </w:tc>
      </w:tr>
    </w:tbl>
    <w:p w14:paraId="586ED1E0" w14:textId="77777777" w:rsidR="00FF1C02" w:rsidRPr="00613242" w:rsidRDefault="00FF1C02" w:rsidP="00FF1C02">
      <w:pPr>
        <w:rPr>
          <w:rFonts w:eastAsiaTheme="majorEastAsia"/>
        </w:rPr>
      </w:pPr>
      <w:r w:rsidRPr="00613242">
        <w:br w:type="page"/>
      </w:r>
    </w:p>
    <w:p w14:paraId="08C7E7A7" w14:textId="77777777" w:rsidR="00A147FC" w:rsidRPr="006534F5" w:rsidRDefault="00A147FC" w:rsidP="00A147FC">
      <w:pPr>
        <w:pStyle w:val="Heading2"/>
        <w:rPr>
          <w:lang w:eastAsia="en-AU"/>
        </w:rPr>
      </w:pPr>
      <w:bookmarkStart w:id="1726" w:name="_Toc207792937"/>
      <w:bookmarkStart w:id="1727" w:name="_Toc207793977"/>
      <w:bookmarkStart w:id="1728" w:name="_Toc207796145"/>
      <w:bookmarkStart w:id="1729" w:name="_Toc207796981"/>
      <w:bookmarkStart w:id="1730" w:name="_Toc207800284"/>
      <w:bookmarkStart w:id="1731" w:name="_Toc207810862"/>
      <w:bookmarkStart w:id="1732" w:name="_Toc208914142"/>
      <w:bookmarkStart w:id="1733" w:name="_Toc209424539"/>
      <w:r w:rsidRPr="006534F5">
        <w:lastRenderedPageBreak/>
        <w:t xml:space="preserve">Note </w:t>
      </w:r>
      <w:r>
        <w:t>7</w:t>
      </w:r>
      <w:r w:rsidRPr="006534F5">
        <w:t xml:space="preserve">: Loans to </w:t>
      </w:r>
      <w:r>
        <w:t>s</w:t>
      </w:r>
      <w:r w:rsidRPr="006534F5">
        <w:t xml:space="preserve">tate and </w:t>
      </w:r>
      <w:r>
        <w:t>t</w:t>
      </w:r>
      <w:r w:rsidRPr="006534F5">
        <w:t xml:space="preserve">erritory </w:t>
      </w:r>
      <w:r>
        <w:t>g</w:t>
      </w:r>
      <w:r w:rsidRPr="006534F5">
        <w:t>overnments</w:t>
      </w:r>
      <w:bookmarkEnd w:id="1726"/>
      <w:bookmarkEnd w:id="1727"/>
      <w:bookmarkEnd w:id="1728"/>
      <w:bookmarkEnd w:id="1729"/>
      <w:bookmarkEnd w:id="1730"/>
      <w:bookmarkEnd w:id="1731"/>
      <w:bookmarkEnd w:id="1732"/>
      <w:bookmarkEnd w:id="1733"/>
    </w:p>
    <w:p w14:paraId="780EAE82" w14:textId="77777777" w:rsidR="00A147FC" w:rsidRDefault="00A147FC" w:rsidP="00A147FC">
      <w:pPr>
        <w:rPr>
          <w:sz w:val="18"/>
          <w:szCs w:val="18"/>
        </w:rPr>
      </w:pPr>
      <w:r w:rsidRPr="00E10212">
        <w:t>Loans to state and territory governments predominantly comprise concessional housing advances and specific purpose capital advances made between 1945 and 1989 under Commonwealth</w:t>
      </w:r>
      <w:r>
        <w:t xml:space="preserve"> – </w:t>
      </w:r>
      <w:r w:rsidRPr="00E10212">
        <w:t>State financing arrangements. These loans are structured with annual repayments, which incorporate principal and interest</w:t>
      </w:r>
      <w:r w:rsidRPr="00FD3016">
        <w:rPr>
          <w:sz w:val="18"/>
          <w:szCs w:val="18"/>
        </w:rPr>
        <w:t>.</w:t>
      </w: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A147FC" w14:paraId="1540668B" w14:textId="77777777" w:rsidTr="000F35C5">
        <w:tc>
          <w:tcPr>
            <w:tcW w:w="7700" w:type="dxa"/>
            <w:tcBorders>
              <w:bottom w:val="single" w:sz="24" w:space="0" w:color="472978" w:themeColor="accent1"/>
            </w:tcBorders>
            <w:shd w:val="clear" w:color="auto" w:fill="E7DCF7" w:themeFill="text2" w:themeFillTint="1A"/>
          </w:tcPr>
          <w:p w14:paraId="66499DF2" w14:textId="77777777" w:rsidR="00A147FC" w:rsidRDefault="00A147FC" w:rsidP="00630831">
            <w:pPr>
              <w:pStyle w:val="Boxheading"/>
            </w:pPr>
            <w:r>
              <w:t>Accounting policy</w:t>
            </w:r>
          </w:p>
          <w:p w14:paraId="313D3C55" w14:textId="77777777" w:rsidR="00A147FC" w:rsidRPr="006574CB" w:rsidRDefault="00A147FC" w:rsidP="00630831">
            <w:pPr>
              <w:pStyle w:val="BoxText"/>
            </w:pPr>
            <w:r>
              <w:t>Loans to state and territory governments are measured at fair value on initial recognition and at amortised cost on subsequent measurement using the effective interest method. The expected credit loss is estimated to be nil on these loans due to the federal financial relations system between the Commonwealth and the states and the territories.</w:t>
            </w:r>
          </w:p>
        </w:tc>
      </w:tr>
    </w:tbl>
    <w:p w14:paraId="62AA97EB" w14:textId="77777777" w:rsidR="00A147FC" w:rsidRPr="006534F5" w:rsidRDefault="00A147FC" w:rsidP="00A147FC">
      <w:pPr>
        <w:pStyle w:val="Heading3"/>
      </w:pPr>
      <w:bookmarkStart w:id="1734" w:name="_Toc146112254"/>
      <w:bookmarkStart w:id="1735" w:name="_Toc207796146"/>
      <w:r w:rsidRPr="006534F5">
        <w:t>Key aggregates</w:t>
      </w:r>
      <w:bookmarkEnd w:id="1734"/>
      <w:bookmarkEnd w:id="1735"/>
    </w:p>
    <w:p w14:paraId="4592FFC4" w14:textId="77777777" w:rsidR="00A147FC" w:rsidRPr="006534F5" w:rsidRDefault="00A147FC" w:rsidP="00A147FC">
      <w:pPr>
        <w:pStyle w:val="TableMainHeading"/>
        <w:keepLines/>
        <w:rPr>
          <w:rFonts w:asciiTheme="minorHAnsi" w:hAnsiTheme="minorHAnsi" w:cstheme="minorBidi"/>
          <w:lang w:eastAsia="en-US"/>
        </w:rPr>
      </w:pPr>
      <w:r w:rsidRPr="006534F5">
        <w:t xml:space="preserve">Carrying values – administered assets </w:t>
      </w:r>
    </w:p>
    <w:tbl>
      <w:tblPr>
        <w:tblStyle w:val="AOFMTablemain"/>
        <w:tblW w:w="5000" w:type="pct"/>
        <w:tblLook w:val="06A0" w:firstRow="1" w:lastRow="0" w:firstColumn="1" w:lastColumn="0" w:noHBand="1" w:noVBand="1"/>
      </w:tblPr>
      <w:tblGrid>
        <w:gridCol w:w="5105"/>
        <w:gridCol w:w="1394"/>
        <w:gridCol w:w="1212"/>
      </w:tblGrid>
      <w:tr w:rsidR="004676A8" w:rsidRPr="006534F5" w14:paraId="134DE1E9" w14:textId="77777777" w:rsidTr="00A147FC">
        <w:trPr>
          <w:cnfStyle w:val="100000000000" w:firstRow="1" w:lastRow="0" w:firstColumn="0" w:lastColumn="0" w:oddVBand="0" w:evenVBand="0" w:oddHBand="0" w:evenHBand="0" w:firstRowFirstColumn="0" w:firstRowLastColumn="0" w:lastRowFirstColumn="0" w:lastRowLastColumn="0"/>
        </w:trPr>
        <w:tc>
          <w:tcPr>
            <w:tcW w:w="3310" w:type="pct"/>
            <w:noWrap/>
            <w:hideMark/>
          </w:tcPr>
          <w:p w14:paraId="336AE389" w14:textId="77777777" w:rsidR="00A147FC" w:rsidRPr="00EC4166" w:rsidRDefault="00A147FC" w:rsidP="00630831">
            <w:pPr>
              <w:pStyle w:val="TableColumnHeadingRight"/>
            </w:pPr>
            <w:r w:rsidRPr="00EC4166">
              <w:t> </w:t>
            </w:r>
          </w:p>
        </w:tc>
        <w:tc>
          <w:tcPr>
            <w:tcW w:w="904" w:type="pct"/>
            <w:noWrap/>
            <w:hideMark/>
          </w:tcPr>
          <w:p w14:paraId="26A7D6BD" w14:textId="77777777" w:rsidR="00A147FC" w:rsidRDefault="00A147FC" w:rsidP="00630831">
            <w:pPr>
              <w:pStyle w:val="TableColumnHeadingRight"/>
            </w:pPr>
            <w:r w:rsidRPr="00825FD1">
              <w:t>202</w:t>
            </w:r>
            <w:r>
              <w:t xml:space="preserve">5 </w:t>
            </w:r>
          </w:p>
          <w:p w14:paraId="0FE5CD95" w14:textId="77777777" w:rsidR="00A147FC" w:rsidRPr="00EC4166" w:rsidRDefault="00A147FC" w:rsidP="00630831">
            <w:pPr>
              <w:pStyle w:val="TableColumnHeadingRight"/>
            </w:pPr>
            <w:r>
              <w:t>($million)</w:t>
            </w:r>
          </w:p>
        </w:tc>
        <w:tc>
          <w:tcPr>
            <w:tcW w:w="786" w:type="pct"/>
            <w:noWrap/>
            <w:hideMark/>
          </w:tcPr>
          <w:p w14:paraId="7E0C7417" w14:textId="77777777" w:rsidR="00A147FC" w:rsidRDefault="00A147FC" w:rsidP="00630831">
            <w:pPr>
              <w:pStyle w:val="TableColumnHeadingRight"/>
            </w:pPr>
            <w:r w:rsidRPr="00825FD1">
              <w:t>202</w:t>
            </w:r>
            <w:r>
              <w:t xml:space="preserve">4 </w:t>
            </w:r>
          </w:p>
          <w:p w14:paraId="3ECE8194" w14:textId="77777777" w:rsidR="00A147FC" w:rsidRPr="00EC4166" w:rsidRDefault="00A147FC" w:rsidP="00630831">
            <w:pPr>
              <w:pStyle w:val="TableColumnHeadingRight"/>
            </w:pPr>
            <w:r>
              <w:t>($million)</w:t>
            </w:r>
          </w:p>
        </w:tc>
      </w:tr>
      <w:tr w:rsidR="00A147FC" w:rsidRPr="006534F5" w14:paraId="342804F5" w14:textId="77777777" w:rsidTr="00982988">
        <w:tc>
          <w:tcPr>
            <w:tcW w:w="3310" w:type="pct"/>
            <w:shd w:val="clear" w:color="auto" w:fill="F2F2F2" w:themeFill="background1" w:themeFillShade="F2"/>
            <w:noWrap/>
            <w:tcMar>
              <w:top w:w="57" w:type="dxa"/>
              <w:bottom w:w="57" w:type="dxa"/>
            </w:tcMar>
            <w:hideMark/>
          </w:tcPr>
          <w:p w14:paraId="2DE064A3" w14:textId="77777777" w:rsidR="00A147FC" w:rsidRPr="006534F5" w:rsidRDefault="00A147FC" w:rsidP="00630831">
            <w:pPr>
              <w:pStyle w:val="TableTextLeft"/>
            </w:pPr>
            <w:r w:rsidRPr="006534F5">
              <w:t>Face value</w:t>
            </w:r>
          </w:p>
        </w:tc>
        <w:tc>
          <w:tcPr>
            <w:tcW w:w="904" w:type="pct"/>
            <w:shd w:val="clear" w:color="auto" w:fill="F2F2F2" w:themeFill="background1" w:themeFillShade="F2"/>
            <w:noWrap/>
            <w:tcMar>
              <w:top w:w="57" w:type="dxa"/>
              <w:bottom w:w="57" w:type="dxa"/>
            </w:tcMar>
          </w:tcPr>
          <w:p w14:paraId="14819583" w14:textId="77777777" w:rsidR="00A147FC" w:rsidRPr="006534F5" w:rsidRDefault="00A147FC" w:rsidP="00630831">
            <w:pPr>
              <w:pStyle w:val="TableTextRight"/>
              <w:rPr>
                <w:color w:val="202845"/>
              </w:rPr>
            </w:pPr>
            <w:r>
              <w:rPr>
                <w:color w:val="202845"/>
              </w:rPr>
              <w:t>1,179</w:t>
            </w:r>
          </w:p>
        </w:tc>
        <w:tc>
          <w:tcPr>
            <w:tcW w:w="786" w:type="pct"/>
            <w:shd w:val="clear" w:color="auto" w:fill="F2F2F2" w:themeFill="background1" w:themeFillShade="F2"/>
            <w:noWrap/>
            <w:tcMar>
              <w:top w:w="57" w:type="dxa"/>
              <w:bottom w:w="57" w:type="dxa"/>
            </w:tcMar>
            <w:hideMark/>
          </w:tcPr>
          <w:p w14:paraId="4A518354" w14:textId="77777777" w:rsidR="00A147FC" w:rsidRPr="006534F5" w:rsidRDefault="00A147FC" w:rsidP="00630831">
            <w:pPr>
              <w:pStyle w:val="TableTextRight"/>
              <w:rPr>
                <w:color w:val="202845"/>
              </w:rPr>
            </w:pPr>
            <w:r>
              <w:rPr>
                <w:color w:val="202845"/>
              </w:rPr>
              <w:t xml:space="preserve">1,271 </w:t>
            </w:r>
          </w:p>
        </w:tc>
      </w:tr>
      <w:tr w:rsidR="00A147FC" w:rsidRPr="006534F5" w14:paraId="1CBFE10E" w14:textId="77777777" w:rsidTr="00982988">
        <w:tc>
          <w:tcPr>
            <w:tcW w:w="3310" w:type="pct"/>
            <w:shd w:val="clear" w:color="auto" w:fill="F2F2F2" w:themeFill="background1" w:themeFillShade="F2"/>
            <w:noWrap/>
            <w:tcMar>
              <w:top w:w="57" w:type="dxa"/>
              <w:bottom w:w="57" w:type="dxa"/>
            </w:tcMar>
            <w:hideMark/>
          </w:tcPr>
          <w:p w14:paraId="7E5303DE" w14:textId="77777777" w:rsidR="00A147FC" w:rsidRPr="006534F5" w:rsidRDefault="00A147FC" w:rsidP="00630831">
            <w:pPr>
              <w:pStyle w:val="TableTextLeft"/>
            </w:pPr>
            <w:r w:rsidRPr="006534F5">
              <w:t>Unamortised net discounts</w:t>
            </w:r>
          </w:p>
        </w:tc>
        <w:tc>
          <w:tcPr>
            <w:tcW w:w="904" w:type="pct"/>
            <w:shd w:val="clear" w:color="auto" w:fill="F2F2F2" w:themeFill="background1" w:themeFillShade="F2"/>
            <w:noWrap/>
            <w:tcMar>
              <w:top w:w="57" w:type="dxa"/>
              <w:bottom w:w="57" w:type="dxa"/>
            </w:tcMar>
          </w:tcPr>
          <w:p w14:paraId="51C845D2" w14:textId="77777777" w:rsidR="00A147FC" w:rsidRPr="006534F5" w:rsidRDefault="00A147FC" w:rsidP="00630831">
            <w:pPr>
              <w:pStyle w:val="TableTextRight"/>
              <w:rPr>
                <w:color w:val="202845"/>
              </w:rPr>
            </w:pPr>
            <w:r>
              <w:rPr>
                <w:color w:val="202845"/>
              </w:rPr>
              <w:t>(90)</w:t>
            </w:r>
          </w:p>
        </w:tc>
        <w:tc>
          <w:tcPr>
            <w:tcW w:w="786" w:type="pct"/>
            <w:shd w:val="clear" w:color="auto" w:fill="F2F2F2" w:themeFill="background1" w:themeFillShade="F2"/>
            <w:noWrap/>
            <w:tcMar>
              <w:top w:w="57" w:type="dxa"/>
              <w:bottom w:w="57" w:type="dxa"/>
            </w:tcMar>
            <w:hideMark/>
          </w:tcPr>
          <w:p w14:paraId="0B2B71F8" w14:textId="77777777" w:rsidR="00A147FC" w:rsidRPr="006534F5" w:rsidRDefault="00A147FC" w:rsidP="00630831">
            <w:pPr>
              <w:pStyle w:val="TableTextRight"/>
              <w:rPr>
                <w:color w:val="202845"/>
              </w:rPr>
            </w:pPr>
            <w:r>
              <w:rPr>
                <w:color w:val="202845"/>
              </w:rPr>
              <w:t>(101)</w:t>
            </w:r>
          </w:p>
        </w:tc>
      </w:tr>
      <w:tr w:rsidR="00A147FC" w:rsidRPr="006534F5" w14:paraId="51D8B608" w14:textId="77777777" w:rsidTr="00982988">
        <w:tc>
          <w:tcPr>
            <w:tcW w:w="3310" w:type="pct"/>
            <w:tcBorders>
              <w:bottom w:val="single" w:sz="4" w:space="0" w:color="29114B" w:themeColor="text2"/>
            </w:tcBorders>
            <w:shd w:val="clear" w:color="auto" w:fill="F2F2F2" w:themeFill="background1" w:themeFillShade="F2"/>
            <w:noWrap/>
            <w:tcMar>
              <w:top w:w="57" w:type="dxa"/>
              <w:bottom w:w="57" w:type="dxa"/>
            </w:tcMar>
            <w:hideMark/>
          </w:tcPr>
          <w:p w14:paraId="0829A524" w14:textId="77777777" w:rsidR="00A147FC" w:rsidRPr="00D101EB" w:rsidRDefault="00A147FC" w:rsidP="00630831">
            <w:pPr>
              <w:pStyle w:val="TableTextLeft"/>
              <w:rPr>
                <w:b/>
                <w:bCs/>
              </w:rPr>
            </w:pPr>
            <w:r w:rsidRPr="00D101EB">
              <w:rPr>
                <w:b/>
                <w:bCs/>
              </w:rPr>
              <w:t>Carrying value</w:t>
            </w:r>
          </w:p>
        </w:tc>
        <w:tc>
          <w:tcPr>
            <w:tcW w:w="904" w:type="pct"/>
            <w:tcBorders>
              <w:bottom w:val="single" w:sz="4" w:space="0" w:color="29114B" w:themeColor="text2"/>
            </w:tcBorders>
            <w:shd w:val="clear" w:color="auto" w:fill="F2F2F2" w:themeFill="background1" w:themeFillShade="F2"/>
            <w:noWrap/>
            <w:tcMar>
              <w:top w:w="57" w:type="dxa"/>
              <w:bottom w:w="57" w:type="dxa"/>
            </w:tcMar>
          </w:tcPr>
          <w:p w14:paraId="40B0FB65" w14:textId="77777777" w:rsidR="00A147FC" w:rsidRPr="00022A08" w:rsidRDefault="00A147FC" w:rsidP="00630831">
            <w:pPr>
              <w:pStyle w:val="TableTextRight"/>
              <w:rPr>
                <w:b/>
                <w:bCs/>
              </w:rPr>
            </w:pPr>
            <w:r w:rsidRPr="00022A08">
              <w:rPr>
                <w:b/>
                <w:bCs/>
              </w:rPr>
              <w:t>1,089</w:t>
            </w:r>
          </w:p>
        </w:tc>
        <w:tc>
          <w:tcPr>
            <w:tcW w:w="786" w:type="pct"/>
            <w:tcBorders>
              <w:bottom w:val="single" w:sz="4" w:space="0" w:color="29114B" w:themeColor="text2"/>
            </w:tcBorders>
            <w:shd w:val="clear" w:color="auto" w:fill="F2F2F2" w:themeFill="background1" w:themeFillShade="F2"/>
            <w:noWrap/>
            <w:tcMar>
              <w:top w:w="57" w:type="dxa"/>
              <w:bottom w:w="57" w:type="dxa"/>
            </w:tcMar>
            <w:hideMark/>
          </w:tcPr>
          <w:p w14:paraId="60A916B3" w14:textId="77777777" w:rsidR="00A147FC" w:rsidRPr="00022A08" w:rsidRDefault="00A147FC" w:rsidP="00630831">
            <w:pPr>
              <w:pStyle w:val="TableTextRight"/>
              <w:rPr>
                <w:b/>
                <w:bCs/>
              </w:rPr>
            </w:pPr>
            <w:r w:rsidRPr="00022A08">
              <w:rPr>
                <w:b/>
                <w:bCs/>
              </w:rPr>
              <w:t xml:space="preserve">1,170 </w:t>
            </w:r>
          </w:p>
        </w:tc>
      </w:tr>
      <w:tr w:rsidR="00A147FC" w:rsidRPr="006534F5" w14:paraId="155490ED" w14:textId="77777777" w:rsidTr="00982988">
        <w:tc>
          <w:tcPr>
            <w:tcW w:w="331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01CC250E" w14:textId="77777777" w:rsidR="00A147FC" w:rsidRPr="00D101EB" w:rsidRDefault="00A147FC" w:rsidP="00630831">
            <w:pPr>
              <w:pStyle w:val="TableTextLeft"/>
              <w:rPr>
                <w:b/>
                <w:bCs/>
              </w:rPr>
            </w:pPr>
            <w:r w:rsidRPr="00D101EB">
              <w:rPr>
                <w:b/>
                <w:bCs/>
              </w:rPr>
              <w:t>Expected to be received:</w:t>
            </w:r>
          </w:p>
        </w:tc>
        <w:tc>
          <w:tcPr>
            <w:tcW w:w="904"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0FB63CE4" w14:textId="77777777" w:rsidR="00A147FC" w:rsidRPr="006534F5" w:rsidRDefault="00A147FC" w:rsidP="00630831">
            <w:pPr>
              <w:pStyle w:val="TableTextRight"/>
              <w:spacing w:before="10" w:after="0"/>
              <w:rPr>
                <w:color w:val="202845"/>
              </w:rPr>
            </w:pPr>
          </w:p>
        </w:tc>
        <w:tc>
          <w:tcPr>
            <w:tcW w:w="786"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5D4AB026" w14:textId="77777777" w:rsidR="00A147FC" w:rsidRPr="006534F5" w:rsidRDefault="00A147FC" w:rsidP="00630831">
            <w:pPr>
              <w:pStyle w:val="TableTextRight"/>
              <w:spacing w:before="10" w:after="0"/>
              <w:rPr>
                <w:color w:val="202845"/>
              </w:rPr>
            </w:pPr>
            <w:r>
              <w:rPr>
                <w:color w:val="202845"/>
              </w:rPr>
              <w:t> </w:t>
            </w:r>
          </w:p>
        </w:tc>
      </w:tr>
      <w:tr w:rsidR="00A147FC" w:rsidRPr="006534F5" w14:paraId="219B9034" w14:textId="77777777" w:rsidTr="00982988">
        <w:tc>
          <w:tcPr>
            <w:tcW w:w="3310" w:type="pct"/>
            <w:shd w:val="clear" w:color="auto" w:fill="F2F2F2" w:themeFill="background1" w:themeFillShade="F2"/>
            <w:noWrap/>
            <w:tcMar>
              <w:top w:w="57" w:type="dxa"/>
              <w:bottom w:w="57" w:type="dxa"/>
            </w:tcMar>
            <w:hideMark/>
          </w:tcPr>
          <w:p w14:paraId="684895E2" w14:textId="77777777" w:rsidR="00A147FC" w:rsidRPr="006534F5" w:rsidRDefault="00A147FC" w:rsidP="00630831">
            <w:pPr>
              <w:pStyle w:val="TableTextLeft"/>
            </w:pPr>
            <w:r w:rsidRPr="006534F5">
              <w:t>Within one year</w:t>
            </w:r>
          </w:p>
        </w:tc>
        <w:tc>
          <w:tcPr>
            <w:tcW w:w="904" w:type="pct"/>
            <w:shd w:val="clear" w:color="auto" w:fill="F2F2F2" w:themeFill="background1" w:themeFillShade="F2"/>
            <w:noWrap/>
            <w:tcMar>
              <w:top w:w="57" w:type="dxa"/>
              <w:bottom w:w="57" w:type="dxa"/>
            </w:tcMar>
          </w:tcPr>
          <w:p w14:paraId="43AAEB5F" w14:textId="77777777" w:rsidR="00A147FC" w:rsidRPr="006534F5" w:rsidRDefault="00A147FC" w:rsidP="00630831">
            <w:pPr>
              <w:pStyle w:val="TableTextRight"/>
              <w:rPr>
                <w:color w:val="202845"/>
              </w:rPr>
            </w:pPr>
            <w:r>
              <w:rPr>
                <w:color w:val="202845"/>
              </w:rPr>
              <w:t>85</w:t>
            </w:r>
          </w:p>
        </w:tc>
        <w:tc>
          <w:tcPr>
            <w:tcW w:w="786" w:type="pct"/>
            <w:shd w:val="clear" w:color="auto" w:fill="F2F2F2" w:themeFill="background1" w:themeFillShade="F2"/>
            <w:noWrap/>
            <w:tcMar>
              <w:top w:w="57" w:type="dxa"/>
              <w:bottom w:w="57" w:type="dxa"/>
            </w:tcMar>
            <w:hideMark/>
          </w:tcPr>
          <w:p w14:paraId="0F148769" w14:textId="77777777" w:rsidR="00A147FC" w:rsidRPr="006534F5" w:rsidRDefault="00A147FC" w:rsidP="00630831">
            <w:pPr>
              <w:pStyle w:val="TableTextRight"/>
              <w:rPr>
                <w:color w:val="202845"/>
              </w:rPr>
            </w:pPr>
            <w:r>
              <w:rPr>
                <w:color w:val="202845"/>
              </w:rPr>
              <w:t xml:space="preserve">81 </w:t>
            </w:r>
          </w:p>
        </w:tc>
      </w:tr>
      <w:tr w:rsidR="00A147FC" w:rsidRPr="006534F5" w14:paraId="1EEBADC8" w14:textId="77777777" w:rsidTr="00982988">
        <w:tc>
          <w:tcPr>
            <w:tcW w:w="3310" w:type="pct"/>
            <w:shd w:val="clear" w:color="auto" w:fill="F2F2F2" w:themeFill="background1" w:themeFillShade="F2"/>
            <w:noWrap/>
            <w:tcMar>
              <w:top w:w="57" w:type="dxa"/>
              <w:bottom w:w="57" w:type="dxa"/>
            </w:tcMar>
            <w:hideMark/>
          </w:tcPr>
          <w:p w14:paraId="67F7D230" w14:textId="77777777" w:rsidR="00A147FC" w:rsidRPr="006534F5" w:rsidRDefault="00A147FC" w:rsidP="00630831">
            <w:pPr>
              <w:pStyle w:val="TableTextLeft"/>
            </w:pPr>
            <w:r w:rsidRPr="006534F5">
              <w:t>In one to five years</w:t>
            </w:r>
          </w:p>
        </w:tc>
        <w:tc>
          <w:tcPr>
            <w:tcW w:w="904" w:type="pct"/>
            <w:shd w:val="clear" w:color="auto" w:fill="F2F2F2" w:themeFill="background1" w:themeFillShade="F2"/>
            <w:noWrap/>
            <w:tcMar>
              <w:top w:w="57" w:type="dxa"/>
              <w:bottom w:w="57" w:type="dxa"/>
            </w:tcMar>
          </w:tcPr>
          <w:p w14:paraId="2947573A" w14:textId="77777777" w:rsidR="00A147FC" w:rsidRPr="006534F5" w:rsidRDefault="00A147FC" w:rsidP="00630831">
            <w:pPr>
              <w:pStyle w:val="TableTextRight"/>
              <w:rPr>
                <w:color w:val="202845"/>
              </w:rPr>
            </w:pPr>
            <w:r>
              <w:rPr>
                <w:color w:val="202845"/>
              </w:rPr>
              <w:t>347</w:t>
            </w:r>
          </w:p>
        </w:tc>
        <w:tc>
          <w:tcPr>
            <w:tcW w:w="786" w:type="pct"/>
            <w:shd w:val="clear" w:color="auto" w:fill="F2F2F2" w:themeFill="background1" w:themeFillShade="F2"/>
            <w:noWrap/>
            <w:tcMar>
              <w:top w:w="57" w:type="dxa"/>
              <w:bottom w:w="57" w:type="dxa"/>
            </w:tcMar>
            <w:hideMark/>
          </w:tcPr>
          <w:p w14:paraId="30EA131B" w14:textId="77777777" w:rsidR="00A147FC" w:rsidRPr="006534F5" w:rsidRDefault="00A147FC" w:rsidP="00630831">
            <w:pPr>
              <w:pStyle w:val="TableTextRight"/>
              <w:rPr>
                <w:color w:val="202845"/>
              </w:rPr>
            </w:pPr>
            <w:r>
              <w:rPr>
                <w:color w:val="202845"/>
              </w:rPr>
              <w:t xml:space="preserve">351 </w:t>
            </w:r>
          </w:p>
        </w:tc>
      </w:tr>
      <w:tr w:rsidR="00A147FC" w:rsidRPr="006534F5" w14:paraId="0B129033" w14:textId="77777777" w:rsidTr="00982988">
        <w:tc>
          <w:tcPr>
            <w:tcW w:w="3310" w:type="pct"/>
            <w:shd w:val="clear" w:color="auto" w:fill="F2F2F2" w:themeFill="background1" w:themeFillShade="F2"/>
            <w:noWrap/>
            <w:tcMar>
              <w:top w:w="57" w:type="dxa"/>
              <w:bottom w:w="57" w:type="dxa"/>
            </w:tcMar>
            <w:hideMark/>
          </w:tcPr>
          <w:p w14:paraId="52768342" w14:textId="77777777" w:rsidR="00A147FC" w:rsidRPr="006534F5" w:rsidRDefault="00A147FC" w:rsidP="00630831">
            <w:pPr>
              <w:pStyle w:val="TableTextLeft"/>
            </w:pPr>
            <w:r w:rsidRPr="006534F5">
              <w:t>In more than five years</w:t>
            </w:r>
          </w:p>
        </w:tc>
        <w:tc>
          <w:tcPr>
            <w:tcW w:w="904" w:type="pct"/>
            <w:shd w:val="clear" w:color="auto" w:fill="F2F2F2" w:themeFill="background1" w:themeFillShade="F2"/>
            <w:noWrap/>
            <w:tcMar>
              <w:top w:w="57" w:type="dxa"/>
              <w:bottom w:w="57" w:type="dxa"/>
            </w:tcMar>
          </w:tcPr>
          <w:p w14:paraId="27965E42" w14:textId="77777777" w:rsidR="00A147FC" w:rsidRPr="006534F5" w:rsidRDefault="00A147FC" w:rsidP="00630831">
            <w:pPr>
              <w:pStyle w:val="TableTextRight"/>
              <w:rPr>
                <w:color w:val="202845"/>
              </w:rPr>
            </w:pPr>
            <w:r>
              <w:rPr>
                <w:color w:val="202845"/>
              </w:rPr>
              <w:t>657</w:t>
            </w:r>
          </w:p>
        </w:tc>
        <w:tc>
          <w:tcPr>
            <w:tcW w:w="786" w:type="pct"/>
            <w:shd w:val="clear" w:color="auto" w:fill="F2F2F2" w:themeFill="background1" w:themeFillShade="F2"/>
            <w:noWrap/>
            <w:tcMar>
              <w:top w:w="57" w:type="dxa"/>
              <w:bottom w:w="57" w:type="dxa"/>
            </w:tcMar>
            <w:hideMark/>
          </w:tcPr>
          <w:p w14:paraId="4EAAD74D" w14:textId="77777777" w:rsidR="00A147FC" w:rsidRPr="006534F5" w:rsidRDefault="00A147FC" w:rsidP="00630831">
            <w:pPr>
              <w:pStyle w:val="TableTextRight"/>
              <w:rPr>
                <w:color w:val="202845"/>
              </w:rPr>
            </w:pPr>
            <w:r>
              <w:rPr>
                <w:color w:val="202845"/>
              </w:rPr>
              <w:t>738</w:t>
            </w:r>
          </w:p>
        </w:tc>
      </w:tr>
      <w:tr w:rsidR="00A147FC" w:rsidRPr="006534F5" w14:paraId="5F36B41E" w14:textId="77777777" w:rsidTr="00982988">
        <w:tc>
          <w:tcPr>
            <w:tcW w:w="3310" w:type="pct"/>
            <w:shd w:val="clear" w:color="auto" w:fill="F2F2F2" w:themeFill="background1" w:themeFillShade="F2"/>
            <w:noWrap/>
            <w:tcMar>
              <w:top w:w="57" w:type="dxa"/>
              <w:bottom w:w="57" w:type="dxa"/>
            </w:tcMar>
            <w:hideMark/>
          </w:tcPr>
          <w:p w14:paraId="6232A53B" w14:textId="77777777" w:rsidR="00A147FC" w:rsidRPr="00D101EB" w:rsidRDefault="00A147FC" w:rsidP="00630831">
            <w:pPr>
              <w:pStyle w:val="TableTextLeft"/>
              <w:rPr>
                <w:b/>
                <w:bCs/>
              </w:rPr>
            </w:pPr>
            <w:r w:rsidRPr="00D101EB">
              <w:rPr>
                <w:b/>
                <w:bCs/>
              </w:rPr>
              <w:t>Carrying value by expected recovery</w:t>
            </w:r>
          </w:p>
        </w:tc>
        <w:tc>
          <w:tcPr>
            <w:tcW w:w="904" w:type="pct"/>
            <w:shd w:val="clear" w:color="auto" w:fill="F2F2F2" w:themeFill="background1" w:themeFillShade="F2"/>
            <w:noWrap/>
            <w:tcMar>
              <w:top w:w="57" w:type="dxa"/>
              <w:bottom w:w="57" w:type="dxa"/>
            </w:tcMar>
          </w:tcPr>
          <w:p w14:paraId="4BF9A4D2" w14:textId="77777777" w:rsidR="00A147FC" w:rsidRPr="00022A08" w:rsidRDefault="00A147FC" w:rsidP="00630831">
            <w:pPr>
              <w:pStyle w:val="TableTextRight"/>
              <w:rPr>
                <w:rStyle w:val="Strong"/>
              </w:rPr>
            </w:pPr>
            <w:r w:rsidRPr="00022A08">
              <w:rPr>
                <w:rStyle w:val="Strong"/>
              </w:rPr>
              <w:t>1,089</w:t>
            </w:r>
          </w:p>
        </w:tc>
        <w:tc>
          <w:tcPr>
            <w:tcW w:w="786" w:type="pct"/>
            <w:shd w:val="clear" w:color="auto" w:fill="F2F2F2" w:themeFill="background1" w:themeFillShade="F2"/>
            <w:noWrap/>
            <w:tcMar>
              <w:top w:w="57" w:type="dxa"/>
              <w:bottom w:w="57" w:type="dxa"/>
            </w:tcMar>
            <w:hideMark/>
          </w:tcPr>
          <w:p w14:paraId="4334E4B4" w14:textId="77777777" w:rsidR="00A147FC" w:rsidRPr="00022A08" w:rsidRDefault="00A147FC" w:rsidP="00630831">
            <w:pPr>
              <w:pStyle w:val="TableTextRight"/>
              <w:rPr>
                <w:rStyle w:val="Strong"/>
              </w:rPr>
            </w:pPr>
            <w:r w:rsidRPr="00022A08">
              <w:rPr>
                <w:rStyle w:val="Strong"/>
              </w:rPr>
              <w:t xml:space="preserve">1,170 </w:t>
            </w:r>
          </w:p>
        </w:tc>
      </w:tr>
      <w:tr w:rsidR="00A147FC" w:rsidRPr="006534F5" w14:paraId="5A2C4655" w14:textId="77777777" w:rsidTr="00982988">
        <w:tc>
          <w:tcPr>
            <w:tcW w:w="3310" w:type="pct"/>
            <w:shd w:val="clear" w:color="auto" w:fill="F2F2F2" w:themeFill="background1" w:themeFillShade="F2"/>
            <w:noWrap/>
            <w:tcMar>
              <w:top w:w="57" w:type="dxa"/>
              <w:bottom w:w="57" w:type="dxa"/>
            </w:tcMar>
            <w:hideMark/>
          </w:tcPr>
          <w:p w14:paraId="50A8BDDC" w14:textId="77777777" w:rsidR="00A147FC" w:rsidRPr="00D101EB" w:rsidRDefault="00A147FC" w:rsidP="00630831">
            <w:pPr>
              <w:pStyle w:val="TableTextLeft"/>
              <w:rPr>
                <w:b/>
                <w:bCs/>
              </w:rPr>
            </w:pPr>
            <w:r w:rsidRPr="00D101EB">
              <w:rPr>
                <w:b/>
                <w:bCs/>
              </w:rPr>
              <w:t>Ageing:</w:t>
            </w:r>
          </w:p>
        </w:tc>
        <w:tc>
          <w:tcPr>
            <w:tcW w:w="904" w:type="pct"/>
            <w:shd w:val="clear" w:color="auto" w:fill="F2F2F2" w:themeFill="background1" w:themeFillShade="F2"/>
            <w:noWrap/>
            <w:tcMar>
              <w:top w:w="57" w:type="dxa"/>
              <w:bottom w:w="57" w:type="dxa"/>
            </w:tcMar>
          </w:tcPr>
          <w:p w14:paraId="74888E64" w14:textId="77777777" w:rsidR="00A147FC" w:rsidRPr="006534F5" w:rsidRDefault="00A147FC" w:rsidP="00630831">
            <w:pPr>
              <w:pStyle w:val="TableTextRight"/>
              <w:spacing w:before="10" w:after="0"/>
              <w:rPr>
                <w:color w:val="202845"/>
              </w:rPr>
            </w:pPr>
          </w:p>
        </w:tc>
        <w:tc>
          <w:tcPr>
            <w:tcW w:w="786" w:type="pct"/>
            <w:shd w:val="clear" w:color="auto" w:fill="F2F2F2" w:themeFill="background1" w:themeFillShade="F2"/>
            <w:noWrap/>
            <w:tcMar>
              <w:top w:w="57" w:type="dxa"/>
              <w:bottom w:w="57" w:type="dxa"/>
            </w:tcMar>
            <w:hideMark/>
          </w:tcPr>
          <w:p w14:paraId="35CB7AA1" w14:textId="77777777" w:rsidR="00A147FC" w:rsidRPr="006534F5" w:rsidRDefault="00A147FC" w:rsidP="00630831">
            <w:pPr>
              <w:pStyle w:val="TableTextRight"/>
              <w:spacing w:before="10" w:after="0"/>
              <w:rPr>
                <w:color w:val="202845"/>
              </w:rPr>
            </w:pPr>
            <w:r>
              <w:rPr>
                <w:color w:val="202845"/>
              </w:rPr>
              <w:t> </w:t>
            </w:r>
          </w:p>
        </w:tc>
      </w:tr>
      <w:tr w:rsidR="00A147FC" w:rsidRPr="006534F5" w14:paraId="1373FDB4" w14:textId="77777777" w:rsidTr="00982988">
        <w:tc>
          <w:tcPr>
            <w:tcW w:w="3310" w:type="pct"/>
            <w:shd w:val="clear" w:color="auto" w:fill="F2F2F2" w:themeFill="background1" w:themeFillShade="F2"/>
            <w:noWrap/>
            <w:tcMar>
              <w:top w:w="57" w:type="dxa"/>
              <w:bottom w:w="57" w:type="dxa"/>
            </w:tcMar>
            <w:hideMark/>
          </w:tcPr>
          <w:p w14:paraId="6F930E88" w14:textId="77777777" w:rsidR="00A147FC" w:rsidRPr="006534F5" w:rsidRDefault="00A147FC" w:rsidP="00630831">
            <w:pPr>
              <w:pStyle w:val="TableTextLeft"/>
            </w:pPr>
            <w:r w:rsidRPr="006534F5">
              <w:t>Not overdue</w:t>
            </w:r>
          </w:p>
        </w:tc>
        <w:tc>
          <w:tcPr>
            <w:tcW w:w="904" w:type="pct"/>
            <w:shd w:val="clear" w:color="auto" w:fill="F2F2F2" w:themeFill="background1" w:themeFillShade="F2"/>
            <w:noWrap/>
            <w:tcMar>
              <w:top w:w="57" w:type="dxa"/>
              <w:bottom w:w="57" w:type="dxa"/>
            </w:tcMar>
          </w:tcPr>
          <w:p w14:paraId="77A16792" w14:textId="77777777" w:rsidR="00A147FC" w:rsidRPr="006534F5" w:rsidRDefault="00A147FC" w:rsidP="00630831">
            <w:pPr>
              <w:pStyle w:val="TableTextRight"/>
              <w:rPr>
                <w:color w:val="202845"/>
              </w:rPr>
            </w:pPr>
            <w:r>
              <w:rPr>
                <w:color w:val="202845"/>
              </w:rPr>
              <w:t>1,089</w:t>
            </w:r>
          </w:p>
        </w:tc>
        <w:tc>
          <w:tcPr>
            <w:tcW w:w="786" w:type="pct"/>
            <w:shd w:val="clear" w:color="auto" w:fill="F2F2F2" w:themeFill="background1" w:themeFillShade="F2"/>
            <w:noWrap/>
            <w:tcMar>
              <w:top w:w="57" w:type="dxa"/>
              <w:bottom w:w="57" w:type="dxa"/>
            </w:tcMar>
            <w:hideMark/>
          </w:tcPr>
          <w:p w14:paraId="060F4919" w14:textId="77777777" w:rsidR="00A147FC" w:rsidRPr="006534F5" w:rsidRDefault="00A147FC" w:rsidP="00630831">
            <w:pPr>
              <w:pStyle w:val="TableTextRight"/>
              <w:rPr>
                <w:color w:val="202845"/>
              </w:rPr>
            </w:pPr>
            <w:r>
              <w:rPr>
                <w:color w:val="202845"/>
              </w:rPr>
              <w:t xml:space="preserve">1,170 </w:t>
            </w:r>
          </w:p>
        </w:tc>
      </w:tr>
      <w:tr w:rsidR="00A147FC" w:rsidRPr="006534F5" w14:paraId="6B80EFB3" w14:textId="77777777" w:rsidTr="00982988">
        <w:tc>
          <w:tcPr>
            <w:tcW w:w="3310" w:type="pct"/>
            <w:shd w:val="clear" w:color="auto" w:fill="F2F2F2" w:themeFill="background1" w:themeFillShade="F2"/>
            <w:noWrap/>
            <w:tcMar>
              <w:top w:w="57" w:type="dxa"/>
              <w:bottom w:w="57" w:type="dxa"/>
            </w:tcMar>
            <w:hideMark/>
          </w:tcPr>
          <w:p w14:paraId="63D8B004" w14:textId="77777777" w:rsidR="00A147FC" w:rsidRPr="00D101EB" w:rsidRDefault="00A147FC" w:rsidP="00630831">
            <w:pPr>
              <w:pStyle w:val="TableTextLeft"/>
              <w:rPr>
                <w:b/>
                <w:bCs/>
              </w:rPr>
            </w:pPr>
            <w:r w:rsidRPr="00D101EB">
              <w:rPr>
                <w:b/>
                <w:bCs/>
              </w:rPr>
              <w:t>Carrying value by ageing</w:t>
            </w:r>
          </w:p>
        </w:tc>
        <w:tc>
          <w:tcPr>
            <w:tcW w:w="904" w:type="pct"/>
            <w:shd w:val="clear" w:color="auto" w:fill="F2F2F2" w:themeFill="background1" w:themeFillShade="F2"/>
            <w:noWrap/>
            <w:tcMar>
              <w:top w:w="57" w:type="dxa"/>
              <w:bottom w:w="57" w:type="dxa"/>
            </w:tcMar>
          </w:tcPr>
          <w:p w14:paraId="0AE56A30" w14:textId="77777777" w:rsidR="00A147FC" w:rsidRPr="00D101EB" w:rsidRDefault="00A147FC" w:rsidP="00630831">
            <w:pPr>
              <w:pStyle w:val="TableTextRight"/>
              <w:rPr>
                <w:b/>
                <w:bCs/>
              </w:rPr>
            </w:pPr>
            <w:r w:rsidRPr="00D101EB">
              <w:rPr>
                <w:b/>
                <w:bCs/>
              </w:rPr>
              <w:t>1,089</w:t>
            </w:r>
          </w:p>
        </w:tc>
        <w:tc>
          <w:tcPr>
            <w:tcW w:w="786" w:type="pct"/>
            <w:shd w:val="clear" w:color="auto" w:fill="F2F2F2" w:themeFill="background1" w:themeFillShade="F2"/>
            <w:noWrap/>
            <w:tcMar>
              <w:top w:w="57" w:type="dxa"/>
              <w:bottom w:w="57" w:type="dxa"/>
            </w:tcMar>
            <w:hideMark/>
          </w:tcPr>
          <w:p w14:paraId="1E277A06" w14:textId="77777777" w:rsidR="00A147FC" w:rsidRPr="00D101EB" w:rsidRDefault="00A147FC" w:rsidP="00630831">
            <w:pPr>
              <w:pStyle w:val="TableTextRight"/>
              <w:rPr>
                <w:b/>
                <w:bCs/>
              </w:rPr>
            </w:pPr>
            <w:r w:rsidRPr="00D101EB">
              <w:rPr>
                <w:b/>
                <w:bCs/>
              </w:rPr>
              <w:t>1,170</w:t>
            </w:r>
          </w:p>
        </w:tc>
      </w:tr>
    </w:tbl>
    <w:p w14:paraId="4C7896B8" w14:textId="77777777" w:rsidR="00A147FC" w:rsidRPr="006534F5" w:rsidRDefault="00A147FC" w:rsidP="00982988">
      <w:pPr>
        <w:pStyle w:val="SingleReturn"/>
      </w:pPr>
    </w:p>
    <w:p w14:paraId="493AF1E0" w14:textId="276623C2" w:rsidR="00A147FC" w:rsidRPr="0003645A" w:rsidRDefault="00A147FC" w:rsidP="00A147FC">
      <w:r w:rsidRPr="0003645A">
        <w:t xml:space="preserve">The fair value of these loans was $1,211 million </w:t>
      </w:r>
      <w:proofErr w:type="gramStart"/>
      <w:r w:rsidRPr="0003645A">
        <w:t>at</w:t>
      </w:r>
      <w:proofErr w:type="gramEnd"/>
      <w:r w:rsidRPr="0003645A">
        <w:t xml:space="preserve"> 30 June 2025 (2023–</w:t>
      </w:r>
      <w:r>
        <w:t>‍</w:t>
      </w:r>
      <w:r w:rsidRPr="0003645A">
        <w:t>24:</w:t>
      </w:r>
      <w:r>
        <w:t>‍</w:t>
      </w:r>
      <w:r w:rsidRPr="0003645A">
        <w:t xml:space="preserve"> $1,282 million). </w:t>
      </w:r>
      <w:r>
        <w:t>Data from Treasury Bonds is used i</w:t>
      </w:r>
      <w:r w:rsidRPr="0003645A">
        <w:t>n estimating fair value.</w:t>
      </w:r>
    </w:p>
    <w:p w14:paraId="32630E5C" w14:textId="77777777" w:rsidR="00A147FC" w:rsidRPr="006534F5" w:rsidRDefault="00A147FC" w:rsidP="00A147FC">
      <w:pPr>
        <w:pStyle w:val="Heading2"/>
        <w:rPr>
          <w:rFonts w:cs="Arial"/>
        </w:rPr>
      </w:pPr>
      <w:bookmarkStart w:id="1736" w:name="_Toc146112255"/>
      <w:bookmarkStart w:id="1737" w:name="_Toc207792938"/>
      <w:bookmarkStart w:id="1738" w:name="_Toc207793978"/>
      <w:bookmarkStart w:id="1739" w:name="_Toc207796147"/>
      <w:bookmarkStart w:id="1740" w:name="_Toc207796982"/>
      <w:bookmarkStart w:id="1741" w:name="_Toc207800285"/>
      <w:bookmarkStart w:id="1742" w:name="_Toc207810863"/>
      <w:bookmarkStart w:id="1743" w:name="_Toc208914143"/>
      <w:bookmarkStart w:id="1744" w:name="_Toc209424540"/>
      <w:r w:rsidRPr="006534F5">
        <w:lastRenderedPageBreak/>
        <w:t xml:space="preserve">Note </w:t>
      </w:r>
      <w:r>
        <w:t>8</w:t>
      </w:r>
      <w:r w:rsidRPr="006534F5">
        <w:t>: Cash flow reconciliation</w:t>
      </w:r>
      <w:bookmarkEnd w:id="1736"/>
      <w:bookmarkEnd w:id="1737"/>
      <w:bookmarkEnd w:id="1738"/>
      <w:bookmarkEnd w:id="1739"/>
      <w:bookmarkEnd w:id="1740"/>
      <w:bookmarkEnd w:id="1741"/>
      <w:bookmarkEnd w:id="1742"/>
      <w:bookmarkEnd w:id="1743"/>
      <w:bookmarkEnd w:id="1744"/>
    </w:p>
    <w:p w14:paraId="1D2AABB4" w14:textId="77777777" w:rsidR="00A147FC" w:rsidRPr="0003645A" w:rsidRDefault="00A147FC" w:rsidP="00A147FC">
      <w:r w:rsidRPr="0003645A">
        <w:t>The following table reconciles the deficit reported in the Schedule of Comprehensive Income to net cash flows from operating activities reported in the Cash Flow Statement.</w:t>
      </w:r>
    </w:p>
    <w:p w14:paraId="0909C86C" w14:textId="77777777" w:rsidR="00A147FC" w:rsidRPr="006534F5" w:rsidRDefault="00A147FC" w:rsidP="00A147FC">
      <w:pPr>
        <w:pStyle w:val="TableMainHeading"/>
        <w:keepLines/>
        <w:rPr>
          <w:rFonts w:asciiTheme="minorHAnsi" w:hAnsiTheme="minorHAnsi" w:cstheme="minorBidi"/>
          <w:lang w:eastAsia="en-US"/>
        </w:rPr>
      </w:pPr>
      <w:r w:rsidRPr="006534F5">
        <w:t xml:space="preserve">Reconciliation of net cash from operating activities </w:t>
      </w:r>
    </w:p>
    <w:tbl>
      <w:tblPr>
        <w:tblStyle w:val="AOFMTablemain"/>
        <w:tblW w:w="5000" w:type="pct"/>
        <w:tblLook w:val="06A0" w:firstRow="1" w:lastRow="0" w:firstColumn="1" w:lastColumn="0" w:noHBand="1" w:noVBand="1"/>
      </w:tblPr>
      <w:tblGrid>
        <w:gridCol w:w="4958"/>
        <w:gridCol w:w="1516"/>
        <w:gridCol w:w="1237"/>
      </w:tblGrid>
      <w:tr w:rsidR="004676A8" w:rsidRPr="006534F5" w14:paraId="3807E0E6" w14:textId="77777777" w:rsidTr="00A147FC">
        <w:trPr>
          <w:cnfStyle w:val="100000000000" w:firstRow="1" w:lastRow="0" w:firstColumn="0" w:lastColumn="0" w:oddVBand="0" w:evenVBand="0" w:oddHBand="0" w:evenHBand="0" w:firstRowFirstColumn="0" w:firstRowLastColumn="0" w:lastRowFirstColumn="0" w:lastRowLastColumn="0"/>
        </w:trPr>
        <w:tc>
          <w:tcPr>
            <w:tcW w:w="3215" w:type="pct"/>
            <w:noWrap/>
            <w:hideMark/>
          </w:tcPr>
          <w:p w14:paraId="575A9B45" w14:textId="77777777" w:rsidR="00A147FC" w:rsidRPr="009F2724" w:rsidRDefault="00A147FC" w:rsidP="00630831">
            <w:pPr>
              <w:pStyle w:val="TableTextLeft"/>
              <w:rPr>
                <w:color w:val="FFFFFF" w:themeColor="background1"/>
              </w:rPr>
            </w:pPr>
            <w:r w:rsidRPr="009F2724">
              <w:rPr>
                <w:color w:val="FFFFFF" w:themeColor="background1"/>
              </w:rPr>
              <w:t> </w:t>
            </w:r>
          </w:p>
        </w:tc>
        <w:tc>
          <w:tcPr>
            <w:tcW w:w="983" w:type="pct"/>
            <w:noWrap/>
            <w:hideMark/>
          </w:tcPr>
          <w:p w14:paraId="4A037D35" w14:textId="77777777" w:rsidR="00A147FC" w:rsidRDefault="00A147FC" w:rsidP="00630831">
            <w:pPr>
              <w:pStyle w:val="TableColumnHeadingRight"/>
            </w:pPr>
            <w:r w:rsidRPr="00825FD1">
              <w:t>202</w:t>
            </w:r>
            <w:r>
              <w:t xml:space="preserve">5 </w:t>
            </w:r>
          </w:p>
          <w:p w14:paraId="02E73D9D" w14:textId="77777777" w:rsidR="00A147FC" w:rsidRPr="009F2724" w:rsidRDefault="00A147FC" w:rsidP="00630831">
            <w:pPr>
              <w:pStyle w:val="TableColumnHeadingRight"/>
            </w:pPr>
            <w:r>
              <w:t>($million)</w:t>
            </w:r>
          </w:p>
        </w:tc>
        <w:tc>
          <w:tcPr>
            <w:tcW w:w="802" w:type="pct"/>
            <w:noWrap/>
            <w:hideMark/>
          </w:tcPr>
          <w:p w14:paraId="7C335DF6" w14:textId="77777777" w:rsidR="00A147FC" w:rsidRDefault="00A147FC" w:rsidP="00630831">
            <w:pPr>
              <w:pStyle w:val="TableColumnHeadingRight"/>
            </w:pPr>
            <w:r w:rsidRPr="00825FD1">
              <w:t>202</w:t>
            </w:r>
            <w:r>
              <w:t xml:space="preserve">4 </w:t>
            </w:r>
          </w:p>
          <w:p w14:paraId="59A8B3D5" w14:textId="77777777" w:rsidR="00A147FC" w:rsidRPr="009F2724" w:rsidRDefault="00A147FC" w:rsidP="00630831">
            <w:pPr>
              <w:pStyle w:val="TableColumnHeadingRight"/>
            </w:pPr>
            <w:r>
              <w:t>($million)</w:t>
            </w:r>
          </w:p>
        </w:tc>
      </w:tr>
      <w:tr w:rsidR="00A147FC" w:rsidRPr="006534F5" w14:paraId="0A44C243" w14:textId="77777777" w:rsidTr="00982988">
        <w:tc>
          <w:tcPr>
            <w:tcW w:w="3215" w:type="pct"/>
            <w:tcBorders>
              <w:bottom w:val="single" w:sz="4" w:space="0" w:color="29114B" w:themeColor="text2"/>
            </w:tcBorders>
            <w:shd w:val="clear" w:color="auto" w:fill="F2F2F2" w:themeFill="background1" w:themeFillShade="F2"/>
            <w:noWrap/>
            <w:hideMark/>
          </w:tcPr>
          <w:p w14:paraId="214BAE53" w14:textId="77777777" w:rsidR="00A147FC" w:rsidRPr="00022A08" w:rsidRDefault="00A147FC" w:rsidP="00630831">
            <w:pPr>
              <w:pStyle w:val="TableTextLeft"/>
              <w:rPr>
                <w:b/>
                <w:bCs/>
              </w:rPr>
            </w:pPr>
            <w:r w:rsidRPr="00022A08">
              <w:rPr>
                <w:b/>
                <w:bCs/>
              </w:rPr>
              <w:t>(Deficit)</w:t>
            </w:r>
          </w:p>
        </w:tc>
        <w:tc>
          <w:tcPr>
            <w:tcW w:w="983" w:type="pct"/>
            <w:tcBorders>
              <w:bottom w:val="single" w:sz="4" w:space="0" w:color="29114B" w:themeColor="text2"/>
            </w:tcBorders>
            <w:shd w:val="clear" w:color="auto" w:fill="F2F2F2" w:themeFill="background1" w:themeFillShade="F2"/>
            <w:noWrap/>
          </w:tcPr>
          <w:p w14:paraId="6F6B66AA" w14:textId="77777777" w:rsidR="00A147FC" w:rsidRPr="00B85579" w:rsidRDefault="00A147FC" w:rsidP="00630831">
            <w:pPr>
              <w:pStyle w:val="TableTextRight"/>
              <w:rPr>
                <w:b/>
                <w:bCs/>
              </w:rPr>
            </w:pPr>
            <w:r w:rsidRPr="00B85579">
              <w:rPr>
                <w:b/>
                <w:bCs/>
              </w:rPr>
              <w:t>(47,722)</w:t>
            </w:r>
          </w:p>
        </w:tc>
        <w:tc>
          <w:tcPr>
            <w:tcW w:w="802" w:type="pct"/>
            <w:tcBorders>
              <w:bottom w:val="single" w:sz="4" w:space="0" w:color="29114B" w:themeColor="text2"/>
            </w:tcBorders>
            <w:shd w:val="clear" w:color="auto" w:fill="F2F2F2" w:themeFill="background1" w:themeFillShade="F2"/>
            <w:noWrap/>
            <w:hideMark/>
          </w:tcPr>
          <w:p w14:paraId="064E70A9" w14:textId="77777777" w:rsidR="00A147FC" w:rsidRPr="00E457A8" w:rsidRDefault="00A147FC" w:rsidP="00630831">
            <w:pPr>
              <w:pStyle w:val="TableTextRight"/>
              <w:rPr>
                <w:b/>
                <w:bCs/>
              </w:rPr>
            </w:pPr>
            <w:r w:rsidRPr="00E457A8">
              <w:rPr>
                <w:b/>
                <w:bCs/>
              </w:rPr>
              <w:t>(23,780)</w:t>
            </w:r>
          </w:p>
        </w:tc>
      </w:tr>
      <w:tr w:rsidR="00A147FC" w:rsidRPr="006534F5" w14:paraId="4AE133D8" w14:textId="77777777" w:rsidTr="00982988">
        <w:tc>
          <w:tcPr>
            <w:tcW w:w="3215"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0ADD4708" w14:textId="77777777" w:rsidR="00A147FC" w:rsidRPr="00982988" w:rsidRDefault="00A147FC" w:rsidP="00630831">
            <w:pPr>
              <w:pStyle w:val="TableSecondHeading"/>
              <w:rPr>
                <w:b/>
              </w:rPr>
            </w:pPr>
            <w:r w:rsidRPr="00982988">
              <w:rPr>
                <w:b/>
              </w:rPr>
              <w:t>Adjustments for non</w:t>
            </w:r>
            <w:r w:rsidRPr="00982988">
              <w:rPr>
                <w:b/>
              </w:rPr>
              <w:noBreakHyphen/>
              <w:t>cash items:</w:t>
            </w:r>
          </w:p>
        </w:tc>
        <w:tc>
          <w:tcPr>
            <w:tcW w:w="98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65FAA458" w14:textId="77777777" w:rsidR="00A147FC" w:rsidRPr="00B85579" w:rsidRDefault="00A147FC" w:rsidP="00630831">
            <w:pPr>
              <w:pStyle w:val="TableTextRight"/>
            </w:pPr>
          </w:p>
        </w:tc>
        <w:tc>
          <w:tcPr>
            <w:tcW w:w="802"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5B7FA4C6" w14:textId="77777777" w:rsidR="00A147FC" w:rsidRPr="00E457A8" w:rsidRDefault="00A147FC" w:rsidP="00630831">
            <w:pPr>
              <w:pStyle w:val="TableTextRight"/>
              <w:rPr>
                <w:b/>
                <w:bCs/>
              </w:rPr>
            </w:pPr>
            <w:r w:rsidRPr="00E457A8">
              <w:rPr>
                <w:b/>
                <w:bCs/>
              </w:rPr>
              <w:t> </w:t>
            </w:r>
          </w:p>
        </w:tc>
      </w:tr>
      <w:tr w:rsidR="00A147FC" w:rsidRPr="000E2741" w14:paraId="693D5FF0" w14:textId="77777777" w:rsidTr="003C2549">
        <w:tc>
          <w:tcPr>
            <w:tcW w:w="3215" w:type="pct"/>
            <w:shd w:val="clear" w:color="auto" w:fill="F2F2F2" w:themeFill="background1" w:themeFillShade="F2"/>
            <w:hideMark/>
          </w:tcPr>
          <w:p w14:paraId="3C8EBF3C" w14:textId="77777777" w:rsidR="00A147FC" w:rsidRPr="00AE665D" w:rsidRDefault="00A147FC" w:rsidP="00630831">
            <w:pPr>
              <w:pStyle w:val="TableTextLeft"/>
            </w:pPr>
            <w:r w:rsidRPr="00AE665D">
              <w:t>Amortisation and capital accretion of debt instruments</w:t>
            </w:r>
          </w:p>
        </w:tc>
        <w:tc>
          <w:tcPr>
            <w:tcW w:w="983" w:type="pct"/>
            <w:shd w:val="clear" w:color="auto" w:fill="F2F2F2" w:themeFill="background1" w:themeFillShade="F2"/>
            <w:noWrap/>
          </w:tcPr>
          <w:p w14:paraId="4B4B2B80" w14:textId="77777777" w:rsidR="00A147FC" w:rsidRPr="00AE665D" w:rsidRDefault="00A147FC" w:rsidP="00630831">
            <w:pPr>
              <w:pStyle w:val="TableTextRight"/>
            </w:pPr>
            <w:r>
              <w:t>82</w:t>
            </w:r>
          </w:p>
        </w:tc>
        <w:tc>
          <w:tcPr>
            <w:tcW w:w="802" w:type="pct"/>
            <w:shd w:val="clear" w:color="auto" w:fill="F2F2F2" w:themeFill="background1" w:themeFillShade="F2"/>
            <w:noWrap/>
            <w:hideMark/>
          </w:tcPr>
          <w:p w14:paraId="1DD0AB03" w14:textId="77777777" w:rsidR="00A147FC" w:rsidRPr="00AE665D" w:rsidRDefault="00A147FC" w:rsidP="00630831">
            <w:pPr>
              <w:pStyle w:val="TableTextRight"/>
            </w:pPr>
            <w:r>
              <w:t>575</w:t>
            </w:r>
            <w:r w:rsidRPr="00AE665D">
              <w:t xml:space="preserve"> </w:t>
            </w:r>
          </w:p>
        </w:tc>
      </w:tr>
      <w:tr w:rsidR="00A147FC" w:rsidRPr="000E2741" w14:paraId="622272D5" w14:textId="77777777" w:rsidTr="003C2549">
        <w:tc>
          <w:tcPr>
            <w:tcW w:w="3215" w:type="pct"/>
            <w:shd w:val="clear" w:color="auto" w:fill="F2F2F2" w:themeFill="background1" w:themeFillShade="F2"/>
            <w:hideMark/>
          </w:tcPr>
          <w:p w14:paraId="72966FD2" w14:textId="77777777" w:rsidR="00A147FC" w:rsidRPr="00AE665D" w:rsidRDefault="00A147FC" w:rsidP="00630831">
            <w:pPr>
              <w:pStyle w:val="TableTextLeft"/>
            </w:pPr>
            <w:r w:rsidRPr="00AE665D">
              <w:t>Amortisation of financial assets</w:t>
            </w:r>
          </w:p>
        </w:tc>
        <w:tc>
          <w:tcPr>
            <w:tcW w:w="983" w:type="pct"/>
            <w:shd w:val="clear" w:color="auto" w:fill="F2F2F2" w:themeFill="background1" w:themeFillShade="F2"/>
            <w:noWrap/>
          </w:tcPr>
          <w:p w14:paraId="104CD23D" w14:textId="77777777" w:rsidR="00A147FC" w:rsidRPr="00AE665D" w:rsidRDefault="00A147FC" w:rsidP="00630831">
            <w:pPr>
              <w:pStyle w:val="TableTextRight"/>
            </w:pPr>
            <w:r>
              <w:t>(12)</w:t>
            </w:r>
          </w:p>
        </w:tc>
        <w:tc>
          <w:tcPr>
            <w:tcW w:w="802" w:type="pct"/>
            <w:shd w:val="clear" w:color="auto" w:fill="F2F2F2" w:themeFill="background1" w:themeFillShade="F2"/>
            <w:noWrap/>
            <w:hideMark/>
          </w:tcPr>
          <w:p w14:paraId="6E2A26E1" w14:textId="77777777" w:rsidR="00A147FC" w:rsidRPr="00AE665D" w:rsidRDefault="00A147FC" w:rsidP="00630831">
            <w:pPr>
              <w:pStyle w:val="TableTextRight"/>
            </w:pPr>
            <w:r w:rsidRPr="00AE665D">
              <w:t>(1</w:t>
            </w:r>
            <w:r>
              <w:t>3</w:t>
            </w:r>
            <w:r w:rsidRPr="00AE665D">
              <w:t>)</w:t>
            </w:r>
          </w:p>
        </w:tc>
      </w:tr>
      <w:tr w:rsidR="00A147FC" w:rsidRPr="000E2741" w14:paraId="56D1185B" w14:textId="77777777" w:rsidTr="00982988">
        <w:tc>
          <w:tcPr>
            <w:tcW w:w="3215" w:type="pct"/>
            <w:tcBorders>
              <w:bottom w:val="single" w:sz="4" w:space="0" w:color="29114B" w:themeColor="text2"/>
            </w:tcBorders>
            <w:shd w:val="clear" w:color="auto" w:fill="F2F2F2" w:themeFill="background1" w:themeFillShade="F2"/>
            <w:noWrap/>
            <w:hideMark/>
          </w:tcPr>
          <w:p w14:paraId="5E9C4133" w14:textId="77777777" w:rsidR="00A147FC" w:rsidRPr="00AE665D" w:rsidRDefault="00A147FC" w:rsidP="00630831">
            <w:pPr>
              <w:pStyle w:val="TableTextLeft"/>
            </w:pPr>
            <w:r w:rsidRPr="00AE665D">
              <w:t>Re</w:t>
            </w:r>
            <w:r>
              <w:noBreakHyphen/>
            </w:r>
            <w:r w:rsidRPr="00AE665D">
              <w:t>measurements</w:t>
            </w:r>
          </w:p>
        </w:tc>
        <w:tc>
          <w:tcPr>
            <w:tcW w:w="983" w:type="pct"/>
            <w:tcBorders>
              <w:bottom w:val="single" w:sz="4" w:space="0" w:color="29114B" w:themeColor="text2"/>
            </w:tcBorders>
            <w:shd w:val="clear" w:color="auto" w:fill="F2F2F2" w:themeFill="background1" w:themeFillShade="F2"/>
            <w:noWrap/>
          </w:tcPr>
          <w:p w14:paraId="2B7E29FB" w14:textId="77777777" w:rsidR="00A147FC" w:rsidRPr="00AE665D" w:rsidRDefault="00A147FC" w:rsidP="00630831">
            <w:pPr>
              <w:pStyle w:val="TableTextRight"/>
            </w:pPr>
            <w:r>
              <w:t>26,703</w:t>
            </w:r>
          </w:p>
        </w:tc>
        <w:tc>
          <w:tcPr>
            <w:tcW w:w="802" w:type="pct"/>
            <w:tcBorders>
              <w:bottom w:val="single" w:sz="4" w:space="0" w:color="29114B" w:themeColor="text2"/>
            </w:tcBorders>
            <w:shd w:val="clear" w:color="auto" w:fill="F2F2F2" w:themeFill="background1" w:themeFillShade="F2"/>
            <w:noWrap/>
            <w:hideMark/>
          </w:tcPr>
          <w:p w14:paraId="221D3D9B" w14:textId="77777777" w:rsidR="00A147FC" w:rsidRPr="00AE665D" w:rsidRDefault="00A147FC" w:rsidP="00630831">
            <w:pPr>
              <w:pStyle w:val="TableTextRight"/>
            </w:pPr>
            <w:r>
              <w:t>4,178</w:t>
            </w:r>
          </w:p>
        </w:tc>
      </w:tr>
      <w:tr w:rsidR="00A147FC" w:rsidRPr="000E2741" w14:paraId="4204728B" w14:textId="77777777" w:rsidTr="00982988">
        <w:tc>
          <w:tcPr>
            <w:tcW w:w="3215"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2EA04BFA" w14:textId="77777777" w:rsidR="00A147FC" w:rsidRPr="00982988" w:rsidRDefault="00A147FC" w:rsidP="00630831">
            <w:pPr>
              <w:pStyle w:val="TableSecondHeading"/>
              <w:rPr>
                <w:b/>
              </w:rPr>
            </w:pPr>
            <w:r w:rsidRPr="00982988">
              <w:rPr>
                <w:b/>
              </w:rPr>
              <w:t>Adjustments for cash items:</w:t>
            </w:r>
          </w:p>
        </w:tc>
        <w:tc>
          <w:tcPr>
            <w:tcW w:w="98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568F8565" w14:textId="77777777" w:rsidR="00A147FC" w:rsidRPr="00B85579" w:rsidRDefault="00A147FC" w:rsidP="00630831">
            <w:pPr>
              <w:pStyle w:val="TableTextRight"/>
            </w:pPr>
          </w:p>
        </w:tc>
        <w:tc>
          <w:tcPr>
            <w:tcW w:w="802"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5AFD49C8" w14:textId="77777777" w:rsidR="00A147FC" w:rsidRPr="00E457A8" w:rsidRDefault="00A147FC" w:rsidP="00630831">
            <w:pPr>
              <w:pStyle w:val="TableTextRight"/>
            </w:pPr>
            <w:r w:rsidRPr="00E457A8">
              <w:rPr>
                <w:rStyle w:val="Strong"/>
                <w:b w:val="0"/>
                <w:bCs w:val="0"/>
              </w:rPr>
              <w:t> </w:t>
            </w:r>
          </w:p>
        </w:tc>
      </w:tr>
      <w:tr w:rsidR="00A147FC" w:rsidRPr="000E2741" w14:paraId="35438A97" w14:textId="77777777" w:rsidTr="003C2549">
        <w:tc>
          <w:tcPr>
            <w:tcW w:w="3215" w:type="pct"/>
            <w:shd w:val="clear" w:color="auto" w:fill="F2F2F2" w:themeFill="background1" w:themeFillShade="F2"/>
            <w:hideMark/>
          </w:tcPr>
          <w:p w14:paraId="3FAB261F" w14:textId="77777777" w:rsidR="00A147FC" w:rsidRPr="00AE665D" w:rsidRDefault="00A147FC" w:rsidP="00630831">
            <w:pPr>
              <w:pStyle w:val="TableTextLeft"/>
            </w:pPr>
            <w:r w:rsidRPr="00AE665D">
              <w:t>Capital accretion costs on redemption of debt</w:t>
            </w:r>
          </w:p>
        </w:tc>
        <w:tc>
          <w:tcPr>
            <w:tcW w:w="983" w:type="pct"/>
            <w:shd w:val="clear" w:color="auto" w:fill="F2F2F2" w:themeFill="background1" w:themeFillShade="F2"/>
            <w:noWrap/>
          </w:tcPr>
          <w:p w14:paraId="23E2551F" w14:textId="77777777" w:rsidR="00A147FC" w:rsidRPr="00AE665D" w:rsidRDefault="00A147FC" w:rsidP="00630831">
            <w:pPr>
              <w:pStyle w:val="TableTextRight"/>
            </w:pPr>
            <w:r>
              <w:t>(988)</w:t>
            </w:r>
          </w:p>
        </w:tc>
        <w:tc>
          <w:tcPr>
            <w:tcW w:w="802" w:type="pct"/>
            <w:shd w:val="clear" w:color="auto" w:fill="F2F2F2" w:themeFill="background1" w:themeFillShade="F2"/>
            <w:noWrap/>
            <w:hideMark/>
          </w:tcPr>
          <w:p w14:paraId="3CE84248" w14:textId="77777777" w:rsidR="00A147FC" w:rsidRPr="00AE665D" w:rsidRDefault="00A147FC" w:rsidP="00630831">
            <w:pPr>
              <w:pStyle w:val="TableTextRight"/>
            </w:pPr>
            <w:r>
              <w:t>(934)</w:t>
            </w:r>
            <w:r w:rsidRPr="00AE665D">
              <w:t xml:space="preserve"> </w:t>
            </w:r>
          </w:p>
        </w:tc>
      </w:tr>
      <w:tr w:rsidR="00A147FC" w:rsidRPr="000E2741" w14:paraId="43C5C00E" w14:textId="77777777" w:rsidTr="00982988">
        <w:tc>
          <w:tcPr>
            <w:tcW w:w="3215" w:type="pct"/>
            <w:tcBorders>
              <w:bottom w:val="single" w:sz="4" w:space="0" w:color="29114B" w:themeColor="text2"/>
            </w:tcBorders>
            <w:shd w:val="clear" w:color="auto" w:fill="F2F2F2" w:themeFill="background1" w:themeFillShade="F2"/>
            <w:noWrap/>
            <w:hideMark/>
          </w:tcPr>
          <w:p w14:paraId="7B2892CD" w14:textId="77777777" w:rsidR="00A147FC" w:rsidRPr="00AE665D" w:rsidRDefault="00A147FC" w:rsidP="00630831">
            <w:pPr>
              <w:pStyle w:val="TableTextLeft"/>
            </w:pPr>
            <w:r w:rsidRPr="00AE665D">
              <w:t>Debt repurchases</w:t>
            </w:r>
          </w:p>
        </w:tc>
        <w:tc>
          <w:tcPr>
            <w:tcW w:w="983" w:type="pct"/>
            <w:tcBorders>
              <w:bottom w:val="single" w:sz="4" w:space="0" w:color="29114B" w:themeColor="text2"/>
            </w:tcBorders>
            <w:shd w:val="clear" w:color="auto" w:fill="F2F2F2" w:themeFill="background1" w:themeFillShade="F2"/>
            <w:noWrap/>
          </w:tcPr>
          <w:p w14:paraId="5E94BB68" w14:textId="77777777" w:rsidR="00A147FC" w:rsidRPr="00AE665D" w:rsidRDefault="00A147FC" w:rsidP="00630831">
            <w:pPr>
              <w:pStyle w:val="TableTextRight"/>
            </w:pPr>
            <w:r>
              <w:t>22</w:t>
            </w:r>
          </w:p>
        </w:tc>
        <w:tc>
          <w:tcPr>
            <w:tcW w:w="802" w:type="pct"/>
            <w:tcBorders>
              <w:bottom w:val="single" w:sz="4" w:space="0" w:color="29114B" w:themeColor="text2"/>
            </w:tcBorders>
            <w:shd w:val="clear" w:color="auto" w:fill="F2F2F2" w:themeFill="background1" w:themeFillShade="F2"/>
            <w:noWrap/>
            <w:hideMark/>
          </w:tcPr>
          <w:p w14:paraId="0AE66538" w14:textId="77777777" w:rsidR="00A147FC" w:rsidRPr="00AE665D" w:rsidRDefault="00A147FC" w:rsidP="00630831">
            <w:pPr>
              <w:pStyle w:val="TableTextRight"/>
            </w:pPr>
            <w:r>
              <w:t>82</w:t>
            </w:r>
            <w:r w:rsidRPr="00AE665D">
              <w:t xml:space="preserve"> </w:t>
            </w:r>
          </w:p>
        </w:tc>
      </w:tr>
      <w:tr w:rsidR="00A147FC" w:rsidRPr="000E2741" w14:paraId="345751F9" w14:textId="77777777" w:rsidTr="00982988">
        <w:tc>
          <w:tcPr>
            <w:tcW w:w="3215" w:type="pct"/>
            <w:tcBorders>
              <w:top w:val="single" w:sz="4" w:space="0" w:color="29114B" w:themeColor="text2"/>
              <w:right w:val="single" w:sz="4" w:space="0" w:color="F2F2F2" w:themeColor="background1" w:themeShade="F2"/>
            </w:tcBorders>
            <w:shd w:val="clear" w:color="auto" w:fill="F2F2F2" w:themeFill="background1" w:themeFillShade="F2"/>
            <w:noWrap/>
            <w:hideMark/>
          </w:tcPr>
          <w:p w14:paraId="1465A118" w14:textId="77777777" w:rsidR="00A147FC" w:rsidRPr="00982988" w:rsidRDefault="00A147FC" w:rsidP="00630831">
            <w:pPr>
              <w:pStyle w:val="TableSecondHeading"/>
              <w:rPr>
                <w:b/>
              </w:rPr>
            </w:pPr>
            <w:r w:rsidRPr="00982988">
              <w:rPr>
                <w:b/>
              </w:rPr>
              <w:t>Accrual adjustments:</w:t>
            </w:r>
          </w:p>
        </w:tc>
        <w:tc>
          <w:tcPr>
            <w:tcW w:w="983"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Pr>
          <w:p w14:paraId="19E1DE8D" w14:textId="77777777" w:rsidR="00A147FC" w:rsidRPr="00AE665D" w:rsidRDefault="00A147FC" w:rsidP="00630831">
            <w:pPr>
              <w:pStyle w:val="TableTextRight"/>
            </w:pPr>
          </w:p>
        </w:tc>
        <w:tc>
          <w:tcPr>
            <w:tcW w:w="802" w:type="pct"/>
            <w:tcBorders>
              <w:top w:val="single" w:sz="4" w:space="0" w:color="29114B" w:themeColor="text2"/>
              <w:left w:val="single" w:sz="4" w:space="0" w:color="F2F2F2" w:themeColor="background1" w:themeShade="F2"/>
            </w:tcBorders>
            <w:shd w:val="clear" w:color="auto" w:fill="F2F2F2" w:themeFill="background1" w:themeFillShade="F2"/>
            <w:noWrap/>
            <w:hideMark/>
          </w:tcPr>
          <w:p w14:paraId="09238FFB" w14:textId="77777777" w:rsidR="00A147FC" w:rsidRPr="00AE665D" w:rsidRDefault="00A147FC" w:rsidP="00630831">
            <w:pPr>
              <w:pStyle w:val="TableTextRight"/>
            </w:pPr>
            <w:r w:rsidRPr="00AE665D">
              <w:t> </w:t>
            </w:r>
          </w:p>
        </w:tc>
      </w:tr>
      <w:tr w:rsidR="00A147FC" w:rsidRPr="000E2741" w14:paraId="0B6C3A27" w14:textId="77777777" w:rsidTr="003C2549">
        <w:tc>
          <w:tcPr>
            <w:tcW w:w="3215" w:type="pct"/>
            <w:shd w:val="clear" w:color="auto" w:fill="F2F2F2" w:themeFill="background1" w:themeFillShade="F2"/>
            <w:noWrap/>
            <w:hideMark/>
          </w:tcPr>
          <w:p w14:paraId="14F0835E" w14:textId="77777777" w:rsidR="00A147FC" w:rsidRPr="00AE665D" w:rsidRDefault="00A147FC" w:rsidP="00630831">
            <w:pPr>
              <w:pStyle w:val="TableTextLeft"/>
            </w:pPr>
            <w:r w:rsidRPr="00AE665D">
              <w:t>Interest accruals on debt</w:t>
            </w:r>
          </w:p>
        </w:tc>
        <w:tc>
          <w:tcPr>
            <w:tcW w:w="983" w:type="pct"/>
            <w:shd w:val="clear" w:color="auto" w:fill="F2F2F2" w:themeFill="background1" w:themeFillShade="F2"/>
            <w:noWrap/>
          </w:tcPr>
          <w:p w14:paraId="69EC72AE" w14:textId="77777777" w:rsidR="00A147FC" w:rsidRPr="00AE665D" w:rsidRDefault="00A147FC" w:rsidP="00630831">
            <w:pPr>
              <w:pStyle w:val="TableTextRight"/>
            </w:pPr>
            <w:r>
              <w:t>163</w:t>
            </w:r>
          </w:p>
        </w:tc>
        <w:tc>
          <w:tcPr>
            <w:tcW w:w="802" w:type="pct"/>
            <w:shd w:val="clear" w:color="auto" w:fill="F2F2F2" w:themeFill="background1" w:themeFillShade="F2"/>
            <w:noWrap/>
            <w:hideMark/>
          </w:tcPr>
          <w:p w14:paraId="2EF86CA1" w14:textId="77777777" w:rsidR="00A147FC" w:rsidRPr="00AE665D" w:rsidRDefault="00A147FC" w:rsidP="00630831">
            <w:pPr>
              <w:pStyle w:val="TableTextRight"/>
            </w:pPr>
            <w:r w:rsidRPr="00AE665D">
              <w:t>(</w:t>
            </w:r>
            <w:r>
              <w:t>68</w:t>
            </w:r>
            <w:r w:rsidRPr="00AE665D">
              <w:t>)</w:t>
            </w:r>
          </w:p>
        </w:tc>
      </w:tr>
      <w:tr w:rsidR="00A147FC" w:rsidRPr="0088374F" w14:paraId="24135D19" w14:textId="77777777" w:rsidTr="003C2549">
        <w:tc>
          <w:tcPr>
            <w:tcW w:w="3215" w:type="pct"/>
            <w:shd w:val="clear" w:color="auto" w:fill="F2F2F2" w:themeFill="background1" w:themeFillShade="F2"/>
            <w:noWrap/>
            <w:hideMark/>
          </w:tcPr>
          <w:p w14:paraId="51FF9F97" w14:textId="77777777" w:rsidR="00A147FC" w:rsidRPr="00AE665D" w:rsidRDefault="00A147FC" w:rsidP="00630831">
            <w:pPr>
              <w:pStyle w:val="TableTextLeft"/>
            </w:pPr>
            <w:r w:rsidRPr="00AE665D">
              <w:t>Interest accruals on assets</w:t>
            </w:r>
          </w:p>
        </w:tc>
        <w:tc>
          <w:tcPr>
            <w:tcW w:w="983" w:type="pct"/>
            <w:shd w:val="clear" w:color="auto" w:fill="F2F2F2" w:themeFill="background1" w:themeFillShade="F2"/>
            <w:noWrap/>
          </w:tcPr>
          <w:p w14:paraId="569A5140" w14:textId="77777777" w:rsidR="00A147FC" w:rsidRPr="00AE665D" w:rsidRDefault="00A147FC" w:rsidP="00630831">
            <w:pPr>
              <w:pStyle w:val="TableTextRight"/>
            </w:pPr>
            <w:r>
              <w:t>66</w:t>
            </w:r>
          </w:p>
        </w:tc>
        <w:tc>
          <w:tcPr>
            <w:tcW w:w="802" w:type="pct"/>
            <w:shd w:val="clear" w:color="auto" w:fill="F2F2F2" w:themeFill="background1" w:themeFillShade="F2"/>
            <w:noWrap/>
            <w:hideMark/>
          </w:tcPr>
          <w:p w14:paraId="792BE594" w14:textId="77777777" w:rsidR="00A147FC" w:rsidRPr="00AE665D" w:rsidRDefault="00A147FC" w:rsidP="00630831">
            <w:pPr>
              <w:pStyle w:val="TableTextRight"/>
            </w:pPr>
            <w:r>
              <w:noBreakHyphen/>
            </w:r>
          </w:p>
        </w:tc>
      </w:tr>
      <w:tr w:rsidR="00A147FC" w:rsidRPr="006534F5" w14:paraId="5B3E3759" w14:textId="77777777" w:rsidTr="003C2549">
        <w:tc>
          <w:tcPr>
            <w:tcW w:w="3215" w:type="pct"/>
            <w:shd w:val="clear" w:color="auto" w:fill="F2F2F2" w:themeFill="background1" w:themeFillShade="F2"/>
            <w:noWrap/>
            <w:hideMark/>
          </w:tcPr>
          <w:p w14:paraId="15E74527" w14:textId="77777777" w:rsidR="00A147FC" w:rsidRPr="00022A08" w:rsidRDefault="00A147FC" w:rsidP="00630831">
            <w:pPr>
              <w:pStyle w:val="TableTextLeft"/>
              <w:rPr>
                <w:b/>
                <w:bCs/>
              </w:rPr>
            </w:pPr>
            <w:r w:rsidRPr="00022A08">
              <w:rPr>
                <w:b/>
                <w:bCs/>
              </w:rPr>
              <w:t>Net cash from operating activities</w:t>
            </w:r>
          </w:p>
        </w:tc>
        <w:tc>
          <w:tcPr>
            <w:tcW w:w="983" w:type="pct"/>
            <w:shd w:val="clear" w:color="auto" w:fill="F2F2F2" w:themeFill="background1" w:themeFillShade="F2"/>
            <w:noWrap/>
          </w:tcPr>
          <w:p w14:paraId="64549E11" w14:textId="77777777" w:rsidR="00A147FC" w:rsidRPr="00B85579" w:rsidRDefault="00A147FC" w:rsidP="00630831">
            <w:pPr>
              <w:pStyle w:val="TableTextRight"/>
              <w:rPr>
                <w:b/>
                <w:bCs/>
              </w:rPr>
            </w:pPr>
            <w:r w:rsidRPr="00B85579">
              <w:rPr>
                <w:b/>
                <w:bCs/>
              </w:rPr>
              <w:t>(21,68</w:t>
            </w:r>
            <w:r>
              <w:rPr>
                <w:b/>
                <w:bCs/>
              </w:rPr>
              <w:t>6</w:t>
            </w:r>
            <w:r w:rsidRPr="00B85579">
              <w:rPr>
                <w:b/>
                <w:bCs/>
              </w:rPr>
              <w:t>)</w:t>
            </w:r>
          </w:p>
        </w:tc>
        <w:tc>
          <w:tcPr>
            <w:tcW w:w="802" w:type="pct"/>
            <w:shd w:val="clear" w:color="auto" w:fill="F2F2F2" w:themeFill="background1" w:themeFillShade="F2"/>
            <w:noWrap/>
            <w:hideMark/>
          </w:tcPr>
          <w:p w14:paraId="1D40D529" w14:textId="77777777" w:rsidR="00A147FC" w:rsidRPr="00E457A8" w:rsidRDefault="00A147FC" w:rsidP="00630831">
            <w:pPr>
              <w:pStyle w:val="TableTextRight"/>
              <w:rPr>
                <w:b/>
                <w:bCs/>
              </w:rPr>
            </w:pPr>
            <w:r w:rsidRPr="00E457A8">
              <w:rPr>
                <w:b/>
                <w:bCs/>
              </w:rPr>
              <w:t>(19,960)</w:t>
            </w:r>
          </w:p>
        </w:tc>
      </w:tr>
    </w:tbl>
    <w:p w14:paraId="7CDE26AC" w14:textId="77777777" w:rsidR="00A147FC" w:rsidRDefault="00A147FC" w:rsidP="00A147FC">
      <w:pPr>
        <w:rPr>
          <w:lang w:eastAsia="en-AU"/>
        </w:rPr>
      </w:pPr>
      <w:r w:rsidRPr="006534F5">
        <w:rPr>
          <w:lang w:eastAsia="en-AU"/>
        </w:rPr>
        <w:br w:type="page"/>
      </w:r>
    </w:p>
    <w:p w14:paraId="35C01F31" w14:textId="77777777" w:rsidR="00A147FC" w:rsidRPr="006534F5" w:rsidRDefault="00A147FC" w:rsidP="00A147FC">
      <w:pPr>
        <w:pStyle w:val="Heading2"/>
        <w:rPr>
          <w:rFonts w:cs="Arial"/>
        </w:rPr>
      </w:pPr>
      <w:bookmarkStart w:id="1745" w:name="_Toc146112256"/>
      <w:bookmarkStart w:id="1746" w:name="_Toc207792939"/>
      <w:bookmarkStart w:id="1747" w:name="_Toc207793979"/>
      <w:bookmarkStart w:id="1748" w:name="_Toc207796148"/>
      <w:bookmarkStart w:id="1749" w:name="_Toc207796983"/>
      <w:bookmarkStart w:id="1750" w:name="_Toc207800286"/>
      <w:bookmarkStart w:id="1751" w:name="_Toc207810864"/>
      <w:bookmarkStart w:id="1752" w:name="_Toc208914144"/>
      <w:bookmarkStart w:id="1753" w:name="_Toc209424541"/>
      <w:r w:rsidRPr="006534F5">
        <w:lastRenderedPageBreak/>
        <w:t xml:space="preserve">Note </w:t>
      </w:r>
      <w:r>
        <w:t>9</w:t>
      </w:r>
      <w:r w:rsidRPr="006534F5">
        <w:t>: Appropriations</w:t>
      </w:r>
      <w:bookmarkEnd w:id="1745"/>
      <w:bookmarkEnd w:id="1746"/>
      <w:bookmarkEnd w:id="1747"/>
      <w:bookmarkEnd w:id="1748"/>
      <w:bookmarkEnd w:id="1749"/>
      <w:bookmarkEnd w:id="1750"/>
      <w:bookmarkEnd w:id="1751"/>
      <w:bookmarkEnd w:id="1752"/>
      <w:bookmarkEnd w:id="1753"/>
    </w:p>
    <w:p w14:paraId="26796CD9" w14:textId="77777777" w:rsidR="00A147FC" w:rsidRPr="006534F5" w:rsidRDefault="00A147FC" w:rsidP="00A147FC">
      <w:pPr>
        <w:pStyle w:val="TableMainHeading"/>
        <w:keepLines/>
        <w:rPr>
          <w:rFonts w:asciiTheme="minorHAnsi" w:hAnsiTheme="minorHAnsi" w:cstheme="minorBidi"/>
          <w:lang w:eastAsia="en-US"/>
        </w:rPr>
      </w:pPr>
      <w:r w:rsidRPr="006534F5">
        <w:t xml:space="preserve">Administered special appropriations – unlimited </w:t>
      </w:r>
    </w:p>
    <w:tbl>
      <w:tblPr>
        <w:tblStyle w:val="AOFMTablemain"/>
        <w:tblW w:w="4966" w:type="pct"/>
        <w:tblLayout w:type="fixed"/>
        <w:tblLook w:val="06A0" w:firstRow="1" w:lastRow="0" w:firstColumn="1" w:lastColumn="0" w:noHBand="1" w:noVBand="1"/>
      </w:tblPr>
      <w:tblGrid>
        <w:gridCol w:w="5105"/>
        <w:gridCol w:w="1238"/>
        <w:gridCol w:w="1316"/>
      </w:tblGrid>
      <w:tr w:rsidR="00E15250" w:rsidRPr="006534F5" w14:paraId="653D7C24" w14:textId="77777777" w:rsidTr="00982988">
        <w:trPr>
          <w:cnfStyle w:val="100000000000" w:firstRow="1" w:lastRow="0" w:firstColumn="0" w:lastColumn="0" w:oddVBand="0" w:evenVBand="0" w:oddHBand="0" w:evenHBand="0" w:firstRowFirstColumn="0" w:firstRowLastColumn="0" w:lastRowFirstColumn="0" w:lastRowLastColumn="0"/>
        </w:trPr>
        <w:tc>
          <w:tcPr>
            <w:tcW w:w="3333" w:type="pct"/>
            <w:tcBorders>
              <w:bottom w:val="single" w:sz="4" w:space="0" w:color="29114B" w:themeColor="text2"/>
            </w:tcBorders>
            <w:tcMar>
              <w:top w:w="57" w:type="dxa"/>
              <w:bottom w:w="57" w:type="dxa"/>
            </w:tcMar>
            <w:hideMark/>
          </w:tcPr>
          <w:p w14:paraId="1B5196B4" w14:textId="77777777" w:rsidR="00A147FC" w:rsidRPr="009F2724" w:rsidRDefault="00A147FC" w:rsidP="00630831">
            <w:pPr>
              <w:pStyle w:val="TableColumnHeadingRight"/>
            </w:pPr>
            <w:r w:rsidRPr="009F2724">
              <w:t> </w:t>
            </w:r>
          </w:p>
        </w:tc>
        <w:tc>
          <w:tcPr>
            <w:tcW w:w="808" w:type="pct"/>
            <w:tcBorders>
              <w:bottom w:val="single" w:sz="4" w:space="0" w:color="29114B" w:themeColor="text2"/>
            </w:tcBorders>
            <w:noWrap/>
            <w:tcMar>
              <w:top w:w="57" w:type="dxa"/>
              <w:bottom w:w="57" w:type="dxa"/>
            </w:tcMar>
            <w:hideMark/>
          </w:tcPr>
          <w:p w14:paraId="240F3103" w14:textId="77777777" w:rsidR="00A147FC" w:rsidRDefault="00A147FC" w:rsidP="00630831">
            <w:pPr>
              <w:pStyle w:val="TableColumnHeadingRight"/>
            </w:pPr>
            <w:r w:rsidRPr="00825FD1">
              <w:t>202</w:t>
            </w:r>
            <w:r>
              <w:t xml:space="preserve">5 </w:t>
            </w:r>
          </w:p>
          <w:p w14:paraId="75D80DB6" w14:textId="77777777" w:rsidR="00A147FC" w:rsidRPr="009F2724" w:rsidRDefault="00A147FC" w:rsidP="00630831">
            <w:pPr>
              <w:pStyle w:val="TableColumnHeadingRight"/>
            </w:pPr>
            <w:r>
              <w:t>($’000)</w:t>
            </w:r>
          </w:p>
        </w:tc>
        <w:tc>
          <w:tcPr>
            <w:tcW w:w="859" w:type="pct"/>
            <w:tcBorders>
              <w:bottom w:val="single" w:sz="4" w:space="0" w:color="29114B" w:themeColor="text2"/>
            </w:tcBorders>
            <w:noWrap/>
            <w:tcMar>
              <w:top w:w="57" w:type="dxa"/>
              <w:bottom w:w="57" w:type="dxa"/>
            </w:tcMar>
            <w:hideMark/>
          </w:tcPr>
          <w:p w14:paraId="7C930636" w14:textId="77777777" w:rsidR="00A147FC" w:rsidRDefault="00A147FC" w:rsidP="00630831">
            <w:pPr>
              <w:pStyle w:val="TableColumnHeadingRight"/>
            </w:pPr>
            <w:r w:rsidRPr="00825FD1">
              <w:t>202</w:t>
            </w:r>
            <w:r>
              <w:t xml:space="preserve">4 </w:t>
            </w:r>
          </w:p>
          <w:p w14:paraId="2F6232A4" w14:textId="77777777" w:rsidR="00A147FC" w:rsidRPr="009F2724" w:rsidRDefault="00A147FC" w:rsidP="00630831">
            <w:pPr>
              <w:pStyle w:val="TableColumnHeadingRight"/>
            </w:pPr>
            <w:r>
              <w:t>($’000)</w:t>
            </w:r>
          </w:p>
        </w:tc>
      </w:tr>
      <w:tr w:rsidR="00A147FC" w:rsidRPr="006534F5" w14:paraId="4DB6D6BE" w14:textId="77777777" w:rsidTr="00982988">
        <w:tc>
          <w:tcPr>
            <w:tcW w:w="3333"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hideMark/>
          </w:tcPr>
          <w:p w14:paraId="02D0649F" w14:textId="77777777" w:rsidR="00A147FC" w:rsidRPr="00982988" w:rsidRDefault="00A147FC" w:rsidP="00630831">
            <w:pPr>
              <w:pStyle w:val="TableSecondHeading"/>
              <w:rPr>
                <w:b/>
                <w:i/>
                <w:iCs/>
              </w:rPr>
            </w:pPr>
            <w:r w:rsidRPr="00982988">
              <w:rPr>
                <w:b/>
                <w:i/>
                <w:iCs/>
              </w:rPr>
              <w:t>Commonwealth Inscribed Stock Act 1911</w:t>
            </w:r>
          </w:p>
        </w:tc>
        <w:tc>
          <w:tcPr>
            <w:tcW w:w="80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0FB0DEB0" w14:textId="77777777" w:rsidR="00A147FC" w:rsidRPr="004E3C0E" w:rsidRDefault="00A147FC" w:rsidP="00630831">
            <w:pPr>
              <w:pStyle w:val="TableTextRight"/>
              <w:rPr>
                <w:rStyle w:val="Strong"/>
                <w:b w:val="0"/>
                <w:bCs w:val="0"/>
              </w:rPr>
            </w:pPr>
            <w:r w:rsidRPr="004E3C0E">
              <w:rPr>
                <w:rStyle w:val="Strong"/>
                <w:b w:val="0"/>
                <w:bCs w:val="0"/>
              </w:rPr>
              <w:t> </w:t>
            </w:r>
          </w:p>
        </w:tc>
        <w:tc>
          <w:tcPr>
            <w:tcW w:w="859"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0F5BBEE3" w14:textId="77777777" w:rsidR="00A147FC" w:rsidRPr="004E3C0E" w:rsidRDefault="00A147FC" w:rsidP="00630831">
            <w:pPr>
              <w:pStyle w:val="TableTextRight"/>
            </w:pPr>
            <w:r w:rsidRPr="004E3C0E">
              <w:t> </w:t>
            </w:r>
          </w:p>
        </w:tc>
      </w:tr>
      <w:tr w:rsidR="00A147FC" w:rsidRPr="00F10D6C" w14:paraId="7987CE96" w14:textId="77777777" w:rsidTr="003C2549">
        <w:tc>
          <w:tcPr>
            <w:tcW w:w="3333" w:type="pct"/>
            <w:shd w:val="clear" w:color="auto" w:fill="F2F2F2" w:themeFill="background1" w:themeFillShade="F2"/>
            <w:tcMar>
              <w:top w:w="57" w:type="dxa"/>
              <w:bottom w:w="57" w:type="dxa"/>
            </w:tcMar>
            <w:hideMark/>
          </w:tcPr>
          <w:p w14:paraId="7A590D6A" w14:textId="77777777" w:rsidR="00A147FC" w:rsidRPr="00E457A8" w:rsidRDefault="00A147FC" w:rsidP="00630831">
            <w:pPr>
              <w:pStyle w:val="TableTextLeft"/>
            </w:pPr>
            <w:r w:rsidRPr="00E457A8">
              <w:t>s13AA – payment of principal and interest on money raised by Stock issued under the Act and payments on depository interests in Stock issued under the Act</w:t>
            </w:r>
          </w:p>
        </w:tc>
        <w:tc>
          <w:tcPr>
            <w:tcW w:w="808" w:type="pct"/>
            <w:shd w:val="clear" w:color="auto" w:fill="F2F2F2" w:themeFill="background1" w:themeFillShade="F2"/>
            <w:noWrap/>
            <w:tcMar>
              <w:top w:w="57" w:type="dxa"/>
              <w:bottom w:w="57" w:type="dxa"/>
            </w:tcMar>
          </w:tcPr>
          <w:p w14:paraId="456485E8" w14:textId="77777777" w:rsidR="00A147FC" w:rsidRPr="004E3C0E" w:rsidRDefault="00A147FC" w:rsidP="00630831">
            <w:pPr>
              <w:pStyle w:val="TableTextRight"/>
            </w:pPr>
            <w:r w:rsidRPr="004E3C0E">
              <w:t>216,471,364</w:t>
            </w:r>
          </w:p>
        </w:tc>
        <w:tc>
          <w:tcPr>
            <w:tcW w:w="859" w:type="pct"/>
            <w:shd w:val="clear" w:color="auto" w:fill="F2F2F2" w:themeFill="background1" w:themeFillShade="F2"/>
            <w:noWrap/>
            <w:tcMar>
              <w:top w:w="57" w:type="dxa"/>
              <w:bottom w:w="57" w:type="dxa"/>
            </w:tcMar>
            <w:hideMark/>
          </w:tcPr>
          <w:p w14:paraId="3C71EC6C" w14:textId="77777777" w:rsidR="00A147FC" w:rsidRPr="004E3C0E" w:rsidRDefault="00A147FC" w:rsidP="00630831">
            <w:pPr>
              <w:pStyle w:val="TableTextRight"/>
            </w:pPr>
            <w:r w:rsidRPr="004E3C0E">
              <w:t xml:space="preserve">150,720,507 </w:t>
            </w:r>
          </w:p>
        </w:tc>
      </w:tr>
      <w:tr w:rsidR="00A147FC" w:rsidRPr="00F10D6C" w14:paraId="246819F7" w14:textId="77777777" w:rsidTr="003C2549">
        <w:tc>
          <w:tcPr>
            <w:tcW w:w="3333" w:type="pct"/>
            <w:shd w:val="clear" w:color="auto" w:fill="F2F2F2" w:themeFill="background1" w:themeFillShade="F2"/>
            <w:tcMar>
              <w:top w:w="57" w:type="dxa"/>
              <w:bottom w:w="57" w:type="dxa"/>
            </w:tcMar>
            <w:hideMark/>
          </w:tcPr>
          <w:p w14:paraId="6A0D4B26" w14:textId="77777777" w:rsidR="00A147FC" w:rsidRPr="00E457A8" w:rsidRDefault="00A147FC" w:rsidP="00630831">
            <w:pPr>
              <w:pStyle w:val="TableTextLeft"/>
            </w:pPr>
            <w:r w:rsidRPr="00E457A8">
              <w:t>s13A – payment of costs and expenses incurred in relation to issuing and managing debt and depository interests</w:t>
            </w:r>
          </w:p>
        </w:tc>
        <w:tc>
          <w:tcPr>
            <w:tcW w:w="808" w:type="pct"/>
            <w:shd w:val="clear" w:color="auto" w:fill="F2F2F2" w:themeFill="background1" w:themeFillShade="F2"/>
            <w:noWrap/>
            <w:tcMar>
              <w:top w:w="57" w:type="dxa"/>
              <w:bottom w:w="57" w:type="dxa"/>
            </w:tcMar>
          </w:tcPr>
          <w:p w14:paraId="1B08D7FC" w14:textId="77777777" w:rsidR="00A147FC" w:rsidRPr="004E3C0E" w:rsidRDefault="00A147FC" w:rsidP="00630831">
            <w:pPr>
              <w:pStyle w:val="TableTextRight"/>
            </w:pPr>
            <w:r w:rsidRPr="004E3C0E">
              <w:t>24,984</w:t>
            </w:r>
          </w:p>
        </w:tc>
        <w:tc>
          <w:tcPr>
            <w:tcW w:w="859" w:type="pct"/>
            <w:shd w:val="clear" w:color="auto" w:fill="F2F2F2" w:themeFill="background1" w:themeFillShade="F2"/>
            <w:noWrap/>
            <w:tcMar>
              <w:top w:w="57" w:type="dxa"/>
              <w:bottom w:w="57" w:type="dxa"/>
            </w:tcMar>
            <w:hideMark/>
          </w:tcPr>
          <w:p w14:paraId="3D529698" w14:textId="77777777" w:rsidR="00A147FC" w:rsidRPr="004E3C0E" w:rsidRDefault="00A147FC" w:rsidP="00630831">
            <w:pPr>
              <w:pStyle w:val="TableTextRight"/>
            </w:pPr>
            <w:r w:rsidRPr="004E3C0E">
              <w:t xml:space="preserve">15,199 </w:t>
            </w:r>
          </w:p>
        </w:tc>
      </w:tr>
      <w:tr w:rsidR="00A147FC" w:rsidRPr="00F10D6C" w14:paraId="4C7B7DDA" w14:textId="77777777" w:rsidTr="00982988">
        <w:tc>
          <w:tcPr>
            <w:tcW w:w="3333" w:type="pct"/>
            <w:tcBorders>
              <w:bottom w:val="single" w:sz="4" w:space="0" w:color="29114B" w:themeColor="text2"/>
            </w:tcBorders>
            <w:shd w:val="clear" w:color="auto" w:fill="F2F2F2" w:themeFill="background1" w:themeFillShade="F2"/>
            <w:tcMar>
              <w:top w:w="57" w:type="dxa"/>
              <w:bottom w:w="57" w:type="dxa"/>
            </w:tcMar>
            <w:hideMark/>
          </w:tcPr>
          <w:p w14:paraId="48B8DCEA" w14:textId="77777777" w:rsidR="00A147FC" w:rsidRPr="00E457A8" w:rsidRDefault="00A147FC" w:rsidP="00630831">
            <w:pPr>
              <w:pStyle w:val="TableTextLeft"/>
            </w:pPr>
            <w:r w:rsidRPr="00E457A8">
              <w:t>s13B – payment of costs and expenses incurred in repurchasing debt prior to maturity</w:t>
            </w:r>
          </w:p>
        </w:tc>
        <w:tc>
          <w:tcPr>
            <w:tcW w:w="808" w:type="pct"/>
            <w:tcBorders>
              <w:bottom w:val="single" w:sz="4" w:space="0" w:color="29114B" w:themeColor="text2"/>
            </w:tcBorders>
            <w:shd w:val="clear" w:color="auto" w:fill="F2F2F2" w:themeFill="background1" w:themeFillShade="F2"/>
            <w:noWrap/>
            <w:tcMar>
              <w:top w:w="57" w:type="dxa"/>
              <w:bottom w:w="57" w:type="dxa"/>
            </w:tcMar>
          </w:tcPr>
          <w:p w14:paraId="76FFE215" w14:textId="77777777" w:rsidR="00A147FC" w:rsidRPr="004E3C0E" w:rsidRDefault="00A147FC" w:rsidP="00630831">
            <w:pPr>
              <w:pStyle w:val="TableTextRight"/>
            </w:pPr>
            <w:r w:rsidRPr="004E3C0E">
              <w:t>3,026,482</w:t>
            </w:r>
          </w:p>
        </w:tc>
        <w:tc>
          <w:tcPr>
            <w:tcW w:w="859" w:type="pct"/>
            <w:tcBorders>
              <w:bottom w:val="single" w:sz="4" w:space="0" w:color="29114B" w:themeColor="text2"/>
            </w:tcBorders>
            <w:shd w:val="clear" w:color="auto" w:fill="F2F2F2" w:themeFill="background1" w:themeFillShade="F2"/>
            <w:noWrap/>
            <w:tcMar>
              <w:top w:w="57" w:type="dxa"/>
              <w:bottom w:w="57" w:type="dxa"/>
            </w:tcMar>
          </w:tcPr>
          <w:p w14:paraId="5191411B" w14:textId="77777777" w:rsidR="00A147FC" w:rsidRPr="004E3C0E" w:rsidRDefault="00A147FC" w:rsidP="00630831">
            <w:pPr>
              <w:pStyle w:val="TableTextRight"/>
            </w:pPr>
            <w:r w:rsidRPr="004E3C0E">
              <w:t>3,003,501</w:t>
            </w:r>
          </w:p>
        </w:tc>
      </w:tr>
      <w:tr w:rsidR="00A147FC" w:rsidRPr="00F10D6C" w14:paraId="5244EA9B" w14:textId="77777777" w:rsidTr="00982988">
        <w:tc>
          <w:tcPr>
            <w:tcW w:w="3333"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hideMark/>
          </w:tcPr>
          <w:p w14:paraId="3897F441" w14:textId="77777777" w:rsidR="00A147FC" w:rsidRPr="00982988" w:rsidRDefault="00A147FC" w:rsidP="00630831">
            <w:pPr>
              <w:pStyle w:val="TableSecondHeading"/>
              <w:rPr>
                <w:b/>
                <w:i/>
                <w:iCs/>
              </w:rPr>
            </w:pPr>
            <w:r w:rsidRPr="00982988">
              <w:rPr>
                <w:b/>
                <w:i/>
                <w:iCs/>
              </w:rPr>
              <w:t>Financial Agreement Act 1994</w:t>
            </w:r>
          </w:p>
        </w:tc>
        <w:tc>
          <w:tcPr>
            <w:tcW w:w="80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38823635" w14:textId="77777777" w:rsidR="00A147FC" w:rsidRPr="004E3C0E" w:rsidRDefault="00A147FC" w:rsidP="00630831">
            <w:pPr>
              <w:pStyle w:val="TableTextRight"/>
              <w:rPr>
                <w:rStyle w:val="Strong"/>
                <w:b w:val="0"/>
                <w:bCs w:val="0"/>
              </w:rPr>
            </w:pPr>
          </w:p>
        </w:tc>
        <w:tc>
          <w:tcPr>
            <w:tcW w:w="859"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76666BDD" w14:textId="77777777" w:rsidR="00A147FC" w:rsidRPr="004E3C0E" w:rsidRDefault="00A147FC" w:rsidP="00630831">
            <w:pPr>
              <w:pStyle w:val="TableTextRight"/>
              <w:rPr>
                <w:rStyle w:val="Strong"/>
                <w:b w:val="0"/>
                <w:bCs w:val="0"/>
              </w:rPr>
            </w:pPr>
            <w:r w:rsidRPr="004E3C0E">
              <w:rPr>
                <w:rStyle w:val="Strong"/>
                <w:b w:val="0"/>
                <w:bCs w:val="0"/>
              </w:rPr>
              <w:t> </w:t>
            </w:r>
          </w:p>
        </w:tc>
      </w:tr>
      <w:tr w:rsidR="00A147FC" w:rsidRPr="00F10D6C" w14:paraId="2FBCDBF7" w14:textId="77777777" w:rsidTr="00982988">
        <w:tc>
          <w:tcPr>
            <w:tcW w:w="3333" w:type="pct"/>
            <w:tcBorders>
              <w:bottom w:val="single" w:sz="4" w:space="0" w:color="29114B" w:themeColor="text2"/>
            </w:tcBorders>
            <w:shd w:val="clear" w:color="auto" w:fill="F2F2F2" w:themeFill="background1" w:themeFillShade="F2"/>
            <w:tcMar>
              <w:top w:w="57" w:type="dxa"/>
              <w:bottom w:w="57" w:type="dxa"/>
            </w:tcMar>
            <w:hideMark/>
          </w:tcPr>
          <w:p w14:paraId="38E916BF" w14:textId="77777777" w:rsidR="00A147FC" w:rsidRPr="00E457A8" w:rsidRDefault="00A147FC" w:rsidP="00630831">
            <w:pPr>
              <w:pStyle w:val="TableTextLeft"/>
            </w:pPr>
            <w:r w:rsidRPr="00E457A8">
              <w:t xml:space="preserve">s5 – debt redemption assistance and payment of interest to bond holders on behalf of the State and Northern Territory </w:t>
            </w:r>
            <w:r>
              <w:t>g</w:t>
            </w:r>
            <w:r w:rsidRPr="00E457A8">
              <w:t>overnments on public debt under the Act (a)</w:t>
            </w:r>
          </w:p>
        </w:tc>
        <w:tc>
          <w:tcPr>
            <w:tcW w:w="808" w:type="pct"/>
            <w:tcBorders>
              <w:bottom w:val="single" w:sz="4" w:space="0" w:color="29114B" w:themeColor="text2"/>
            </w:tcBorders>
            <w:shd w:val="clear" w:color="auto" w:fill="F2F2F2" w:themeFill="background1" w:themeFillShade="F2"/>
            <w:noWrap/>
            <w:tcMar>
              <w:top w:w="57" w:type="dxa"/>
              <w:bottom w:w="57" w:type="dxa"/>
            </w:tcMar>
          </w:tcPr>
          <w:p w14:paraId="611A8071" w14:textId="77777777" w:rsidR="00A147FC" w:rsidRPr="004E3C0E" w:rsidRDefault="00A147FC" w:rsidP="00630831">
            <w:pPr>
              <w:pStyle w:val="TableTextRight"/>
            </w:pPr>
            <w:r w:rsidRPr="004E3C0E">
              <w:t>12</w:t>
            </w:r>
          </w:p>
        </w:tc>
        <w:tc>
          <w:tcPr>
            <w:tcW w:w="859" w:type="pct"/>
            <w:tcBorders>
              <w:bottom w:val="single" w:sz="4" w:space="0" w:color="29114B" w:themeColor="text2"/>
            </w:tcBorders>
            <w:shd w:val="clear" w:color="auto" w:fill="F2F2F2" w:themeFill="background1" w:themeFillShade="F2"/>
            <w:noWrap/>
            <w:tcMar>
              <w:top w:w="57" w:type="dxa"/>
              <w:bottom w:w="57" w:type="dxa"/>
            </w:tcMar>
            <w:hideMark/>
          </w:tcPr>
          <w:p w14:paraId="50BE4DD6" w14:textId="77777777" w:rsidR="00A147FC" w:rsidRPr="004E3C0E" w:rsidRDefault="00A147FC" w:rsidP="00630831">
            <w:pPr>
              <w:pStyle w:val="TableTextRight"/>
            </w:pPr>
            <w:r w:rsidRPr="004E3C0E">
              <w:t xml:space="preserve">11 </w:t>
            </w:r>
          </w:p>
        </w:tc>
      </w:tr>
      <w:tr w:rsidR="00A147FC" w:rsidRPr="00F10D6C" w14:paraId="4FFBC47C" w14:textId="77777777" w:rsidTr="00982988">
        <w:tc>
          <w:tcPr>
            <w:tcW w:w="3333" w:type="pct"/>
            <w:tcBorders>
              <w:top w:val="single" w:sz="4" w:space="0" w:color="29114B" w:themeColor="text2"/>
              <w:right w:val="single" w:sz="4" w:space="0" w:color="F2F2F2" w:themeColor="background1" w:themeShade="F2"/>
            </w:tcBorders>
            <w:shd w:val="clear" w:color="auto" w:fill="F2F2F2" w:themeFill="background1" w:themeFillShade="F2"/>
            <w:tcMar>
              <w:top w:w="57" w:type="dxa"/>
              <w:bottom w:w="57" w:type="dxa"/>
            </w:tcMar>
          </w:tcPr>
          <w:p w14:paraId="306F7570" w14:textId="77E03161" w:rsidR="00A147FC" w:rsidRPr="00982988" w:rsidRDefault="00A147FC" w:rsidP="00A147FC">
            <w:pPr>
              <w:pStyle w:val="TableSecondHeading"/>
              <w:rPr>
                <w:b/>
                <w:i/>
                <w:iCs/>
              </w:rPr>
            </w:pPr>
            <w:r w:rsidRPr="00982988">
              <w:rPr>
                <w:b/>
                <w:i/>
                <w:iCs/>
              </w:rPr>
              <w:t>Loan Securities Act 1919</w:t>
            </w:r>
          </w:p>
        </w:tc>
        <w:tc>
          <w:tcPr>
            <w:tcW w:w="80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3EF91358" w14:textId="77777777" w:rsidR="00A147FC" w:rsidRPr="004E3C0E" w:rsidRDefault="00A147FC" w:rsidP="00630831">
            <w:pPr>
              <w:pStyle w:val="TableTextRight"/>
              <w:rPr>
                <w:rStyle w:val="Strong"/>
                <w:b w:val="0"/>
                <w:bCs w:val="0"/>
              </w:rPr>
            </w:pPr>
          </w:p>
        </w:tc>
        <w:tc>
          <w:tcPr>
            <w:tcW w:w="859"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7467DFA5" w14:textId="77777777" w:rsidR="00A147FC" w:rsidRPr="004E3C0E" w:rsidRDefault="00A147FC" w:rsidP="00630831">
            <w:pPr>
              <w:pStyle w:val="TableTextRight"/>
              <w:rPr>
                <w:rStyle w:val="Strong"/>
                <w:b w:val="0"/>
                <w:bCs w:val="0"/>
              </w:rPr>
            </w:pPr>
            <w:r w:rsidRPr="004E3C0E">
              <w:rPr>
                <w:rStyle w:val="Strong"/>
                <w:b w:val="0"/>
                <w:bCs w:val="0"/>
              </w:rPr>
              <w:t> </w:t>
            </w:r>
          </w:p>
        </w:tc>
      </w:tr>
      <w:tr w:rsidR="00A147FC" w:rsidRPr="00F10D6C" w14:paraId="71F25F44" w14:textId="77777777" w:rsidTr="003C2549">
        <w:tc>
          <w:tcPr>
            <w:tcW w:w="3333" w:type="pct"/>
            <w:shd w:val="clear" w:color="auto" w:fill="F2F2F2" w:themeFill="background1" w:themeFillShade="F2"/>
            <w:tcMar>
              <w:top w:w="57" w:type="dxa"/>
              <w:bottom w:w="57" w:type="dxa"/>
            </w:tcMar>
          </w:tcPr>
          <w:p w14:paraId="08ADB985" w14:textId="77777777" w:rsidR="00A147FC" w:rsidRPr="00E457A8" w:rsidRDefault="00A147FC" w:rsidP="00630831">
            <w:pPr>
              <w:pStyle w:val="TableTextLeft"/>
            </w:pPr>
            <w:r w:rsidRPr="00E457A8">
              <w:t xml:space="preserve">s5BA – payment of money to </w:t>
            </w:r>
            <w:proofErr w:type="gramStart"/>
            <w:r w:rsidRPr="00E457A8">
              <w:t>enter into</w:t>
            </w:r>
            <w:proofErr w:type="gramEnd"/>
            <w:r w:rsidRPr="00E457A8">
              <w:t xml:space="preserve"> securities lending arrangements</w:t>
            </w:r>
          </w:p>
        </w:tc>
        <w:tc>
          <w:tcPr>
            <w:tcW w:w="808" w:type="pct"/>
            <w:shd w:val="clear" w:color="auto" w:fill="F2F2F2" w:themeFill="background1" w:themeFillShade="F2"/>
            <w:noWrap/>
            <w:tcMar>
              <w:top w:w="57" w:type="dxa"/>
              <w:bottom w:w="57" w:type="dxa"/>
            </w:tcMar>
          </w:tcPr>
          <w:p w14:paraId="0BB2C915" w14:textId="77777777" w:rsidR="00A147FC" w:rsidRPr="004E3C0E" w:rsidRDefault="00A147FC" w:rsidP="00630831">
            <w:pPr>
              <w:pStyle w:val="TableTextRight"/>
            </w:pPr>
            <w:r w:rsidRPr="004E3C0E">
              <w:t>901,368</w:t>
            </w:r>
          </w:p>
        </w:tc>
        <w:tc>
          <w:tcPr>
            <w:tcW w:w="859" w:type="pct"/>
            <w:shd w:val="clear" w:color="auto" w:fill="F2F2F2" w:themeFill="background1" w:themeFillShade="F2"/>
            <w:noWrap/>
            <w:tcMar>
              <w:top w:w="57" w:type="dxa"/>
              <w:bottom w:w="57" w:type="dxa"/>
            </w:tcMar>
          </w:tcPr>
          <w:p w14:paraId="64D8F315" w14:textId="77777777" w:rsidR="00A147FC" w:rsidRPr="004E3C0E" w:rsidRDefault="00A147FC" w:rsidP="00630831">
            <w:pPr>
              <w:pStyle w:val="TableTextRight"/>
            </w:pPr>
            <w:r w:rsidRPr="004E3C0E">
              <w:t>5,907,176</w:t>
            </w:r>
          </w:p>
        </w:tc>
      </w:tr>
      <w:tr w:rsidR="00A147FC" w:rsidRPr="006534F5" w14:paraId="6CB9DF90" w14:textId="77777777" w:rsidTr="003C2549">
        <w:tc>
          <w:tcPr>
            <w:tcW w:w="3333" w:type="pct"/>
            <w:shd w:val="clear" w:color="auto" w:fill="F2F2F2" w:themeFill="background1" w:themeFillShade="F2"/>
            <w:noWrap/>
            <w:tcMar>
              <w:top w:w="57" w:type="dxa"/>
              <w:bottom w:w="57" w:type="dxa"/>
            </w:tcMar>
            <w:hideMark/>
          </w:tcPr>
          <w:p w14:paraId="7A3DB075" w14:textId="77777777" w:rsidR="00A147FC" w:rsidRPr="00A147FC" w:rsidRDefault="00A147FC" w:rsidP="00630831">
            <w:pPr>
              <w:pStyle w:val="TableTextLeft"/>
              <w:rPr>
                <w:b/>
                <w:bCs/>
              </w:rPr>
            </w:pPr>
            <w:r w:rsidRPr="00A147FC">
              <w:rPr>
                <w:b/>
                <w:bCs/>
              </w:rPr>
              <w:t>Total</w:t>
            </w:r>
          </w:p>
        </w:tc>
        <w:tc>
          <w:tcPr>
            <w:tcW w:w="808" w:type="pct"/>
            <w:shd w:val="clear" w:color="auto" w:fill="F2F2F2" w:themeFill="background1" w:themeFillShade="F2"/>
            <w:noWrap/>
            <w:tcMar>
              <w:top w:w="57" w:type="dxa"/>
              <w:bottom w:w="57" w:type="dxa"/>
            </w:tcMar>
          </w:tcPr>
          <w:p w14:paraId="2BA762FB" w14:textId="77777777" w:rsidR="00A147FC" w:rsidRPr="004E3C0E" w:rsidRDefault="00A147FC" w:rsidP="00630831">
            <w:pPr>
              <w:pStyle w:val="TableTextRight"/>
              <w:rPr>
                <w:rStyle w:val="Strong"/>
              </w:rPr>
            </w:pPr>
            <w:r w:rsidRPr="004E3C0E">
              <w:rPr>
                <w:rStyle w:val="Strong"/>
              </w:rPr>
              <w:t>220,424,209</w:t>
            </w:r>
          </w:p>
        </w:tc>
        <w:tc>
          <w:tcPr>
            <w:tcW w:w="859" w:type="pct"/>
            <w:shd w:val="clear" w:color="auto" w:fill="F2F2F2" w:themeFill="background1" w:themeFillShade="F2"/>
            <w:noWrap/>
            <w:tcMar>
              <w:top w:w="57" w:type="dxa"/>
              <w:bottom w:w="57" w:type="dxa"/>
            </w:tcMar>
            <w:hideMark/>
          </w:tcPr>
          <w:p w14:paraId="4F8CEF01" w14:textId="77777777" w:rsidR="00A147FC" w:rsidRPr="004E3C0E" w:rsidRDefault="00A147FC" w:rsidP="00630831">
            <w:pPr>
              <w:pStyle w:val="TableTextRight"/>
              <w:rPr>
                <w:rStyle w:val="Strong"/>
              </w:rPr>
            </w:pPr>
            <w:r w:rsidRPr="004E3C0E">
              <w:rPr>
                <w:rStyle w:val="Strong"/>
              </w:rPr>
              <w:t xml:space="preserve">159,646,394 </w:t>
            </w:r>
          </w:p>
        </w:tc>
      </w:tr>
    </w:tbl>
    <w:p w14:paraId="31C28E3A" w14:textId="77777777" w:rsidR="00A147FC" w:rsidRPr="006534F5" w:rsidRDefault="00A147FC" w:rsidP="006D2EDF">
      <w:pPr>
        <w:pStyle w:val="ChartorTableNoteAlpha"/>
        <w:numPr>
          <w:ilvl w:val="0"/>
          <w:numId w:val="44"/>
        </w:numPr>
      </w:pPr>
      <w:r w:rsidRPr="00AB11F7">
        <w:t>The 202</w:t>
      </w:r>
      <w:r>
        <w:t>4</w:t>
      </w:r>
      <w:r w:rsidRPr="00B235A9">
        <w:t>–</w:t>
      </w:r>
      <w:r>
        <w:t>25</w:t>
      </w:r>
      <w:r w:rsidRPr="00AB11F7">
        <w:t xml:space="preserve"> amount includes </w:t>
      </w:r>
      <w:r w:rsidRPr="00652D24">
        <w:t>$</w:t>
      </w:r>
      <w:r>
        <w:t>7,465</w:t>
      </w:r>
      <w:r w:rsidRPr="00AB11F7">
        <w:t xml:space="preserve"> paid into the Debt Retirement Reserve Trust Account </w:t>
      </w:r>
      <w:r>
        <w:br/>
      </w:r>
      <w:r w:rsidRPr="00AB11F7">
        <w:t>(202</w:t>
      </w:r>
      <w:r>
        <w:t>3</w:t>
      </w:r>
      <w:r w:rsidRPr="00B235A9">
        <w:t>–</w:t>
      </w:r>
      <w:r>
        <w:t>24</w:t>
      </w:r>
      <w:r w:rsidRPr="00AB11F7">
        <w:t>: $</w:t>
      </w:r>
      <w:r>
        <w:t>7,215</w:t>
      </w:r>
      <w:r w:rsidRPr="00AB11F7">
        <w:t xml:space="preserve">). </w:t>
      </w:r>
    </w:p>
    <w:p w14:paraId="0FD704BD" w14:textId="77777777" w:rsidR="00A147FC" w:rsidRDefault="00A147FC" w:rsidP="00982988">
      <w:pPr>
        <w:pStyle w:val="SingleReturn"/>
      </w:pPr>
    </w:p>
    <w:p w14:paraId="46DD8CF1" w14:textId="77777777" w:rsidR="00A147FC" w:rsidRPr="006D53A9" w:rsidRDefault="00A147FC" w:rsidP="00A147FC">
      <w:r w:rsidRPr="006D53A9">
        <w:t xml:space="preserve">The following administered special appropriations were not </w:t>
      </w:r>
      <w:r>
        <w:t>drawn upon in the current or prior year</w:t>
      </w:r>
      <w:r w:rsidRPr="006D53A9">
        <w:t>:</w:t>
      </w:r>
    </w:p>
    <w:p w14:paraId="3C74E1ED" w14:textId="77777777" w:rsidR="00A147FC" w:rsidRPr="006D53A9" w:rsidRDefault="00A147FC" w:rsidP="00A147FC">
      <w:pPr>
        <w:pStyle w:val="Bullet"/>
        <w:spacing w:after="0"/>
      </w:pPr>
      <w:r w:rsidRPr="006D53A9">
        <w:rPr>
          <w:i/>
        </w:rPr>
        <w:t>Australian National Railways Commission Sale Act 1997</w:t>
      </w:r>
      <w:r w:rsidRPr="006D53A9">
        <w:t>, s</w:t>
      </w:r>
      <w:r>
        <w:t>s 67</w:t>
      </w:r>
      <w:proofErr w:type="gramStart"/>
      <w:r>
        <w:t>AH(</w:t>
      </w:r>
      <w:proofErr w:type="gramEnd"/>
      <w:r>
        <w:t xml:space="preserve">4), </w:t>
      </w:r>
      <w:r w:rsidRPr="006D53A9">
        <w:t xml:space="preserve">67AW </w:t>
      </w:r>
    </w:p>
    <w:p w14:paraId="6B0C1BE9" w14:textId="77777777" w:rsidR="00A147FC" w:rsidRPr="006D53A9" w:rsidRDefault="00A147FC" w:rsidP="00A147FC">
      <w:pPr>
        <w:pStyle w:val="Bullet"/>
        <w:spacing w:after="0"/>
      </w:pPr>
      <w:r w:rsidRPr="006D53A9">
        <w:rPr>
          <w:i/>
        </w:rPr>
        <w:t>Loans Redemption and Conversion Act 1921</w:t>
      </w:r>
      <w:r w:rsidRPr="006D53A9">
        <w:t xml:space="preserve">, s5 </w:t>
      </w:r>
    </w:p>
    <w:p w14:paraId="4A97992E" w14:textId="77777777" w:rsidR="00A147FC" w:rsidRPr="006D53A9" w:rsidRDefault="00A147FC" w:rsidP="00A147FC">
      <w:pPr>
        <w:pStyle w:val="Bullet"/>
        <w:spacing w:after="0"/>
      </w:pPr>
      <w:r w:rsidRPr="006D53A9">
        <w:rPr>
          <w:i/>
        </w:rPr>
        <w:t>Loans Securities Act 1919</w:t>
      </w:r>
      <w:r w:rsidRPr="006D53A9">
        <w:t>, s</w:t>
      </w:r>
      <w:r>
        <w:t>s</w:t>
      </w:r>
      <w:r w:rsidRPr="006D53A9">
        <w:t>4</w:t>
      </w:r>
      <w:r>
        <w:t>, 5</w:t>
      </w:r>
      <w:proofErr w:type="gramStart"/>
      <w:r>
        <w:t>B(</w:t>
      </w:r>
      <w:proofErr w:type="gramEnd"/>
      <w:r>
        <w:t>2)</w:t>
      </w:r>
      <w:r w:rsidRPr="006D53A9">
        <w:t xml:space="preserve"> </w:t>
      </w:r>
    </w:p>
    <w:p w14:paraId="34DC43F7" w14:textId="77777777" w:rsidR="00A147FC" w:rsidRPr="006D53A9" w:rsidRDefault="00A147FC" w:rsidP="00A147FC">
      <w:pPr>
        <w:pStyle w:val="Bullet"/>
        <w:spacing w:after="0"/>
      </w:pPr>
      <w:r w:rsidRPr="006D53A9">
        <w:rPr>
          <w:i/>
        </w:rPr>
        <w:t>Moomba</w:t>
      </w:r>
      <w:r>
        <w:rPr>
          <w:i/>
        </w:rPr>
        <w:noBreakHyphen/>
      </w:r>
      <w:r w:rsidRPr="006D53A9">
        <w:rPr>
          <w:i/>
        </w:rPr>
        <w:t>Sydney Pipeline System Sale Act 1994</w:t>
      </w:r>
      <w:r w:rsidRPr="006D53A9">
        <w:t>, s19</w:t>
      </w:r>
      <w:r>
        <w:t>(3)</w:t>
      </w:r>
    </w:p>
    <w:p w14:paraId="012834CC" w14:textId="77777777" w:rsidR="00A147FC" w:rsidRPr="006D53A9" w:rsidRDefault="00A147FC" w:rsidP="00A147FC">
      <w:pPr>
        <w:pStyle w:val="Bullet"/>
        <w:spacing w:after="0"/>
      </w:pPr>
      <w:r w:rsidRPr="006D53A9">
        <w:rPr>
          <w:i/>
        </w:rPr>
        <w:t xml:space="preserve">Public Governance, Performance and Accountability Act 2013, </w:t>
      </w:r>
      <w:r w:rsidRPr="006D53A9">
        <w:t>s</w:t>
      </w:r>
      <w:r>
        <w:t>s</w:t>
      </w:r>
      <w:r w:rsidRPr="006D53A9">
        <w:t>58(7)</w:t>
      </w:r>
      <w:r>
        <w:t>, 77</w:t>
      </w:r>
      <w:r w:rsidRPr="006D53A9">
        <w:t xml:space="preserve"> </w:t>
      </w:r>
    </w:p>
    <w:p w14:paraId="7E7E3652" w14:textId="77777777" w:rsidR="00A147FC" w:rsidRPr="006D53A9" w:rsidRDefault="00A147FC" w:rsidP="00A147FC">
      <w:pPr>
        <w:pStyle w:val="Bullet"/>
        <w:spacing w:after="0"/>
      </w:pPr>
      <w:r w:rsidRPr="006D53A9">
        <w:rPr>
          <w:i/>
        </w:rPr>
        <w:t>Treasury Bills Act 1914</w:t>
      </w:r>
      <w:r w:rsidRPr="006D53A9">
        <w:t xml:space="preserve">, s6 </w:t>
      </w:r>
    </w:p>
    <w:p w14:paraId="4AF6DB2E" w14:textId="77777777" w:rsidR="00A147FC" w:rsidRDefault="00A147FC" w:rsidP="00A147FC">
      <w:pPr>
        <w:spacing w:after="0" w:line="240" w:lineRule="auto"/>
        <w:rPr>
          <w:rFonts w:eastAsia="Times New Roman" w:cs="Times New Roman"/>
          <w:bCs/>
          <w:iCs/>
          <w:lang w:eastAsia="en-AU"/>
        </w:rPr>
      </w:pPr>
    </w:p>
    <w:p w14:paraId="7B434E98" w14:textId="77777777" w:rsidR="00A147FC" w:rsidRDefault="00A147FC" w:rsidP="00A147FC">
      <w:pPr>
        <w:spacing w:after="0" w:line="240" w:lineRule="auto"/>
        <w:rPr>
          <w:bCs/>
          <w:iCs/>
        </w:rPr>
      </w:pPr>
      <w:r>
        <w:br w:type="page"/>
      </w:r>
    </w:p>
    <w:p w14:paraId="0770A7CB" w14:textId="77777777" w:rsidR="00A147FC" w:rsidRPr="006534F5" w:rsidRDefault="00A147FC" w:rsidP="00A147FC">
      <w:pPr>
        <w:pStyle w:val="TableMainHeading"/>
        <w:keepLines/>
        <w:rPr>
          <w:rFonts w:asciiTheme="minorHAnsi" w:hAnsiTheme="minorHAnsi" w:cstheme="minorBidi"/>
          <w:lang w:eastAsia="en-US"/>
        </w:rPr>
      </w:pPr>
      <w:r w:rsidRPr="006534F5">
        <w:lastRenderedPageBreak/>
        <w:t xml:space="preserve">Special account – Australian Business Securitisation Fund (ABSF) </w:t>
      </w:r>
    </w:p>
    <w:tbl>
      <w:tblPr>
        <w:tblStyle w:val="AOFMTablemain"/>
        <w:tblW w:w="5000" w:type="pct"/>
        <w:tblLook w:val="06A0" w:firstRow="1" w:lastRow="0" w:firstColumn="1" w:lastColumn="0" w:noHBand="1" w:noVBand="1"/>
      </w:tblPr>
      <w:tblGrid>
        <w:gridCol w:w="4983"/>
        <w:gridCol w:w="1491"/>
        <w:gridCol w:w="1237"/>
      </w:tblGrid>
      <w:tr w:rsidR="004676A8" w:rsidRPr="006534F5" w14:paraId="27300C04" w14:textId="77777777" w:rsidTr="00A147FC">
        <w:trPr>
          <w:cnfStyle w:val="100000000000" w:firstRow="1" w:lastRow="0" w:firstColumn="0" w:lastColumn="0" w:oddVBand="0" w:evenVBand="0" w:oddHBand="0" w:evenHBand="0" w:firstRowFirstColumn="0" w:firstRowLastColumn="0" w:lastRowFirstColumn="0" w:lastRowLastColumn="0"/>
        </w:trPr>
        <w:tc>
          <w:tcPr>
            <w:tcW w:w="3231" w:type="pct"/>
            <w:hideMark/>
          </w:tcPr>
          <w:p w14:paraId="07E1C1D5" w14:textId="77777777" w:rsidR="00A147FC" w:rsidRPr="006534F5" w:rsidRDefault="00A147FC" w:rsidP="00630831">
            <w:pPr>
              <w:pStyle w:val="TableColumnHeadingRight"/>
            </w:pPr>
            <w:r w:rsidRPr="006534F5">
              <w:t> </w:t>
            </w:r>
          </w:p>
        </w:tc>
        <w:tc>
          <w:tcPr>
            <w:tcW w:w="967" w:type="pct"/>
            <w:noWrap/>
            <w:hideMark/>
          </w:tcPr>
          <w:p w14:paraId="7AD5CCDC" w14:textId="77777777" w:rsidR="00A147FC" w:rsidRDefault="00A147FC" w:rsidP="00630831">
            <w:pPr>
              <w:pStyle w:val="TableColumnHeadingRight"/>
            </w:pPr>
            <w:r w:rsidRPr="00825FD1">
              <w:t>202</w:t>
            </w:r>
            <w:r>
              <w:t xml:space="preserve">5 </w:t>
            </w:r>
          </w:p>
          <w:p w14:paraId="772114DF" w14:textId="77777777" w:rsidR="00A147FC" w:rsidRPr="006534F5" w:rsidRDefault="00A147FC" w:rsidP="00630831">
            <w:pPr>
              <w:pStyle w:val="TableColumnHeadingRight"/>
              <w:rPr>
                <w:color w:val="FFFFFF"/>
              </w:rPr>
            </w:pPr>
            <w:r>
              <w:t>($’000)</w:t>
            </w:r>
          </w:p>
        </w:tc>
        <w:tc>
          <w:tcPr>
            <w:tcW w:w="802" w:type="pct"/>
            <w:noWrap/>
            <w:hideMark/>
          </w:tcPr>
          <w:p w14:paraId="4B2AA014" w14:textId="77777777" w:rsidR="00A147FC" w:rsidRDefault="00A147FC" w:rsidP="00630831">
            <w:pPr>
              <w:pStyle w:val="TableColumnHeadingRight"/>
            </w:pPr>
            <w:r w:rsidRPr="00825FD1">
              <w:t>202</w:t>
            </w:r>
            <w:r>
              <w:t xml:space="preserve">4 </w:t>
            </w:r>
          </w:p>
          <w:p w14:paraId="3D4BFCDA" w14:textId="77777777" w:rsidR="00A147FC" w:rsidRPr="006534F5" w:rsidRDefault="00A147FC" w:rsidP="00630831">
            <w:pPr>
              <w:pStyle w:val="TableColumnHeadingRight"/>
              <w:rPr>
                <w:color w:val="FFFFFF"/>
              </w:rPr>
            </w:pPr>
            <w:r>
              <w:t>($’000)</w:t>
            </w:r>
          </w:p>
        </w:tc>
      </w:tr>
      <w:tr w:rsidR="00A147FC" w:rsidRPr="006534F5" w14:paraId="36FA3811" w14:textId="77777777" w:rsidTr="006C4E07">
        <w:tc>
          <w:tcPr>
            <w:tcW w:w="3231" w:type="pct"/>
            <w:shd w:val="clear" w:color="auto" w:fill="F2F2F2" w:themeFill="background1" w:themeFillShade="F2"/>
            <w:noWrap/>
            <w:tcMar>
              <w:top w:w="57" w:type="dxa"/>
              <w:bottom w:w="57" w:type="dxa"/>
            </w:tcMar>
            <w:hideMark/>
          </w:tcPr>
          <w:p w14:paraId="7949C09A" w14:textId="77777777" w:rsidR="00A147FC" w:rsidRPr="004E3C0E" w:rsidRDefault="00A147FC" w:rsidP="00630831">
            <w:pPr>
              <w:pStyle w:val="TableTextLeft"/>
              <w:rPr>
                <w:rStyle w:val="Strong"/>
              </w:rPr>
            </w:pPr>
            <w:r w:rsidRPr="004E3C0E">
              <w:rPr>
                <w:rStyle w:val="Strong"/>
              </w:rPr>
              <w:t>Opening balance</w:t>
            </w:r>
          </w:p>
        </w:tc>
        <w:tc>
          <w:tcPr>
            <w:tcW w:w="967" w:type="pct"/>
            <w:shd w:val="clear" w:color="auto" w:fill="F2F2F2" w:themeFill="background1" w:themeFillShade="F2"/>
            <w:noWrap/>
            <w:tcMar>
              <w:top w:w="57" w:type="dxa"/>
              <w:bottom w:w="57" w:type="dxa"/>
            </w:tcMar>
          </w:tcPr>
          <w:p w14:paraId="1D6EDB45" w14:textId="77777777" w:rsidR="00A147FC" w:rsidRPr="004E3C0E" w:rsidRDefault="00A147FC" w:rsidP="00630831">
            <w:pPr>
              <w:pStyle w:val="TableTextRight"/>
            </w:pPr>
            <w:r w:rsidRPr="004E3C0E">
              <w:t>1,880,005</w:t>
            </w:r>
          </w:p>
        </w:tc>
        <w:tc>
          <w:tcPr>
            <w:tcW w:w="802" w:type="pct"/>
            <w:shd w:val="clear" w:color="auto" w:fill="F2F2F2" w:themeFill="background1" w:themeFillShade="F2"/>
            <w:noWrap/>
            <w:tcMar>
              <w:top w:w="57" w:type="dxa"/>
              <w:bottom w:w="57" w:type="dxa"/>
            </w:tcMar>
            <w:hideMark/>
          </w:tcPr>
          <w:p w14:paraId="40DE9B57" w14:textId="77777777" w:rsidR="00A147FC" w:rsidRPr="004E3C0E" w:rsidRDefault="00A147FC" w:rsidP="00630831">
            <w:pPr>
              <w:pStyle w:val="TableTextRight"/>
            </w:pPr>
            <w:r w:rsidRPr="004E3C0E">
              <w:t xml:space="preserve">1,216,421 </w:t>
            </w:r>
          </w:p>
        </w:tc>
      </w:tr>
      <w:tr w:rsidR="00A147FC" w:rsidRPr="006534F5" w14:paraId="55427471" w14:textId="77777777" w:rsidTr="006C4E07">
        <w:tc>
          <w:tcPr>
            <w:tcW w:w="3231" w:type="pct"/>
            <w:shd w:val="clear" w:color="auto" w:fill="F2F2F2" w:themeFill="background1" w:themeFillShade="F2"/>
            <w:noWrap/>
            <w:tcMar>
              <w:top w:w="57" w:type="dxa"/>
              <w:bottom w:w="57" w:type="dxa"/>
            </w:tcMar>
            <w:hideMark/>
          </w:tcPr>
          <w:p w14:paraId="3845A763" w14:textId="77777777" w:rsidR="00A147FC" w:rsidRPr="006534F5" w:rsidRDefault="00A147FC" w:rsidP="00630831">
            <w:pPr>
              <w:pStyle w:val="TableTextLeft"/>
            </w:pPr>
            <w:r w:rsidRPr="006534F5">
              <w:t>Statutory credit to the special account</w:t>
            </w:r>
          </w:p>
        </w:tc>
        <w:tc>
          <w:tcPr>
            <w:tcW w:w="967" w:type="pct"/>
            <w:shd w:val="clear" w:color="auto" w:fill="F2F2F2" w:themeFill="background1" w:themeFillShade="F2"/>
            <w:noWrap/>
            <w:tcMar>
              <w:top w:w="57" w:type="dxa"/>
              <w:bottom w:w="57" w:type="dxa"/>
            </w:tcMar>
          </w:tcPr>
          <w:p w14:paraId="6333582E" w14:textId="77777777" w:rsidR="00A147FC" w:rsidRPr="004E3C0E" w:rsidRDefault="00A147FC" w:rsidP="00630831">
            <w:pPr>
              <w:pStyle w:val="TableTextRight"/>
            </w:pPr>
            <w:r w:rsidRPr="004E3C0E">
              <w:noBreakHyphen/>
            </w:r>
          </w:p>
        </w:tc>
        <w:tc>
          <w:tcPr>
            <w:tcW w:w="802" w:type="pct"/>
            <w:shd w:val="clear" w:color="auto" w:fill="F2F2F2" w:themeFill="background1" w:themeFillShade="F2"/>
            <w:noWrap/>
            <w:tcMar>
              <w:top w:w="57" w:type="dxa"/>
              <w:bottom w:w="57" w:type="dxa"/>
            </w:tcMar>
            <w:hideMark/>
          </w:tcPr>
          <w:p w14:paraId="43CAC709" w14:textId="77777777" w:rsidR="00A147FC" w:rsidRPr="004E3C0E" w:rsidRDefault="00A147FC" w:rsidP="00630831">
            <w:pPr>
              <w:pStyle w:val="TableTextRight"/>
            </w:pPr>
            <w:r w:rsidRPr="004E3C0E">
              <w:t xml:space="preserve">500,000 </w:t>
            </w:r>
          </w:p>
        </w:tc>
      </w:tr>
      <w:tr w:rsidR="00A147FC" w:rsidRPr="006534F5" w14:paraId="16CE0109" w14:textId="77777777" w:rsidTr="006C4E07">
        <w:tc>
          <w:tcPr>
            <w:tcW w:w="3231" w:type="pct"/>
            <w:shd w:val="clear" w:color="auto" w:fill="F2F2F2" w:themeFill="background1" w:themeFillShade="F2"/>
            <w:noWrap/>
            <w:tcMar>
              <w:top w:w="57" w:type="dxa"/>
              <w:bottom w:w="57" w:type="dxa"/>
            </w:tcMar>
            <w:hideMark/>
          </w:tcPr>
          <w:p w14:paraId="7179FA86" w14:textId="77777777" w:rsidR="00A147FC" w:rsidRPr="006534F5" w:rsidRDefault="00A147FC" w:rsidP="00630831">
            <w:pPr>
              <w:pStyle w:val="TableTextLeft"/>
            </w:pPr>
            <w:r w:rsidRPr="006534F5">
              <w:t>Investments made</w:t>
            </w:r>
          </w:p>
        </w:tc>
        <w:tc>
          <w:tcPr>
            <w:tcW w:w="967" w:type="pct"/>
            <w:shd w:val="clear" w:color="auto" w:fill="F2F2F2" w:themeFill="background1" w:themeFillShade="F2"/>
            <w:noWrap/>
            <w:tcMar>
              <w:top w:w="57" w:type="dxa"/>
              <w:bottom w:w="57" w:type="dxa"/>
            </w:tcMar>
          </w:tcPr>
          <w:p w14:paraId="6F8CE0F6" w14:textId="77777777" w:rsidR="00A147FC" w:rsidRPr="004E3C0E" w:rsidRDefault="00A147FC" w:rsidP="00630831">
            <w:pPr>
              <w:pStyle w:val="TableTextRight"/>
            </w:pPr>
            <w:r w:rsidRPr="004E3C0E">
              <w:t>(189,295)</w:t>
            </w:r>
          </w:p>
        </w:tc>
        <w:tc>
          <w:tcPr>
            <w:tcW w:w="802" w:type="pct"/>
            <w:shd w:val="clear" w:color="auto" w:fill="F2F2F2" w:themeFill="background1" w:themeFillShade="F2"/>
            <w:noWrap/>
            <w:tcMar>
              <w:top w:w="57" w:type="dxa"/>
              <w:bottom w:w="57" w:type="dxa"/>
            </w:tcMar>
            <w:hideMark/>
          </w:tcPr>
          <w:p w14:paraId="0A9F27FE" w14:textId="77777777" w:rsidR="00A147FC" w:rsidRPr="004E3C0E" w:rsidRDefault="00A147FC" w:rsidP="00630831">
            <w:pPr>
              <w:pStyle w:val="TableTextRight"/>
            </w:pPr>
            <w:r w:rsidRPr="004E3C0E">
              <w:t>(89,119)</w:t>
            </w:r>
          </w:p>
        </w:tc>
      </w:tr>
      <w:tr w:rsidR="00A147FC" w:rsidRPr="006534F5" w14:paraId="22D39F5B" w14:textId="77777777" w:rsidTr="006C4E07">
        <w:tc>
          <w:tcPr>
            <w:tcW w:w="3231" w:type="pct"/>
            <w:shd w:val="clear" w:color="auto" w:fill="F2F2F2" w:themeFill="background1" w:themeFillShade="F2"/>
            <w:noWrap/>
            <w:tcMar>
              <w:top w:w="57" w:type="dxa"/>
              <w:bottom w:w="57" w:type="dxa"/>
            </w:tcMar>
          </w:tcPr>
          <w:p w14:paraId="780A6DDD" w14:textId="77777777" w:rsidR="00A147FC" w:rsidRPr="006534F5" w:rsidRDefault="00A147FC" w:rsidP="00630831">
            <w:pPr>
              <w:pStyle w:val="TableTextLeft"/>
            </w:pPr>
            <w:r>
              <w:t>Management expenses</w:t>
            </w:r>
          </w:p>
        </w:tc>
        <w:tc>
          <w:tcPr>
            <w:tcW w:w="967" w:type="pct"/>
            <w:shd w:val="clear" w:color="auto" w:fill="F2F2F2" w:themeFill="background1" w:themeFillShade="F2"/>
            <w:noWrap/>
            <w:tcMar>
              <w:top w:w="57" w:type="dxa"/>
              <w:bottom w:w="57" w:type="dxa"/>
            </w:tcMar>
          </w:tcPr>
          <w:p w14:paraId="4325AEF2" w14:textId="77777777" w:rsidR="00A147FC" w:rsidRPr="004E3C0E" w:rsidRDefault="00A147FC" w:rsidP="00630831">
            <w:pPr>
              <w:pStyle w:val="TableTextRight"/>
            </w:pPr>
            <w:r w:rsidRPr="004E3C0E">
              <w:t>(414)</w:t>
            </w:r>
          </w:p>
        </w:tc>
        <w:tc>
          <w:tcPr>
            <w:tcW w:w="802" w:type="pct"/>
            <w:shd w:val="clear" w:color="auto" w:fill="F2F2F2" w:themeFill="background1" w:themeFillShade="F2"/>
            <w:noWrap/>
            <w:tcMar>
              <w:top w:w="57" w:type="dxa"/>
              <w:bottom w:w="57" w:type="dxa"/>
            </w:tcMar>
          </w:tcPr>
          <w:p w14:paraId="17B556E7" w14:textId="77777777" w:rsidR="00A147FC" w:rsidRPr="004E3C0E" w:rsidRDefault="00A147FC" w:rsidP="00630831">
            <w:pPr>
              <w:pStyle w:val="TableTextRight"/>
            </w:pPr>
            <w:r w:rsidRPr="004E3C0E">
              <w:noBreakHyphen/>
            </w:r>
          </w:p>
        </w:tc>
      </w:tr>
      <w:tr w:rsidR="00A147FC" w:rsidRPr="006534F5" w14:paraId="48B134C0" w14:textId="77777777" w:rsidTr="006C4E07">
        <w:tc>
          <w:tcPr>
            <w:tcW w:w="3231" w:type="pct"/>
            <w:shd w:val="clear" w:color="auto" w:fill="F2F2F2" w:themeFill="background1" w:themeFillShade="F2"/>
            <w:noWrap/>
            <w:tcMar>
              <w:top w:w="57" w:type="dxa"/>
              <w:bottom w:w="57" w:type="dxa"/>
            </w:tcMar>
            <w:hideMark/>
          </w:tcPr>
          <w:p w14:paraId="2B952BD2" w14:textId="77777777" w:rsidR="00A147FC" w:rsidRPr="006534F5" w:rsidRDefault="00A147FC" w:rsidP="00630831">
            <w:pPr>
              <w:pStyle w:val="TableTextLeft"/>
            </w:pPr>
            <w:r w:rsidRPr="006534F5">
              <w:t>Capital proceeds received from investments</w:t>
            </w:r>
          </w:p>
        </w:tc>
        <w:tc>
          <w:tcPr>
            <w:tcW w:w="967" w:type="pct"/>
            <w:shd w:val="clear" w:color="auto" w:fill="F2F2F2" w:themeFill="background1" w:themeFillShade="F2"/>
            <w:noWrap/>
            <w:tcMar>
              <w:top w:w="57" w:type="dxa"/>
              <w:bottom w:w="57" w:type="dxa"/>
            </w:tcMar>
          </w:tcPr>
          <w:p w14:paraId="14BECEE4" w14:textId="77777777" w:rsidR="00A147FC" w:rsidRPr="004E3C0E" w:rsidRDefault="00A147FC" w:rsidP="00630831">
            <w:pPr>
              <w:pStyle w:val="TableTextRight"/>
            </w:pPr>
            <w:r w:rsidRPr="004E3C0E">
              <w:t>131,505</w:t>
            </w:r>
          </w:p>
        </w:tc>
        <w:tc>
          <w:tcPr>
            <w:tcW w:w="802" w:type="pct"/>
            <w:shd w:val="clear" w:color="auto" w:fill="F2F2F2" w:themeFill="background1" w:themeFillShade="F2"/>
            <w:noWrap/>
            <w:tcMar>
              <w:top w:w="57" w:type="dxa"/>
              <w:bottom w:w="57" w:type="dxa"/>
            </w:tcMar>
            <w:hideMark/>
          </w:tcPr>
          <w:p w14:paraId="7713ABC2" w14:textId="77777777" w:rsidR="00A147FC" w:rsidRPr="004E3C0E" w:rsidRDefault="00A147FC" w:rsidP="00630831">
            <w:pPr>
              <w:pStyle w:val="TableTextRight"/>
            </w:pPr>
            <w:r w:rsidRPr="004E3C0E">
              <w:t xml:space="preserve">231,284 </w:t>
            </w:r>
          </w:p>
        </w:tc>
      </w:tr>
      <w:tr w:rsidR="00A147FC" w:rsidRPr="006534F5" w14:paraId="307D5DE2" w14:textId="77777777" w:rsidTr="006C4E07">
        <w:tc>
          <w:tcPr>
            <w:tcW w:w="3231" w:type="pct"/>
            <w:shd w:val="clear" w:color="auto" w:fill="F2F2F2" w:themeFill="background1" w:themeFillShade="F2"/>
            <w:noWrap/>
            <w:tcMar>
              <w:top w:w="57" w:type="dxa"/>
              <w:bottom w:w="57" w:type="dxa"/>
            </w:tcMar>
            <w:hideMark/>
          </w:tcPr>
          <w:p w14:paraId="51418C94" w14:textId="77777777" w:rsidR="00A147FC" w:rsidRPr="006534F5" w:rsidRDefault="00A147FC" w:rsidP="00630831">
            <w:pPr>
              <w:pStyle w:val="TableTextLeft"/>
            </w:pPr>
            <w:r w:rsidRPr="006534F5">
              <w:t>Interest and commitment fees received</w:t>
            </w:r>
          </w:p>
        </w:tc>
        <w:tc>
          <w:tcPr>
            <w:tcW w:w="967" w:type="pct"/>
            <w:shd w:val="clear" w:color="auto" w:fill="F2F2F2" w:themeFill="background1" w:themeFillShade="F2"/>
            <w:noWrap/>
            <w:tcMar>
              <w:top w:w="57" w:type="dxa"/>
              <w:bottom w:w="57" w:type="dxa"/>
            </w:tcMar>
          </w:tcPr>
          <w:p w14:paraId="5ABAFA02" w14:textId="77777777" w:rsidR="00A147FC" w:rsidRPr="004E3C0E" w:rsidRDefault="00A147FC" w:rsidP="00630831">
            <w:pPr>
              <w:pStyle w:val="TableTextRight"/>
            </w:pPr>
            <w:r w:rsidRPr="004E3C0E">
              <w:t>11,851</w:t>
            </w:r>
          </w:p>
        </w:tc>
        <w:tc>
          <w:tcPr>
            <w:tcW w:w="802" w:type="pct"/>
            <w:shd w:val="clear" w:color="auto" w:fill="F2F2F2" w:themeFill="background1" w:themeFillShade="F2"/>
            <w:noWrap/>
            <w:tcMar>
              <w:top w:w="57" w:type="dxa"/>
              <w:bottom w:w="57" w:type="dxa"/>
            </w:tcMar>
            <w:hideMark/>
          </w:tcPr>
          <w:p w14:paraId="5215FC50" w14:textId="77777777" w:rsidR="00A147FC" w:rsidRPr="004E3C0E" w:rsidRDefault="00A147FC" w:rsidP="00630831">
            <w:pPr>
              <w:pStyle w:val="TableTextRight"/>
            </w:pPr>
            <w:r w:rsidRPr="004E3C0E">
              <w:t xml:space="preserve"> 21,419 </w:t>
            </w:r>
          </w:p>
        </w:tc>
      </w:tr>
      <w:tr w:rsidR="00A147FC" w:rsidRPr="006534F5" w14:paraId="65C4A0A3" w14:textId="77777777" w:rsidTr="006C4E07">
        <w:tc>
          <w:tcPr>
            <w:tcW w:w="3231" w:type="pct"/>
            <w:shd w:val="clear" w:color="auto" w:fill="F2F2F2" w:themeFill="background1" w:themeFillShade="F2"/>
            <w:noWrap/>
            <w:tcMar>
              <w:top w:w="57" w:type="dxa"/>
              <w:bottom w:w="57" w:type="dxa"/>
            </w:tcMar>
            <w:hideMark/>
          </w:tcPr>
          <w:p w14:paraId="54877241" w14:textId="77777777" w:rsidR="00A147FC" w:rsidRPr="004E3C0E" w:rsidRDefault="00A147FC" w:rsidP="00630831">
            <w:pPr>
              <w:pStyle w:val="TableTextLeft"/>
              <w:rPr>
                <w:b/>
                <w:bCs/>
              </w:rPr>
            </w:pPr>
            <w:r w:rsidRPr="004E3C0E">
              <w:rPr>
                <w:b/>
                <w:bCs/>
              </w:rPr>
              <w:t>Closing balance</w:t>
            </w:r>
          </w:p>
        </w:tc>
        <w:tc>
          <w:tcPr>
            <w:tcW w:w="967" w:type="pct"/>
            <w:shd w:val="clear" w:color="auto" w:fill="F2F2F2" w:themeFill="background1" w:themeFillShade="F2"/>
            <w:noWrap/>
            <w:tcMar>
              <w:top w:w="57" w:type="dxa"/>
              <w:bottom w:w="57" w:type="dxa"/>
            </w:tcMar>
          </w:tcPr>
          <w:p w14:paraId="6B370891" w14:textId="77777777" w:rsidR="00A147FC" w:rsidRPr="004E3C0E" w:rsidRDefault="00A147FC" w:rsidP="00630831">
            <w:pPr>
              <w:pStyle w:val="TableTextRight"/>
              <w:rPr>
                <w:b/>
                <w:bCs/>
              </w:rPr>
            </w:pPr>
            <w:r w:rsidRPr="004E3C0E">
              <w:rPr>
                <w:b/>
                <w:bCs/>
              </w:rPr>
              <w:t>1,833,651</w:t>
            </w:r>
          </w:p>
        </w:tc>
        <w:tc>
          <w:tcPr>
            <w:tcW w:w="802" w:type="pct"/>
            <w:shd w:val="clear" w:color="auto" w:fill="F2F2F2" w:themeFill="background1" w:themeFillShade="F2"/>
            <w:noWrap/>
            <w:tcMar>
              <w:top w:w="57" w:type="dxa"/>
              <w:bottom w:w="57" w:type="dxa"/>
            </w:tcMar>
            <w:hideMark/>
          </w:tcPr>
          <w:p w14:paraId="3950A487" w14:textId="77777777" w:rsidR="00A147FC" w:rsidRPr="004E3C0E" w:rsidRDefault="00A147FC" w:rsidP="00630831">
            <w:pPr>
              <w:pStyle w:val="TableTextRight"/>
              <w:rPr>
                <w:b/>
                <w:bCs/>
              </w:rPr>
            </w:pPr>
            <w:r w:rsidRPr="004E3C0E">
              <w:rPr>
                <w:b/>
                <w:bCs/>
              </w:rPr>
              <w:t xml:space="preserve">1,880,005 </w:t>
            </w:r>
          </w:p>
        </w:tc>
      </w:tr>
      <w:tr w:rsidR="00A147FC" w:rsidRPr="006534F5" w14:paraId="39F892C4" w14:textId="77777777" w:rsidTr="006C4E07">
        <w:tc>
          <w:tcPr>
            <w:tcW w:w="3231" w:type="pct"/>
            <w:shd w:val="clear" w:color="auto" w:fill="F2F2F2" w:themeFill="background1" w:themeFillShade="F2"/>
            <w:tcMar>
              <w:top w:w="57" w:type="dxa"/>
              <w:bottom w:w="57" w:type="dxa"/>
            </w:tcMar>
            <w:hideMark/>
          </w:tcPr>
          <w:p w14:paraId="43538600" w14:textId="77777777" w:rsidR="00A147FC" w:rsidRPr="004E3C0E" w:rsidRDefault="00A147FC" w:rsidP="00630831">
            <w:pPr>
              <w:pStyle w:val="TableTextLeft"/>
              <w:rPr>
                <w:b/>
                <w:bCs/>
              </w:rPr>
            </w:pPr>
            <w:r w:rsidRPr="004E3C0E">
              <w:rPr>
                <w:b/>
                <w:bCs/>
              </w:rPr>
              <w:t>Balance represented by:</w:t>
            </w:r>
          </w:p>
        </w:tc>
        <w:tc>
          <w:tcPr>
            <w:tcW w:w="967" w:type="pct"/>
            <w:shd w:val="clear" w:color="auto" w:fill="F2F2F2" w:themeFill="background1" w:themeFillShade="F2"/>
            <w:noWrap/>
            <w:tcMar>
              <w:top w:w="57" w:type="dxa"/>
              <w:bottom w:w="57" w:type="dxa"/>
            </w:tcMar>
          </w:tcPr>
          <w:p w14:paraId="76488058" w14:textId="77777777" w:rsidR="00A147FC" w:rsidRPr="004E3C0E" w:rsidRDefault="00A147FC" w:rsidP="00630831">
            <w:pPr>
              <w:pStyle w:val="TableTextRight"/>
              <w:rPr>
                <w:b/>
                <w:bCs/>
              </w:rPr>
            </w:pPr>
          </w:p>
        </w:tc>
        <w:tc>
          <w:tcPr>
            <w:tcW w:w="802" w:type="pct"/>
            <w:shd w:val="clear" w:color="auto" w:fill="F2F2F2" w:themeFill="background1" w:themeFillShade="F2"/>
            <w:noWrap/>
            <w:tcMar>
              <w:top w:w="57" w:type="dxa"/>
              <w:bottom w:w="57" w:type="dxa"/>
            </w:tcMar>
            <w:hideMark/>
          </w:tcPr>
          <w:p w14:paraId="5670A1B5" w14:textId="77777777" w:rsidR="00A147FC" w:rsidRPr="004E3C0E" w:rsidRDefault="00A147FC" w:rsidP="00630831">
            <w:pPr>
              <w:pStyle w:val="TableTextRight"/>
              <w:rPr>
                <w:b/>
                <w:bCs/>
              </w:rPr>
            </w:pPr>
            <w:r w:rsidRPr="004E3C0E">
              <w:rPr>
                <w:b/>
                <w:bCs/>
              </w:rPr>
              <w:t> </w:t>
            </w:r>
          </w:p>
        </w:tc>
      </w:tr>
      <w:tr w:rsidR="00A147FC" w:rsidRPr="006534F5" w14:paraId="07209B8A" w14:textId="77777777" w:rsidTr="006C4E07">
        <w:tc>
          <w:tcPr>
            <w:tcW w:w="3231" w:type="pct"/>
            <w:shd w:val="clear" w:color="auto" w:fill="F2F2F2" w:themeFill="background1" w:themeFillShade="F2"/>
            <w:noWrap/>
            <w:tcMar>
              <w:top w:w="57" w:type="dxa"/>
              <w:bottom w:w="57" w:type="dxa"/>
            </w:tcMar>
            <w:hideMark/>
          </w:tcPr>
          <w:p w14:paraId="10234644" w14:textId="77777777" w:rsidR="00A147FC" w:rsidRPr="004E3C0E" w:rsidRDefault="00A147FC" w:rsidP="00630831">
            <w:pPr>
              <w:pStyle w:val="TableTextLeft"/>
            </w:pPr>
            <w:r w:rsidRPr="004E3C0E">
              <w:t>Cash – held in the CMA</w:t>
            </w:r>
          </w:p>
        </w:tc>
        <w:tc>
          <w:tcPr>
            <w:tcW w:w="967" w:type="pct"/>
            <w:shd w:val="clear" w:color="auto" w:fill="F2F2F2" w:themeFill="background1" w:themeFillShade="F2"/>
            <w:noWrap/>
            <w:tcMar>
              <w:top w:w="57" w:type="dxa"/>
              <w:bottom w:w="57" w:type="dxa"/>
            </w:tcMar>
          </w:tcPr>
          <w:p w14:paraId="344B691C" w14:textId="77777777" w:rsidR="00A147FC" w:rsidRPr="004E3C0E" w:rsidRDefault="00A147FC" w:rsidP="00630831">
            <w:pPr>
              <w:pStyle w:val="TableTextRight"/>
            </w:pPr>
            <w:r w:rsidRPr="004E3C0E">
              <w:t>1,833,651</w:t>
            </w:r>
          </w:p>
        </w:tc>
        <w:tc>
          <w:tcPr>
            <w:tcW w:w="802" w:type="pct"/>
            <w:shd w:val="clear" w:color="auto" w:fill="F2F2F2" w:themeFill="background1" w:themeFillShade="F2"/>
            <w:noWrap/>
            <w:tcMar>
              <w:top w:w="57" w:type="dxa"/>
              <w:bottom w:w="57" w:type="dxa"/>
            </w:tcMar>
            <w:hideMark/>
          </w:tcPr>
          <w:p w14:paraId="4C0C18CF" w14:textId="77777777" w:rsidR="00A147FC" w:rsidRPr="004E3C0E" w:rsidRDefault="00A147FC" w:rsidP="00630831">
            <w:pPr>
              <w:pStyle w:val="TableTextRight"/>
            </w:pPr>
            <w:r w:rsidRPr="004E3C0E">
              <w:t xml:space="preserve">1,880,005 </w:t>
            </w:r>
          </w:p>
        </w:tc>
      </w:tr>
    </w:tbl>
    <w:p w14:paraId="08FBA48C" w14:textId="77777777" w:rsidR="00A147FC" w:rsidRPr="006534F5" w:rsidRDefault="00A147FC" w:rsidP="00A147FC"/>
    <w:p w14:paraId="38E4572A" w14:textId="77777777" w:rsidR="00A147FC" w:rsidRDefault="00A147FC" w:rsidP="00A147FC">
      <w:pPr>
        <w:rPr>
          <w:i/>
          <w:iCs/>
        </w:rPr>
      </w:pPr>
      <w:r>
        <w:t xml:space="preserve">The </w:t>
      </w:r>
      <w:r w:rsidRPr="006D53A9">
        <w:t xml:space="preserve">purpose </w:t>
      </w:r>
      <w:r>
        <w:t xml:space="preserve">of the ABSF </w:t>
      </w:r>
      <w:r w:rsidRPr="006D53A9">
        <w:t xml:space="preserve">is to increase the availability and reduce the cost of credit provided to small and medium enterprises. This is achieved by the Commonwealth investing in debt securities in accordance with the </w:t>
      </w:r>
      <w:r w:rsidRPr="006D53A9">
        <w:rPr>
          <w:i/>
          <w:iCs/>
        </w:rPr>
        <w:t>Australian Business Securitisation Fund Act 2019</w:t>
      </w:r>
      <w:r>
        <w:t xml:space="preserve">. The ABSF was established under the </w:t>
      </w:r>
      <w:r>
        <w:rPr>
          <w:i/>
          <w:iCs/>
        </w:rPr>
        <w:t xml:space="preserve">Australian Business Securitisation Fund Act 2019 </w:t>
      </w:r>
      <w:r>
        <w:t>and has received total funding of $2 billion</w:t>
      </w:r>
      <w:r>
        <w:rPr>
          <w:i/>
          <w:iCs/>
        </w:rPr>
        <w:t>.</w:t>
      </w:r>
    </w:p>
    <w:p w14:paraId="2AF0CAF7" w14:textId="77777777" w:rsidR="00A147FC" w:rsidRPr="006534F5" w:rsidRDefault="00A147FC" w:rsidP="00A147FC">
      <w:pPr>
        <w:pStyle w:val="TableMainHeading"/>
        <w:keepLines/>
        <w:rPr>
          <w:rFonts w:asciiTheme="minorHAnsi" w:hAnsiTheme="minorHAnsi" w:cstheme="minorBidi"/>
          <w:lang w:eastAsia="en-US"/>
        </w:rPr>
      </w:pPr>
      <w:r w:rsidRPr="006534F5">
        <w:t xml:space="preserve">Special account – Structured Finance Support Fund (SFSF) </w:t>
      </w:r>
    </w:p>
    <w:tbl>
      <w:tblPr>
        <w:tblStyle w:val="AOFMTablemain"/>
        <w:tblW w:w="5000" w:type="pct"/>
        <w:tblLook w:val="06A0" w:firstRow="1" w:lastRow="0" w:firstColumn="1" w:lastColumn="0" w:noHBand="1" w:noVBand="1"/>
      </w:tblPr>
      <w:tblGrid>
        <w:gridCol w:w="4958"/>
        <w:gridCol w:w="1516"/>
        <w:gridCol w:w="1237"/>
      </w:tblGrid>
      <w:tr w:rsidR="004676A8" w:rsidRPr="006534F5" w14:paraId="6FC0917C" w14:textId="77777777" w:rsidTr="00EC03D4">
        <w:trPr>
          <w:cnfStyle w:val="100000000000" w:firstRow="1" w:lastRow="0" w:firstColumn="0" w:lastColumn="0" w:oddVBand="0" w:evenVBand="0" w:oddHBand="0" w:evenHBand="0" w:firstRowFirstColumn="0" w:firstRowLastColumn="0" w:lastRowFirstColumn="0" w:lastRowLastColumn="0"/>
        </w:trPr>
        <w:tc>
          <w:tcPr>
            <w:tcW w:w="3215" w:type="pct"/>
            <w:hideMark/>
          </w:tcPr>
          <w:p w14:paraId="72A71E00" w14:textId="77777777" w:rsidR="00A147FC" w:rsidRPr="006534F5" w:rsidRDefault="00A147FC" w:rsidP="00630831">
            <w:pPr>
              <w:pStyle w:val="TableColumnHeadingRight"/>
            </w:pPr>
            <w:r w:rsidRPr="006534F5">
              <w:t> </w:t>
            </w:r>
          </w:p>
        </w:tc>
        <w:tc>
          <w:tcPr>
            <w:tcW w:w="983" w:type="pct"/>
            <w:noWrap/>
            <w:hideMark/>
          </w:tcPr>
          <w:p w14:paraId="1036CFA7" w14:textId="77777777" w:rsidR="00A147FC" w:rsidRDefault="00A147FC" w:rsidP="00630831">
            <w:pPr>
              <w:pStyle w:val="TableColumnHeadingRight"/>
            </w:pPr>
            <w:r w:rsidRPr="00825FD1">
              <w:t>202</w:t>
            </w:r>
            <w:r>
              <w:t xml:space="preserve">5 </w:t>
            </w:r>
          </w:p>
          <w:p w14:paraId="21C8F1A4" w14:textId="77777777" w:rsidR="00A147FC" w:rsidRPr="006534F5" w:rsidRDefault="00A147FC" w:rsidP="00630831">
            <w:pPr>
              <w:pStyle w:val="TableColumnHeadingRight"/>
              <w:rPr>
                <w:color w:val="FFFFFF"/>
              </w:rPr>
            </w:pPr>
            <w:r>
              <w:t>($’000)</w:t>
            </w:r>
          </w:p>
        </w:tc>
        <w:tc>
          <w:tcPr>
            <w:tcW w:w="802" w:type="pct"/>
            <w:noWrap/>
            <w:hideMark/>
          </w:tcPr>
          <w:p w14:paraId="34EAEE5B" w14:textId="77777777" w:rsidR="00A147FC" w:rsidRDefault="00A147FC" w:rsidP="00630831">
            <w:pPr>
              <w:pStyle w:val="TableColumnHeadingRight"/>
            </w:pPr>
            <w:r w:rsidRPr="00825FD1">
              <w:t>202</w:t>
            </w:r>
            <w:r>
              <w:t xml:space="preserve">4 </w:t>
            </w:r>
          </w:p>
          <w:p w14:paraId="33C6E15E" w14:textId="77777777" w:rsidR="00A147FC" w:rsidRPr="006534F5" w:rsidRDefault="00A147FC" w:rsidP="00630831">
            <w:pPr>
              <w:pStyle w:val="TableColumnHeadingRight"/>
              <w:rPr>
                <w:color w:val="FFFFFF"/>
              </w:rPr>
            </w:pPr>
            <w:r>
              <w:t>($’000)</w:t>
            </w:r>
          </w:p>
        </w:tc>
      </w:tr>
      <w:tr w:rsidR="00A147FC" w:rsidRPr="006534F5" w14:paraId="260CFDB8" w14:textId="77777777" w:rsidTr="006C4E07">
        <w:tc>
          <w:tcPr>
            <w:tcW w:w="3215" w:type="pct"/>
            <w:shd w:val="clear" w:color="auto" w:fill="F2F2F2" w:themeFill="background1" w:themeFillShade="F2"/>
            <w:noWrap/>
            <w:tcMar>
              <w:top w:w="57" w:type="dxa"/>
              <w:bottom w:w="57" w:type="dxa"/>
            </w:tcMar>
            <w:hideMark/>
          </w:tcPr>
          <w:p w14:paraId="499A470B" w14:textId="77777777" w:rsidR="00A147FC" w:rsidRPr="006D5D5D" w:rsidRDefault="00A147FC" w:rsidP="00630831">
            <w:pPr>
              <w:pStyle w:val="TableTextLeft"/>
              <w:rPr>
                <w:b/>
                <w:bCs/>
              </w:rPr>
            </w:pPr>
            <w:r w:rsidRPr="006D5D5D">
              <w:rPr>
                <w:b/>
                <w:bCs/>
              </w:rPr>
              <w:t>Opening balance</w:t>
            </w:r>
          </w:p>
        </w:tc>
        <w:tc>
          <w:tcPr>
            <w:tcW w:w="983" w:type="pct"/>
            <w:shd w:val="clear" w:color="auto" w:fill="F2F2F2" w:themeFill="background1" w:themeFillShade="F2"/>
            <w:noWrap/>
            <w:tcMar>
              <w:top w:w="57" w:type="dxa"/>
              <w:bottom w:w="57" w:type="dxa"/>
            </w:tcMar>
          </w:tcPr>
          <w:p w14:paraId="3EA45AB8" w14:textId="77777777" w:rsidR="00A147FC" w:rsidRPr="00B85579" w:rsidRDefault="00A147FC" w:rsidP="00630831">
            <w:pPr>
              <w:pStyle w:val="TableTextRight"/>
              <w:rPr>
                <w:rStyle w:val="Strong"/>
                <w:b w:val="0"/>
                <w:bCs w:val="0"/>
              </w:rPr>
            </w:pPr>
            <w:r w:rsidRPr="00B85579">
              <w:rPr>
                <w:rStyle w:val="Strong"/>
                <w:b w:val="0"/>
                <w:bCs w:val="0"/>
              </w:rPr>
              <w:t>14,968,674</w:t>
            </w:r>
          </w:p>
        </w:tc>
        <w:tc>
          <w:tcPr>
            <w:tcW w:w="802" w:type="pct"/>
            <w:shd w:val="clear" w:color="auto" w:fill="F2F2F2" w:themeFill="background1" w:themeFillShade="F2"/>
            <w:noWrap/>
            <w:tcMar>
              <w:top w:w="57" w:type="dxa"/>
              <w:bottom w:w="57" w:type="dxa"/>
            </w:tcMar>
            <w:hideMark/>
          </w:tcPr>
          <w:p w14:paraId="423929FF" w14:textId="77777777" w:rsidR="00A147FC" w:rsidRPr="006534F5" w:rsidRDefault="00A147FC" w:rsidP="00630831">
            <w:pPr>
              <w:pStyle w:val="TableTextRight"/>
            </w:pPr>
            <w:r>
              <w:t xml:space="preserve">14,759,997 </w:t>
            </w:r>
          </w:p>
        </w:tc>
      </w:tr>
      <w:tr w:rsidR="00A147FC" w:rsidRPr="006534F5" w14:paraId="1D0957E4" w14:textId="77777777" w:rsidTr="006C4E07">
        <w:tc>
          <w:tcPr>
            <w:tcW w:w="3215" w:type="pct"/>
            <w:shd w:val="clear" w:color="auto" w:fill="F2F2F2" w:themeFill="background1" w:themeFillShade="F2"/>
            <w:noWrap/>
            <w:tcMar>
              <w:top w:w="57" w:type="dxa"/>
              <w:bottom w:w="57" w:type="dxa"/>
            </w:tcMar>
            <w:hideMark/>
          </w:tcPr>
          <w:p w14:paraId="5B6E4CC4" w14:textId="77777777" w:rsidR="00A147FC" w:rsidRPr="006534F5" w:rsidRDefault="00A147FC" w:rsidP="00630831">
            <w:pPr>
              <w:pStyle w:val="TableTextLeft"/>
            </w:pPr>
            <w:r>
              <w:t>Other payments</w:t>
            </w:r>
          </w:p>
        </w:tc>
        <w:tc>
          <w:tcPr>
            <w:tcW w:w="983" w:type="pct"/>
            <w:shd w:val="clear" w:color="auto" w:fill="F2F2F2" w:themeFill="background1" w:themeFillShade="F2"/>
            <w:noWrap/>
            <w:tcMar>
              <w:top w:w="57" w:type="dxa"/>
              <w:bottom w:w="57" w:type="dxa"/>
            </w:tcMar>
          </w:tcPr>
          <w:p w14:paraId="3183DBA3" w14:textId="77777777" w:rsidR="00A147FC" w:rsidRPr="00B85579" w:rsidRDefault="00A147FC" w:rsidP="00630831">
            <w:pPr>
              <w:pStyle w:val="TableTextRight"/>
              <w:rPr>
                <w:rStyle w:val="Strong"/>
                <w:b w:val="0"/>
                <w:bCs w:val="0"/>
              </w:rPr>
            </w:pPr>
            <w:r w:rsidRPr="00B85579">
              <w:rPr>
                <w:rStyle w:val="Strong"/>
                <w:b w:val="0"/>
                <w:bCs w:val="0"/>
              </w:rPr>
              <w:t>(3)</w:t>
            </w:r>
          </w:p>
        </w:tc>
        <w:tc>
          <w:tcPr>
            <w:tcW w:w="802" w:type="pct"/>
            <w:shd w:val="clear" w:color="auto" w:fill="F2F2F2" w:themeFill="background1" w:themeFillShade="F2"/>
            <w:noWrap/>
            <w:tcMar>
              <w:top w:w="57" w:type="dxa"/>
              <w:bottom w:w="57" w:type="dxa"/>
            </w:tcMar>
            <w:hideMark/>
          </w:tcPr>
          <w:p w14:paraId="2A8DCD4A" w14:textId="77777777" w:rsidR="00A147FC" w:rsidRPr="00F30361" w:rsidRDefault="00A147FC" w:rsidP="00630831">
            <w:pPr>
              <w:pStyle w:val="TableTextRight"/>
              <w:rPr>
                <w:rStyle w:val="Strong"/>
                <w:b w:val="0"/>
                <w:bCs w:val="0"/>
              </w:rPr>
            </w:pPr>
            <w:r w:rsidRPr="00F30361">
              <w:rPr>
                <w:rStyle w:val="Strong"/>
                <w:b w:val="0"/>
                <w:bCs w:val="0"/>
              </w:rPr>
              <w:noBreakHyphen/>
            </w:r>
          </w:p>
        </w:tc>
      </w:tr>
      <w:tr w:rsidR="00A147FC" w:rsidRPr="006534F5" w14:paraId="60A4D3E9" w14:textId="77777777" w:rsidTr="006C4E07">
        <w:tc>
          <w:tcPr>
            <w:tcW w:w="3215" w:type="pct"/>
            <w:shd w:val="clear" w:color="auto" w:fill="F2F2F2" w:themeFill="background1" w:themeFillShade="F2"/>
            <w:noWrap/>
            <w:tcMar>
              <w:top w:w="57" w:type="dxa"/>
              <w:bottom w:w="57" w:type="dxa"/>
            </w:tcMar>
            <w:hideMark/>
          </w:tcPr>
          <w:p w14:paraId="0A7D8EA9" w14:textId="77777777" w:rsidR="00A147FC" w:rsidRPr="006534F5" w:rsidRDefault="00A147FC" w:rsidP="00630831">
            <w:pPr>
              <w:pStyle w:val="TableTextLeft"/>
            </w:pPr>
            <w:r w:rsidRPr="006534F5">
              <w:t>Capital proceeds received from investments</w:t>
            </w:r>
          </w:p>
        </w:tc>
        <w:tc>
          <w:tcPr>
            <w:tcW w:w="983" w:type="pct"/>
            <w:shd w:val="clear" w:color="auto" w:fill="F2F2F2" w:themeFill="background1" w:themeFillShade="F2"/>
            <w:noWrap/>
            <w:tcMar>
              <w:top w:w="57" w:type="dxa"/>
              <w:bottom w:w="57" w:type="dxa"/>
            </w:tcMar>
          </w:tcPr>
          <w:p w14:paraId="0DD6B227" w14:textId="77777777" w:rsidR="00A147FC" w:rsidRPr="00B85579" w:rsidRDefault="00A147FC" w:rsidP="00630831">
            <w:pPr>
              <w:pStyle w:val="TableTextRight"/>
              <w:rPr>
                <w:rStyle w:val="Strong"/>
                <w:b w:val="0"/>
                <w:bCs w:val="0"/>
              </w:rPr>
            </w:pPr>
            <w:r w:rsidRPr="00B85579">
              <w:rPr>
                <w:rStyle w:val="Strong"/>
                <w:b w:val="0"/>
                <w:bCs w:val="0"/>
              </w:rPr>
              <w:t>161,692</w:t>
            </w:r>
          </w:p>
        </w:tc>
        <w:tc>
          <w:tcPr>
            <w:tcW w:w="802" w:type="pct"/>
            <w:shd w:val="clear" w:color="auto" w:fill="F2F2F2" w:themeFill="background1" w:themeFillShade="F2"/>
            <w:noWrap/>
            <w:tcMar>
              <w:top w:w="57" w:type="dxa"/>
              <w:bottom w:w="57" w:type="dxa"/>
            </w:tcMar>
            <w:hideMark/>
          </w:tcPr>
          <w:p w14:paraId="007D43F6" w14:textId="77777777" w:rsidR="00A147FC" w:rsidRPr="006534F5" w:rsidRDefault="00A147FC" w:rsidP="00630831">
            <w:pPr>
              <w:pStyle w:val="TableTextRight"/>
            </w:pPr>
            <w:r>
              <w:t xml:space="preserve">194,272 </w:t>
            </w:r>
          </w:p>
        </w:tc>
      </w:tr>
      <w:tr w:rsidR="00A147FC" w:rsidRPr="006534F5" w14:paraId="0C32FF2A" w14:textId="77777777" w:rsidTr="006C4E07">
        <w:tc>
          <w:tcPr>
            <w:tcW w:w="3215" w:type="pct"/>
            <w:shd w:val="clear" w:color="auto" w:fill="F2F2F2" w:themeFill="background1" w:themeFillShade="F2"/>
            <w:noWrap/>
            <w:tcMar>
              <w:top w:w="57" w:type="dxa"/>
              <w:bottom w:w="57" w:type="dxa"/>
            </w:tcMar>
            <w:hideMark/>
          </w:tcPr>
          <w:p w14:paraId="2E627D8B" w14:textId="77777777" w:rsidR="00A147FC" w:rsidRPr="006534F5" w:rsidRDefault="00A147FC" w:rsidP="00630831">
            <w:pPr>
              <w:pStyle w:val="TableTextLeft"/>
            </w:pPr>
            <w:r w:rsidRPr="006534F5">
              <w:t>Interest and commitment fees received</w:t>
            </w:r>
          </w:p>
        </w:tc>
        <w:tc>
          <w:tcPr>
            <w:tcW w:w="983" w:type="pct"/>
            <w:shd w:val="clear" w:color="auto" w:fill="F2F2F2" w:themeFill="background1" w:themeFillShade="F2"/>
            <w:noWrap/>
            <w:tcMar>
              <w:top w:w="57" w:type="dxa"/>
              <w:bottom w:w="57" w:type="dxa"/>
            </w:tcMar>
          </w:tcPr>
          <w:p w14:paraId="13771205" w14:textId="77777777" w:rsidR="00A147FC" w:rsidRPr="00B85579" w:rsidRDefault="00A147FC" w:rsidP="00630831">
            <w:pPr>
              <w:pStyle w:val="TableTextRight"/>
              <w:rPr>
                <w:rStyle w:val="Strong"/>
                <w:b w:val="0"/>
                <w:bCs w:val="0"/>
              </w:rPr>
            </w:pPr>
            <w:r w:rsidRPr="00B85579">
              <w:rPr>
                <w:rStyle w:val="Strong"/>
                <w:b w:val="0"/>
                <w:bCs w:val="0"/>
              </w:rPr>
              <w:t>4,238</w:t>
            </w:r>
          </w:p>
        </w:tc>
        <w:tc>
          <w:tcPr>
            <w:tcW w:w="802" w:type="pct"/>
            <w:shd w:val="clear" w:color="auto" w:fill="F2F2F2" w:themeFill="background1" w:themeFillShade="F2"/>
            <w:noWrap/>
            <w:tcMar>
              <w:top w:w="57" w:type="dxa"/>
              <w:bottom w:w="57" w:type="dxa"/>
            </w:tcMar>
            <w:hideMark/>
          </w:tcPr>
          <w:p w14:paraId="59FAF918" w14:textId="77777777" w:rsidR="00A147FC" w:rsidRPr="00F30361" w:rsidRDefault="00A147FC" w:rsidP="00630831">
            <w:pPr>
              <w:pStyle w:val="TableTextRight"/>
              <w:rPr>
                <w:rStyle w:val="Strong"/>
                <w:b w:val="0"/>
                <w:bCs w:val="0"/>
              </w:rPr>
            </w:pPr>
            <w:r w:rsidRPr="00F30361">
              <w:rPr>
                <w:rStyle w:val="Strong"/>
                <w:b w:val="0"/>
                <w:bCs w:val="0"/>
              </w:rPr>
              <w:t xml:space="preserve">14,405 </w:t>
            </w:r>
          </w:p>
        </w:tc>
      </w:tr>
      <w:tr w:rsidR="00A147FC" w:rsidRPr="006534F5" w14:paraId="5A56E4AD" w14:textId="77777777" w:rsidTr="006C4E07">
        <w:tc>
          <w:tcPr>
            <w:tcW w:w="3215" w:type="pct"/>
            <w:shd w:val="clear" w:color="auto" w:fill="F2F2F2" w:themeFill="background1" w:themeFillShade="F2"/>
            <w:noWrap/>
            <w:tcMar>
              <w:top w:w="57" w:type="dxa"/>
              <w:bottom w:w="57" w:type="dxa"/>
            </w:tcMar>
            <w:hideMark/>
          </w:tcPr>
          <w:p w14:paraId="1B73A1E3" w14:textId="77777777" w:rsidR="00A147FC" w:rsidRPr="006D5D5D" w:rsidRDefault="00A147FC" w:rsidP="00630831">
            <w:pPr>
              <w:pStyle w:val="TableTextLeft"/>
              <w:rPr>
                <w:b/>
                <w:bCs/>
              </w:rPr>
            </w:pPr>
            <w:r w:rsidRPr="006D5D5D">
              <w:rPr>
                <w:b/>
                <w:bCs/>
              </w:rPr>
              <w:t>Closing balance</w:t>
            </w:r>
          </w:p>
        </w:tc>
        <w:tc>
          <w:tcPr>
            <w:tcW w:w="983" w:type="pct"/>
            <w:shd w:val="clear" w:color="auto" w:fill="F2F2F2" w:themeFill="background1" w:themeFillShade="F2"/>
            <w:noWrap/>
            <w:tcMar>
              <w:top w:w="57" w:type="dxa"/>
              <w:bottom w:w="57" w:type="dxa"/>
            </w:tcMar>
          </w:tcPr>
          <w:p w14:paraId="3E163AB6" w14:textId="77777777" w:rsidR="00A147FC" w:rsidRPr="004E3C0E" w:rsidRDefault="00A147FC" w:rsidP="00630831">
            <w:pPr>
              <w:pStyle w:val="TableTextRight"/>
              <w:rPr>
                <w:b/>
                <w:bCs/>
              </w:rPr>
            </w:pPr>
            <w:r w:rsidRPr="004E3C0E">
              <w:rPr>
                <w:b/>
                <w:bCs/>
              </w:rPr>
              <w:t>15,134,601</w:t>
            </w:r>
          </w:p>
        </w:tc>
        <w:tc>
          <w:tcPr>
            <w:tcW w:w="802" w:type="pct"/>
            <w:shd w:val="clear" w:color="auto" w:fill="F2F2F2" w:themeFill="background1" w:themeFillShade="F2"/>
            <w:noWrap/>
            <w:tcMar>
              <w:top w:w="57" w:type="dxa"/>
              <w:bottom w:w="57" w:type="dxa"/>
            </w:tcMar>
            <w:hideMark/>
          </w:tcPr>
          <w:p w14:paraId="75D72943" w14:textId="77777777" w:rsidR="00A147FC" w:rsidRPr="006D5D5D" w:rsidRDefault="00A147FC" w:rsidP="00630831">
            <w:pPr>
              <w:pStyle w:val="TableTextRight"/>
              <w:rPr>
                <w:b/>
                <w:bCs/>
              </w:rPr>
            </w:pPr>
            <w:r w:rsidRPr="006D5D5D">
              <w:rPr>
                <w:b/>
                <w:bCs/>
              </w:rPr>
              <w:t xml:space="preserve">14,968,674 </w:t>
            </w:r>
          </w:p>
        </w:tc>
      </w:tr>
      <w:tr w:rsidR="00A147FC" w:rsidRPr="006534F5" w14:paraId="600D7027" w14:textId="77777777" w:rsidTr="006C4E07">
        <w:tc>
          <w:tcPr>
            <w:tcW w:w="3215" w:type="pct"/>
            <w:shd w:val="clear" w:color="auto" w:fill="F2F2F2" w:themeFill="background1" w:themeFillShade="F2"/>
            <w:tcMar>
              <w:top w:w="57" w:type="dxa"/>
              <w:bottom w:w="57" w:type="dxa"/>
            </w:tcMar>
            <w:hideMark/>
          </w:tcPr>
          <w:p w14:paraId="528FAC12" w14:textId="77777777" w:rsidR="00A147FC" w:rsidRPr="006D5D5D" w:rsidRDefault="00A147FC" w:rsidP="00630831">
            <w:pPr>
              <w:pStyle w:val="TableTextLeft"/>
              <w:rPr>
                <w:b/>
                <w:bCs/>
              </w:rPr>
            </w:pPr>
            <w:r w:rsidRPr="006D5D5D">
              <w:rPr>
                <w:b/>
                <w:bCs/>
              </w:rPr>
              <w:t>Balance represented by:</w:t>
            </w:r>
          </w:p>
        </w:tc>
        <w:tc>
          <w:tcPr>
            <w:tcW w:w="983" w:type="pct"/>
            <w:shd w:val="clear" w:color="auto" w:fill="F2F2F2" w:themeFill="background1" w:themeFillShade="F2"/>
            <w:noWrap/>
            <w:tcMar>
              <w:top w:w="57" w:type="dxa"/>
              <w:bottom w:w="57" w:type="dxa"/>
            </w:tcMar>
          </w:tcPr>
          <w:p w14:paraId="6CC9059A" w14:textId="77777777" w:rsidR="00A147FC" w:rsidRPr="00B85579" w:rsidRDefault="00A147FC" w:rsidP="00630831">
            <w:pPr>
              <w:pStyle w:val="TableTextRight"/>
              <w:rPr>
                <w:rStyle w:val="Strong"/>
                <w:b w:val="0"/>
                <w:bCs w:val="0"/>
              </w:rPr>
            </w:pPr>
          </w:p>
        </w:tc>
        <w:tc>
          <w:tcPr>
            <w:tcW w:w="802" w:type="pct"/>
            <w:shd w:val="clear" w:color="auto" w:fill="F2F2F2" w:themeFill="background1" w:themeFillShade="F2"/>
            <w:noWrap/>
            <w:tcMar>
              <w:top w:w="57" w:type="dxa"/>
              <w:bottom w:w="57" w:type="dxa"/>
            </w:tcMar>
            <w:hideMark/>
          </w:tcPr>
          <w:p w14:paraId="76E8E7B1" w14:textId="77777777" w:rsidR="00A147FC" w:rsidRPr="005A6475" w:rsidRDefault="00A147FC" w:rsidP="00630831">
            <w:pPr>
              <w:pStyle w:val="TableTextRight"/>
              <w:rPr>
                <w:rStyle w:val="Strong"/>
              </w:rPr>
            </w:pPr>
            <w:r w:rsidRPr="005A6475">
              <w:rPr>
                <w:rStyle w:val="Strong"/>
              </w:rPr>
              <w:t> </w:t>
            </w:r>
          </w:p>
        </w:tc>
      </w:tr>
      <w:tr w:rsidR="00A147FC" w:rsidRPr="006534F5" w14:paraId="08960B94" w14:textId="77777777" w:rsidTr="006C4E07">
        <w:tc>
          <w:tcPr>
            <w:tcW w:w="3215" w:type="pct"/>
            <w:shd w:val="clear" w:color="auto" w:fill="F2F2F2" w:themeFill="background1" w:themeFillShade="F2"/>
            <w:noWrap/>
            <w:tcMar>
              <w:top w:w="57" w:type="dxa"/>
              <w:bottom w:w="57" w:type="dxa"/>
            </w:tcMar>
            <w:hideMark/>
          </w:tcPr>
          <w:p w14:paraId="7E9475EF" w14:textId="77777777" w:rsidR="00A147FC" w:rsidRPr="006534F5" w:rsidRDefault="00A147FC" w:rsidP="00630831">
            <w:pPr>
              <w:pStyle w:val="TableTextLeft"/>
            </w:pPr>
            <w:r w:rsidRPr="006534F5">
              <w:t>Cash – held in the Official Public Account</w:t>
            </w:r>
            <w:r>
              <w:t xml:space="preserve"> (CMA)</w:t>
            </w:r>
          </w:p>
        </w:tc>
        <w:tc>
          <w:tcPr>
            <w:tcW w:w="983" w:type="pct"/>
            <w:shd w:val="clear" w:color="auto" w:fill="F2F2F2" w:themeFill="background1" w:themeFillShade="F2"/>
            <w:noWrap/>
            <w:tcMar>
              <w:top w:w="57" w:type="dxa"/>
              <w:bottom w:w="57" w:type="dxa"/>
            </w:tcMar>
          </w:tcPr>
          <w:p w14:paraId="207D5600" w14:textId="77777777" w:rsidR="00A147FC" w:rsidRPr="00B85579" w:rsidRDefault="00A147FC" w:rsidP="00630831">
            <w:pPr>
              <w:pStyle w:val="TableTextRight"/>
              <w:rPr>
                <w:rStyle w:val="Strong"/>
                <w:b w:val="0"/>
                <w:bCs w:val="0"/>
              </w:rPr>
            </w:pPr>
            <w:r w:rsidRPr="00B85579">
              <w:rPr>
                <w:rStyle w:val="Strong"/>
                <w:b w:val="0"/>
                <w:bCs w:val="0"/>
              </w:rPr>
              <w:t>15,134,601</w:t>
            </w:r>
          </w:p>
        </w:tc>
        <w:tc>
          <w:tcPr>
            <w:tcW w:w="802" w:type="pct"/>
            <w:shd w:val="clear" w:color="auto" w:fill="F2F2F2" w:themeFill="background1" w:themeFillShade="F2"/>
            <w:noWrap/>
            <w:tcMar>
              <w:top w:w="57" w:type="dxa"/>
              <w:bottom w:w="57" w:type="dxa"/>
            </w:tcMar>
            <w:hideMark/>
          </w:tcPr>
          <w:p w14:paraId="0359015D" w14:textId="77777777" w:rsidR="00A147FC" w:rsidRPr="00172059" w:rsidRDefault="00A147FC" w:rsidP="00630831">
            <w:pPr>
              <w:pStyle w:val="TableTextRight"/>
            </w:pPr>
            <w:r w:rsidRPr="00172059">
              <w:t xml:space="preserve">14,968,674 </w:t>
            </w:r>
          </w:p>
        </w:tc>
      </w:tr>
    </w:tbl>
    <w:p w14:paraId="7F46E87B" w14:textId="77777777" w:rsidR="00A147FC" w:rsidRDefault="00A147FC" w:rsidP="00A147FC"/>
    <w:p w14:paraId="5E51ADF8" w14:textId="77777777" w:rsidR="00A147FC" w:rsidRDefault="00A147FC" w:rsidP="00A147FC">
      <w:r w:rsidRPr="006D53A9">
        <w:t xml:space="preserve">Receipts and payments reported above are inclusive of receipts from and payments to the Forbearance SPV. </w:t>
      </w:r>
    </w:p>
    <w:p w14:paraId="47410C5E" w14:textId="77777777" w:rsidR="00A147FC" w:rsidRDefault="00FF1C02" w:rsidP="00A147FC">
      <w:r>
        <w:br w:type="page"/>
      </w:r>
      <w:r w:rsidR="00A147FC" w:rsidRPr="006D53A9">
        <w:lastRenderedPageBreak/>
        <w:t>Receipts from and payments to the Forbearance SPV are as follows:</w:t>
      </w:r>
    </w:p>
    <w:p w14:paraId="2584404D" w14:textId="77777777" w:rsidR="00A147FC" w:rsidRPr="006D5D5D" w:rsidRDefault="00A147FC" w:rsidP="00A147FC">
      <w:pPr>
        <w:pStyle w:val="TableMainHeading"/>
      </w:pPr>
      <w:r w:rsidRPr="006D5D5D">
        <w:t xml:space="preserve">Forbearance SPV – receipts and payments </w:t>
      </w:r>
    </w:p>
    <w:tbl>
      <w:tblPr>
        <w:tblStyle w:val="AOFMTablemain"/>
        <w:tblW w:w="5000" w:type="pct"/>
        <w:tblLook w:val="06A0" w:firstRow="1" w:lastRow="0" w:firstColumn="1" w:lastColumn="0" w:noHBand="1" w:noVBand="1"/>
      </w:tblPr>
      <w:tblGrid>
        <w:gridCol w:w="5161"/>
        <w:gridCol w:w="1275"/>
        <w:gridCol w:w="1275"/>
      </w:tblGrid>
      <w:tr w:rsidR="00A147FC" w:rsidRPr="006534F5" w14:paraId="6947EBDB" w14:textId="77777777" w:rsidTr="00391DDA">
        <w:trPr>
          <w:cnfStyle w:val="100000000000" w:firstRow="1" w:lastRow="0" w:firstColumn="0" w:lastColumn="0" w:oddVBand="0" w:evenVBand="0" w:oddHBand="0" w:evenHBand="0" w:firstRowFirstColumn="0" w:firstRowLastColumn="0" w:lastRowFirstColumn="0" w:lastRowLastColumn="0"/>
        </w:trPr>
        <w:tc>
          <w:tcPr>
            <w:tcW w:w="3346" w:type="pct"/>
            <w:hideMark/>
          </w:tcPr>
          <w:p w14:paraId="5DA38EC1" w14:textId="77777777" w:rsidR="00A147FC" w:rsidRPr="00925DDD" w:rsidRDefault="00A147FC" w:rsidP="00630831">
            <w:pPr>
              <w:pStyle w:val="TableColumnHeadingRight"/>
            </w:pPr>
            <w:r w:rsidRPr="006534F5">
              <w:t> </w:t>
            </w:r>
          </w:p>
        </w:tc>
        <w:tc>
          <w:tcPr>
            <w:tcW w:w="827" w:type="pct"/>
            <w:noWrap/>
            <w:hideMark/>
          </w:tcPr>
          <w:p w14:paraId="66A87893" w14:textId="77777777" w:rsidR="00A147FC" w:rsidRDefault="00A147FC" w:rsidP="00630831">
            <w:pPr>
              <w:pStyle w:val="TableColumnHeadingRight"/>
            </w:pPr>
            <w:r w:rsidRPr="00825FD1">
              <w:t>202</w:t>
            </w:r>
            <w:r>
              <w:t xml:space="preserve">5 </w:t>
            </w:r>
          </w:p>
          <w:p w14:paraId="68267FE8" w14:textId="77777777" w:rsidR="00A147FC" w:rsidRPr="00925DDD" w:rsidRDefault="00A147FC" w:rsidP="00630831">
            <w:pPr>
              <w:pStyle w:val="TableColumnHeadingRight"/>
            </w:pPr>
            <w:r>
              <w:t>($’000)</w:t>
            </w:r>
          </w:p>
        </w:tc>
        <w:tc>
          <w:tcPr>
            <w:tcW w:w="827" w:type="pct"/>
            <w:noWrap/>
            <w:hideMark/>
          </w:tcPr>
          <w:p w14:paraId="2805E5B0" w14:textId="77777777" w:rsidR="00A147FC" w:rsidRDefault="00A147FC" w:rsidP="00630831">
            <w:pPr>
              <w:pStyle w:val="TableColumnHeadingRight"/>
            </w:pPr>
            <w:r w:rsidRPr="00825FD1">
              <w:t>202</w:t>
            </w:r>
            <w:r>
              <w:t xml:space="preserve">4 </w:t>
            </w:r>
          </w:p>
          <w:p w14:paraId="054954D4" w14:textId="77777777" w:rsidR="00A147FC" w:rsidRPr="00925DDD" w:rsidRDefault="00A147FC" w:rsidP="00630831">
            <w:pPr>
              <w:pStyle w:val="TableColumnHeadingRight"/>
            </w:pPr>
            <w:r>
              <w:t>($’000)</w:t>
            </w:r>
          </w:p>
        </w:tc>
      </w:tr>
      <w:tr w:rsidR="00A147FC" w:rsidRPr="00E4580D" w14:paraId="69F55FA5" w14:textId="77777777" w:rsidTr="003C2549">
        <w:tc>
          <w:tcPr>
            <w:tcW w:w="3346" w:type="pct"/>
            <w:shd w:val="clear" w:color="auto" w:fill="F2F2F2" w:themeFill="background1" w:themeFillShade="F2"/>
            <w:noWrap/>
            <w:hideMark/>
          </w:tcPr>
          <w:p w14:paraId="07301C29" w14:textId="77777777" w:rsidR="00A147FC" w:rsidRPr="00AE665D" w:rsidRDefault="00A147FC" w:rsidP="00630831">
            <w:pPr>
              <w:pStyle w:val="TableTextLeft"/>
            </w:pPr>
            <w:r w:rsidRPr="00AE665D">
              <w:t>Capital proceeds received from investments</w:t>
            </w:r>
          </w:p>
        </w:tc>
        <w:tc>
          <w:tcPr>
            <w:tcW w:w="827" w:type="pct"/>
            <w:shd w:val="clear" w:color="auto" w:fill="F2F2F2" w:themeFill="background1" w:themeFillShade="F2"/>
            <w:noWrap/>
          </w:tcPr>
          <w:p w14:paraId="5BB4FE13" w14:textId="77777777" w:rsidR="00A147FC" w:rsidRPr="00A52EBA" w:rsidRDefault="00A147FC" w:rsidP="00630831">
            <w:pPr>
              <w:pStyle w:val="TableTextRight"/>
            </w:pPr>
            <w:r w:rsidRPr="00A52EBA">
              <w:t>8,176</w:t>
            </w:r>
          </w:p>
        </w:tc>
        <w:tc>
          <w:tcPr>
            <w:tcW w:w="827" w:type="pct"/>
            <w:shd w:val="clear" w:color="auto" w:fill="F2F2F2" w:themeFill="background1" w:themeFillShade="F2"/>
            <w:noWrap/>
            <w:hideMark/>
          </w:tcPr>
          <w:p w14:paraId="49840D0C" w14:textId="77777777" w:rsidR="00A147FC" w:rsidRPr="00A52EBA" w:rsidRDefault="00A147FC" w:rsidP="00630831">
            <w:pPr>
              <w:pStyle w:val="TableTextRight"/>
            </w:pPr>
            <w:r w:rsidRPr="00A52EBA">
              <w:t xml:space="preserve">7,599 </w:t>
            </w:r>
          </w:p>
        </w:tc>
      </w:tr>
      <w:tr w:rsidR="00A147FC" w:rsidRPr="00E4580D" w14:paraId="4A99988C" w14:textId="77777777" w:rsidTr="003C2549">
        <w:tc>
          <w:tcPr>
            <w:tcW w:w="3346" w:type="pct"/>
            <w:shd w:val="clear" w:color="auto" w:fill="F2F2F2" w:themeFill="background1" w:themeFillShade="F2"/>
            <w:noWrap/>
            <w:hideMark/>
          </w:tcPr>
          <w:p w14:paraId="0563386D" w14:textId="77777777" w:rsidR="00A147FC" w:rsidRPr="00AE665D" w:rsidRDefault="00A147FC" w:rsidP="00630831">
            <w:pPr>
              <w:pStyle w:val="TableTextLeft"/>
            </w:pPr>
            <w:r w:rsidRPr="00AE665D">
              <w:t>Interest received</w:t>
            </w:r>
          </w:p>
        </w:tc>
        <w:tc>
          <w:tcPr>
            <w:tcW w:w="827" w:type="pct"/>
            <w:shd w:val="clear" w:color="auto" w:fill="F2F2F2" w:themeFill="background1" w:themeFillShade="F2"/>
            <w:noWrap/>
          </w:tcPr>
          <w:p w14:paraId="4A786E43" w14:textId="77777777" w:rsidR="00A147FC" w:rsidRPr="00A52EBA" w:rsidRDefault="00A147FC" w:rsidP="00630831">
            <w:pPr>
              <w:pStyle w:val="TableTextRight"/>
            </w:pPr>
            <w:r w:rsidRPr="00A52EBA">
              <w:t>163</w:t>
            </w:r>
          </w:p>
        </w:tc>
        <w:tc>
          <w:tcPr>
            <w:tcW w:w="827" w:type="pct"/>
            <w:shd w:val="clear" w:color="auto" w:fill="F2F2F2" w:themeFill="background1" w:themeFillShade="F2"/>
            <w:noWrap/>
            <w:hideMark/>
          </w:tcPr>
          <w:p w14:paraId="092AD0D1" w14:textId="77777777" w:rsidR="00A147FC" w:rsidRPr="00A52EBA" w:rsidRDefault="00A147FC" w:rsidP="00630831">
            <w:pPr>
              <w:pStyle w:val="TableTextRight"/>
            </w:pPr>
            <w:r w:rsidRPr="00A52EBA">
              <w:t xml:space="preserve">570 </w:t>
            </w:r>
          </w:p>
        </w:tc>
      </w:tr>
      <w:tr w:rsidR="00A147FC" w:rsidRPr="00E4580D" w14:paraId="719719BF" w14:textId="77777777" w:rsidTr="003C2549">
        <w:tc>
          <w:tcPr>
            <w:tcW w:w="3346" w:type="pct"/>
            <w:shd w:val="clear" w:color="auto" w:fill="F2F2F2" w:themeFill="background1" w:themeFillShade="F2"/>
            <w:noWrap/>
          </w:tcPr>
          <w:p w14:paraId="017E1CAA" w14:textId="77777777" w:rsidR="00A147FC" w:rsidRPr="00AE665D" w:rsidRDefault="00A147FC" w:rsidP="00630831">
            <w:pPr>
              <w:pStyle w:val="TableTextLeft"/>
            </w:pPr>
            <w:r>
              <w:t>Other receipts</w:t>
            </w:r>
          </w:p>
        </w:tc>
        <w:tc>
          <w:tcPr>
            <w:tcW w:w="827" w:type="pct"/>
            <w:shd w:val="clear" w:color="auto" w:fill="F2F2F2" w:themeFill="background1" w:themeFillShade="F2"/>
            <w:noWrap/>
          </w:tcPr>
          <w:p w14:paraId="5E1E4527" w14:textId="77777777" w:rsidR="00A147FC" w:rsidRPr="00A52EBA" w:rsidDel="005C028F" w:rsidRDefault="00A147FC" w:rsidP="00630831">
            <w:pPr>
              <w:pStyle w:val="TableTextRight"/>
            </w:pPr>
            <w:r w:rsidRPr="00A52EBA">
              <w:t>78</w:t>
            </w:r>
          </w:p>
        </w:tc>
        <w:tc>
          <w:tcPr>
            <w:tcW w:w="827" w:type="pct"/>
            <w:shd w:val="clear" w:color="auto" w:fill="F2F2F2" w:themeFill="background1" w:themeFillShade="F2"/>
            <w:noWrap/>
          </w:tcPr>
          <w:p w14:paraId="4A4FC721" w14:textId="77777777" w:rsidR="00A147FC" w:rsidRPr="00A52EBA" w:rsidRDefault="00A147FC" w:rsidP="00630831">
            <w:pPr>
              <w:pStyle w:val="TableTextRight"/>
            </w:pPr>
            <w:r w:rsidRPr="00A52EBA">
              <w:noBreakHyphen/>
            </w:r>
          </w:p>
        </w:tc>
      </w:tr>
      <w:tr w:rsidR="00A147FC" w:rsidRPr="006534F5" w14:paraId="3C24770F" w14:textId="77777777" w:rsidTr="003C2549">
        <w:tc>
          <w:tcPr>
            <w:tcW w:w="3346" w:type="pct"/>
            <w:shd w:val="clear" w:color="auto" w:fill="F2F2F2" w:themeFill="background1" w:themeFillShade="F2"/>
            <w:noWrap/>
            <w:hideMark/>
          </w:tcPr>
          <w:p w14:paraId="4CC3AFA5" w14:textId="77777777" w:rsidR="00A147FC" w:rsidRPr="00A64A7B" w:rsidRDefault="00A147FC" w:rsidP="00630831">
            <w:pPr>
              <w:pStyle w:val="TableTextLeft"/>
              <w:rPr>
                <w:b/>
                <w:bCs/>
              </w:rPr>
            </w:pPr>
            <w:r w:rsidRPr="00A64A7B">
              <w:rPr>
                <w:b/>
                <w:bCs/>
              </w:rPr>
              <w:t>Net cash inflows (outflows) for the Forbearance SPV</w:t>
            </w:r>
          </w:p>
        </w:tc>
        <w:tc>
          <w:tcPr>
            <w:tcW w:w="827" w:type="pct"/>
            <w:shd w:val="clear" w:color="auto" w:fill="F2F2F2" w:themeFill="background1" w:themeFillShade="F2"/>
            <w:noWrap/>
          </w:tcPr>
          <w:p w14:paraId="0A361F24" w14:textId="77777777" w:rsidR="00A147FC" w:rsidRPr="00114267" w:rsidRDefault="00A147FC" w:rsidP="00630831">
            <w:pPr>
              <w:pStyle w:val="TableTextRight"/>
              <w:rPr>
                <w:b/>
                <w:bCs/>
              </w:rPr>
            </w:pPr>
            <w:r w:rsidRPr="00114267">
              <w:rPr>
                <w:b/>
                <w:bCs/>
              </w:rPr>
              <w:t>8,417</w:t>
            </w:r>
          </w:p>
        </w:tc>
        <w:tc>
          <w:tcPr>
            <w:tcW w:w="827" w:type="pct"/>
            <w:shd w:val="clear" w:color="auto" w:fill="F2F2F2" w:themeFill="background1" w:themeFillShade="F2"/>
            <w:noWrap/>
            <w:hideMark/>
          </w:tcPr>
          <w:p w14:paraId="59556585" w14:textId="77777777" w:rsidR="00A147FC" w:rsidRPr="00B84ED6" w:rsidRDefault="00A147FC" w:rsidP="00630831">
            <w:pPr>
              <w:pStyle w:val="TableTextRight"/>
              <w:rPr>
                <w:b/>
                <w:bCs/>
              </w:rPr>
            </w:pPr>
            <w:r w:rsidRPr="00B84ED6">
              <w:rPr>
                <w:b/>
                <w:bCs/>
              </w:rPr>
              <w:t xml:space="preserve">8,169 </w:t>
            </w:r>
          </w:p>
        </w:tc>
      </w:tr>
    </w:tbl>
    <w:p w14:paraId="5DF848D3" w14:textId="77777777" w:rsidR="00A147FC" w:rsidRPr="006534F5" w:rsidRDefault="00A147FC" w:rsidP="00A147FC">
      <w:pPr>
        <w:pStyle w:val="FootnoteList"/>
        <w:keepLines/>
        <w:numPr>
          <w:ilvl w:val="0"/>
          <w:numId w:val="0"/>
        </w:numPr>
        <w:ind w:left="284" w:hanging="284"/>
      </w:pPr>
    </w:p>
    <w:p w14:paraId="190EA058" w14:textId="77777777" w:rsidR="00A147FC" w:rsidRPr="00565C17" w:rsidRDefault="00A147FC" w:rsidP="00A147FC">
      <w:r>
        <w:t xml:space="preserve">The </w:t>
      </w:r>
      <w:r w:rsidRPr="00565C17">
        <w:t xml:space="preserve">purpose </w:t>
      </w:r>
      <w:r>
        <w:t>of the SFSF was</w:t>
      </w:r>
      <w:r w:rsidRPr="00565C17">
        <w:t xml:space="preserve"> to ensure smaller lenders have continued access to funding markets during the COVID</w:t>
      </w:r>
      <w:r>
        <w:noBreakHyphen/>
      </w:r>
      <w:r w:rsidRPr="00565C17">
        <w:t>19 pandemic</w:t>
      </w:r>
      <w:r>
        <w:t xml:space="preserve">. The SFSF was established under the </w:t>
      </w:r>
      <w:r w:rsidRPr="00565C17">
        <w:rPr>
          <w:i/>
          <w:iCs/>
        </w:rPr>
        <w:t>Structured Finance Support (Coronavirus Economic Response Package) Act 2020</w:t>
      </w:r>
      <w:r>
        <w:rPr>
          <w:i/>
          <w:iCs/>
        </w:rPr>
        <w:t>.</w:t>
      </w:r>
    </w:p>
    <w:p w14:paraId="612A13B4" w14:textId="77777777" w:rsidR="00A147FC" w:rsidRPr="00565C17" w:rsidRDefault="00A147FC" w:rsidP="00A147FC">
      <w:r w:rsidRPr="00565C17">
        <w:t>The SFSF Special Account received a statutory funding credit of $15 billion on 25 March 2020.</w:t>
      </w:r>
    </w:p>
    <w:p w14:paraId="2642C206" w14:textId="77777777" w:rsidR="00A147FC" w:rsidRPr="006534F5" w:rsidRDefault="00A147FC" w:rsidP="00A147FC">
      <w:pPr>
        <w:pStyle w:val="TableMainHeading"/>
        <w:keepLines/>
        <w:rPr>
          <w:rFonts w:asciiTheme="minorHAnsi" w:hAnsiTheme="minorHAnsi" w:cstheme="minorBidi"/>
          <w:lang w:eastAsia="en-US"/>
        </w:rPr>
      </w:pPr>
      <w:r w:rsidRPr="006534F5">
        <w:t xml:space="preserve">Special account – Debt Retirement Reserve Trust Account (DRRTA) </w:t>
      </w:r>
    </w:p>
    <w:tbl>
      <w:tblPr>
        <w:tblStyle w:val="AOFMTablemain"/>
        <w:tblW w:w="5000" w:type="pct"/>
        <w:tblLook w:val="06A0" w:firstRow="1" w:lastRow="0" w:firstColumn="1" w:lastColumn="0" w:noHBand="1" w:noVBand="1"/>
      </w:tblPr>
      <w:tblGrid>
        <w:gridCol w:w="5161"/>
        <w:gridCol w:w="1275"/>
        <w:gridCol w:w="1275"/>
      </w:tblGrid>
      <w:tr w:rsidR="00A147FC" w:rsidRPr="006534F5" w14:paraId="64BC3812" w14:textId="77777777" w:rsidTr="00391DDA">
        <w:trPr>
          <w:cnfStyle w:val="100000000000" w:firstRow="1" w:lastRow="0" w:firstColumn="0" w:lastColumn="0" w:oddVBand="0" w:evenVBand="0" w:oddHBand="0" w:evenHBand="0" w:firstRowFirstColumn="0" w:firstRowLastColumn="0" w:lastRowFirstColumn="0" w:lastRowLastColumn="0"/>
        </w:trPr>
        <w:tc>
          <w:tcPr>
            <w:tcW w:w="3346" w:type="pct"/>
            <w:hideMark/>
          </w:tcPr>
          <w:p w14:paraId="6A1A2DA7" w14:textId="77777777" w:rsidR="00A147FC" w:rsidRPr="00925DDD" w:rsidRDefault="00A147FC" w:rsidP="00630831">
            <w:pPr>
              <w:pStyle w:val="TableColumnHeadingRight"/>
            </w:pPr>
            <w:r w:rsidRPr="00925DDD">
              <w:t> </w:t>
            </w:r>
          </w:p>
        </w:tc>
        <w:tc>
          <w:tcPr>
            <w:tcW w:w="827" w:type="pct"/>
            <w:noWrap/>
            <w:hideMark/>
          </w:tcPr>
          <w:p w14:paraId="095658D5" w14:textId="77777777" w:rsidR="00A147FC" w:rsidRDefault="00A147FC" w:rsidP="00630831">
            <w:pPr>
              <w:pStyle w:val="TableColumnHeadingRight"/>
            </w:pPr>
            <w:r w:rsidRPr="00825FD1">
              <w:t>202</w:t>
            </w:r>
            <w:r>
              <w:t xml:space="preserve">5 </w:t>
            </w:r>
          </w:p>
          <w:p w14:paraId="509A8BD7" w14:textId="77777777" w:rsidR="00A147FC" w:rsidRPr="00925DDD" w:rsidRDefault="00A147FC" w:rsidP="00630831">
            <w:pPr>
              <w:pStyle w:val="TableColumnHeadingRight"/>
            </w:pPr>
            <w:r>
              <w:t>($’000)</w:t>
            </w:r>
          </w:p>
        </w:tc>
        <w:tc>
          <w:tcPr>
            <w:tcW w:w="827" w:type="pct"/>
            <w:noWrap/>
            <w:hideMark/>
          </w:tcPr>
          <w:p w14:paraId="53F3943E" w14:textId="77777777" w:rsidR="00A147FC" w:rsidRDefault="00A147FC" w:rsidP="00630831">
            <w:pPr>
              <w:pStyle w:val="TableColumnHeadingRight"/>
            </w:pPr>
            <w:r w:rsidRPr="00825FD1">
              <w:t>202</w:t>
            </w:r>
            <w:r>
              <w:t xml:space="preserve">4 </w:t>
            </w:r>
          </w:p>
          <w:p w14:paraId="428ADFE5" w14:textId="77777777" w:rsidR="00A147FC" w:rsidRPr="00925DDD" w:rsidRDefault="00A147FC" w:rsidP="00630831">
            <w:pPr>
              <w:pStyle w:val="TableColumnHeadingRight"/>
            </w:pPr>
            <w:r>
              <w:t>($’000)</w:t>
            </w:r>
          </w:p>
        </w:tc>
      </w:tr>
      <w:tr w:rsidR="00A147FC" w:rsidRPr="00542501" w14:paraId="11ABD6AD" w14:textId="77777777" w:rsidTr="003C2549">
        <w:tc>
          <w:tcPr>
            <w:tcW w:w="3346" w:type="pct"/>
            <w:shd w:val="clear" w:color="auto" w:fill="F2F2F2" w:themeFill="background1" w:themeFillShade="F2"/>
            <w:noWrap/>
            <w:hideMark/>
          </w:tcPr>
          <w:p w14:paraId="23BFE940" w14:textId="77777777" w:rsidR="00A147FC" w:rsidRPr="0024774C" w:rsidRDefault="00A147FC" w:rsidP="00630831">
            <w:pPr>
              <w:pStyle w:val="TableTextLeft"/>
              <w:rPr>
                <w:b/>
                <w:bCs/>
              </w:rPr>
            </w:pPr>
            <w:r w:rsidRPr="0024774C">
              <w:rPr>
                <w:b/>
                <w:bCs/>
              </w:rPr>
              <w:t>Opening balance</w:t>
            </w:r>
          </w:p>
        </w:tc>
        <w:tc>
          <w:tcPr>
            <w:tcW w:w="827" w:type="pct"/>
            <w:shd w:val="clear" w:color="auto" w:fill="F2F2F2" w:themeFill="background1" w:themeFillShade="F2"/>
            <w:noWrap/>
          </w:tcPr>
          <w:p w14:paraId="14640682" w14:textId="77777777" w:rsidR="00A147FC" w:rsidRPr="00AE665D" w:rsidRDefault="00A147FC" w:rsidP="00630831">
            <w:pPr>
              <w:pStyle w:val="TableTextRight"/>
            </w:pPr>
            <w:r>
              <w:t>171</w:t>
            </w:r>
          </w:p>
        </w:tc>
        <w:tc>
          <w:tcPr>
            <w:tcW w:w="827" w:type="pct"/>
            <w:shd w:val="clear" w:color="auto" w:fill="F2F2F2" w:themeFill="background1" w:themeFillShade="F2"/>
            <w:noWrap/>
            <w:hideMark/>
          </w:tcPr>
          <w:p w14:paraId="5C5A5CED" w14:textId="77777777" w:rsidR="00A147FC" w:rsidRPr="00AE665D" w:rsidRDefault="00A147FC" w:rsidP="00630831">
            <w:pPr>
              <w:pStyle w:val="TableTextRight"/>
            </w:pPr>
            <w:r>
              <w:t>163</w:t>
            </w:r>
          </w:p>
        </w:tc>
      </w:tr>
      <w:tr w:rsidR="00A147FC" w:rsidRPr="00542501" w14:paraId="48A2C05D" w14:textId="77777777" w:rsidTr="003C2549">
        <w:tc>
          <w:tcPr>
            <w:tcW w:w="3346" w:type="pct"/>
            <w:shd w:val="clear" w:color="auto" w:fill="F2F2F2" w:themeFill="background1" w:themeFillShade="F2"/>
            <w:noWrap/>
            <w:hideMark/>
          </w:tcPr>
          <w:p w14:paraId="085777E1" w14:textId="77777777" w:rsidR="00A147FC" w:rsidRPr="0024774C" w:rsidRDefault="00A147FC" w:rsidP="00630831">
            <w:pPr>
              <w:pStyle w:val="TableTextLeft"/>
              <w:rPr>
                <w:b/>
                <w:bCs/>
              </w:rPr>
            </w:pPr>
            <w:r w:rsidRPr="0024774C">
              <w:rPr>
                <w:b/>
                <w:bCs/>
              </w:rPr>
              <w:t>Commonwealth contributions and interest paid</w:t>
            </w:r>
          </w:p>
        </w:tc>
        <w:tc>
          <w:tcPr>
            <w:tcW w:w="827" w:type="pct"/>
            <w:shd w:val="clear" w:color="auto" w:fill="F2F2F2" w:themeFill="background1" w:themeFillShade="F2"/>
            <w:noWrap/>
          </w:tcPr>
          <w:p w14:paraId="1E9E9BBA" w14:textId="77777777" w:rsidR="00A147FC" w:rsidRPr="00AE665D" w:rsidRDefault="00A147FC" w:rsidP="00630831">
            <w:pPr>
              <w:pStyle w:val="TableTextRight"/>
            </w:pPr>
            <w:r>
              <w:t>7</w:t>
            </w:r>
          </w:p>
        </w:tc>
        <w:tc>
          <w:tcPr>
            <w:tcW w:w="827" w:type="pct"/>
            <w:shd w:val="clear" w:color="auto" w:fill="F2F2F2" w:themeFill="background1" w:themeFillShade="F2"/>
            <w:noWrap/>
            <w:hideMark/>
          </w:tcPr>
          <w:p w14:paraId="45C8EFC2" w14:textId="77777777" w:rsidR="00A147FC" w:rsidRPr="00AE665D" w:rsidRDefault="00A147FC" w:rsidP="00630831">
            <w:pPr>
              <w:pStyle w:val="TableTextRight"/>
            </w:pPr>
            <w:r>
              <w:t>7</w:t>
            </w:r>
            <w:r w:rsidRPr="00AE665D">
              <w:t xml:space="preserve"> </w:t>
            </w:r>
          </w:p>
        </w:tc>
      </w:tr>
      <w:tr w:rsidR="00A147FC" w:rsidRPr="00542501" w14:paraId="6F97DDFD" w14:textId="77777777" w:rsidTr="003C2549">
        <w:tc>
          <w:tcPr>
            <w:tcW w:w="3346" w:type="pct"/>
            <w:shd w:val="clear" w:color="auto" w:fill="F2F2F2" w:themeFill="background1" w:themeFillShade="F2"/>
            <w:noWrap/>
            <w:hideMark/>
          </w:tcPr>
          <w:p w14:paraId="26BA964A" w14:textId="77777777" w:rsidR="00A147FC" w:rsidRPr="0024774C" w:rsidRDefault="00A147FC" w:rsidP="00630831">
            <w:pPr>
              <w:pStyle w:val="TableTextLeft"/>
            </w:pPr>
            <w:r w:rsidRPr="0024774C">
              <w:t>State contributions</w:t>
            </w:r>
          </w:p>
        </w:tc>
        <w:tc>
          <w:tcPr>
            <w:tcW w:w="827" w:type="pct"/>
            <w:shd w:val="clear" w:color="auto" w:fill="F2F2F2" w:themeFill="background1" w:themeFillShade="F2"/>
            <w:noWrap/>
          </w:tcPr>
          <w:p w14:paraId="5F245AF0" w14:textId="77777777" w:rsidR="00A147FC" w:rsidRPr="00AE665D" w:rsidRDefault="00A147FC" w:rsidP="00630831">
            <w:pPr>
              <w:pStyle w:val="TableTextRight"/>
            </w:pPr>
            <w:r>
              <w:noBreakHyphen/>
            </w:r>
          </w:p>
        </w:tc>
        <w:tc>
          <w:tcPr>
            <w:tcW w:w="827" w:type="pct"/>
            <w:shd w:val="clear" w:color="auto" w:fill="F2F2F2" w:themeFill="background1" w:themeFillShade="F2"/>
            <w:noWrap/>
            <w:hideMark/>
          </w:tcPr>
          <w:p w14:paraId="10C1A306" w14:textId="77777777" w:rsidR="00A147FC" w:rsidRPr="00AE665D" w:rsidRDefault="00A147FC" w:rsidP="00630831">
            <w:pPr>
              <w:pStyle w:val="TableTextRight"/>
            </w:pPr>
            <w:r>
              <w:t>1</w:t>
            </w:r>
            <w:r w:rsidRPr="00AE665D">
              <w:t xml:space="preserve"> </w:t>
            </w:r>
          </w:p>
        </w:tc>
      </w:tr>
      <w:tr w:rsidR="00A147FC" w:rsidRPr="00542501" w14:paraId="150EFF8A" w14:textId="77777777" w:rsidTr="003C2549">
        <w:tc>
          <w:tcPr>
            <w:tcW w:w="3346" w:type="pct"/>
            <w:shd w:val="clear" w:color="auto" w:fill="F2F2F2" w:themeFill="background1" w:themeFillShade="F2"/>
            <w:noWrap/>
            <w:hideMark/>
          </w:tcPr>
          <w:p w14:paraId="302C37AF" w14:textId="77777777" w:rsidR="00A147FC" w:rsidRPr="0024774C" w:rsidRDefault="00A147FC" w:rsidP="00630831">
            <w:pPr>
              <w:pStyle w:val="TableTextLeft"/>
              <w:rPr>
                <w:b/>
                <w:bCs/>
              </w:rPr>
            </w:pPr>
            <w:r w:rsidRPr="0024774C">
              <w:rPr>
                <w:b/>
                <w:bCs/>
              </w:rPr>
              <w:t>Closing balance</w:t>
            </w:r>
          </w:p>
        </w:tc>
        <w:tc>
          <w:tcPr>
            <w:tcW w:w="827" w:type="pct"/>
            <w:shd w:val="clear" w:color="auto" w:fill="F2F2F2" w:themeFill="background1" w:themeFillShade="F2"/>
            <w:noWrap/>
          </w:tcPr>
          <w:p w14:paraId="2B610952" w14:textId="77777777" w:rsidR="00A147FC" w:rsidRPr="00936AA0" w:rsidRDefault="00A147FC" w:rsidP="00630831">
            <w:pPr>
              <w:pStyle w:val="TableTextRight"/>
              <w:rPr>
                <w:b/>
                <w:bCs/>
              </w:rPr>
            </w:pPr>
            <w:r w:rsidRPr="00936AA0">
              <w:rPr>
                <w:b/>
                <w:bCs/>
              </w:rPr>
              <w:t>178</w:t>
            </w:r>
          </w:p>
        </w:tc>
        <w:tc>
          <w:tcPr>
            <w:tcW w:w="827" w:type="pct"/>
            <w:shd w:val="clear" w:color="auto" w:fill="F2F2F2" w:themeFill="background1" w:themeFillShade="F2"/>
            <w:noWrap/>
            <w:hideMark/>
          </w:tcPr>
          <w:p w14:paraId="44AF52F9" w14:textId="77777777" w:rsidR="00A147FC" w:rsidRPr="0024774C" w:rsidRDefault="00A147FC" w:rsidP="00630831">
            <w:pPr>
              <w:pStyle w:val="TableTextRight"/>
              <w:rPr>
                <w:b/>
                <w:bCs/>
              </w:rPr>
            </w:pPr>
            <w:r w:rsidRPr="0024774C">
              <w:rPr>
                <w:b/>
                <w:bCs/>
              </w:rPr>
              <w:t>171</w:t>
            </w:r>
          </w:p>
        </w:tc>
      </w:tr>
      <w:tr w:rsidR="00A147FC" w:rsidRPr="00542501" w14:paraId="079565F8" w14:textId="77777777" w:rsidTr="003C2549">
        <w:tc>
          <w:tcPr>
            <w:tcW w:w="3346" w:type="pct"/>
            <w:shd w:val="clear" w:color="auto" w:fill="F2F2F2" w:themeFill="background1" w:themeFillShade="F2"/>
            <w:hideMark/>
          </w:tcPr>
          <w:p w14:paraId="7B6E05E1" w14:textId="77777777" w:rsidR="00A147FC" w:rsidRPr="00D92452" w:rsidRDefault="00A147FC" w:rsidP="00630831">
            <w:pPr>
              <w:pStyle w:val="TableTextLeft"/>
              <w:rPr>
                <w:b/>
                <w:bCs/>
              </w:rPr>
            </w:pPr>
            <w:r w:rsidRPr="00D92452">
              <w:rPr>
                <w:b/>
                <w:bCs/>
              </w:rPr>
              <w:t>Balance represented by:</w:t>
            </w:r>
          </w:p>
        </w:tc>
        <w:tc>
          <w:tcPr>
            <w:tcW w:w="827" w:type="pct"/>
            <w:shd w:val="clear" w:color="auto" w:fill="F2F2F2" w:themeFill="background1" w:themeFillShade="F2"/>
            <w:noWrap/>
          </w:tcPr>
          <w:p w14:paraId="46E48425" w14:textId="77777777" w:rsidR="00A147FC" w:rsidRPr="00936AA0" w:rsidRDefault="00A147FC" w:rsidP="00630831">
            <w:pPr>
              <w:pStyle w:val="TableTextRight"/>
              <w:rPr>
                <w:b/>
                <w:bCs/>
              </w:rPr>
            </w:pPr>
          </w:p>
        </w:tc>
        <w:tc>
          <w:tcPr>
            <w:tcW w:w="827" w:type="pct"/>
            <w:shd w:val="clear" w:color="auto" w:fill="F2F2F2" w:themeFill="background1" w:themeFillShade="F2"/>
            <w:noWrap/>
            <w:hideMark/>
          </w:tcPr>
          <w:p w14:paraId="47AE5F93" w14:textId="77777777" w:rsidR="00A147FC" w:rsidRPr="00AE665D" w:rsidRDefault="00A147FC" w:rsidP="00630831">
            <w:pPr>
              <w:pStyle w:val="TableTextRight"/>
            </w:pPr>
            <w:r w:rsidRPr="00AE665D">
              <w:rPr>
                <w:rStyle w:val="Strong"/>
              </w:rPr>
              <w:t> </w:t>
            </w:r>
          </w:p>
        </w:tc>
      </w:tr>
      <w:tr w:rsidR="00A147FC" w:rsidRPr="00542501" w14:paraId="7BD370E0" w14:textId="77777777" w:rsidTr="003C2549">
        <w:tc>
          <w:tcPr>
            <w:tcW w:w="3346" w:type="pct"/>
            <w:shd w:val="clear" w:color="auto" w:fill="F2F2F2" w:themeFill="background1" w:themeFillShade="F2"/>
            <w:noWrap/>
            <w:hideMark/>
          </w:tcPr>
          <w:p w14:paraId="09758D39" w14:textId="77777777" w:rsidR="00A147FC" w:rsidRPr="0024774C" w:rsidRDefault="00A147FC" w:rsidP="00630831">
            <w:pPr>
              <w:pStyle w:val="TableTextLeft"/>
            </w:pPr>
            <w:r w:rsidRPr="0024774C">
              <w:t>Cash – held in the Official Public Account</w:t>
            </w:r>
          </w:p>
        </w:tc>
        <w:tc>
          <w:tcPr>
            <w:tcW w:w="827" w:type="pct"/>
            <w:shd w:val="clear" w:color="auto" w:fill="F2F2F2" w:themeFill="background1" w:themeFillShade="F2"/>
            <w:noWrap/>
          </w:tcPr>
          <w:p w14:paraId="7DB78B09" w14:textId="77777777" w:rsidR="00A147FC" w:rsidRPr="00AE665D" w:rsidRDefault="00A147FC" w:rsidP="00630831">
            <w:pPr>
              <w:pStyle w:val="TableTextRight"/>
            </w:pPr>
            <w:r>
              <w:t>178</w:t>
            </w:r>
          </w:p>
        </w:tc>
        <w:tc>
          <w:tcPr>
            <w:tcW w:w="827" w:type="pct"/>
            <w:shd w:val="clear" w:color="auto" w:fill="F2F2F2" w:themeFill="background1" w:themeFillShade="F2"/>
            <w:noWrap/>
            <w:hideMark/>
          </w:tcPr>
          <w:p w14:paraId="055DD57B" w14:textId="77777777" w:rsidR="00A147FC" w:rsidRPr="00AE665D" w:rsidRDefault="00A147FC" w:rsidP="00630831">
            <w:pPr>
              <w:pStyle w:val="TableTextRight"/>
            </w:pPr>
            <w:r>
              <w:t>171</w:t>
            </w:r>
            <w:r w:rsidRPr="00AE665D">
              <w:t xml:space="preserve"> </w:t>
            </w:r>
          </w:p>
        </w:tc>
      </w:tr>
    </w:tbl>
    <w:p w14:paraId="799E2D1E" w14:textId="77777777" w:rsidR="00A147FC" w:rsidRPr="006534F5" w:rsidRDefault="00A147FC" w:rsidP="00A147FC">
      <w:pPr>
        <w:pStyle w:val="FootnoteList"/>
        <w:keepNext/>
        <w:keepLines/>
        <w:numPr>
          <w:ilvl w:val="0"/>
          <w:numId w:val="0"/>
        </w:numPr>
        <w:ind w:left="284" w:hanging="284"/>
      </w:pPr>
    </w:p>
    <w:p w14:paraId="4435DFE5" w14:textId="77777777" w:rsidR="00A147FC" w:rsidRDefault="00A147FC" w:rsidP="00A147FC">
      <w:r>
        <w:t xml:space="preserve">The </w:t>
      </w:r>
      <w:r w:rsidRPr="00565C17">
        <w:t xml:space="preserve">purpose </w:t>
      </w:r>
      <w:r>
        <w:t xml:space="preserve">of the DRRTA </w:t>
      </w:r>
      <w:r w:rsidRPr="00565C17">
        <w:t xml:space="preserve">is to fund the redemption of the </w:t>
      </w:r>
      <w:r>
        <w:t>s</w:t>
      </w:r>
      <w:r w:rsidRPr="00565C17">
        <w:t xml:space="preserve">tate and </w:t>
      </w:r>
      <w:r>
        <w:t>t</w:t>
      </w:r>
      <w:r w:rsidRPr="00565C17">
        <w:t xml:space="preserve">erritory debt governed by the </w:t>
      </w:r>
      <w:r w:rsidRPr="00565C17">
        <w:rPr>
          <w:i/>
          <w:iCs/>
        </w:rPr>
        <w:t>Financial Agreement Act 1994</w:t>
      </w:r>
      <w:r w:rsidRPr="00565C17">
        <w:t xml:space="preserve">. Monies standing to the credit of the DRRTA are held on behalf of New South Wales and Victoria. These monies are held for the purposes prescribed by the </w:t>
      </w:r>
      <w:r w:rsidRPr="00565C17">
        <w:rPr>
          <w:i/>
          <w:iCs/>
        </w:rPr>
        <w:t>Financial Agreement Act 1994</w:t>
      </w:r>
      <w:r w:rsidRPr="00565C17">
        <w:t>.</w:t>
      </w:r>
      <w:r>
        <w:t xml:space="preserve"> The account was established under the </w:t>
      </w:r>
      <w:r w:rsidRPr="00565C17">
        <w:rPr>
          <w:i/>
          <w:iCs/>
        </w:rPr>
        <w:t>Public Governance, Performance and Accountability Act 2013</w:t>
      </w:r>
      <w:r>
        <w:rPr>
          <w:i/>
          <w:iCs/>
        </w:rPr>
        <w:t>.</w:t>
      </w:r>
    </w:p>
    <w:p w14:paraId="61DB21BE" w14:textId="77777777" w:rsidR="00A147FC" w:rsidRDefault="00A147FC" w:rsidP="00A147FC">
      <w:pPr>
        <w:spacing w:after="0" w:line="240" w:lineRule="auto"/>
        <w:rPr>
          <w:bCs/>
          <w:iCs/>
        </w:rPr>
      </w:pPr>
      <w:r>
        <w:br w:type="page"/>
      </w:r>
    </w:p>
    <w:p w14:paraId="027659D4" w14:textId="77777777" w:rsidR="00391DDA" w:rsidRPr="006534F5" w:rsidRDefault="00391DDA" w:rsidP="00391DDA">
      <w:pPr>
        <w:pStyle w:val="Heading2"/>
        <w:rPr>
          <w:lang w:eastAsia="en-AU"/>
        </w:rPr>
      </w:pPr>
      <w:bookmarkStart w:id="1754" w:name="_Toc146112257"/>
      <w:bookmarkStart w:id="1755" w:name="_Toc207792940"/>
      <w:bookmarkStart w:id="1756" w:name="_Toc207793980"/>
      <w:bookmarkStart w:id="1757" w:name="_Toc207796149"/>
      <w:bookmarkStart w:id="1758" w:name="_Toc207796984"/>
      <w:bookmarkStart w:id="1759" w:name="_Toc207800287"/>
      <w:bookmarkStart w:id="1760" w:name="_Toc207810865"/>
      <w:bookmarkStart w:id="1761" w:name="_Toc208914145"/>
      <w:bookmarkStart w:id="1762" w:name="_Toc209424542"/>
      <w:r w:rsidRPr="006534F5">
        <w:lastRenderedPageBreak/>
        <w:t>Note 1</w:t>
      </w:r>
      <w:r>
        <w:t>0</w:t>
      </w:r>
      <w:r w:rsidRPr="006534F5">
        <w:t xml:space="preserve">: </w:t>
      </w:r>
      <w:r>
        <w:t xml:space="preserve">Administered </w:t>
      </w:r>
      <w:bookmarkEnd w:id="1754"/>
      <w:r>
        <w:t>budget variances</w:t>
      </w:r>
      <w:bookmarkEnd w:id="1755"/>
      <w:bookmarkEnd w:id="1756"/>
      <w:bookmarkEnd w:id="1757"/>
      <w:bookmarkEnd w:id="1758"/>
      <w:bookmarkEnd w:id="1759"/>
      <w:bookmarkEnd w:id="1760"/>
      <w:bookmarkEnd w:id="1761"/>
      <w:bookmarkEnd w:id="1762"/>
    </w:p>
    <w:p w14:paraId="1160BF55" w14:textId="77777777" w:rsidR="00391DDA" w:rsidRPr="00565C17" w:rsidRDefault="00391DDA" w:rsidP="00391DDA">
      <w:r w:rsidRPr="00565C17">
        <w:t xml:space="preserve">The projections of debt issuance and asset holdings are a consequence of the expenditure, investment and revenue decisions and assumptions made by the </w:t>
      </w:r>
      <w:r>
        <w:t>G</w:t>
      </w:r>
      <w:r w:rsidRPr="00565C17">
        <w:t>overnment in producing its Budget together with estimates of debt to mature during the period. As part of the Budget process, the AOFM receives an estimate of the aggregated annual financing task for the Budget year and forward years from the Treasury. The annual financing task, plus the volume of maturing AGS and planned early repurchases of AGS (that would otherwise mature in a future year), are central to determining the size of the planned issuance program in each year.</w:t>
      </w:r>
    </w:p>
    <w:p w14:paraId="4798E4E4" w14:textId="77777777" w:rsidR="00391DDA" w:rsidRPr="00565C17" w:rsidRDefault="00391DDA" w:rsidP="00391DDA">
      <w:r w:rsidRPr="00565C17">
        <w:t xml:space="preserve">The volume of AGS that needs to be issued in face value terms to generate the required level of financing will depend on the level of AGS yields and the chosen maturities and mix of debt to be issued. These decisions are based on the debt management strategy, which </w:t>
      </w:r>
      <w:proofErr w:type="gramStart"/>
      <w:r w:rsidRPr="00565C17">
        <w:t>takes into account</w:t>
      </w:r>
      <w:proofErr w:type="gramEnd"/>
      <w:r w:rsidRPr="00565C17">
        <w:t xml:space="preserve"> longer term portfolio considerations.</w:t>
      </w:r>
    </w:p>
    <w:p w14:paraId="4F91D478" w14:textId="77777777" w:rsidR="00391DDA" w:rsidRDefault="00391DDA" w:rsidP="00391DDA">
      <w:r w:rsidRPr="00565C17">
        <w:t>It is assumed that the future AGS yields for different tenors will be the same as the prevailing market rates at the time the Budget estimates are prepared.</w:t>
      </w:r>
    </w:p>
    <w:p w14:paraId="2890F109" w14:textId="77777777" w:rsidR="00391DDA" w:rsidRDefault="00391DDA" w:rsidP="00391DDA">
      <w:r w:rsidRPr="003C7137">
        <w:t xml:space="preserve">The </w:t>
      </w:r>
      <w:r>
        <w:t>following provides explanations for significant variances between AOFM’s original Budget estimates, as published in the 2024</w:t>
      </w:r>
      <w:r w:rsidRPr="00B235A9">
        <w:t>–</w:t>
      </w:r>
      <w:r>
        <w:t>25 Portfolio Budget Statements, and the actual financial performance and position for the year.</w:t>
      </w:r>
    </w:p>
    <w:tbl>
      <w:tblPr>
        <w:tblStyle w:val="AOFMTablemain"/>
        <w:tblW w:w="5000" w:type="pct"/>
        <w:tblLook w:val="06A0" w:firstRow="1" w:lastRow="0" w:firstColumn="1" w:lastColumn="0" w:noHBand="1" w:noVBand="1"/>
      </w:tblPr>
      <w:tblGrid>
        <w:gridCol w:w="3686"/>
        <w:gridCol w:w="4025"/>
      </w:tblGrid>
      <w:tr w:rsidR="00391DDA" w:rsidRPr="00232660" w14:paraId="4443E2A4" w14:textId="77777777" w:rsidTr="00EC03D4">
        <w:trPr>
          <w:cnfStyle w:val="100000000000" w:firstRow="1" w:lastRow="0" w:firstColumn="0" w:lastColumn="0" w:oddVBand="0" w:evenVBand="0" w:oddHBand="0" w:evenHBand="0" w:firstRowFirstColumn="0" w:firstRowLastColumn="0" w:lastRowFirstColumn="0" w:lastRowLastColumn="0"/>
        </w:trPr>
        <w:tc>
          <w:tcPr>
            <w:tcW w:w="3671" w:type="dxa"/>
          </w:tcPr>
          <w:p w14:paraId="5B7BC042" w14:textId="77777777" w:rsidR="00391DDA" w:rsidRPr="00232660" w:rsidRDefault="00391DDA" w:rsidP="00630831">
            <w:pPr>
              <w:pStyle w:val="TableColumnHeadingLeft"/>
            </w:pPr>
            <w:r w:rsidRPr="00232660">
              <w:t>Explanations of major variances</w:t>
            </w:r>
          </w:p>
        </w:tc>
        <w:tc>
          <w:tcPr>
            <w:tcW w:w="4009" w:type="dxa"/>
          </w:tcPr>
          <w:p w14:paraId="358B8396" w14:textId="77777777" w:rsidR="00391DDA" w:rsidRPr="00232660" w:rsidRDefault="00391DDA" w:rsidP="00630831">
            <w:pPr>
              <w:pStyle w:val="TableColumnHeadingLeft"/>
            </w:pPr>
            <w:r w:rsidRPr="00232660">
              <w:t>Affected line items</w:t>
            </w:r>
          </w:p>
        </w:tc>
      </w:tr>
      <w:tr w:rsidR="00391DDA" w:rsidRPr="00232660" w14:paraId="2FD5E4D1" w14:textId="77777777" w:rsidTr="003C2549">
        <w:tc>
          <w:tcPr>
            <w:tcW w:w="3671" w:type="dxa"/>
            <w:shd w:val="clear" w:color="auto" w:fill="F2F2F2" w:themeFill="background1" w:themeFillShade="F2"/>
          </w:tcPr>
          <w:p w14:paraId="7B5A7C8D" w14:textId="77777777" w:rsidR="00391DDA" w:rsidRPr="00A52EBA" w:rsidRDefault="00391DDA" w:rsidP="00630831">
            <w:pPr>
              <w:pStyle w:val="TableTextLeft"/>
            </w:pPr>
            <w:r w:rsidRPr="00A52EBA">
              <w:t>Interest expense for Treasury Indexed Bonds was $261 million lower than forecast at the 2024–25 Budget due to lower capital accretion (indexation) recognised based on lower inflation rates.</w:t>
            </w:r>
          </w:p>
        </w:tc>
        <w:tc>
          <w:tcPr>
            <w:tcW w:w="4009" w:type="dxa"/>
            <w:shd w:val="clear" w:color="auto" w:fill="F2F2F2" w:themeFill="background1" w:themeFillShade="F2"/>
          </w:tcPr>
          <w:p w14:paraId="5969184B" w14:textId="77777777" w:rsidR="00391DDA" w:rsidRPr="00A52EBA" w:rsidRDefault="00391DDA" w:rsidP="00630831">
            <w:pPr>
              <w:pStyle w:val="TableTextLeft"/>
            </w:pPr>
            <w:r w:rsidRPr="00A52EBA">
              <w:t>Interest Expense: Treasury Indexed Bonds – Administered schedule of comprehensive income</w:t>
            </w:r>
          </w:p>
        </w:tc>
      </w:tr>
      <w:tr w:rsidR="00391DDA" w:rsidRPr="00232660" w14:paraId="052C9F3E" w14:textId="77777777" w:rsidTr="003C2549">
        <w:tc>
          <w:tcPr>
            <w:tcW w:w="3671" w:type="dxa"/>
            <w:shd w:val="clear" w:color="auto" w:fill="F2F2F2" w:themeFill="background1" w:themeFillShade="F2"/>
          </w:tcPr>
          <w:p w14:paraId="3BB7EB29" w14:textId="77777777" w:rsidR="00391DDA" w:rsidRPr="00A52EBA" w:rsidRDefault="00391DDA" w:rsidP="00630831">
            <w:pPr>
              <w:pStyle w:val="TableTextLeft"/>
            </w:pPr>
            <w:r w:rsidRPr="00A52EBA">
              <w:t xml:space="preserve">Interest income from cash and deposits was $900 million higher than forecast at the 2024–25 Budget due to </w:t>
            </w:r>
            <w:proofErr w:type="gramStart"/>
            <w:r w:rsidRPr="00A52EBA">
              <w:t>higher than expected</w:t>
            </w:r>
            <w:proofErr w:type="gramEnd"/>
            <w:r w:rsidRPr="00A52EBA">
              <w:t xml:space="preserve"> balances held in the cash management account during the year.</w:t>
            </w:r>
          </w:p>
          <w:p w14:paraId="19C55771" w14:textId="77777777" w:rsidR="00391DDA" w:rsidRPr="00A52EBA" w:rsidRDefault="00391DDA" w:rsidP="00630831">
            <w:pPr>
              <w:pStyle w:val="TableTextLeft"/>
            </w:pPr>
            <w:r w:rsidRPr="00A52EBA">
              <w:t xml:space="preserve">The cash held in the cash management account was $18 billion higher at year end than forecast at the 2024–25 Budget. </w:t>
            </w:r>
          </w:p>
        </w:tc>
        <w:tc>
          <w:tcPr>
            <w:tcW w:w="4009" w:type="dxa"/>
            <w:shd w:val="clear" w:color="auto" w:fill="F2F2F2" w:themeFill="background1" w:themeFillShade="F2"/>
          </w:tcPr>
          <w:p w14:paraId="42B851D5" w14:textId="77777777" w:rsidR="00391DDA" w:rsidRPr="00A52EBA" w:rsidRDefault="00391DDA" w:rsidP="00630831">
            <w:pPr>
              <w:pStyle w:val="TableTextLeft"/>
            </w:pPr>
            <w:r w:rsidRPr="00A52EBA">
              <w:t>Interest income: Cash and deposits – Administered schedule of comprehensive income</w:t>
            </w:r>
          </w:p>
          <w:p w14:paraId="342832AB" w14:textId="77777777" w:rsidR="00391DDA" w:rsidRPr="00A52EBA" w:rsidRDefault="00391DDA" w:rsidP="00630831">
            <w:pPr>
              <w:pStyle w:val="TableTextLeft"/>
            </w:pPr>
            <w:r w:rsidRPr="00A52EBA">
              <w:t>Financial assets: Cash held in the cash management account – Administered schedule of assets and liabilities</w:t>
            </w:r>
          </w:p>
        </w:tc>
      </w:tr>
      <w:tr w:rsidR="00391DDA" w:rsidRPr="00232660" w14:paraId="0621F0A5" w14:textId="77777777" w:rsidTr="003C2549">
        <w:tc>
          <w:tcPr>
            <w:tcW w:w="3671" w:type="dxa"/>
            <w:shd w:val="clear" w:color="auto" w:fill="F2F2F2" w:themeFill="background1" w:themeFillShade="F2"/>
          </w:tcPr>
          <w:p w14:paraId="1BE5CE30" w14:textId="77777777" w:rsidR="00391DDA" w:rsidRPr="00A52EBA" w:rsidRDefault="00391DDA" w:rsidP="00630831">
            <w:pPr>
              <w:pStyle w:val="TableTextLeft"/>
            </w:pPr>
            <w:r w:rsidRPr="00A52EBA">
              <w:t>The net re</w:t>
            </w:r>
            <w:r w:rsidRPr="00A52EBA">
              <w:noBreakHyphen/>
              <w:t>measurement loss on Treasury Bonds was $14 billion higher than forecast at the 2024–25 Budget due to lower market rates at year end increasing the valuation.</w:t>
            </w:r>
          </w:p>
          <w:p w14:paraId="5A23D7E9" w14:textId="77777777" w:rsidR="00391DDA" w:rsidRPr="00A52EBA" w:rsidRDefault="00391DDA" w:rsidP="00630831">
            <w:pPr>
              <w:pStyle w:val="TableTextLeft"/>
            </w:pPr>
            <w:r w:rsidRPr="00A52EBA">
              <w:t xml:space="preserve">The fair value of Treasury Bonds </w:t>
            </w:r>
            <w:proofErr w:type="gramStart"/>
            <w:r w:rsidRPr="00A52EBA">
              <w:t>at</w:t>
            </w:r>
            <w:proofErr w:type="gramEnd"/>
            <w:r w:rsidRPr="00A52EBA">
              <w:t xml:space="preserve"> 30 June 2025 was $15 billion higher than forecast at the 2024–</w:t>
            </w:r>
            <w:r>
              <w:t>‍</w:t>
            </w:r>
            <w:r w:rsidRPr="00A52EBA">
              <w:t>25 Budget</w:t>
            </w:r>
          </w:p>
        </w:tc>
        <w:tc>
          <w:tcPr>
            <w:tcW w:w="4009" w:type="dxa"/>
            <w:shd w:val="clear" w:color="auto" w:fill="F2F2F2" w:themeFill="background1" w:themeFillShade="F2"/>
          </w:tcPr>
          <w:p w14:paraId="2C1EE2A2" w14:textId="77777777" w:rsidR="00391DDA" w:rsidRPr="00A52EBA" w:rsidRDefault="00391DDA" w:rsidP="00630831">
            <w:pPr>
              <w:pStyle w:val="TableTextLeft"/>
            </w:pPr>
            <w:r w:rsidRPr="00A52EBA">
              <w:t>Re</w:t>
            </w:r>
            <w:r w:rsidRPr="00A52EBA">
              <w:noBreakHyphen/>
              <w:t>measurements: Treasury Bonds – Administered schedule of comprehensive income</w:t>
            </w:r>
          </w:p>
          <w:p w14:paraId="37E9244A" w14:textId="77777777" w:rsidR="00391DDA" w:rsidRPr="00A52EBA" w:rsidRDefault="00391DDA" w:rsidP="00630831">
            <w:pPr>
              <w:pStyle w:val="TableTextLeft"/>
            </w:pPr>
            <w:r w:rsidRPr="00A52EBA">
              <w:t>Interest bearing liabilities at fair value: Treasury Bonds</w:t>
            </w:r>
            <w:r>
              <w:t>‍</w:t>
            </w:r>
            <w:r w:rsidRPr="00A52EBA">
              <w:t>– Administered schedule of assets and liabilities</w:t>
            </w:r>
          </w:p>
        </w:tc>
      </w:tr>
    </w:tbl>
    <w:p w14:paraId="5F19A189" w14:textId="77777777" w:rsidR="00391DDA" w:rsidRDefault="00391DDA" w:rsidP="00391DDA"/>
    <w:p w14:paraId="499111C9" w14:textId="77777777" w:rsidR="00391DDA" w:rsidRPr="006534F5" w:rsidRDefault="00391DDA" w:rsidP="00391DDA">
      <w:pPr>
        <w:pStyle w:val="Heading2"/>
        <w:rPr>
          <w:iCs/>
        </w:rPr>
      </w:pPr>
      <w:bookmarkStart w:id="1763" w:name="_Toc207792941"/>
      <w:bookmarkStart w:id="1764" w:name="_Toc207793981"/>
      <w:bookmarkStart w:id="1765" w:name="_Toc207796150"/>
      <w:bookmarkStart w:id="1766" w:name="_Toc207796985"/>
      <w:bookmarkStart w:id="1767" w:name="_Toc207800288"/>
      <w:bookmarkStart w:id="1768" w:name="_Toc207810866"/>
      <w:bookmarkStart w:id="1769" w:name="_Toc208914146"/>
      <w:bookmarkStart w:id="1770" w:name="_Toc209424543"/>
      <w:r w:rsidRPr="006534F5">
        <w:lastRenderedPageBreak/>
        <w:t>Note 1</w:t>
      </w:r>
      <w:r>
        <w:t>1</w:t>
      </w:r>
      <w:r w:rsidRPr="006534F5">
        <w:t>: Securities lending facility</w:t>
      </w:r>
      <w:bookmarkEnd w:id="1763"/>
      <w:bookmarkEnd w:id="1764"/>
      <w:bookmarkEnd w:id="1765"/>
      <w:bookmarkEnd w:id="1766"/>
      <w:bookmarkEnd w:id="1767"/>
      <w:bookmarkEnd w:id="1768"/>
      <w:bookmarkEnd w:id="1769"/>
      <w:bookmarkEnd w:id="1770"/>
    </w:p>
    <w:p w14:paraId="5D642149" w14:textId="77777777" w:rsidR="00391DDA" w:rsidRPr="00986692" w:rsidRDefault="00391DDA" w:rsidP="00391DDA">
      <w:r w:rsidRPr="00986692">
        <w:t>The AOFM has a securities lending facility for Treasury Bonds and Treasury Indexed Bonds, which is operated by the RBA.</w:t>
      </w:r>
    </w:p>
    <w:p w14:paraId="655DE27B" w14:textId="77777777" w:rsidR="00391DDA" w:rsidRPr="00986692" w:rsidRDefault="00391DDA" w:rsidP="00391DDA">
      <w:r w:rsidRPr="00986692">
        <w:t>The purpose of the facility is to enhance the efficiency of the bond markets by allowing market participants to borrow Treasury Bonds and Treasury Indexed Bonds when they are not readily available. Bonds are lent on an intra</w:t>
      </w:r>
      <w:r w:rsidRPr="00986692">
        <w:noBreakHyphen/>
        <w:t xml:space="preserve">day or overnight basis. </w:t>
      </w:r>
    </w:p>
    <w:p w14:paraId="5DC67747" w14:textId="77777777" w:rsidR="00391DDA" w:rsidRPr="00986692" w:rsidRDefault="00391DDA" w:rsidP="00391DDA">
      <w:r w:rsidRPr="00986692">
        <w:t xml:space="preserve">Counterparties borrowing bonds through the facility must provide collateral in the form of cash or acceptable securities. </w:t>
      </w:r>
    </w:p>
    <w:p w14:paraId="21DABC88" w14:textId="77777777" w:rsidR="00391DDA" w:rsidRDefault="00391DDA" w:rsidP="006C4E07">
      <w:pPr>
        <w:pStyle w:val="TableMainHeading"/>
      </w:pPr>
      <w:r w:rsidRPr="006534F5">
        <w:t>Transactions completed during the period</w:t>
      </w:r>
    </w:p>
    <w:tbl>
      <w:tblPr>
        <w:tblStyle w:val="AOFMTablemain"/>
        <w:tblW w:w="0" w:type="auto"/>
        <w:tblLook w:val="06A0" w:firstRow="1" w:lastRow="0" w:firstColumn="1" w:lastColumn="0" w:noHBand="1" w:noVBand="1"/>
      </w:tblPr>
      <w:tblGrid>
        <w:gridCol w:w="1926"/>
        <w:gridCol w:w="1435"/>
        <w:gridCol w:w="1435"/>
        <w:gridCol w:w="1457"/>
        <w:gridCol w:w="1458"/>
      </w:tblGrid>
      <w:tr w:rsidR="000F35C5" w14:paraId="3493B819" w14:textId="77777777" w:rsidTr="000C2475">
        <w:trPr>
          <w:cnfStyle w:val="100000000000" w:firstRow="1" w:lastRow="0" w:firstColumn="0" w:lastColumn="0" w:oddVBand="0" w:evenVBand="0" w:oddHBand="0" w:evenHBand="0" w:firstRowFirstColumn="0" w:firstRowLastColumn="0" w:lastRowFirstColumn="0" w:lastRowLastColumn="0"/>
        </w:trPr>
        <w:tc>
          <w:tcPr>
            <w:tcW w:w="1985" w:type="dxa"/>
          </w:tcPr>
          <w:p w14:paraId="5F7F69CC" w14:textId="77777777" w:rsidR="000F35C5" w:rsidRDefault="000F35C5" w:rsidP="00630831">
            <w:pPr>
              <w:pStyle w:val="TableColumnHeadingRight"/>
            </w:pPr>
          </w:p>
        </w:tc>
        <w:tc>
          <w:tcPr>
            <w:tcW w:w="2970" w:type="dxa"/>
            <w:gridSpan w:val="2"/>
          </w:tcPr>
          <w:p w14:paraId="50B7B14F" w14:textId="22405846" w:rsidR="000F35C5" w:rsidRDefault="000F35C5" w:rsidP="000F35C5">
            <w:pPr>
              <w:pStyle w:val="TableColumnHeadingCentred"/>
            </w:pPr>
            <w:r>
              <w:t>Number</w:t>
            </w:r>
          </w:p>
        </w:tc>
        <w:tc>
          <w:tcPr>
            <w:tcW w:w="2971" w:type="dxa"/>
            <w:gridSpan w:val="2"/>
          </w:tcPr>
          <w:p w14:paraId="2951721E" w14:textId="5D6A85C6" w:rsidR="000F35C5" w:rsidRDefault="000F35C5" w:rsidP="000F35C5">
            <w:pPr>
              <w:pStyle w:val="TableColumnHeadingCentred"/>
            </w:pPr>
            <w:r>
              <w:t>Face value</w:t>
            </w:r>
          </w:p>
        </w:tc>
      </w:tr>
      <w:tr w:rsidR="00391DDA" w14:paraId="5F2906C5" w14:textId="77777777" w:rsidTr="000C2475">
        <w:tc>
          <w:tcPr>
            <w:tcW w:w="1985" w:type="dxa"/>
            <w:tcBorders>
              <w:top w:val="nil"/>
              <w:left w:val="nil"/>
              <w:bottom w:val="single" w:sz="4" w:space="0" w:color="29114B" w:themeColor="text2"/>
              <w:right w:val="nil"/>
            </w:tcBorders>
            <w:shd w:val="clear" w:color="auto" w:fill="472978" w:themeFill="accent1"/>
          </w:tcPr>
          <w:p w14:paraId="220A70B3" w14:textId="77777777" w:rsidR="00391DDA" w:rsidRDefault="00391DDA" w:rsidP="00630831">
            <w:pPr>
              <w:pStyle w:val="TableColumnHeadingRight"/>
            </w:pPr>
          </w:p>
        </w:tc>
        <w:tc>
          <w:tcPr>
            <w:tcW w:w="1485" w:type="dxa"/>
            <w:tcBorders>
              <w:top w:val="nil"/>
              <w:left w:val="nil"/>
              <w:bottom w:val="single" w:sz="4" w:space="0" w:color="29114B" w:themeColor="text2"/>
              <w:right w:val="nil"/>
            </w:tcBorders>
            <w:shd w:val="clear" w:color="auto" w:fill="472978" w:themeFill="accent1"/>
          </w:tcPr>
          <w:p w14:paraId="05923FCC" w14:textId="77777777" w:rsidR="00391DDA" w:rsidRDefault="00391DDA" w:rsidP="00630831">
            <w:pPr>
              <w:pStyle w:val="TableColumnHeadingRight"/>
            </w:pPr>
            <w:r w:rsidRPr="004813A2">
              <w:t>202</w:t>
            </w:r>
            <w:r>
              <w:t>5</w:t>
            </w:r>
            <w:r w:rsidRPr="004813A2">
              <w:t xml:space="preserve"> </w:t>
            </w:r>
          </w:p>
        </w:tc>
        <w:tc>
          <w:tcPr>
            <w:tcW w:w="1485" w:type="dxa"/>
            <w:tcBorders>
              <w:top w:val="nil"/>
              <w:left w:val="nil"/>
              <w:bottom w:val="single" w:sz="4" w:space="0" w:color="29114B" w:themeColor="text2"/>
              <w:right w:val="nil"/>
            </w:tcBorders>
            <w:shd w:val="clear" w:color="auto" w:fill="472978" w:themeFill="accent1"/>
          </w:tcPr>
          <w:p w14:paraId="56A6347F" w14:textId="77777777" w:rsidR="00391DDA" w:rsidRDefault="00391DDA" w:rsidP="00630831">
            <w:pPr>
              <w:pStyle w:val="TableColumnHeadingRight"/>
            </w:pPr>
            <w:r w:rsidRPr="004813A2">
              <w:t>202</w:t>
            </w:r>
            <w:r>
              <w:t>4</w:t>
            </w:r>
            <w:r w:rsidRPr="004813A2">
              <w:t xml:space="preserve"> </w:t>
            </w:r>
          </w:p>
        </w:tc>
        <w:tc>
          <w:tcPr>
            <w:tcW w:w="1485" w:type="dxa"/>
            <w:tcBorders>
              <w:top w:val="nil"/>
              <w:left w:val="nil"/>
              <w:bottom w:val="single" w:sz="4" w:space="0" w:color="29114B" w:themeColor="text2"/>
              <w:right w:val="nil"/>
            </w:tcBorders>
            <w:shd w:val="clear" w:color="auto" w:fill="472978" w:themeFill="accent1"/>
          </w:tcPr>
          <w:p w14:paraId="4138DF9A" w14:textId="77777777" w:rsidR="00391DDA" w:rsidRDefault="00391DDA" w:rsidP="00630831">
            <w:pPr>
              <w:pStyle w:val="TableColumnHeadingRight"/>
            </w:pPr>
            <w:r w:rsidRPr="004813A2">
              <w:t>202</w:t>
            </w:r>
            <w:r>
              <w:t>5 ($million)</w:t>
            </w:r>
            <w:r w:rsidRPr="004813A2">
              <w:t xml:space="preserve"> </w:t>
            </w:r>
          </w:p>
        </w:tc>
        <w:tc>
          <w:tcPr>
            <w:tcW w:w="1486" w:type="dxa"/>
            <w:tcBorders>
              <w:top w:val="nil"/>
              <w:left w:val="nil"/>
              <w:bottom w:val="single" w:sz="4" w:space="0" w:color="29114B" w:themeColor="text2"/>
              <w:right w:val="nil"/>
            </w:tcBorders>
            <w:shd w:val="clear" w:color="auto" w:fill="472978" w:themeFill="accent1"/>
          </w:tcPr>
          <w:p w14:paraId="3DE6ED43" w14:textId="77777777" w:rsidR="00391DDA" w:rsidRDefault="00391DDA" w:rsidP="00630831">
            <w:pPr>
              <w:pStyle w:val="TableColumnHeadingRight"/>
            </w:pPr>
            <w:r w:rsidRPr="004813A2">
              <w:t>202</w:t>
            </w:r>
            <w:r>
              <w:t>4 ($million)</w:t>
            </w:r>
          </w:p>
        </w:tc>
      </w:tr>
      <w:tr w:rsidR="00391DDA" w14:paraId="7FCF3581" w14:textId="77777777" w:rsidTr="003C2549">
        <w:tc>
          <w:tcPr>
            <w:tcW w:w="1985" w:type="dxa"/>
            <w:tcBorders>
              <w:top w:val="single" w:sz="4" w:space="0" w:color="29114B" w:themeColor="text2"/>
            </w:tcBorders>
            <w:shd w:val="clear" w:color="auto" w:fill="F2F2F2" w:themeFill="background1" w:themeFillShade="F2"/>
          </w:tcPr>
          <w:p w14:paraId="43F58ED4" w14:textId="77777777" w:rsidR="00391DDA" w:rsidRDefault="00391DDA" w:rsidP="00630831">
            <w:pPr>
              <w:pStyle w:val="TableTextLeft"/>
            </w:pPr>
            <w:r w:rsidRPr="006B04E4">
              <w:t>Overnight:</w:t>
            </w:r>
          </w:p>
        </w:tc>
        <w:tc>
          <w:tcPr>
            <w:tcW w:w="1485" w:type="dxa"/>
            <w:tcBorders>
              <w:top w:val="single" w:sz="4" w:space="0" w:color="29114B" w:themeColor="text2"/>
            </w:tcBorders>
            <w:shd w:val="clear" w:color="auto" w:fill="F2F2F2" w:themeFill="background1" w:themeFillShade="F2"/>
          </w:tcPr>
          <w:p w14:paraId="3E753DFF" w14:textId="77777777" w:rsidR="00391DDA" w:rsidRDefault="00391DDA" w:rsidP="00630831">
            <w:pPr>
              <w:pStyle w:val="TableTextRight"/>
            </w:pPr>
            <w:r w:rsidRPr="006534F5">
              <w:t> </w:t>
            </w:r>
          </w:p>
        </w:tc>
        <w:tc>
          <w:tcPr>
            <w:tcW w:w="1485" w:type="dxa"/>
            <w:tcBorders>
              <w:top w:val="single" w:sz="4" w:space="0" w:color="29114B" w:themeColor="text2"/>
            </w:tcBorders>
            <w:shd w:val="clear" w:color="auto" w:fill="F2F2F2" w:themeFill="background1" w:themeFillShade="F2"/>
          </w:tcPr>
          <w:p w14:paraId="32D83774" w14:textId="77777777" w:rsidR="00391DDA" w:rsidRDefault="00391DDA" w:rsidP="00630831">
            <w:pPr>
              <w:pStyle w:val="TableTextRight"/>
            </w:pPr>
            <w:r w:rsidRPr="006534F5">
              <w:t> </w:t>
            </w:r>
          </w:p>
        </w:tc>
        <w:tc>
          <w:tcPr>
            <w:tcW w:w="1485" w:type="dxa"/>
            <w:tcBorders>
              <w:top w:val="single" w:sz="4" w:space="0" w:color="29114B" w:themeColor="text2"/>
            </w:tcBorders>
            <w:shd w:val="clear" w:color="auto" w:fill="F2F2F2" w:themeFill="background1" w:themeFillShade="F2"/>
          </w:tcPr>
          <w:p w14:paraId="2BD4327C" w14:textId="77777777" w:rsidR="00391DDA" w:rsidRDefault="00391DDA" w:rsidP="00630831">
            <w:pPr>
              <w:pStyle w:val="TableTextRight"/>
            </w:pPr>
            <w:r w:rsidRPr="006534F5">
              <w:t> </w:t>
            </w:r>
          </w:p>
        </w:tc>
        <w:tc>
          <w:tcPr>
            <w:tcW w:w="1486" w:type="dxa"/>
            <w:tcBorders>
              <w:top w:val="single" w:sz="4" w:space="0" w:color="29114B" w:themeColor="text2"/>
            </w:tcBorders>
            <w:shd w:val="clear" w:color="auto" w:fill="F2F2F2" w:themeFill="background1" w:themeFillShade="F2"/>
          </w:tcPr>
          <w:p w14:paraId="06A1949E" w14:textId="77777777" w:rsidR="00391DDA" w:rsidRDefault="00391DDA" w:rsidP="00630831">
            <w:pPr>
              <w:pStyle w:val="TableTextRight"/>
            </w:pPr>
            <w:r w:rsidRPr="006534F5">
              <w:t> </w:t>
            </w:r>
          </w:p>
        </w:tc>
      </w:tr>
      <w:tr w:rsidR="00391DDA" w14:paraId="59652448" w14:textId="77777777" w:rsidTr="003C2549">
        <w:tc>
          <w:tcPr>
            <w:tcW w:w="1985" w:type="dxa"/>
            <w:shd w:val="clear" w:color="auto" w:fill="F2F2F2" w:themeFill="background1" w:themeFillShade="F2"/>
          </w:tcPr>
          <w:p w14:paraId="4B449A56" w14:textId="77777777" w:rsidR="00391DDA" w:rsidRDefault="00391DDA" w:rsidP="00630831">
            <w:pPr>
              <w:pStyle w:val="TableTextLeft"/>
            </w:pPr>
            <w:r w:rsidRPr="00AE665D">
              <w:t>Treasury Bonds</w:t>
            </w:r>
          </w:p>
        </w:tc>
        <w:tc>
          <w:tcPr>
            <w:tcW w:w="1485" w:type="dxa"/>
            <w:shd w:val="clear" w:color="auto" w:fill="F2F2F2" w:themeFill="background1" w:themeFillShade="F2"/>
          </w:tcPr>
          <w:p w14:paraId="21E1B47A" w14:textId="77777777" w:rsidR="00391DDA" w:rsidRDefault="00391DDA" w:rsidP="00630831">
            <w:pPr>
              <w:pStyle w:val="TableTextRight"/>
            </w:pPr>
            <w:r>
              <w:t>16</w:t>
            </w:r>
          </w:p>
        </w:tc>
        <w:tc>
          <w:tcPr>
            <w:tcW w:w="1485" w:type="dxa"/>
            <w:shd w:val="clear" w:color="auto" w:fill="F2F2F2" w:themeFill="background1" w:themeFillShade="F2"/>
          </w:tcPr>
          <w:p w14:paraId="6AD580FD" w14:textId="77777777" w:rsidR="00391DDA" w:rsidRDefault="00391DDA" w:rsidP="00630831">
            <w:pPr>
              <w:pStyle w:val="TableTextRight"/>
            </w:pPr>
            <w:r>
              <w:t>239</w:t>
            </w:r>
            <w:r w:rsidRPr="00AE665D">
              <w:t xml:space="preserve"> </w:t>
            </w:r>
          </w:p>
        </w:tc>
        <w:tc>
          <w:tcPr>
            <w:tcW w:w="1485" w:type="dxa"/>
            <w:shd w:val="clear" w:color="auto" w:fill="F2F2F2" w:themeFill="background1" w:themeFillShade="F2"/>
          </w:tcPr>
          <w:p w14:paraId="1BC24D7E" w14:textId="77777777" w:rsidR="00391DDA" w:rsidRDefault="00391DDA" w:rsidP="00630831">
            <w:pPr>
              <w:pStyle w:val="TableTextRight"/>
            </w:pPr>
            <w:r>
              <w:t>767</w:t>
            </w:r>
          </w:p>
        </w:tc>
        <w:tc>
          <w:tcPr>
            <w:tcW w:w="1486" w:type="dxa"/>
            <w:shd w:val="clear" w:color="auto" w:fill="F2F2F2" w:themeFill="background1" w:themeFillShade="F2"/>
          </w:tcPr>
          <w:p w14:paraId="08239DB0" w14:textId="77777777" w:rsidR="00391DDA" w:rsidRDefault="00391DDA" w:rsidP="00630831">
            <w:pPr>
              <w:pStyle w:val="TableTextRight"/>
            </w:pPr>
            <w:r>
              <w:t>9,595</w:t>
            </w:r>
            <w:r w:rsidRPr="00AE665D">
              <w:t xml:space="preserve"> </w:t>
            </w:r>
          </w:p>
        </w:tc>
      </w:tr>
      <w:tr w:rsidR="00391DDA" w14:paraId="445DBED1" w14:textId="77777777" w:rsidTr="003C2549">
        <w:tc>
          <w:tcPr>
            <w:tcW w:w="1985" w:type="dxa"/>
            <w:shd w:val="clear" w:color="auto" w:fill="F2F2F2" w:themeFill="background1" w:themeFillShade="F2"/>
          </w:tcPr>
          <w:p w14:paraId="182DB29A" w14:textId="77777777" w:rsidR="00391DDA" w:rsidRDefault="00391DDA" w:rsidP="00630831">
            <w:pPr>
              <w:pStyle w:val="TableTextLeft"/>
            </w:pPr>
            <w:r w:rsidRPr="00AE665D">
              <w:t>Treasury Indexed Bonds</w:t>
            </w:r>
          </w:p>
        </w:tc>
        <w:tc>
          <w:tcPr>
            <w:tcW w:w="1485" w:type="dxa"/>
            <w:shd w:val="clear" w:color="auto" w:fill="F2F2F2" w:themeFill="background1" w:themeFillShade="F2"/>
          </w:tcPr>
          <w:p w14:paraId="2C298C9F" w14:textId="77777777" w:rsidR="00391DDA" w:rsidRDefault="00391DDA" w:rsidP="00630831">
            <w:pPr>
              <w:pStyle w:val="TableTextRight"/>
            </w:pPr>
            <w:r>
              <w:t>2</w:t>
            </w:r>
          </w:p>
        </w:tc>
        <w:tc>
          <w:tcPr>
            <w:tcW w:w="1485" w:type="dxa"/>
            <w:shd w:val="clear" w:color="auto" w:fill="F2F2F2" w:themeFill="background1" w:themeFillShade="F2"/>
          </w:tcPr>
          <w:p w14:paraId="51047EF6" w14:textId="77777777" w:rsidR="00391DDA" w:rsidRDefault="00391DDA" w:rsidP="00630831">
            <w:pPr>
              <w:pStyle w:val="TableTextRight"/>
            </w:pPr>
            <w:r w:rsidRPr="00AE665D">
              <w:t xml:space="preserve"> </w:t>
            </w:r>
            <w:r>
              <w:t>12</w:t>
            </w:r>
          </w:p>
        </w:tc>
        <w:tc>
          <w:tcPr>
            <w:tcW w:w="1485" w:type="dxa"/>
            <w:shd w:val="clear" w:color="auto" w:fill="F2F2F2" w:themeFill="background1" w:themeFillShade="F2"/>
          </w:tcPr>
          <w:p w14:paraId="34877CFC" w14:textId="77777777" w:rsidR="00391DDA" w:rsidRDefault="00391DDA" w:rsidP="00630831">
            <w:pPr>
              <w:pStyle w:val="TableTextRight"/>
            </w:pPr>
            <w:r>
              <w:t>284</w:t>
            </w:r>
          </w:p>
        </w:tc>
        <w:tc>
          <w:tcPr>
            <w:tcW w:w="1486" w:type="dxa"/>
            <w:shd w:val="clear" w:color="auto" w:fill="F2F2F2" w:themeFill="background1" w:themeFillShade="F2"/>
          </w:tcPr>
          <w:p w14:paraId="4CD28C50" w14:textId="77777777" w:rsidR="00391DDA" w:rsidRDefault="00391DDA" w:rsidP="00630831">
            <w:pPr>
              <w:pStyle w:val="TableTextRight"/>
            </w:pPr>
            <w:r>
              <w:t>298</w:t>
            </w:r>
            <w:r w:rsidRPr="00AE665D">
              <w:t xml:space="preserve"> </w:t>
            </w:r>
          </w:p>
        </w:tc>
      </w:tr>
      <w:tr w:rsidR="00391DDA" w14:paraId="723B895C" w14:textId="77777777" w:rsidTr="003C2549">
        <w:tc>
          <w:tcPr>
            <w:tcW w:w="1985" w:type="dxa"/>
            <w:shd w:val="clear" w:color="auto" w:fill="F2F2F2" w:themeFill="background1" w:themeFillShade="F2"/>
          </w:tcPr>
          <w:p w14:paraId="5B6E2507" w14:textId="77777777" w:rsidR="00391DDA" w:rsidRDefault="00391DDA" w:rsidP="00630831">
            <w:pPr>
              <w:pStyle w:val="TableTextLeft"/>
            </w:pPr>
            <w:r w:rsidRPr="006B04E4">
              <w:rPr>
                <w:b/>
                <w:bCs/>
              </w:rPr>
              <w:t>Total</w:t>
            </w:r>
          </w:p>
        </w:tc>
        <w:tc>
          <w:tcPr>
            <w:tcW w:w="1485" w:type="dxa"/>
            <w:shd w:val="clear" w:color="auto" w:fill="F2F2F2" w:themeFill="background1" w:themeFillShade="F2"/>
          </w:tcPr>
          <w:p w14:paraId="2B8F53DD" w14:textId="77777777" w:rsidR="00391DDA" w:rsidRDefault="00391DDA" w:rsidP="00630831">
            <w:pPr>
              <w:pStyle w:val="TableTextRight"/>
            </w:pPr>
            <w:r w:rsidRPr="006B04E4">
              <w:rPr>
                <w:b/>
                <w:bCs/>
              </w:rPr>
              <w:t>18</w:t>
            </w:r>
          </w:p>
        </w:tc>
        <w:tc>
          <w:tcPr>
            <w:tcW w:w="1485" w:type="dxa"/>
            <w:shd w:val="clear" w:color="auto" w:fill="F2F2F2" w:themeFill="background1" w:themeFillShade="F2"/>
          </w:tcPr>
          <w:p w14:paraId="3491025A" w14:textId="77777777" w:rsidR="00391DDA" w:rsidRDefault="00391DDA" w:rsidP="00630831">
            <w:pPr>
              <w:pStyle w:val="TableTextRight"/>
            </w:pPr>
            <w:r w:rsidRPr="006B04E4">
              <w:rPr>
                <w:b/>
                <w:bCs/>
              </w:rPr>
              <w:t xml:space="preserve">251 </w:t>
            </w:r>
          </w:p>
        </w:tc>
        <w:tc>
          <w:tcPr>
            <w:tcW w:w="1485" w:type="dxa"/>
            <w:shd w:val="clear" w:color="auto" w:fill="F2F2F2" w:themeFill="background1" w:themeFillShade="F2"/>
          </w:tcPr>
          <w:p w14:paraId="3A1411F5" w14:textId="77777777" w:rsidR="00391DDA" w:rsidRDefault="00391DDA" w:rsidP="00630831">
            <w:pPr>
              <w:pStyle w:val="TableTextRight"/>
            </w:pPr>
            <w:r w:rsidRPr="006B04E4">
              <w:rPr>
                <w:b/>
                <w:bCs/>
              </w:rPr>
              <w:t>1,051</w:t>
            </w:r>
          </w:p>
        </w:tc>
        <w:tc>
          <w:tcPr>
            <w:tcW w:w="1486" w:type="dxa"/>
            <w:shd w:val="clear" w:color="auto" w:fill="F2F2F2" w:themeFill="background1" w:themeFillShade="F2"/>
          </w:tcPr>
          <w:p w14:paraId="2F01C6FC" w14:textId="77777777" w:rsidR="00391DDA" w:rsidRDefault="00391DDA" w:rsidP="00630831">
            <w:pPr>
              <w:pStyle w:val="TableTextRight"/>
            </w:pPr>
            <w:r w:rsidRPr="006B04E4">
              <w:rPr>
                <w:b/>
                <w:bCs/>
              </w:rPr>
              <w:t xml:space="preserve">9,893 </w:t>
            </w:r>
          </w:p>
        </w:tc>
      </w:tr>
    </w:tbl>
    <w:p w14:paraId="71118A20" w14:textId="77777777" w:rsidR="00391DDA" w:rsidRPr="006534F5" w:rsidRDefault="00391DDA" w:rsidP="00391DDA">
      <w:pPr>
        <w:pStyle w:val="FootnoteList"/>
        <w:keepLines/>
        <w:numPr>
          <w:ilvl w:val="0"/>
          <w:numId w:val="0"/>
        </w:numPr>
      </w:pPr>
    </w:p>
    <w:p w14:paraId="48ECE9A2" w14:textId="77777777" w:rsidR="00391DDA" w:rsidRPr="00986692" w:rsidRDefault="00391DDA" w:rsidP="00391DDA">
      <w:r w:rsidRPr="00986692">
        <w:t xml:space="preserve">No transactions were open as </w:t>
      </w:r>
      <w:proofErr w:type="gramStart"/>
      <w:r w:rsidRPr="00986692">
        <w:t>at</w:t>
      </w:r>
      <w:proofErr w:type="gramEnd"/>
      <w:r w:rsidRPr="00986692">
        <w:t xml:space="preserve"> 30 June 2025. </w:t>
      </w:r>
    </w:p>
    <w:p w14:paraId="43CBB701" w14:textId="77777777" w:rsidR="00391DDA" w:rsidRPr="00986692" w:rsidRDefault="00391DDA" w:rsidP="00391DDA">
      <w:r w:rsidRPr="00986692">
        <w:t>Separate to the securities lending facility, bond market participants can borrow Treasury Bonds and Treasury Indexed Bonds from the RBA’s holdings.</w:t>
      </w:r>
    </w:p>
    <w:p w14:paraId="79388251" w14:textId="77777777" w:rsidR="00391DDA" w:rsidRDefault="00391DDA" w:rsidP="00391DDA">
      <w:pPr>
        <w:rPr>
          <w:sz w:val="18"/>
          <w:szCs w:val="18"/>
        </w:rPr>
      </w:pPr>
    </w:p>
    <w:p w14:paraId="07EC5F48" w14:textId="77777777" w:rsidR="00391DDA" w:rsidRDefault="00391DDA" w:rsidP="00391DDA">
      <w:pPr>
        <w:spacing w:after="0" w:line="240" w:lineRule="auto"/>
        <w:rPr>
          <w:bCs/>
          <w:iCs/>
        </w:rPr>
      </w:pPr>
      <w:r>
        <w:br w:type="page"/>
      </w:r>
    </w:p>
    <w:p w14:paraId="298B7178" w14:textId="77777777" w:rsidR="00391DDA" w:rsidRDefault="00391DDA" w:rsidP="00391DDA">
      <w:pPr>
        <w:pStyle w:val="Heading2"/>
      </w:pPr>
      <w:bookmarkStart w:id="1771" w:name="_Toc207792942"/>
      <w:bookmarkStart w:id="1772" w:name="_Toc207793982"/>
      <w:bookmarkStart w:id="1773" w:name="_Toc207796151"/>
      <w:bookmarkStart w:id="1774" w:name="_Toc207796986"/>
      <w:bookmarkStart w:id="1775" w:name="_Toc207800289"/>
      <w:bookmarkStart w:id="1776" w:name="_Toc207810867"/>
      <w:bookmarkStart w:id="1777" w:name="_Toc208914147"/>
      <w:bookmarkStart w:id="1778" w:name="_Toc209424544"/>
      <w:r>
        <w:lastRenderedPageBreak/>
        <w:t>Other information</w:t>
      </w:r>
      <w:bookmarkEnd w:id="1771"/>
      <w:bookmarkEnd w:id="1772"/>
      <w:bookmarkEnd w:id="1773"/>
      <w:bookmarkEnd w:id="1774"/>
      <w:bookmarkEnd w:id="1775"/>
      <w:bookmarkEnd w:id="1776"/>
      <w:bookmarkEnd w:id="1777"/>
      <w:bookmarkEnd w:id="1778"/>
    </w:p>
    <w:p w14:paraId="658CC44F" w14:textId="77777777" w:rsidR="00391DDA" w:rsidRPr="00366DA3" w:rsidRDefault="00391DDA" w:rsidP="00391DDA">
      <w:pPr>
        <w:pStyle w:val="TableMainHeading"/>
      </w:pPr>
      <w:r w:rsidRPr="00366DA3">
        <w:t>Current/</w:t>
      </w:r>
      <w:r>
        <w:t>n</w:t>
      </w:r>
      <w:r w:rsidRPr="00366DA3">
        <w:t>on</w:t>
      </w:r>
      <w:r>
        <w:noBreakHyphen/>
        <w:t>c</w:t>
      </w:r>
      <w:r w:rsidRPr="00366DA3">
        <w:t xml:space="preserve">urrent </w:t>
      </w:r>
      <w:r>
        <w:t>d</w:t>
      </w:r>
      <w:r w:rsidRPr="00366DA3">
        <w:t xml:space="preserve">istinction for </w:t>
      </w:r>
      <w:r>
        <w:t>a</w:t>
      </w:r>
      <w:r w:rsidRPr="00366DA3">
        <w:t xml:space="preserve">ssets and </w:t>
      </w:r>
      <w:r>
        <w:t>l</w:t>
      </w:r>
      <w:r w:rsidRPr="00366DA3">
        <w:t>iabilities</w:t>
      </w:r>
    </w:p>
    <w:tbl>
      <w:tblPr>
        <w:tblStyle w:val="AOFMTablemain"/>
        <w:tblW w:w="5000" w:type="pct"/>
        <w:tblLayout w:type="fixed"/>
        <w:tblLook w:val="06A0" w:firstRow="1" w:lastRow="0" w:firstColumn="1" w:lastColumn="0" w:noHBand="1" w:noVBand="1"/>
      </w:tblPr>
      <w:tblGrid>
        <w:gridCol w:w="5105"/>
        <w:gridCol w:w="1277"/>
        <w:gridCol w:w="1329"/>
      </w:tblGrid>
      <w:tr w:rsidR="00E15250" w:rsidRPr="00B93507" w14:paraId="7AA1C2E4" w14:textId="77777777" w:rsidTr="006C4E07">
        <w:trPr>
          <w:cnfStyle w:val="100000000000" w:firstRow="1" w:lastRow="0" w:firstColumn="0" w:lastColumn="0" w:oddVBand="0" w:evenVBand="0" w:oddHBand="0" w:evenHBand="0" w:firstRowFirstColumn="0" w:firstRowLastColumn="0" w:lastRowFirstColumn="0" w:lastRowLastColumn="0"/>
        </w:trPr>
        <w:tc>
          <w:tcPr>
            <w:tcW w:w="3310" w:type="pct"/>
            <w:tcBorders>
              <w:bottom w:val="single" w:sz="4" w:space="0" w:color="29114B" w:themeColor="text2"/>
            </w:tcBorders>
            <w:noWrap/>
            <w:hideMark/>
          </w:tcPr>
          <w:p w14:paraId="645401FC" w14:textId="77777777" w:rsidR="00391DDA" w:rsidRPr="00B93507" w:rsidRDefault="00391DDA" w:rsidP="00630831">
            <w:pPr>
              <w:pStyle w:val="TableColumnHeadingRight"/>
              <w:rPr>
                <w:bCs/>
                <w:szCs w:val="16"/>
              </w:rPr>
            </w:pPr>
          </w:p>
        </w:tc>
        <w:tc>
          <w:tcPr>
            <w:tcW w:w="828" w:type="pct"/>
            <w:tcBorders>
              <w:bottom w:val="single" w:sz="4" w:space="0" w:color="29114B" w:themeColor="text2"/>
            </w:tcBorders>
            <w:noWrap/>
            <w:hideMark/>
          </w:tcPr>
          <w:p w14:paraId="05DD00FC" w14:textId="77777777" w:rsidR="00391DDA" w:rsidRDefault="00391DDA" w:rsidP="00630831">
            <w:pPr>
              <w:pStyle w:val="TableColumnHeadingRight"/>
              <w:rPr>
                <w:bCs/>
                <w:szCs w:val="16"/>
              </w:rPr>
            </w:pPr>
            <w:r w:rsidRPr="00B93507">
              <w:rPr>
                <w:bCs/>
                <w:szCs w:val="16"/>
              </w:rPr>
              <w:t>202</w:t>
            </w:r>
            <w:r>
              <w:rPr>
                <w:bCs/>
                <w:szCs w:val="16"/>
              </w:rPr>
              <w:t xml:space="preserve">5 </w:t>
            </w:r>
          </w:p>
          <w:p w14:paraId="3CF00961" w14:textId="3744F2C3" w:rsidR="00391DDA" w:rsidRPr="007053F1" w:rsidRDefault="00391DDA" w:rsidP="007053F1">
            <w:pPr>
              <w:pStyle w:val="TableColumnHeadingRight"/>
              <w:rPr>
                <w:bCs/>
                <w:szCs w:val="16"/>
              </w:rPr>
            </w:pPr>
            <w:r>
              <w:rPr>
                <w:bCs/>
                <w:szCs w:val="16"/>
              </w:rPr>
              <w:t>($million</w:t>
            </w:r>
            <w:r w:rsidR="007053F1">
              <w:rPr>
                <w:bCs/>
                <w:szCs w:val="16"/>
              </w:rPr>
              <w:t>)</w:t>
            </w:r>
          </w:p>
        </w:tc>
        <w:tc>
          <w:tcPr>
            <w:tcW w:w="862" w:type="pct"/>
            <w:tcBorders>
              <w:bottom w:val="single" w:sz="4" w:space="0" w:color="29114B" w:themeColor="text2"/>
            </w:tcBorders>
            <w:noWrap/>
            <w:hideMark/>
          </w:tcPr>
          <w:p w14:paraId="5FA496FE" w14:textId="77777777" w:rsidR="00391DDA" w:rsidRDefault="00391DDA" w:rsidP="00630831">
            <w:pPr>
              <w:pStyle w:val="TableColumnHeadingRight"/>
              <w:rPr>
                <w:bCs/>
                <w:szCs w:val="16"/>
              </w:rPr>
            </w:pPr>
            <w:r w:rsidRPr="00B93507">
              <w:rPr>
                <w:bCs/>
                <w:szCs w:val="16"/>
              </w:rPr>
              <w:t>202</w:t>
            </w:r>
            <w:r>
              <w:rPr>
                <w:bCs/>
                <w:szCs w:val="16"/>
              </w:rPr>
              <w:t xml:space="preserve">4 </w:t>
            </w:r>
          </w:p>
          <w:p w14:paraId="6038B5C2" w14:textId="137B4EAE" w:rsidR="00391DDA" w:rsidRPr="007053F1" w:rsidRDefault="00391DDA" w:rsidP="007053F1">
            <w:pPr>
              <w:pStyle w:val="TableColumnHeadingRight"/>
              <w:rPr>
                <w:bCs/>
                <w:szCs w:val="16"/>
              </w:rPr>
            </w:pPr>
            <w:r>
              <w:rPr>
                <w:bCs/>
                <w:szCs w:val="16"/>
              </w:rPr>
              <w:t>($million)</w:t>
            </w:r>
            <w:r w:rsidRPr="00B93507">
              <w:rPr>
                <w:bCs/>
                <w:szCs w:val="16"/>
              </w:rPr>
              <w:t xml:space="preserve"> </w:t>
            </w:r>
            <w:r w:rsidRPr="00B93507">
              <w:rPr>
                <w:szCs w:val="16"/>
              </w:rPr>
              <w:t xml:space="preserve"> </w:t>
            </w:r>
          </w:p>
        </w:tc>
      </w:tr>
      <w:tr w:rsidR="00391DDA" w:rsidRPr="006534F5" w14:paraId="78371432" w14:textId="77777777" w:rsidTr="006C4E07">
        <w:tc>
          <w:tcPr>
            <w:tcW w:w="331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6F608F21" w14:textId="65C84151" w:rsidR="00391DDA" w:rsidRPr="006C4E07" w:rsidRDefault="00391DDA" w:rsidP="00630831">
            <w:pPr>
              <w:pStyle w:val="TableSecondHeading"/>
              <w:rPr>
                <w:b/>
              </w:rPr>
            </w:pPr>
            <w:r w:rsidRPr="006C4E07">
              <w:rPr>
                <w:b/>
              </w:rPr>
              <w:t>Assets expected to be recovered in:</w:t>
            </w:r>
          </w:p>
        </w:tc>
        <w:tc>
          <w:tcPr>
            <w:tcW w:w="82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hideMark/>
          </w:tcPr>
          <w:p w14:paraId="072D8308" w14:textId="573D42FD" w:rsidR="00391DDA" w:rsidRPr="006534F5" w:rsidRDefault="00391DDA" w:rsidP="003A4B71">
            <w:pPr>
              <w:pStyle w:val="TableTextRight"/>
            </w:pPr>
            <w:r w:rsidRPr="006534F5">
              <w:t> </w:t>
            </w:r>
          </w:p>
        </w:tc>
        <w:tc>
          <w:tcPr>
            <w:tcW w:w="862"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hideMark/>
          </w:tcPr>
          <w:p w14:paraId="7AAA7428" w14:textId="7FF1574B" w:rsidR="00391DDA" w:rsidRPr="006534F5" w:rsidRDefault="00391DDA" w:rsidP="003A4B71">
            <w:pPr>
              <w:pStyle w:val="TableTextRight"/>
            </w:pPr>
            <w:r w:rsidRPr="006534F5">
              <w:t> </w:t>
            </w:r>
          </w:p>
        </w:tc>
      </w:tr>
      <w:tr w:rsidR="00391DDA" w:rsidRPr="006534F5" w14:paraId="1FB52A61" w14:textId="77777777" w:rsidTr="003C2549">
        <w:tc>
          <w:tcPr>
            <w:tcW w:w="3310" w:type="pct"/>
            <w:shd w:val="clear" w:color="auto" w:fill="F2F2F2" w:themeFill="background1" w:themeFillShade="F2"/>
            <w:noWrap/>
            <w:tcMar>
              <w:top w:w="57" w:type="dxa"/>
              <w:bottom w:w="57" w:type="dxa"/>
            </w:tcMar>
            <w:hideMark/>
          </w:tcPr>
          <w:p w14:paraId="72AE3FA3" w14:textId="6F09F9A9" w:rsidR="00391DDA" w:rsidRPr="00756C68" w:rsidRDefault="00391DDA" w:rsidP="00630831">
            <w:pPr>
              <w:pStyle w:val="TableTextLeft"/>
              <w:rPr>
                <w:b/>
                <w:bCs/>
              </w:rPr>
            </w:pPr>
            <w:r w:rsidRPr="00756C68">
              <w:rPr>
                <w:b/>
                <w:bCs/>
              </w:rPr>
              <w:t>No more than 12 months</w:t>
            </w:r>
          </w:p>
        </w:tc>
        <w:tc>
          <w:tcPr>
            <w:tcW w:w="828" w:type="pct"/>
            <w:shd w:val="clear" w:color="auto" w:fill="F2F2F2" w:themeFill="background1" w:themeFillShade="F2"/>
            <w:noWrap/>
            <w:tcMar>
              <w:top w:w="57" w:type="dxa"/>
              <w:bottom w:w="57" w:type="dxa"/>
            </w:tcMar>
            <w:hideMark/>
          </w:tcPr>
          <w:p w14:paraId="3583B2A3" w14:textId="03FD809B" w:rsidR="00391DDA" w:rsidRPr="006534F5" w:rsidRDefault="00391DDA" w:rsidP="00630831">
            <w:pPr>
              <w:pStyle w:val="TableTextRight"/>
              <w:jc w:val="left"/>
            </w:pPr>
            <w:r w:rsidRPr="006534F5">
              <w:t> </w:t>
            </w:r>
          </w:p>
        </w:tc>
        <w:tc>
          <w:tcPr>
            <w:tcW w:w="862" w:type="pct"/>
            <w:shd w:val="clear" w:color="auto" w:fill="F2F2F2" w:themeFill="background1" w:themeFillShade="F2"/>
            <w:noWrap/>
            <w:tcMar>
              <w:top w:w="57" w:type="dxa"/>
              <w:bottom w:w="57" w:type="dxa"/>
            </w:tcMar>
            <w:hideMark/>
          </w:tcPr>
          <w:p w14:paraId="0BFA6303" w14:textId="13E7411A" w:rsidR="00391DDA" w:rsidRPr="006534F5" w:rsidRDefault="00391DDA" w:rsidP="00630831">
            <w:pPr>
              <w:pStyle w:val="TableTextRight"/>
              <w:jc w:val="left"/>
            </w:pPr>
            <w:r w:rsidRPr="006534F5">
              <w:t> </w:t>
            </w:r>
          </w:p>
        </w:tc>
      </w:tr>
      <w:tr w:rsidR="00391DDA" w:rsidRPr="006534F5" w14:paraId="7F9E611D" w14:textId="77777777" w:rsidTr="003C2549">
        <w:tc>
          <w:tcPr>
            <w:tcW w:w="3310" w:type="pct"/>
            <w:shd w:val="clear" w:color="auto" w:fill="F2F2F2" w:themeFill="background1" w:themeFillShade="F2"/>
            <w:noWrap/>
            <w:tcMar>
              <w:top w:w="57" w:type="dxa"/>
              <w:bottom w:w="57" w:type="dxa"/>
            </w:tcMar>
            <w:hideMark/>
          </w:tcPr>
          <w:p w14:paraId="7F148C05" w14:textId="768D9B0E" w:rsidR="00391DDA" w:rsidRPr="006534F5" w:rsidRDefault="00391DDA" w:rsidP="00630831">
            <w:pPr>
              <w:pStyle w:val="TableTextLeft"/>
            </w:pPr>
            <w:r w:rsidRPr="006534F5">
              <w:t xml:space="preserve">Cash </w:t>
            </w:r>
            <w:r>
              <w:t>held in the OPA</w:t>
            </w:r>
            <w:r w:rsidRPr="006534F5">
              <w:t xml:space="preserve"> </w:t>
            </w:r>
          </w:p>
        </w:tc>
        <w:tc>
          <w:tcPr>
            <w:tcW w:w="828" w:type="pct"/>
            <w:shd w:val="clear" w:color="auto" w:fill="F2F2F2" w:themeFill="background1" w:themeFillShade="F2"/>
            <w:noWrap/>
            <w:tcMar>
              <w:top w:w="57" w:type="dxa"/>
              <w:bottom w:w="57" w:type="dxa"/>
            </w:tcMar>
          </w:tcPr>
          <w:p w14:paraId="524CAA1B" w14:textId="77777777" w:rsidR="00391DDA" w:rsidRPr="006534F5" w:rsidRDefault="00391DDA" w:rsidP="00630831">
            <w:pPr>
              <w:pStyle w:val="TableTextRight"/>
            </w:pPr>
            <w:r>
              <w:t>1</w:t>
            </w:r>
          </w:p>
        </w:tc>
        <w:tc>
          <w:tcPr>
            <w:tcW w:w="862" w:type="pct"/>
            <w:shd w:val="clear" w:color="auto" w:fill="F2F2F2" w:themeFill="background1" w:themeFillShade="F2"/>
            <w:noWrap/>
            <w:tcMar>
              <w:top w:w="57" w:type="dxa"/>
              <w:bottom w:w="57" w:type="dxa"/>
            </w:tcMar>
          </w:tcPr>
          <w:p w14:paraId="6226A540" w14:textId="77777777" w:rsidR="00391DDA" w:rsidRPr="006534F5" w:rsidRDefault="00391DDA" w:rsidP="00630831">
            <w:pPr>
              <w:pStyle w:val="TableTextRight"/>
            </w:pPr>
            <w:r>
              <w:t>1</w:t>
            </w:r>
          </w:p>
        </w:tc>
      </w:tr>
      <w:tr w:rsidR="00391DDA" w:rsidRPr="006534F5" w14:paraId="1A090AFF" w14:textId="77777777" w:rsidTr="003C2549">
        <w:tc>
          <w:tcPr>
            <w:tcW w:w="3310" w:type="pct"/>
            <w:shd w:val="clear" w:color="auto" w:fill="F2F2F2" w:themeFill="background1" w:themeFillShade="F2"/>
            <w:noWrap/>
            <w:tcMar>
              <w:top w:w="57" w:type="dxa"/>
              <w:bottom w:w="57" w:type="dxa"/>
            </w:tcMar>
            <w:hideMark/>
          </w:tcPr>
          <w:p w14:paraId="00302B6F" w14:textId="73B6A751" w:rsidR="00391DDA" w:rsidRPr="006534F5" w:rsidRDefault="00391DDA" w:rsidP="00630831">
            <w:pPr>
              <w:pStyle w:val="TableTextLeft"/>
            </w:pPr>
            <w:r>
              <w:t>Cash held in the cash management account</w:t>
            </w:r>
          </w:p>
        </w:tc>
        <w:tc>
          <w:tcPr>
            <w:tcW w:w="828" w:type="pct"/>
            <w:shd w:val="clear" w:color="auto" w:fill="F2F2F2" w:themeFill="background1" w:themeFillShade="F2"/>
            <w:noWrap/>
            <w:tcMar>
              <w:top w:w="57" w:type="dxa"/>
              <w:bottom w:w="57" w:type="dxa"/>
            </w:tcMar>
          </w:tcPr>
          <w:p w14:paraId="52FEEB5C" w14:textId="77777777" w:rsidR="00391DDA" w:rsidRPr="006534F5" w:rsidRDefault="00391DDA" w:rsidP="00630831">
            <w:pPr>
              <w:pStyle w:val="TableTextRight"/>
            </w:pPr>
            <w:r>
              <w:t>68,379</w:t>
            </w:r>
          </w:p>
        </w:tc>
        <w:tc>
          <w:tcPr>
            <w:tcW w:w="862" w:type="pct"/>
            <w:shd w:val="clear" w:color="auto" w:fill="F2F2F2" w:themeFill="background1" w:themeFillShade="F2"/>
            <w:noWrap/>
            <w:tcMar>
              <w:top w:w="57" w:type="dxa"/>
              <w:bottom w:w="57" w:type="dxa"/>
            </w:tcMar>
          </w:tcPr>
          <w:p w14:paraId="1897FE72" w14:textId="77777777" w:rsidR="00391DDA" w:rsidRPr="006534F5" w:rsidRDefault="00391DDA" w:rsidP="00630831">
            <w:pPr>
              <w:pStyle w:val="TableTextRight"/>
            </w:pPr>
            <w:r>
              <w:t xml:space="preserve">85,552 </w:t>
            </w:r>
          </w:p>
        </w:tc>
      </w:tr>
      <w:tr w:rsidR="00391DDA" w:rsidRPr="006534F5" w14:paraId="5C8B73A6" w14:textId="77777777" w:rsidTr="003C2549">
        <w:tc>
          <w:tcPr>
            <w:tcW w:w="3310" w:type="pct"/>
            <w:shd w:val="clear" w:color="auto" w:fill="F2F2F2" w:themeFill="background1" w:themeFillShade="F2"/>
            <w:noWrap/>
            <w:tcMar>
              <w:top w:w="57" w:type="dxa"/>
              <w:bottom w:w="57" w:type="dxa"/>
            </w:tcMar>
          </w:tcPr>
          <w:p w14:paraId="67F79939" w14:textId="77777777" w:rsidR="00391DDA" w:rsidRDefault="00391DDA" w:rsidP="00630831">
            <w:pPr>
              <w:pStyle w:val="TableTextLeft"/>
            </w:pPr>
            <w:r>
              <w:t>Structured finance securities</w:t>
            </w:r>
          </w:p>
        </w:tc>
        <w:tc>
          <w:tcPr>
            <w:tcW w:w="828" w:type="pct"/>
            <w:shd w:val="clear" w:color="auto" w:fill="F2F2F2" w:themeFill="background1" w:themeFillShade="F2"/>
            <w:noWrap/>
            <w:tcMar>
              <w:top w:w="57" w:type="dxa"/>
              <w:bottom w:w="57" w:type="dxa"/>
            </w:tcMar>
          </w:tcPr>
          <w:p w14:paraId="20BE0F94" w14:textId="77777777" w:rsidR="00391DDA" w:rsidRPr="006534F5" w:rsidRDefault="00391DDA" w:rsidP="00630831">
            <w:pPr>
              <w:pStyle w:val="TableTextRight"/>
            </w:pPr>
            <w:r>
              <w:t>64</w:t>
            </w:r>
          </w:p>
        </w:tc>
        <w:tc>
          <w:tcPr>
            <w:tcW w:w="862" w:type="pct"/>
            <w:shd w:val="clear" w:color="auto" w:fill="F2F2F2" w:themeFill="background1" w:themeFillShade="F2"/>
            <w:noWrap/>
            <w:tcMar>
              <w:top w:w="57" w:type="dxa"/>
              <w:bottom w:w="57" w:type="dxa"/>
            </w:tcMar>
          </w:tcPr>
          <w:p w14:paraId="36685B83" w14:textId="77777777" w:rsidR="00391DDA" w:rsidRDefault="00391DDA" w:rsidP="00630831">
            <w:pPr>
              <w:pStyle w:val="TableTextRight"/>
            </w:pPr>
            <w:r>
              <w:t>251</w:t>
            </w:r>
          </w:p>
        </w:tc>
      </w:tr>
      <w:tr w:rsidR="00391DDA" w:rsidRPr="006534F5" w14:paraId="48B5B446" w14:textId="77777777" w:rsidTr="003C2549">
        <w:tc>
          <w:tcPr>
            <w:tcW w:w="3310" w:type="pct"/>
            <w:shd w:val="clear" w:color="auto" w:fill="F2F2F2" w:themeFill="background1" w:themeFillShade="F2"/>
            <w:noWrap/>
            <w:tcMar>
              <w:top w:w="57" w:type="dxa"/>
              <w:bottom w:w="57" w:type="dxa"/>
            </w:tcMar>
          </w:tcPr>
          <w:p w14:paraId="6CE096F2" w14:textId="77777777" w:rsidR="00391DDA" w:rsidRDefault="00391DDA" w:rsidP="00630831">
            <w:pPr>
              <w:pStyle w:val="TableTextLeft"/>
            </w:pPr>
            <w:r>
              <w:t>Loans to State and Territory governments</w:t>
            </w:r>
          </w:p>
        </w:tc>
        <w:tc>
          <w:tcPr>
            <w:tcW w:w="828" w:type="pct"/>
            <w:shd w:val="clear" w:color="auto" w:fill="F2F2F2" w:themeFill="background1" w:themeFillShade="F2"/>
            <w:noWrap/>
            <w:tcMar>
              <w:top w:w="57" w:type="dxa"/>
              <w:bottom w:w="57" w:type="dxa"/>
            </w:tcMar>
          </w:tcPr>
          <w:p w14:paraId="7F0BB47A" w14:textId="77777777" w:rsidR="00391DDA" w:rsidRPr="006534F5" w:rsidRDefault="00391DDA" w:rsidP="00630831">
            <w:pPr>
              <w:pStyle w:val="TableTextRight"/>
            </w:pPr>
            <w:r>
              <w:t>85</w:t>
            </w:r>
          </w:p>
        </w:tc>
        <w:tc>
          <w:tcPr>
            <w:tcW w:w="862" w:type="pct"/>
            <w:shd w:val="clear" w:color="auto" w:fill="F2F2F2" w:themeFill="background1" w:themeFillShade="F2"/>
            <w:noWrap/>
            <w:tcMar>
              <w:top w:w="57" w:type="dxa"/>
              <w:bottom w:w="57" w:type="dxa"/>
            </w:tcMar>
          </w:tcPr>
          <w:p w14:paraId="7F17A22E" w14:textId="77777777" w:rsidR="00391DDA" w:rsidRDefault="00391DDA" w:rsidP="00630831">
            <w:pPr>
              <w:pStyle w:val="TableTextRight"/>
            </w:pPr>
            <w:r>
              <w:t>81</w:t>
            </w:r>
          </w:p>
        </w:tc>
      </w:tr>
      <w:tr w:rsidR="00391DDA" w:rsidRPr="006534F5" w14:paraId="34DA2B9E" w14:textId="77777777" w:rsidTr="003C2549">
        <w:tc>
          <w:tcPr>
            <w:tcW w:w="3310" w:type="pct"/>
            <w:shd w:val="clear" w:color="auto" w:fill="F2F2F2" w:themeFill="background1" w:themeFillShade="F2"/>
            <w:noWrap/>
            <w:tcMar>
              <w:top w:w="57" w:type="dxa"/>
              <w:bottom w:w="57" w:type="dxa"/>
            </w:tcMar>
          </w:tcPr>
          <w:p w14:paraId="7DD1BB1E" w14:textId="77777777" w:rsidR="00391DDA" w:rsidRPr="006534F5" w:rsidRDefault="00391DDA" w:rsidP="00630831">
            <w:pPr>
              <w:pStyle w:val="TableTextLeft"/>
            </w:pPr>
            <w:r>
              <w:t>Accrued interest on cash management account</w:t>
            </w:r>
          </w:p>
        </w:tc>
        <w:tc>
          <w:tcPr>
            <w:tcW w:w="828" w:type="pct"/>
            <w:shd w:val="clear" w:color="auto" w:fill="F2F2F2" w:themeFill="background1" w:themeFillShade="F2"/>
            <w:noWrap/>
            <w:tcMar>
              <w:top w:w="57" w:type="dxa"/>
              <w:bottom w:w="57" w:type="dxa"/>
            </w:tcMar>
          </w:tcPr>
          <w:p w14:paraId="720457FF" w14:textId="77777777" w:rsidR="00391DDA" w:rsidRPr="006534F5" w:rsidRDefault="00391DDA" w:rsidP="00630831">
            <w:pPr>
              <w:pStyle w:val="TableTextRight"/>
            </w:pPr>
            <w:r>
              <w:t>230</w:t>
            </w:r>
          </w:p>
        </w:tc>
        <w:tc>
          <w:tcPr>
            <w:tcW w:w="862" w:type="pct"/>
            <w:shd w:val="clear" w:color="auto" w:fill="F2F2F2" w:themeFill="background1" w:themeFillShade="F2"/>
            <w:noWrap/>
            <w:tcMar>
              <w:top w:w="57" w:type="dxa"/>
              <w:bottom w:w="57" w:type="dxa"/>
            </w:tcMar>
          </w:tcPr>
          <w:p w14:paraId="2BB0B345" w14:textId="77777777" w:rsidR="00391DDA" w:rsidRDefault="00391DDA" w:rsidP="00630831">
            <w:pPr>
              <w:pStyle w:val="TableTextRight"/>
            </w:pPr>
            <w:r>
              <w:t>295</w:t>
            </w:r>
          </w:p>
        </w:tc>
      </w:tr>
      <w:tr w:rsidR="00391DDA" w:rsidRPr="006534F5" w14:paraId="129D3A22" w14:textId="77777777" w:rsidTr="006C4E07">
        <w:tc>
          <w:tcPr>
            <w:tcW w:w="3310" w:type="pct"/>
            <w:tcBorders>
              <w:bottom w:val="single" w:sz="4" w:space="0" w:color="29114B" w:themeColor="text2"/>
            </w:tcBorders>
            <w:shd w:val="clear" w:color="auto" w:fill="F2F2F2" w:themeFill="background1" w:themeFillShade="F2"/>
            <w:noWrap/>
            <w:tcMar>
              <w:top w:w="57" w:type="dxa"/>
              <w:bottom w:w="57" w:type="dxa"/>
            </w:tcMar>
            <w:hideMark/>
          </w:tcPr>
          <w:p w14:paraId="096CE3F7" w14:textId="77EE0DAF" w:rsidR="00391DDA" w:rsidRPr="006534F5" w:rsidRDefault="00391DDA" w:rsidP="00630831">
            <w:pPr>
              <w:pStyle w:val="TableTextLeft"/>
            </w:pPr>
            <w:r>
              <w:rPr>
                <w:b/>
                <w:bCs/>
              </w:rPr>
              <w:t>Total no more than 12 months</w:t>
            </w:r>
          </w:p>
        </w:tc>
        <w:tc>
          <w:tcPr>
            <w:tcW w:w="828" w:type="pct"/>
            <w:tcBorders>
              <w:bottom w:val="single" w:sz="4" w:space="0" w:color="29114B" w:themeColor="text2"/>
            </w:tcBorders>
            <w:shd w:val="clear" w:color="auto" w:fill="F2F2F2" w:themeFill="background1" w:themeFillShade="F2"/>
            <w:noWrap/>
            <w:tcMar>
              <w:top w:w="57" w:type="dxa"/>
              <w:bottom w:w="57" w:type="dxa"/>
            </w:tcMar>
          </w:tcPr>
          <w:p w14:paraId="317231E1" w14:textId="77777777" w:rsidR="00391DDA" w:rsidRPr="009F295C" w:rsidRDefault="00391DDA" w:rsidP="00630831">
            <w:pPr>
              <w:pStyle w:val="TableTextRight"/>
              <w:rPr>
                <w:b/>
                <w:bCs/>
              </w:rPr>
            </w:pPr>
            <w:r w:rsidRPr="009F295C">
              <w:rPr>
                <w:b/>
                <w:bCs/>
              </w:rPr>
              <w:t> 68,75</w:t>
            </w:r>
            <w:r>
              <w:rPr>
                <w:b/>
                <w:bCs/>
              </w:rPr>
              <w:t>9</w:t>
            </w:r>
          </w:p>
        </w:tc>
        <w:tc>
          <w:tcPr>
            <w:tcW w:w="862" w:type="pct"/>
            <w:tcBorders>
              <w:bottom w:val="single" w:sz="4" w:space="0" w:color="29114B" w:themeColor="text2"/>
            </w:tcBorders>
            <w:shd w:val="clear" w:color="auto" w:fill="F2F2F2" w:themeFill="background1" w:themeFillShade="F2"/>
            <w:noWrap/>
            <w:tcMar>
              <w:top w:w="57" w:type="dxa"/>
              <w:bottom w:w="57" w:type="dxa"/>
            </w:tcMar>
          </w:tcPr>
          <w:p w14:paraId="04F05298" w14:textId="77777777" w:rsidR="00391DDA" w:rsidRPr="00361348" w:rsidRDefault="00391DDA" w:rsidP="00630831">
            <w:pPr>
              <w:pStyle w:val="TableTextRight"/>
              <w:rPr>
                <w:b/>
                <w:bCs/>
              </w:rPr>
            </w:pPr>
            <w:r>
              <w:rPr>
                <w:b/>
                <w:bCs/>
              </w:rPr>
              <w:t>86,180</w:t>
            </w:r>
            <w:r w:rsidRPr="00361348">
              <w:rPr>
                <w:b/>
                <w:bCs/>
              </w:rPr>
              <w:t> </w:t>
            </w:r>
          </w:p>
        </w:tc>
      </w:tr>
      <w:tr w:rsidR="00391DDA" w:rsidRPr="006534F5" w14:paraId="120662FE" w14:textId="77777777" w:rsidTr="006C4E07">
        <w:tc>
          <w:tcPr>
            <w:tcW w:w="331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tcPr>
          <w:p w14:paraId="34CBE492" w14:textId="77777777" w:rsidR="00391DDA" w:rsidRPr="006534F5" w:rsidRDefault="00391DDA" w:rsidP="00630831">
            <w:pPr>
              <w:pStyle w:val="TableTextLeft"/>
            </w:pPr>
          </w:p>
        </w:tc>
        <w:tc>
          <w:tcPr>
            <w:tcW w:w="82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0D0C940D" w14:textId="77777777" w:rsidR="00391DDA" w:rsidRDefault="00391DDA" w:rsidP="00630831">
            <w:pPr>
              <w:pStyle w:val="TableTextRight"/>
            </w:pPr>
          </w:p>
        </w:tc>
        <w:tc>
          <w:tcPr>
            <w:tcW w:w="862"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3698767D" w14:textId="77777777" w:rsidR="00391DDA" w:rsidRDefault="00391DDA" w:rsidP="00630831">
            <w:pPr>
              <w:pStyle w:val="TableTextRight"/>
            </w:pPr>
          </w:p>
        </w:tc>
      </w:tr>
      <w:tr w:rsidR="00391DDA" w:rsidRPr="006534F5" w14:paraId="00C907A4" w14:textId="77777777" w:rsidTr="003C2549">
        <w:tc>
          <w:tcPr>
            <w:tcW w:w="3310" w:type="pct"/>
            <w:shd w:val="clear" w:color="auto" w:fill="F2F2F2" w:themeFill="background1" w:themeFillShade="F2"/>
            <w:noWrap/>
            <w:tcMar>
              <w:top w:w="57" w:type="dxa"/>
              <w:bottom w:w="57" w:type="dxa"/>
            </w:tcMar>
          </w:tcPr>
          <w:p w14:paraId="030B87DB" w14:textId="028FDBA1" w:rsidR="00391DDA" w:rsidRPr="00756C68" w:rsidRDefault="00391DDA" w:rsidP="00630831">
            <w:pPr>
              <w:pStyle w:val="TableTextLeft"/>
              <w:rPr>
                <w:b/>
                <w:bCs/>
              </w:rPr>
            </w:pPr>
            <w:r w:rsidRPr="00756C68">
              <w:rPr>
                <w:b/>
                <w:bCs/>
              </w:rPr>
              <w:t>More than 12 months</w:t>
            </w:r>
          </w:p>
        </w:tc>
        <w:tc>
          <w:tcPr>
            <w:tcW w:w="828" w:type="pct"/>
            <w:shd w:val="clear" w:color="auto" w:fill="F2F2F2" w:themeFill="background1" w:themeFillShade="F2"/>
            <w:noWrap/>
            <w:tcMar>
              <w:top w:w="57" w:type="dxa"/>
              <w:bottom w:w="57" w:type="dxa"/>
            </w:tcMar>
          </w:tcPr>
          <w:p w14:paraId="6C677FD9" w14:textId="77777777" w:rsidR="00391DDA" w:rsidRDefault="00391DDA" w:rsidP="00630831">
            <w:pPr>
              <w:pStyle w:val="TableTextRight"/>
              <w:jc w:val="left"/>
            </w:pPr>
          </w:p>
        </w:tc>
        <w:tc>
          <w:tcPr>
            <w:tcW w:w="862" w:type="pct"/>
            <w:shd w:val="clear" w:color="auto" w:fill="F2F2F2" w:themeFill="background1" w:themeFillShade="F2"/>
            <w:noWrap/>
            <w:tcMar>
              <w:top w:w="57" w:type="dxa"/>
              <w:bottom w:w="57" w:type="dxa"/>
            </w:tcMar>
          </w:tcPr>
          <w:p w14:paraId="59A096E0" w14:textId="77777777" w:rsidR="00391DDA" w:rsidRDefault="00391DDA" w:rsidP="00630831">
            <w:pPr>
              <w:pStyle w:val="TableTextRight"/>
              <w:jc w:val="left"/>
            </w:pPr>
          </w:p>
        </w:tc>
      </w:tr>
      <w:tr w:rsidR="00391DDA" w:rsidRPr="006534F5" w14:paraId="095D31A1" w14:textId="77777777" w:rsidTr="003C2549">
        <w:tc>
          <w:tcPr>
            <w:tcW w:w="3310" w:type="pct"/>
            <w:shd w:val="clear" w:color="auto" w:fill="F2F2F2" w:themeFill="background1" w:themeFillShade="F2"/>
            <w:noWrap/>
            <w:tcMar>
              <w:top w:w="57" w:type="dxa"/>
              <w:bottom w:w="57" w:type="dxa"/>
            </w:tcMar>
          </w:tcPr>
          <w:p w14:paraId="3B36C026" w14:textId="77777777" w:rsidR="00391DDA" w:rsidRPr="00C77E28" w:rsidRDefault="00391DDA" w:rsidP="00630831">
            <w:pPr>
              <w:pStyle w:val="TableTextLeft"/>
              <w:rPr>
                <w:rStyle w:val="Strong"/>
                <w:b w:val="0"/>
                <w:bCs w:val="0"/>
              </w:rPr>
            </w:pPr>
            <w:r>
              <w:t>Structured finance securities</w:t>
            </w:r>
          </w:p>
        </w:tc>
        <w:tc>
          <w:tcPr>
            <w:tcW w:w="828" w:type="pct"/>
            <w:shd w:val="clear" w:color="auto" w:fill="F2F2F2" w:themeFill="background1" w:themeFillShade="F2"/>
            <w:noWrap/>
            <w:tcMar>
              <w:top w:w="57" w:type="dxa"/>
              <w:bottom w:w="57" w:type="dxa"/>
            </w:tcMar>
          </w:tcPr>
          <w:p w14:paraId="3E7633AB" w14:textId="77777777" w:rsidR="00391DDA" w:rsidRDefault="00391DDA" w:rsidP="00630831">
            <w:pPr>
              <w:pStyle w:val="TableTextRight"/>
            </w:pPr>
            <w:r>
              <w:t>155</w:t>
            </w:r>
          </w:p>
        </w:tc>
        <w:tc>
          <w:tcPr>
            <w:tcW w:w="862" w:type="pct"/>
            <w:shd w:val="clear" w:color="auto" w:fill="F2F2F2" w:themeFill="background1" w:themeFillShade="F2"/>
            <w:noWrap/>
            <w:tcMar>
              <w:top w:w="57" w:type="dxa"/>
              <w:bottom w:w="57" w:type="dxa"/>
            </w:tcMar>
          </w:tcPr>
          <w:p w14:paraId="57A8FF76" w14:textId="77777777" w:rsidR="00391DDA" w:rsidRDefault="00391DDA" w:rsidP="00630831">
            <w:pPr>
              <w:pStyle w:val="TableTextRight"/>
            </w:pPr>
            <w:r>
              <w:t>72</w:t>
            </w:r>
          </w:p>
        </w:tc>
      </w:tr>
      <w:tr w:rsidR="00391DDA" w:rsidRPr="006534F5" w14:paraId="16BD469F" w14:textId="77777777" w:rsidTr="003C2549">
        <w:tc>
          <w:tcPr>
            <w:tcW w:w="3310" w:type="pct"/>
            <w:shd w:val="clear" w:color="auto" w:fill="F2F2F2" w:themeFill="background1" w:themeFillShade="F2"/>
            <w:noWrap/>
            <w:tcMar>
              <w:top w:w="57" w:type="dxa"/>
              <w:bottom w:w="57" w:type="dxa"/>
            </w:tcMar>
            <w:hideMark/>
          </w:tcPr>
          <w:p w14:paraId="5745A635" w14:textId="77777777" w:rsidR="00391DDA" w:rsidRPr="006534F5" w:rsidRDefault="00391DDA" w:rsidP="00630831">
            <w:pPr>
              <w:pStyle w:val="TableTextLeft"/>
            </w:pPr>
            <w:r>
              <w:t>Loans to State and Territory governments</w:t>
            </w:r>
          </w:p>
        </w:tc>
        <w:tc>
          <w:tcPr>
            <w:tcW w:w="828" w:type="pct"/>
            <w:shd w:val="clear" w:color="auto" w:fill="F2F2F2" w:themeFill="background1" w:themeFillShade="F2"/>
            <w:noWrap/>
            <w:tcMar>
              <w:top w:w="57" w:type="dxa"/>
              <w:bottom w:w="57" w:type="dxa"/>
            </w:tcMar>
          </w:tcPr>
          <w:p w14:paraId="26062C5A" w14:textId="77777777" w:rsidR="00391DDA" w:rsidRPr="006534F5" w:rsidRDefault="00391DDA" w:rsidP="00630831">
            <w:pPr>
              <w:pStyle w:val="TableTextRight"/>
            </w:pPr>
            <w:r>
              <w:t>1,004</w:t>
            </w:r>
          </w:p>
        </w:tc>
        <w:tc>
          <w:tcPr>
            <w:tcW w:w="862" w:type="pct"/>
            <w:shd w:val="clear" w:color="auto" w:fill="F2F2F2" w:themeFill="background1" w:themeFillShade="F2"/>
            <w:noWrap/>
            <w:tcMar>
              <w:top w:w="57" w:type="dxa"/>
              <w:bottom w:w="57" w:type="dxa"/>
            </w:tcMar>
          </w:tcPr>
          <w:p w14:paraId="55E03E27" w14:textId="77777777" w:rsidR="00391DDA" w:rsidRPr="006534F5" w:rsidRDefault="00391DDA" w:rsidP="00630831">
            <w:pPr>
              <w:pStyle w:val="TableTextRight"/>
            </w:pPr>
            <w:r>
              <w:t xml:space="preserve">1,089 </w:t>
            </w:r>
          </w:p>
        </w:tc>
      </w:tr>
      <w:tr w:rsidR="00391DDA" w:rsidRPr="006534F5" w14:paraId="18EB3D9D" w14:textId="77777777" w:rsidTr="003C2549">
        <w:tc>
          <w:tcPr>
            <w:tcW w:w="3310" w:type="pct"/>
            <w:shd w:val="clear" w:color="auto" w:fill="F2F2F2" w:themeFill="background1" w:themeFillShade="F2"/>
            <w:noWrap/>
            <w:tcMar>
              <w:top w:w="57" w:type="dxa"/>
              <w:bottom w:w="57" w:type="dxa"/>
            </w:tcMar>
            <w:hideMark/>
          </w:tcPr>
          <w:p w14:paraId="35DFA920" w14:textId="099805A7" w:rsidR="00391DDA" w:rsidRPr="006534F5" w:rsidRDefault="00391DDA" w:rsidP="00630831">
            <w:pPr>
              <w:pStyle w:val="TableTextLeft"/>
            </w:pPr>
            <w:r>
              <w:rPr>
                <w:b/>
                <w:bCs/>
              </w:rPr>
              <w:t>Total more than 12 months</w:t>
            </w:r>
          </w:p>
        </w:tc>
        <w:tc>
          <w:tcPr>
            <w:tcW w:w="828" w:type="pct"/>
            <w:shd w:val="clear" w:color="auto" w:fill="F2F2F2" w:themeFill="background1" w:themeFillShade="F2"/>
            <w:noWrap/>
            <w:tcMar>
              <w:top w:w="57" w:type="dxa"/>
              <w:bottom w:w="57" w:type="dxa"/>
            </w:tcMar>
          </w:tcPr>
          <w:p w14:paraId="6067FB2D" w14:textId="77777777" w:rsidR="00391DDA" w:rsidRPr="00986692" w:rsidRDefault="00391DDA" w:rsidP="00630831">
            <w:pPr>
              <w:pStyle w:val="TableTextRight"/>
              <w:rPr>
                <w:b/>
                <w:bCs/>
              </w:rPr>
            </w:pPr>
            <w:r w:rsidRPr="00986692">
              <w:rPr>
                <w:b/>
                <w:bCs/>
              </w:rPr>
              <w:t>1,159</w:t>
            </w:r>
          </w:p>
        </w:tc>
        <w:tc>
          <w:tcPr>
            <w:tcW w:w="862" w:type="pct"/>
            <w:shd w:val="clear" w:color="auto" w:fill="F2F2F2" w:themeFill="background1" w:themeFillShade="F2"/>
            <w:noWrap/>
            <w:tcMar>
              <w:top w:w="57" w:type="dxa"/>
              <w:bottom w:w="57" w:type="dxa"/>
            </w:tcMar>
          </w:tcPr>
          <w:p w14:paraId="101BE34A" w14:textId="77777777" w:rsidR="00391DDA" w:rsidRPr="00986692" w:rsidRDefault="00391DDA" w:rsidP="00630831">
            <w:pPr>
              <w:pStyle w:val="TableTextRight"/>
              <w:rPr>
                <w:b/>
                <w:bCs/>
              </w:rPr>
            </w:pPr>
            <w:r w:rsidRPr="00986692">
              <w:rPr>
                <w:b/>
                <w:bCs/>
              </w:rPr>
              <w:t xml:space="preserve">1,161 </w:t>
            </w:r>
          </w:p>
        </w:tc>
      </w:tr>
      <w:tr w:rsidR="00391DDA" w:rsidRPr="006534F5" w14:paraId="4DC69E5B" w14:textId="77777777" w:rsidTr="006C4E07">
        <w:tc>
          <w:tcPr>
            <w:tcW w:w="3310" w:type="pct"/>
            <w:tcBorders>
              <w:bottom w:val="single" w:sz="4" w:space="0" w:color="29114B" w:themeColor="text2"/>
            </w:tcBorders>
            <w:shd w:val="clear" w:color="auto" w:fill="F2F2F2" w:themeFill="background1" w:themeFillShade="F2"/>
            <w:noWrap/>
            <w:tcMar>
              <w:top w:w="57" w:type="dxa"/>
              <w:bottom w:w="57" w:type="dxa"/>
            </w:tcMar>
          </w:tcPr>
          <w:p w14:paraId="13A77E90" w14:textId="77777777" w:rsidR="00391DDA" w:rsidRPr="005D2D30" w:rsidRDefault="00391DDA" w:rsidP="00630831">
            <w:pPr>
              <w:pStyle w:val="TableTextLeft"/>
              <w:rPr>
                <w:b/>
                <w:bCs/>
              </w:rPr>
            </w:pPr>
            <w:r w:rsidRPr="005D2D30">
              <w:rPr>
                <w:b/>
                <w:bCs/>
              </w:rPr>
              <w:t>Total assets</w:t>
            </w:r>
          </w:p>
        </w:tc>
        <w:tc>
          <w:tcPr>
            <w:tcW w:w="828" w:type="pct"/>
            <w:tcBorders>
              <w:bottom w:val="single" w:sz="4" w:space="0" w:color="29114B" w:themeColor="text2"/>
            </w:tcBorders>
            <w:shd w:val="clear" w:color="auto" w:fill="F2F2F2" w:themeFill="background1" w:themeFillShade="F2"/>
            <w:noWrap/>
            <w:tcMar>
              <w:top w:w="57" w:type="dxa"/>
              <w:bottom w:w="57" w:type="dxa"/>
            </w:tcMar>
          </w:tcPr>
          <w:p w14:paraId="1BAF1B94" w14:textId="77777777" w:rsidR="00391DDA" w:rsidRPr="00986692" w:rsidRDefault="00391DDA" w:rsidP="00630831">
            <w:pPr>
              <w:pStyle w:val="TableTextRight"/>
              <w:rPr>
                <w:b/>
                <w:bCs/>
              </w:rPr>
            </w:pPr>
            <w:r w:rsidRPr="00986692">
              <w:rPr>
                <w:b/>
                <w:bCs/>
              </w:rPr>
              <w:t>69,918</w:t>
            </w:r>
          </w:p>
        </w:tc>
        <w:tc>
          <w:tcPr>
            <w:tcW w:w="862" w:type="pct"/>
            <w:tcBorders>
              <w:bottom w:val="single" w:sz="4" w:space="0" w:color="29114B" w:themeColor="text2"/>
            </w:tcBorders>
            <w:shd w:val="clear" w:color="auto" w:fill="F2F2F2" w:themeFill="background1" w:themeFillShade="F2"/>
            <w:noWrap/>
            <w:tcMar>
              <w:top w:w="57" w:type="dxa"/>
              <w:bottom w:w="57" w:type="dxa"/>
            </w:tcMar>
          </w:tcPr>
          <w:p w14:paraId="27C1B843" w14:textId="77777777" w:rsidR="00391DDA" w:rsidRPr="00986692" w:rsidRDefault="00391DDA" w:rsidP="00630831">
            <w:pPr>
              <w:pStyle w:val="TableTextRight"/>
              <w:rPr>
                <w:b/>
                <w:bCs/>
              </w:rPr>
            </w:pPr>
            <w:r w:rsidRPr="00986692">
              <w:rPr>
                <w:b/>
                <w:bCs/>
              </w:rPr>
              <w:t>87,341</w:t>
            </w:r>
          </w:p>
        </w:tc>
      </w:tr>
      <w:tr w:rsidR="00391DDA" w:rsidRPr="006C4E07" w14:paraId="58899830" w14:textId="77777777" w:rsidTr="006C4E07">
        <w:tc>
          <w:tcPr>
            <w:tcW w:w="331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hideMark/>
          </w:tcPr>
          <w:p w14:paraId="7AA5A281" w14:textId="10CEB7D9" w:rsidR="00391DDA" w:rsidRPr="006C4E07" w:rsidRDefault="00391DDA" w:rsidP="00630831">
            <w:pPr>
              <w:pStyle w:val="TableSecondHeading"/>
              <w:rPr>
                <w:b/>
              </w:rPr>
            </w:pPr>
            <w:r w:rsidRPr="006C4E07">
              <w:rPr>
                <w:b/>
              </w:rPr>
              <w:t>Liabilities expected to be recovered in:</w:t>
            </w:r>
          </w:p>
        </w:tc>
        <w:tc>
          <w:tcPr>
            <w:tcW w:w="82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33FB9D8B" w14:textId="43D1B3D3" w:rsidR="00391DDA" w:rsidRPr="006C4E07" w:rsidRDefault="00391DDA" w:rsidP="00630831">
            <w:pPr>
              <w:pStyle w:val="TableTextRight"/>
              <w:jc w:val="left"/>
              <w:rPr>
                <w:b/>
              </w:rPr>
            </w:pPr>
            <w:r w:rsidRPr="006C4E07">
              <w:rPr>
                <w:b/>
              </w:rPr>
              <w:t> </w:t>
            </w:r>
          </w:p>
        </w:tc>
        <w:tc>
          <w:tcPr>
            <w:tcW w:w="862"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2B50DF0C" w14:textId="3350E606" w:rsidR="00391DDA" w:rsidRPr="006C4E07" w:rsidRDefault="00391DDA" w:rsidP="00630831">
            <w:pPr>
              <w:pStyle w:val="TableTextRight"/>
              <w:jc w:val="left"/>
              <w:rPr>
                <w:b/>
              </w:rPr>
            </w:pPr>
            <w:r w:rsidRPr="006C4E07">
              <w:rPr>
                <w:b/>
              </w:rPr>
              <w:t> </w:t>
            </w:r>
          </w:p>
        </w:tc>
      </w:tr>
      <w:tr w:rsidR="00391DDA" w:rsidRPr="006534F5" w14:paraId="5157C63F" w14:textId="77777777" w:rsidTr="003C2549">
        <w:tc>
          <w:tcPr>
            <w:tcW w:w="3310" w:type="pct"/>
            <w:shd w:val="clear" w:color="auto" w:fill="F2F2F2" w:themeFill="background1" w:themeFillShade="F2"/>
            <w:noWrap/>
            <w:tcMar>
              <w:top w:w="57" w:type="dxa"/>
              <w:bottom w:w="57" w:type="dxa"/>
            </w:tcMar>
            <w:hideMark/>
          </w:tcPr>
          <w:p w14:paraId="6F7227BC" w14:textId="0BCB3205" w:rsidR="00391DDA" w:rsidRPr="003A4B71" w:rsidRDefault="00391DDA" w:rsidP="00630831">
            <w:pPr>
              <w:pStyle w:val="TableTextLeft"/>
              <w:rPr>
                <w:b/>
                <w:bCs/>
              </w:rPr>
            </w:pPr>
            <w:r w:rsidRPr="005D2D30">
              <w:rPr>
                <w:b/>
                <w:bCs/>
              </w:rPr>
              <w:t>No more than 12 months</w:t>
            </w:r>
          </w:p>
        </w:tc>
        <w:tc>
          <w:tcPr>
            <w:tcW w:w="828" w:type="pct"/>
            <w:shd w:val="clear" w:color="auto" w:fill="F2F2F2" w:themeFill="background1" w:themeFillShade="F2"/>
            <w:noWrap/>
            <w:tcMar>
              <w:top w:w="57" w:type="dxa"/>
              <w:bottom w:w="57" w:type="dxa"/>
            </w:tcMar>
          </w:tcPr>
          <w:p w14:paraId="730BFDA5" w14:textId="141BF2D1" w:rsidR="00391DDA" w:rsidRPr="006534F5" w:rsidRDefault="00391DDA" w:rsidP="00630831">
            <w:pPr>
              <w:pStyle w:val="TableTextRight"/>
              <w:jc w:val="left"/>
            </w:pPr>
            <w:r w:rsidRPr="006534F5">
              <w:t> </w:t>
            </w:r>
          </w:p>
        </w:tc>
        <w:tc>
          <w:tcPr>
            <w:tcW w:w="862" w:type="pct"/>
            <w:shd w:val="clear" w:color="auto" w:fill="F2F2F2" w:themeFill="background1" w:themeFillShade="F2"/>
            <w:noWrap/>
            <w:tcMar>
              <w:top w:w="57" w:type="dxa"/>
              <w:bottom w:w="57" w:type="dxa"/>
            </w:tcMar>
          </w:tcPr>
          <w:p w14:paraId="011D050F" w14:textId="7C4DB5C5" w:rsidR="00391DDA" w:rsidRPr="006534F5" w:rsidRDefault="00391DDA" w:rsidP="00630831">
            <w:pPr>
              <w:pStyle w:val="TableTextRight"/>
              <w:jc w:val="left"/>
            </w:pPr>
          </w:p>
        </w:tc>
      </w:tr>
      <w:tr w:rsidR="00391DDA" w:rsidRPr="006534F5" w14:paraId="34926C9D" w14:textId="77777777" w:rsidTr="003C2549">
        <w:tc>
          <w:tcPr>
            <w:tcW w:w="3310" w:type="pct"/>
            <w:shd w:val="clear" w:color="auto" w:fill="F2F2F2" w:themeFill="background1" w:themeFillShade="F2"/>
            <w:noWrap/>
            <w:tcMar>
              <w:top w:w="57" w:type="dxa"/>
              <w:bottom w:w="57" w:type="dxa"/>
            </w:tcMar>
            <w:hideMark/>
          </w:tcPr>
          <w:p w14:paraId="28BD3908" w14:textId="0039922D" w:rsidR="00391DDA" w:rsidRPr="005D2D30" w:rsidRDefault="00391DDA" w:rsidP="00630831">
            <w:pPr>
              <w:pStyle w:val="TableTextLeft"/>
            </w:pPr>
            <w:r w:rsidRPr="005D2D30">
              <w:t>Treasury Bonds</w:t>
            </w:r>
          </w:p>
        </w:tc>
        <w:tc>
          <w:tcPr>
            <w:tcW w:w="828" w:type="pct"/>
            <w:shd w:val="clear" w:color="auto" w:fill="F2F2F2" w:themeFill="background1" w:themeFillShade="F2"/>
            <w:noWrap/>
            <w:tcMar>
              <w:top w:w="57" w:type="dxa"/>
              <w:bottom w:w="57" w:type="dxa"/>
            </w:tcMar>
          </w:tcPr>
          <w:p w14:paraId="7E41B9B9" w14:textId="77777777" w:rsidR="00391DDA" w:rsidRPr="006534F5" w:rsidRDefault="00391DDA" w:rsidP="00630831">
            <w:pPr>
              <w:pStyle w:val="TableTextRight"/>
            </w:pPr>
            <w:r>
              <w:t>78,926</w:t>
            </w:r>
          </w:p>
        </w:tc>
        <w:tc>
          <w:tcPr>
            <w:tcW w:w="862" w:type="pct"/>
            <w:shd w:val="clear" w:color="auto" w:fill="F2F2F2" w:themeFill="background1" w:themeFillShade="F2"/>
            <w:noWrap/>
            <w:tcMar>
              <w:top w:w="57" w:type="dxa"/>
              <w:bottom w:w="57" w:type="dxa"/>
            </w:tcMar>
          </w:tcPr>
          <w:p w14:paraId="3A7EFBE6" w14:textId="77777777" w:rsidR="00391DDA" w:rsidRPr="006534F5" w:rsidRDefault="00391DDA" w:rsidP="00630831">
            <w:pPr>
              <w:pStyle w:val="TableTextRight"/>
            </w:pPr>
            <w:r>
              <w:t>82,040</w:t>
            </w:r>
          </w:p>
        </w:tc>
      </w:tr>
      <w:tr w:rsidR="00391DDA" w:rsidRPr="006534F5" w14:paraId="5EDC8A9C" w14:textId="77777777" w:rsidTr="003C2549">
        <w:tc>
          <w:tcPr>
            <w:tcW w:w="3310" w:type="pct"/>
            <w:shd w:val="clear" w:color="auto" w:fill="F2F2F2" w:themeFill="background1" w:themeFillShade="F2"/>
            <w:noWrap/>
            <w:tcMar>
              <w:top w:w="57" w:type="dxa"/>
              <w:bottom w:w="57" w:type="dxa"/>
            </w:tcMar>
          </w:tcPr>
          <w:p w14:paraId="705D9681" w14:textId="77777777" w:rsidR="00391DDA" w:rsidRPr="005D2D30" w:rsidRDefault="00391DDA" w:rsidP="00630831">
            <w:pPr>
              <w:pStyle w:val="TableTextLeft"/>
            </w:pPr>
            <w:r w:rsidRPr="005D2D30">
              <w:t>Treasury Indexed Bonds</w:t>
            </w:r>
          </w:p>
        </w:tc>
        <w:tc>
          <w:tcPr>
            <w:tcW w:w="828" w:type="pct"/>
            <w:shd w:val="clear" w:color="auto" w:fill="F2F2F2" w:themeFill="background1" w:themeFillShade="F2"/>
            <w:noWrap/>
            <w:tcMar>
              <w:top w:w="57" w:type="dxa"/>
              <w:bottom w:w="57" w:type="dxa"/>
            </w:tcMar>
          </w:tcPr>
          <w:p w14:paraId="5163BA0A" w14:textId="77777777" w:rsidR="00391DDA" w:rsidRDefault="00391DDA" w:rsidP="00630831">
            <w:pPr>
              <w:pStyle w:val="TableTextRight"/>
            </w:pPr>
            <w:r>
              <w:t>6,130</w:t>
            </w:r>
          </w:p>
        </w:tc>
        <w:tc>
          <w:tcPr>
            <w:tcW w:w="862" w:type="pct"/>
            <w:shd w:val="clear" w:color="auto" w:fill="F2F2F2" w:themeFill="background1" w:themeFillShade="F2"/>
            <w:noWrap/>
            <w:tcMar>
              <w:top w:w="57" w:type="dxa"/>
              <w:bottom w:w="57" w:type="dxa"/>
            </w:tcMar>
          </w:tcPr>
          <w:p w14:paraId="79E4F01D" w14:textId="77777777" w:rsidR="00391DDA" w:rsidRDefault="00391DDA" w:rsidP="00630831">
            <w:pPr>
              <w:pStyle w:val="TableTextRight"/>
            </w:pPr>
            <w:r>
              <w:noBreakHyphen/>
            </w:r>
          </w:p>
        </w:tc>
      </w:tr>
      <w:tr w:rsidR="00391DDA" w:rsidRPr="006534F5" w14:paraId="2139043A" w14:textId="77777777" w:rsidTr="003C2549">
        <w:tc>
          <w:tcPr>
            <w:tcW w:w="3310" w:type="pct"/>
            <w:shd w:val="clear" w:color="auto" w:fill="F2F2F2" w:themeFill="background1" w:themeFillShade="F2"/>
            <w:noWrap/>
            <w:tcMar>
              <w:top w:w="57" w:type="dxa"/>
              <w:bottom w:w="57" w:type="dxa"/>
            </w:tcMar>
          </w:tcPr>
          <w:p w14:paraId="4DBE6919" w14:textId="77777777" w:rsidR="00391DDA" w:rsidRPr="005D2D30" w:rsidRDefault="00391DDA" w:rsidP="00630831">
            <w:pPr>
              <w:pStyle w:val="TableTextLeft"/>
            </w:pPr>
            <w:r w:rsidRPr="005D2D30">
              <w:t>Treasury Notes</w:t>
            </w:r>
          </w:p>
        </w:tc>
        <w:tc>
          <w:tcPr>
            <w:tcW w:w="828" w:type="pct"/>
            <w:shd w:val="clear" w:color="auto" w:fill="F2F2F2" w:themeFill="background1" w:themeFillShade="F2"/>
            <w:noWrap/>
            <w:tcMar>
              <w:top w:w="57" w:type="dxa"/>
              <w:bottom w:w="57" w:type="dxa"/>
            </w:tcMar>
          </w:tcPr>
          <w:p w14:paraId="1CD2C98A" w14:textId="77777777" w:rsidR="00391DDA" w:rsidRPr="006534F5" w:rsidRDefault="00391DDA" w:rsidP="00630831">
            <w:pPr>
              <w:pStyle w:val="TableTextRight"/>
            </w:pPr>
            <w:r>
              <w:t>32,827</w:t>
            </w:r>
          </w:p>
        </w:tc>
        <w:tc>
          <w:tcPr>
            <w:tcW w:w="862" w:type="pct"/>
            <w:shd w:val="clear" w:color="auto" w:fill="F2F2F2" w:themeFill="background1" w:themeFillShade="F2"/>
            <w:noWrap/>
            <w:tcMar>
              <w:top w:w="57" w:type="dxa"/>
              <w:bottom w:w="57" w:type="dxa"/>
            </w:tcMar>
          </w:tcPr>
          <w:p w14:paraId="5D8A645C" w14:textId="77777777" w:rsidR="00391DDA" w:rsidRDefault="00391DDA" w:rsidP="00630831">
            <w:pPr>
              <w:pStyle w:val="TableTextRight"/>
            </w:pPr>
            <w:r>
              <w:t>27,822</w:t>
            </w:r>
          </w:p>
        </w:tc>
      </w:tr>
      <w:tr w:rsidR="00391DDA" w:rsidRPr="006534F5" w14:paraId="77E3AC3B" w14:textId="77777777" w:rsidTr="003C2549">
        <w:tc>
          <w:tcPr>
            <w:tcW w:w="3310" w:type="pct"/>
            <w:shd w:val="clear" w:color="auto" w:fill="F2F2F2" w:themeFill="background1" w:themeFillShade="F2"/>
            <w:noWrap/>
            <w:tcMar>
              <w:top w:w="57" w:type="dxa"/>
              <w:bottom w:w="57" w:type="dxa"/>
            </w:tcMar>
          </w:tcPr>
          <w:p w14:paraId="2363E0A4" w14:textId="77777777" w:rsidR="00391DDA" w:rsidRPr="005D2D30" w:rsidRDefault="00391DDA" w:rsidP="00630831">
            <w:pPr>
              <w:pStyle w:val="TableTextLeft"/>
            </w:pPr>
            <w:r w:rsidRPr="005D2D30">
              <w:t>Other debt</w:t>
            </w:r>
          </w:p>
        </w:tc>
        <w:tc>
          <w:tcPr>
            <w:tcW w:w="828" w:type="pct"/>
            <w:shd w:val="clear" w:color="auto" w:fill="F2F2F2" w:themeFill="background1" w:themeFillShade="F2"/>
            <w:noWrap/>
            <w:tcMar>
              <w:top w:w="57" w:type="dxa"/>
              <w:bottom w:w="57" w:type="dxa"/>
            </w:tcMar>
          </w:tcPr>
          <w:p w14:paraId="49ADB690" w14:textId="77777777" w:rsidR="00391DDA" w:rsidRPr="006534F5" w:rsidRDefault="00391DDA" w:rsidP="00630831">
            <w:pPr>
              <w:pStyle w:val="TableTextRight"/>
            </w:pPr>
            <w:r>
              <w:t>5</w:t>
            </w:r>
          </w:p>
        </w:tc>
        <w:tc>
          <w:tcPr>
            <w:tcW w:w="862" w:type="pct"/>
            <w:shd w:val="clear" w:color="auto" w:fill="F2F2F2" w:themeFill="background1" w:themeFillShade="F2"/>
            <w:noWrap/>
            <w:tcMar>
              <w:top w:w="57" w:type="dxa"/>
              <w:bottom w:w="57" w:type="dxa"/>
            </w:tcMar>
          </w:tcPr>
          <w:p w14:paraId="28419AFD" w14:textId="77777777" w:rsidR="00391DDA" w:rsidRDefault="00391DDA" w:rsidP="00630831">
            <w:pPr>
              <w:pStyle w:val="TableTextRight"/>
            </w:pPr>
            <w:r>
              <w:t>5</w:t>
            </w:r>
          </w:p>
        </w:tc>
      </w:tr>
      <w:tr w:rsidR="00391DDA" w:rsidRPr="006534F5" w14:paraId="63FBC0BA" w14:textId="77777777" w:rsidTr="006C4E07">
        <w:tc>
          <w:tcPr>
            <w:tcW w:w="3310" w:type="pct"/>
            <w:tcBorders>
              <w:bottom w:val="single" w:sz="4" w:space="0" w:color="29114B" w:themeColor="text2"/>
            </w:tcBorders>
            <w:shd w:val="clear" w:color="auto" w:fill="F2F2F2" w:themeFill="background1" w:themeFillShade="F2"/>
            <w:noWrap/>
            <w:tcMar>
              <w:top w:w="57" w:type="dxa"/>
              <w:bottom w:w="57" w:type="dxa"/>
            </w:tcMar>
          </w:tcPr>
          <w:p w14:paraId="3A1E7896" w14:textId="6ED24CE7" w:rsidR="00391DDA" w:rsidRPr="003A4B71" w:rsidRDefault="00391DDA" w:rsidP="00630831">
            <w:pPr>
              <w:pStyle w:val="TableTextLeft"/>
              <w:rPr>
                <w:b/>
                <w:bCs/>
              </w:rPr>
            </w:pPr>
            <w:r w:rsidRPr="005D2D30">
              <w:rPr>
                <w:b/>
                <w:bCs/>
              </w:rPr>
              <w:t>Total no more than 12 months</w:t>
            </w:r>
          </w:p>
        </w:tc>
        <w:tc>
          <w:tcPr>
            <w:tcW w:w="828" w:type="pct"/>
            <w:tcBorders>
              <w:bottom w:val="single" w:sz="4" w:space="0" w:color="29114B" w:themeColor="text2"/>
            </w:tcBorders>
            <w:shd w:val="clear" w:color="auto" w:fill="F2F2F2" w:themeFill="background1" w:themeFillShade="F2"/>
            <w:noWrap/>
            <w:tcMar>
              <w:top w:w="57" w:type="dxa"/>
              <w:bottom w:w="57" w:type="dxa"/>
            </w:tcMar>
          </w:tcPr>
          <w:p w14:paraId="3E04DE8B" w14:textId="77777777" w:rsidR="00391DDA" w:rsidRPr="002E7BA2" w:rsidRDefault="00391DDA" w:rsidP="00630831">
            <w:pPr>
              <w:pStyle w:val="TableTextRight"/>
              <w:rPr>
                <w:b/>
                <w:bCs/>
              </w:rPr>
            </w:pPr>
            <w:r w:rsidRPr="002E7BA2">
              <w:rPr>
                <w:b/>
                <w:bCs/>
              </w:rPr>
              <w:t> 117,888</w:t>
            </w:r>
          </w:p>
        </w:tc>
        <w:tc>
          <w:tcPr>
            <w:tcW w:w="862" w:type="pct"/>
            <w:tcBorders>
              <w:bottom w:val="single" w:sz="4" w:space="0" w:color="29114B" w:themeColor="text2"/>
            </w:tcBorders>
            <w:shd w:val="clear" w:color="auto" w:fill="F2F2F2" w:themeFill="background1" w:themeFillShade="F2"/>
            <w:noWrap/>
            <w:tcMar>
              <w:top w:w="57" w:type="dxa"/>
              <w:bottom w:w="57" w:type="dxa"/>
            </w:tcMar>
          </w:tcPr>
          <w:p w14:paraId="5BDA6258" w14:textId="77777777" w:rsidR="00391DDA" w:rsidRPr="002E7BA2" w:rsidRDefault="00391DDA" w:rsidP="00630831">
            <w:pPr>
              <w:pStyle w:val="TableTextRight"/>
              <w:rPr>
                <w:b/>
                <w:bCs/>
              </w:rPr>
            </w:pPr>
            <w:r w:rsidRPr="002E7BA2">
              <w:rPr>
                <w:b/>
                <w:bCs/>
              </w:rPr>
              <w:t>109,867</w:t>
            </w:r>
          </w:p>
        </w:tc>
      </w:tr>
      <w:tr w:rsidR="00391DDA" w:rsidRPr="006534F5" w14:paraId="47921020" w14:textId="77777777" w:rsidTr="006C4E07">
        <w:tc>
          <w:tcPr>
            <w:tcW w:w="3310" w:type="pct"/>
            <w:tcBorders>
              <w:top w:val="single" w:sz="4" w:space="0" w:color="29114B" w:themeColor="text2"/>
              <w:right w:val="single" w:sz="4" w:space="0" w:color="F2F2F2" w:themeColor="background1" w:themeShade="F2"/>
            </w:tcBorders>
            <w:shd w:val="clear" w:color="auto" w:fill="F2F2F2" w:themeFill="background1" w:themeFillShade="F2"/>
            <w:noWrap/>
            <w:tcMar>
              <w:top w:w="57" w:type="dxa"/>
              <w:bottom w:w="57" w:type="dxa"/>
            </w:tcMar>
          </w:tcPr>
          <w:p w14:paraId="4C1D9BF3" w14:textId="77777777" w:rsidR="00391DDA" w:rsidRPr="006534F5" w:rsidRDefault="00391DDA" w:rsidP="00630831">
            <w:pPr>
              <w:pStyle w:val="TableTextLeft"/>
            </w:pPr>
          </w:p>
        </w:tc>
        <w:tc>
          <w:tcPr>
            <w:tcW w:w="828" w:type="pct"/>
            <w:tcBorders>
              <w:top w:val="single" w:sz="4" w:space="0" w:color="29114B" w:themeColor="text2"/>
              <w:left w:val="single" w:sz="4" w:space="0" w:color="F2F2F2" w:themeColor="background1" w:themeShade="F2"/>
              <w:right w:val="single" w:sz="4" w:space="0" w:color="F2F2F2" w:themeColor="background1" w:themeShade="F2"/>
            </w:tcBorders>
            <w:shd w:val="clear" w:color="auto" w:fill="F2F2F2" w:themeFill="background1" w:themeFillShade="F2"/>
            <w:noWrap/>
            <w:tcMar>
              <w:top w:w="57" w:type="dxa"/>
              <w:bottom w:w="57" w:type="dxa"/>
            </w:tcMar>
          </w:tcPr>
          <w:p w14:paraId="26F4A733" w14:textId="77777777" w:rsidR="00391DDA" w:rsidRDefault="00391DDA" w:rsidP="00630831">
            <w:pPr>
              <w:pStyle w:val="TableTextRight"/>
            </w:pPr>
          </w:p>
        </w:tc>
        <w:tc>
          <w:tcPr>
            <w:tcW w:w="862" w:type="pct"/>
            <w:tcBorders>
              <w:top w:val="single" w:sz="4" w:space="0" w:color="29114B" w:themeColor="text2"/>
              <w:left w:val="single" w:sz="4" w:space="0" w:color="F2F2F2" w:themeColor="background1" w:themeShade="F2"/>
            </w:tcBorders>
            <w:shd w:val="clear" w:color="auto" w:fill="F2F2F2" w:themeFill="background1" w:themeFillShade="F2"/>
            <w:noWrap/>
            <w:tcMar>
              <w:top w:w="57" w:type="dxa"/>
              <w:bottom w:w="57" w:type="dxa"/>
            </w:tcMar>
          </w:tcPr>
          <w:p w14:paraId="12BF14EA" w14:textId="77777777" w:rsidR="00391DDA" w:rsidRDefault="00391DDA" w:rsidP="00630831">
            <w:pPr>
              <w:pStyle w:val="TableTextRight"/>
            </w:pPr>
          </w:p>
        </w:tc>
      </w:tr>
      <w:tr w:rsidR="00391DDA" w:rsidRPr="006534F5" w14:paraId="76CF8855" w14:textId="77777777" w:rsidTr="003C2549">
        <w:tc>
          <w:tcPr>
            <w:tcW w:w="3310" w:type="pct"/>
            <w:shd w:val="clear" w:color="auto" w:fill="F2F2F2" w:themeFill="background1" w:themeFillShade="F2"/>
            <w:noWrap/>
            <w:tcMar>
              <w:top w:w="57" w:type="dxa"/>
              <w:bottom w:w="57" w:type="dxa"/>
            </w:tcMar>
            <w:hideMark/>
          </w:tcPr>
          <w:p w14:paraId="0852F316" w14:textId="4C432F2A" w:rsidR="00391DDA" w:rsidRPr="003A4B71" w:rsidRDefault="00391DDA" w:rsidP="00630831">
            <w:pPr>
              <w:pStyle w:val="TableTextLeft"/>
              <w:rPr>
                <w:b/>
                <w:bCs/>
              </w:rPr>
            </w:pPr>
            <w:r w:rsidRPr="005D2D30">
              <w:rPr>
                <w:b/>
                <w:bCs/>
              </w:rPr>
              <w:t>More than 12 months</w:t>
            </w:r>
          </w:p>
        </w:tc>
        <w:tc>
          <w:tcPr>
            <w:tcW w:w="828" w:type="pct"/>
            <w:shd w:val="clear" w:color="auto" w:fill="F2F2F2" w:themeFill="background1" w:themeFillShade="F2"/>
            <w:noWrap/>
            <w:tcMar>
              <w:top w:w="57" w:type="dxa"/>
              <w:bottom w:w="57" w:type="dxa"/>
            </w:tcMar>
          </w:tcPr>
          <w:p w14:paraId="71443AB4" w14:textId="77777777" w:rsidR="00391DDA" w:rsidRPr="006534F5" w:rsidRDefault="00391DDA" w:rsidP="00630831">
            <w:pPr>
              <w:pStyle w:val="TableTextRight"/>
            </w:pPr>
          </w:p>
        </w:tc>
        <w:tc>
          <w:tcPr>
            <w:tcW w:w="862" w:type="pct"/>
            <w:shd w:val="clear" w:color="auto" w:fill="F2F2F2" w:themeFill="background1" w:themeFillShade="F2"/>
            <w:noWrap/>
            <w:tcMar>
              <w:top w:w="57" w:type="dxa"/>
              <w:bottom w:w="57" w:type="dxa"/>
            </w:tcMar>
          </w:tcPr>
          <w:p w14:paraId="618CEF91" w14:textId="77777777" w:rsidR="00391DDA" w:rsidRPr="006534F5" w:rsidRDefault="00391DDA" w:rsidP="00630831">
            <w:pPr>
              <w:pStyle w:val="TableTextRight"/>
            </w:pPr>
          </w:p>
        </w:tc>
      </w:tr>
      <w:tr w:rsidR="00391DDA" w:rsidRPr="006534F5" w14:paraId="7BFE6915" w14:textId="77777777" w:rsidTr="003C2549">
        <w:tc>
          <w:tcPr>
            <w:tcW w:w="3310" w:type="pct"/>
            <w:shd w:val="clear" w:color="auto" w:fill="F2F2F2" w:themeFill="background1" w:themeFillShade="F2"/>
            <w:noWrap/>
            <w:tcMar>
              <w:top w:w="57" w:type="dxa"/>
              <w:bottom w:w="57" w:type="dxa"/>
            </w:tcMar>
          </w:tcPr>
          <w:p w14:paraId="12AE0BFC" w14:textId="77777777" w:rsidR="00391DDA" w:rsidRPr="005D2D30" w:rsidRDefault="00391DDA" w:rsidP="00630831">
            <w:pPr>
              <w:pStyle w:val="TableTextLeft"/>
            </w:pPr>
            <w:r w:rsidRPr="005D2D30">
              <w:t>Treasury Bonds</w:t>
            </w:r>
          </w:p>
        </w:tc>
        <w:tc>
          <w:tcPr>
            <w:tcW w:w="828" w:type="pct"/>
            <w:shd w:val="clear" w:color="auto" w:fill="F2F2F2" w:themeFill="background1" w:themeFillShade="F2"/>
            <w:noWrap/>
            <w:tcMar>
              <w:top w:w="57" w:type="dxa"/>
              <w:bottom w:w="57" w:type="dxa"/>
            </w:tcMar>
          </w:tcPr>
          <w:p w14:paraId="3A0E73A0" w14:textId="77777777" w:rsidR="00391DDA" w:rsidRPr="009F295C" w:rsidRDefault="00391DDA" w:rsidP="00630831">
            <w:pPr>
              <w:pStyle w:val="TableTextRight"/>
            </w:pPr>
            <w:r w:rsidRPr="009F295C">
              <w:t>722,216</w:t>
            </w:r>
          </w:p>
        </w:tc>
        <w:tc>
          <w:tcPr>
            <w:tcW w:w="862" w:type="pct"/>
            <w:shd w:val="clear" w:color="auto" w:fill="F2F2F2" w:themeFill="background1" w:themeFillShade="F2"/>
            <w:noWrap/>
            <w:tcMar>
              <w:top w:w="57" w:type="dxa"/>
              <w:bottom w:w="57" w:type="dxa"/>
            </w:tcMar>
          </w:tcPr>
          <w:p w14:paraId="577699FD" w14:textId="77777777" w:rsidR="00391DDA" w:rsidRDefault="00391DDA" w:rsidP="00630831">
            <w:pPr>
              <w:pStyle w:val="TableTextRight"/>
            </w:pPr>
            <w:r>
              <w:t>682,609</w:t>
            </w:r>
          </w:p>
        </w:tc>
      </w:tr>
      <w:tr w:rsidR="00391DDA" w:rsidRPr="006534F5" w14:paraId="4DA769E3" w14:textId="77777777" w:rsidTr="003C2549">
        <w:tc>
          <w:tcPr>
            <w:tcW w:w="3310" w:type="pct"/>
            <w:shd w:val="clear" w:color="auto" w:fill="F2F2F2" w:themeFill="background1" w:themeFillShade="F2"/>
            <w:noWrap/>
            <w:tcMar>
              <w:top w:w="57" w:type="dxa"/>
              <w:bottom w:w="57" w:type="dxa"/>
            </w:tcMar>
            <w:hideMark/>
          </w:tcPr>
          <w:p w14:paraId="6A12333A" w14:textId="77777777" w:rsidR="00391DDA" w:rsidRPr="005D2D30" w:rsidRDefault="00391DDA" w:rsidP="00630831">
            <w:pPr>
              <w:pStyle w:val="TableTextLeft"/>
            </w:pPr>
            <w:r w:rsidRPr="005D2D30">
              <w:t>Treasury Indexed Bonds</w:t>
            </w:r>
          </w:p>
        </w:tc>
        <w:tc>
          <w:tcPr>
            <w:tcW w:w="828" w:type="pct"/>
            <w:shd w:val="clear" w:color="auto" w:fill="F2F2F2" w:themeFill="background1" w:themeFillShade="F2"/>
            <w:noWrap/>
            <w:tcMar>
              <w:top w:w="57" w:type="dxa"/>
              <w:bottom w:w="57" w:type="dxa"/>
            </w:tcMar>
          </w:tcPr>
          <w:p w14:paraId="574427CA" w14:textId="77777777" w:rsidR="00391DDA" w:rsidRPr="006534F5" w:rsidRDefault="00391DDA" w:rsidP="00630831">
            <w:pPr>
              <w:pStyle w:val="TableTextRight"/>
            </w:pPr>
            <w:r>
              <w:t>46,917</w:t>
            </w:r>
          </w:p>
        </w:tc>
        <w:tc>
          <w:tcPr>
            <w:tcW w:w="862" w:type="pct"/>
            <w:shd w:val="clear" w:color="auto" w:fill="F2F2F2" w:themeFill="background1" w:themeFillShade="F2"/>
            <w:noWrap/>
            <w:tcMar>
              <w:top w:w="57" w:type="dxa"/>
              <w:bottom w:w="57" w:type="dxa"/>
            </w:tcMar>
          </w:tcPr>
          <w:p w14:paraId="6CB7438D" w14:textId="77777777" w:rsidR="00391DDA" w:rsidRPr="006534F5" w:rsidRDefault="00391DDA" w:rsidP="00630831">
            <w:pPr>
              <w:pStyle w:val="TableTextRight"/>
            </w:pPr>
            <w:r>
              <w:t xml:space="preserve">51,763 </w:t>
            </w:r>
          </w:p>
        </w:tc>
      </w:tr>
      <w:tr w:rsidR="00391DDA" w:rsidRPr="006534F5" w14:paraId="6E0EA195" w14:textId="77777777" w:rsidTr="003C2549">
        <w:tc>
          <w:tcPr>
            <w:tcW w:w="3310" w:type="pct"/>
            <w:shd w:val="clear" w:color="auto" w:fill="F2F2F2" w:themeFill="background1" w:themeFillShade="F2"/>
            <w:noWrap/>
            <w:tcMar>
              <w:top w:w="57" w:type="dxa"/>
              <w:bottom w:w="57" w:type="dxa"/>
            </w:tcMar>
            <w:hideMark/>
          </w:tcPr>
          <w:p w14:paraId="5B343489" w14:textId="15B590E8" w:rsidR="00391DDA" w:rsidRPr="005D2D30" w:rsidRDefault="00391DDA" w:rsidP="00630831">
            <w:pPr>
              <w:pStyle w:val="TableTextLeft"/>
            </w:pPr>
            <w:r w:rsidRPr="005D2D30">
              <w:t>Total more than 12 months</w:t>
            </w:r>
          </w:p>
        </w:tc>
        <w:tc>
          <w:tcPr>
            <w:tcW w:w="828" w:type="pct"/>
            <w:shd w:val="clear" w:color="auto" w:fill="F2F2F2" w:themeFill="background1" w:themeFillShade="F2"/>
            <w:noWrap/>
            <w:tcMar>
              <w:top w:w="57" w:type="dxa"/>
              <w:bottom w:w="57" w:type="dxa"/>
            </w:tcMar>
          </w:tcPr>
          <w:p w14:paraId="7CD06048" w14:textId="77777777" w:rsidR="00391DDA" w:rsidRPr="009F295C" w:rsidRDefault="00391DDA" w:rsidP="00630831">
            <w:pPr>
              <w:pStyle w:val="TableTextRight"/>
              <w:rPr>
                <w:b/>
                <w:bCs/>
              </w:rPr>
            </w:pPr>
            <w:r w:rsidRPr="009F295C">
              <w:rPr>
                <w:b/>
                <w:bCs/>
              </w:rPr>
              <w:t>769,133</w:t>
            </w:r>
          </w:p>
        </w:tc>
        <w:tc>
          <w:tcPr>
            <w:tcW w:w="862" w:type="pct"/>
            <w:shd w:val="clear" w:color="auto" w:fill="F2F2F2" w:themeFill="background1" w:themeFillShade="F2"/>
            <w:noWrap/>
            <w:tcMar>
              <w:top w:w="57" w:type="dxa"/>
              <w:bottom w:w="57" w:type="dxa"/>
            </w:tcMar>
          </w:tcPr>
          <w:p w14:paraId="610A954D" w14:textId="77777777" w:rsidR="00391DDA" w:rsidRPr="001E56D6" w:rsidRDefault="00391DDA" w:rsidP="00630831">
            <w:pPr>
              <w:pStyle w:val="TableTextRight"/>
              <w:rPr>
                <w:b/>
                <w:bCs/>
              </w:rPr>
            </w:pPr>
            <w:r>
              <w:rPr>
                <w:b/>
                <w:bCs/>
              </w:rPr>
              <w:t xml:space="preserve">734,372 </w:t>
            </w:r>
          </w:p>
        </w:tc>
      </w:tr>
      <w:tr w:rsidR="00391DDA" w:rsidRPr="006534F5" w14:paraId="216E4DFD" w14:textId="77777777" w:rsidTr="003C2549">
        <w:tc>
          <w:tcPr>
            <w:tcW w:w="3310" w:type="pct"/>
            <w:shd w:val="clear" w:color="auto" w:fill="F2F2F2" w:themeFill="background1" w:themeFillShade="F2"/>
            <w:noWrap/>
            <w:tcMar>
              <w:top w:w="57" w:type="dxa"/>
              <w:bottom w:w="57" w:type="dxa"/>
            </w:tcMar>
            <w:hideMark/>
          </w:tcPr>
          <w:p w14:paraId="4259BF93" w14:textId="77777777" w:rsidR="00391DDA" w:rsidRPr="005D2D30" w:rsidRDefault="00391DDA" w:rsidP="00630831">
            <w:pPr>
              <w:pStyle w:val="TableTextLeft"/>
              <w:rPr>
                <w:b/>
                <w:bCs/>
              </w:rPr>
            </w:pPr>
            <w:r w:rsidRPr="005D2D30">
              <w:rPr>
                <w:b/>
                <w:bCs/>
              </w:rPr>
              <w:t>Total liabilities</w:t>
            </w:r>
          </w:p>
        </w:tc>
        <w:tc>
          <w:tcPr>
            <w:tcW w:w="828" w:type="pct"/>
            <w:shd w:val="clear" w:color="auto" w:fill="F2F2F2" w:themeFill="background1" w:themeFillShade="F2"/>
            <w:noWrap/>
            <w:tcMar>
              <w:top w:w="57" w:type="dxa"/>
              <w:bottom w:w="57" w:type="dxa"/>
            </w:tcMar>
          </w:tcPr>
          <w:p w14:paraId="08173A5B" w14:textId="77777777" w:rsidR="00391DDA" w:rsidRPr="009F295C" w:rsidRDefault="00391DDA" w:rsidP="00630831">
            <w:pPr>
              <w:pStyle w:val="TableTextRight"/>
              <w:rPr>
                <w:b/>
                <w:bCs/>
              </w:rPr>
            </w:pPr>
            <w:r w:rsidRPr="009F295C">
              <w:rPr>
                <w:b/>
                <w:bCs/>
              </w:rPr>
              <w:t>887,021</w:t>
            </w:r>
          </w:p>
        </w:tc>
        <w:tc>
          <w:tcPr>
            <w:tcW w:w="862" w:type="pct"/>
            <w:shd w:val="clear" w:color="auto" w:fill="F2F2F2" w:themeFill="background1" w:themeFillShade="F2"/>
            <w:noWrap/>
            <w:tcMar>
              <w:top w:w="57" w:type="dxa"/>
              <w:bottom w:w="57" w:type="dxa"/>
            </w:tcMar>
          </w:tcPr>
          <w:p w14:paraId="7E266143" w14:textId="77777777" w:rsidR="00391DDA" w:rsidRPr="006534F5" w:rsidRDefault="00391DDA" w:rsidP="00630831">
            <w:pPr>
              <w:pStyle w:val="TableTextRight"/>
              <w:rPr>
                <w:b/>
                <w:bCs/>
              </w:rPr>
            </w:pPr>
            <w:r>
              <w:rPr>
                <w:b/>
                <w:bCs/>
              </w:rPr>
              <w:t>844,239</w:t>
            </w:r>
          </w:p>
        </w:tc>
      </w:tr>
    </w:tbl>
    <w:p w14:paraId="5D1B50A1" w14:textId="20F73CE4" w:rsidR="005B5350" w:rsidRPr="006534F5" w:rsidRDefault="005B5350" w:rsidP="005B5350">
      <w:pPr>
        <w:pStyle w:val="Heading1"/>
      </w:pPr>
      <w:bookmarkStart w:id="1779" w:name="_Toc146112264"/>
      <w:bookmarkStart w:id="1780" w:name="_Toc204874167"/>
      <w:bookmarkStart w:id="1781" w:name="_Toc207792943"/>
      <w:bookmarkStart w:id="1782" w:name="_Toc207793983"/>
      <w:bookmarkStart w:id="1783" w:name="_Toc207796152"/>
      <w:bookmarkStart w:id="1784" w:name="_Toc207796987"/>
      <w:bookmarkStart w:id="1785" w:name="_Toc207797312"/>
      <w:bookmarkStart w:id="1786" w:name="_Toc207800290"/>
      <w:bookmarkStart w:id="1787" w:name="_Toc207810868"/>
      <w:bookmarkStart w:id="1788" w:name="_Toc208913987"/>
      <w:bookmarkStart w:id="1789" w:name="_Toc208914148"/>
      <w:bookmarkStart w:id="1790" w:name="_Toc209424545"/>
      <w:bookmarkStart w:id="1791" w:name="_Toc209424605"/>
      <w:r w:rsidRPr="006534F5">
        <w:lastRenderedPageBreak/>
        <w:t xml:space="preserve">Departmental </w:t>
      </w:r>
      <w:bookmarkEnd w:id="1779"/>
      <w:r>
        <w:t>financial statements</w:t>
      </w:r>
      <w:bookmarkEnd w:id="1780"/>
      <w:bookmarkEnd w:id="1781"/>
      <w:bookmarkEnd w:id="1782"/>
      <w:bookmarkEnd w:id="1783"/>
      <w:bookmarkEnd w:id="1784"/>
      <w:bookmarkEnd w:id="1785"/>
      <w:bookmarkEnd w:id="1786"/>
      <w:bookmarkEnd w:id="1787"/>
      <w:bookmarkEnd w:id="1788"/>
      <w:bookmarkEnd w:id="1789"/>
      <w:bookmarkEnd w:id="1790"/>
      <w:bookmarkEnd w:id="1791"/>
    </w:p>
    <w:tbl>
      <w:tblPr>
        <w:tblStyle w:val="AOFMTablemain"/>
        <w:tblW w:w="4873" w:type="pct"/>
        <w:tblLook w:val="06A0" w:firstRow="1" w:lastRow="0" w:firstColumn="1" w:lastColumn="0" w:noHBand="1" w:noVBand="1"/>
      </w:tblPr>
      <w:tblGrid>
        <w:gridCol w:w="6108"/>
        <w:gridCol w:w="1407"/>
      </w:tblGrid>
      <w:tr w:rsidR="005B5350" w:rsidRPr="006534F5" w14:paraId="74EB39A4" w14:textId="77777777" w:rsidTr="00EC03D4">
        <w:trPr>
          <w:cnfStyle w:val="100000000000" w:firstRow="1" w:lastRow="0" w:firstColumn="0" w:lastColumn="0" w:oddVBand="0" w:evenVBand="0" w:oddHBand="0" w:evenHBand="0" w:firstRowFirstColumn="0" w:firstRowLastColumn="0" w:lastRowFirstColumn="0" w:lastRowLastColumn="0"/>
          <w:trHeight w:val="20"/>
        </w:trPr>
        <w:tc>
          <w:tcPr>
            <w:tcW w:w="4064" w:type="pct"/>
            <w:hideMark/>
          </w:tcPr>
          <w:p w14:paraId="7BF11BA2" w14:textId="77777777" w:rsidR="005B5350" w:rsidRPr="005D2D30" w:rsidRDefault="005B5350" w:rsidP="00630831">
            <w:pPr>
              <w:pStyle w:val="TableColumnHeadingLeft"/>
            </w:pPr>
            <w:r w:rsidRPr="005D2D30">
              <w:t>Statements</w:t>
            </w:r>
          </w:p>
        </w:tc>
        <w:tc>
          <w:tcPr>
            <w:tcW w:w="936" w:type="pct"/>
            <w:hideMark/>
          </w:tcPr>
          <w:p w14:paraId="6BBE0C50" w14:textId="77777777" w:rsidR="005B5350" w:rsidRPr="005D2D30" w:rsidRDefault="005B5350" w:rsidP="00630831">
            <w:pPr>
              <w:pStyle w:val="TableColumnHeadingRight"/>
            </w:pPr>
            <w:r w:rsidRPr="005D2D30">
              <w:t>Page</w:t>
            </w:r>
          </w:p>
        </w:tc>
      </w:tr>
      <w:tr w:rsidR="005B5350" w:rsidRPr="006534F5" w14:paraId="3E0C2E33" w14:textId="77777777" w:rsidTr="00630831">
        <w:trPr>
          <w:trHeight w:val="20"/>
        </w:trPr>
        <w:tc>
          <w:tcPr>
            <w:tcW w:w="4064" w:type="pct"/>
            <w:hideMark/>
          </w:tcPr>
          <w:p w14:paraId="7F0F4E06" w14:textId="77777777" w:rsidR="005B5350" w:rsidRPr="005D2D30" w:rsidRDefault="005B5350" w:rsidP="00630831">
            <w:pPr>
              <w:pStyle w:val="TableTextLeft"/>
              <w:rPr>
                <w:b/>
                <w:bCs/>
              </w:rPr>
            </w:pPr>
            <w:r w:rsidRPr="005D2D30">
              <w:rPr>
                <w:b/>
                <w:bCs/>
              </w:rPr>
              <w:t>Comprehensive income</w:t>
            </w:r>
          </w:p>
        </w:tc>
        <w:tc>
          <w:tcPr>
            <w:tcW w:w="936" w:type="pct"/>
          </w:tcPr>
          <w:p w14:paraId="0931295B" w14:textId="7357B3CE" w:rsidR="005B5350" w:rsidRPr="005D2D30" w:rsidRDefault="00955881" w:rsidP="00630831">
            <w:pPr>
              <w:pStyle w:val="TableTextRight"/>
              <w:rPr>
                <w:b/>
                <w:bCs/>
              </w:rPr>
            </w:pPr>
            <w:r>
              <w:rPr>
                <w:b/>
                <w:bCs/>
              </w:rPr>
              <w:t>1</w:t>
            </w:r>
            <w:r w:rsidR="00FC31CD">
              <w:rPr>
                <w:b/>
                <w:bCs/>
              </w:rPr>
              <w:t>53</w:t>
            </w:r>
          </w:p>
        </w:tc>
      </w:tr>
      <w:tr w:rsidR="005B5350" w:rsidRPr="006534F5" w14:paraId="4DC8A942" w14:textId="77777777" w:rsidTr="00630831">
        <w:trPr>
          <w:trHeight w:val="20"/>
        </w:trPr>
        <w:tc>
          <w:tcPr>
            <w:tcW w:w="4064" w:type="pct"/>
            <w:hideMark/>
          </w:tcPr>
          <w:p w14:paraId="74551F75" w14:textId="77777777" w:rsidR="005B5350" w:rsidRPr="005D2D30" w:rsidRDefault="005B5350" w:rsidP="00630831">
            <w:pPr>
              <w:pStyle w:val="TableTextLeft"/>
              <w:rPr>
                <w:b/>
                <w:bCs/>
              </w:rPr>
            </w:pPr>
            <w:r w:rsidRPr="005D2D30">
              <w:rPr>
                <w:b/>
                <w:bCs/>
              </w:rPr>
              <w:t>Financial position</w:t>
            </w:r>
          </w:p>
        </w:tc>
        <w:tc>
          <w:tcPr>
            <w:tcW w:w="936" w:type="pct"/>
          </w:tcPr>
          <w:p w14:paraId="00A4CFE8" w14:textId="1AF51713" w:rsidR="005B5350" w:rsidRPr="005D2D30" w:rsidRDefault="00C36221" w:rsidP="00630831">
            <w:pPr>
              <w:pStyle w:val="TableTextRight"/>
              <w:rPr>
                <w:b/>
                <w:bCs/>
              </w:rPr>
            </w:pPr>
            <w:r>
              <w:rPr>
                <w:b/>
                <w:bCs/>
              </w:rPr>
              <w:t>1</w:t>
            </w:r>
            <w:r w:rsidR="00FC31CD">
              <w:rPr>
                <w:b/>
                <w:bCs/>
              </w:rPr>
              <w:t>54</w:t>
            </w:r>
          </w:p>
        </w:tc>
      </w:tr>
      <w:tr w:rsidR="005B5350" w:rsidRPr="006534F5" w14:paraId="3627A98C" w14:textId="77777777" w:rsidTr="00630831">
        <w:trPr>
          <w:trHeight w:val="20"/>
        </w:trPr>
        <w:tc>
          <w:tcPr>
            <w:tcW w:w="4064" w:type="pct"/>
            <w:hideMark/>
          </w:tcPr>
          <w:p w14:paraId="261228BD" w14:textId="77777777" w:rsidR="005B5350" w:rsidRPr="005D2D30" w:rsidRDefault="005B5350" w:rsidP="00630831">
            <w:pPr>
              <w:pStyle w:val="TableTextLeft"/>
              <w:rPr>
                <w:b/>
                <w:bCs/>
              </w:rPr>
            </w:pPr>
            <w:r w:rsidRPr="005D2D30">
              <w:rPr>
                <w:b/>
                <w:bCs/>
              </w:rPr>
              <w:t>Changes in equity</w:t>
            </w:r>
          </w:p>
        </w:tc>
        <w:tc>
          <w:tcPr>
            <w:tcW w:w="936" w:type="pct"/>
          </w:tcPr>
          <w:p w14:paraId="21B19ED9" w14:textId="19C75C6D" w:rsidR="005B5350" w:rsidRPr="005D2D30" w:rsidRDefault="00C36221" w:rsidP="00630831">
            <w:pPr>
              <w:pStyle w:val="TableTextRight"/>
              <w:rPr>
                <w:b/>
                <w:bCs/>
              </w:rPr>
            </w:pPr>
            <w:r>
              <w:rPr>
                <w:b/>
                <w:bCs/>
              </w:rPr>
              <w:t>1</w:t>
            </w:r>
            <w:r w:rsidR="00FC31CD">
              <w:rPr>
                <w:b/>
                <w:bCs/>
              </w:rPr>
              <w:t>55</w:t>
            </w:r>
          </w:p>
        </w:tc>
      </w:tr>
      <w:tr w:rsidR="005B5350" w:rsidRPr="006534F5" w14:paraId="7675098E" w14:textId="77777777" w:rsidTr="00630831">
        <w:trPr>
          <w:trHeight w:val="20"/>
        </w:trPr>
        <w:tc>
          <w:tcPr>
            <w:tcW w:w="4064" w:type="pct"/>
            <w:hideMark/>
          </w:tcPr>
          <w:p w14:paraId="2AA03AF9" w14:textId="77777777" w:rsidR="005B5350" w:rsidRPr="005D2D30" w:rsidRDefault="005B5350" w:rsidP="00630831">
            <w:pPr>
              <w:pStyle w:val="TableTextLeft"/>
              <w:rPr>
                <w:b/>
                <w:bCs/>
              </w:rPr>
            </w:pPr>
            <w:r w:rsidRPr="005D2D30">
              <w:rPr>
                <w:b/>
                <w:bCs/>
              </w:rPr>
              <w:t>Cash flow</w:t>
            </w:r>
          </w:p>
        </w:tc>
        <w:tc>
          <w:tcPr>
            <w:tcW w:w="936" w:type="pct"/>
          </w:tcPr>
          <w:p w14:paraId="60033780" w14:textId="0F9F9753" w:rsidR="005B5350" w:rsidRPr="005D2D30" w:rsidRDefault="008D520E" w:rsidP="00630831">
            <w:pPr>
              <w:pStyle w:val="TableTextRight"/>
              <w:rPr>
                <w:b/>
                <w:bCs/>
              </w:rPr>
            </w:pPr>
            <w:r>
              <w:rPr>
                <w:b/>
                <w:bCs/>
              </w:rPr>
              <w:t>1</w:t>
            </w:r>
            <w:r w:rsidR="00FC31CD">
              <w:rPr>
                <w:b/>
                <w:bCs/>
              </w:rPr>
              <w:t>56</w:t>
            </w:r>
          </w:p>
        </w:tc>
      </w:tr>
      <w:tr w:rsidR="005B5350" w:rsidRPr="006534F5" w14:paraId="77882500" w14:textId="77777777" w:rsidTr="00630831">
        <w:trPr>
          <w:trHeight w:val="20"/>
        </w:trPr>
        <w:tc>
          <w:tcPr>
            <w:tcW w:w="4064" w:type="pct"/>
            <w:hideMark/>
          </w:tcPr>
          <w:p w14:paraId="02FC878C" w14:textId="755D1D7C" w:rsidR="005B5350" w:rsidRPr="006C4E07" w:rsidRDefault="005B5350" w:rsidP="00630831">
            <w:pPr>
              <w:pStyle w:val="TableSecondHeading"/>
              <w:rPr>
                <w:b/>
              </w:rPr>
            </w:pPr>
            <w:r w:rsidRPr="006C4E07">
              <w:rPr>
                <w:b/>
              </w:rPr>
              <w:t xml:space="preserve">Notes </w:t>
            </w:r>
            <w:r w:rsidR="00F629A2" w:rsidRPr="006C4E07">
              <w:rPr>
                <w:b/>
              </w:rPr>
              <w:t>to the statements</w:t>
            </w:r>
          </w:p>
        </w:tc>
        <w:tc>
          <w:tcPr>
            <w:tcW w:w="936" w:type="pct"/>
          </w:tcPr>
          <w:p w14:paraId="2CE8BC2F" w14:textId="77777777" w:rsidR="005B5350" w:rsidRPr="005D2D30" w:rsidRDefault="005B5350" w:rsidP="00630831">
            <w:pPr>
              <w:pStyle w:val="TableTextRight"/>
            </w:pPr>
          </w:p>
        </w:tc>
      </w:tr>
      <w:tr w:rsidR="005B5350" w:rsidRPr="006534F5" w14:paraId="0CFBEC1C" w14:textId="77777777" w:rsidTr="00630831">
        <w:trPr>
          <w:trHeight w:val="20"/>
        </w:trPr>
        <w:tc>
          <w:tcPr>
            <w:tcW w:w="4064" w:type="pct"/>
            <w:hideMark/>
          </w:tcPr>
          <w:p w14:paraId="3D005E3F" w14:textId="77777777" w:rsidR="005B5350" w:rsidRPr="006534F5" w:rsidRDefault="005B5350" w:rsidP="00630831">
            <w:pPr>
              <w:pStyle w:val="TableTextLeft"/>
            </w:pPr>
            <w:r w:rsidRPr="006534F5">
              <w:t>A: Expenses</w:t>
            </w:r>
          </w:p>
        </w:tc>
        <w:tc>
          <w:tcPr>
            <w:tcW w:w="936" w:type="pct"/>
          </w:tcPr>
          <w:p w14:paraId="522C6A6E" w14:textId="0C1AFCE4" w:rsidR="005B5350" w:rsidRPr="005D2D30" w:rsidRDefault="00667C4A" w:rsidP="00630831">
            <w:pPr>
              <w:pStyle w:val="TableTextRight"/>
            </w:pPr>
            <w:r>
              <w:t>1</w:t>
            </w:r>
            <w:r w:rsidR="00FC31CD">
              <w:t>57</w:t>
            </w:r>
          </w:p>
        </w:tc>
      </w:tr>
      <w:tr w:rsidR="005B5350" w:rsidRPr="006534F5" w14:paraId="4F70818E" w14:textId="77777777" w:rsidTr="00630831">
        <w:trPr>
          <w:trHeight w:val="20"/>
        </w:trPr>
        <w:tc>
          <w:tcPr>
            <w:tcW w:w="4064" w:type="pct"/>
            <w:hideMark/>
          </w:tcPr>
          <w:p w14:paraId="379DA219" w14:textId="77777777" w:rsidR="005B5350" w:rsidRPr="006534F5" w:rsidRDefault="005B5350" w:rsidP="00630831">
            <w:pPr>
              <w:pStyle w:val="TableTextLeft"/>
            </w:pPr>
            <w:r w:rsidRPr="006534F5">
              <w:t>B: Receivables</w:t>
            </w:r>
          </w:p>
        </w:tc>
        <w:tc>
          <w:tcPr>
            <w:tcW w:w="936" w:type="pct"/>
          </w:tcPr>
          <w:p w14:paraId="35606E34" w14:textId="6F9D7975" w:rsidR="005B5350" w:rsidRPr="005D2D30" w:rsidRDefault="00E0032E" w:rsidP="00630831">
            <w:pPr>
              <w:pStyle w:val="TableTextRight"/>
            </w:pPr>
            <w:r>
              <w:t>1</w:t>
            </w:r>
            <w:r w:rsidR="00FC31CD">
              <w:t>58</w:t>
            </w:r>
          </w:p>
        </w:tc>
      </w:tr>
      <w:tr w:rsidR="005B5350" w:rsidRPr="006534F5" w14:paraId="543A151F" w14:textId="77777777" w:rsidTr="00630831">
        <w:trPr>
          <w:trHeight w:val="20"/>
        </w:trPr>
        <w:tc>
          <w:tcPr>
            <w:tcW w:w="4064" w:type="pct"/>
            <w:hideMark/>
          </w:tcPr>
          <w:p w14:paraId="2A26F510" w14:textId="77777777" w:rsidR="005B5350" w:rsidRPr="006534F5" w:rsidRDefault="005B5350" w:rsidP="00630831">
            <w:pPr>
              <w:pStyle w:val="TableTextLeft"/>
            </w:pPr>
            <w:r w:rsidRPr="006534F5">
              <w:t>C: Property, plant, and equipment</w:t>
            </w:r>
          </w:p>
        </w:tc>
        <w:tc>
          <w:tcPr>
            <w:tcW w:w="936" w:type="pct"/>
          </w:tcPr>
          <w:p w14:paraId="33941D70" w14:textId="52D167BB" w:rsidR="005B5350" w:rsidRPr="005D2D30" w:rsidRDefault="00E0032E" w:rsidP="00630831">
            <w:pPr>
              <w:pStyle w:val="TableTextRight"/>
            </w:pPr>
            <w:r>
              <w:t>1</w:t>
            </w:r>
            <w:r w:rsidR="00FC31CD">
              <w:t>59</w:t>
            </w:r>
          </w:p>
        </w:tc>
      </w:tr>
      <w:tr w:rsidR="005B5350" w:rsidRPr="006534F5" w14:paraId="4774E09C" w14:textId="77777777" w:rsidTr="00630831">
        <w:trPr>
          <w:trHeight w:val="20"/>
        </w:trPr>
        <w:tc>
          <w:tcPr>
            <w:tcW w:w="4064" w:type="pct"/>
            <w:hideMark/>
          </w:tcPr>
          <w:p w14:paraId="53493262" w14:textId="77777777" w:rsidR="005B5350" w:rsidRPr="006534F5" w:rsidRDefault="005B5350" w:rsidP="00630831">
            <w:pPr>
              <w:pStyle w:val="TableTextLeft"/>
            </w:pPr>
            <w:r>
              <w:t>D</w:t>
            </w:r>
            <w:r w:rsidRPr="006534F5">
              <w:t>: Employee provisions</w:t>
            </w:r>
          </w:p>
        </w:tc>
        <w:tc>
          <w:tcPr>
            <w:tcW w:w="936" w:type="pct"/>
          </w:tcPr>
          <w:p w14:paraId="3A1EB790" w14:textId="47004E6F" w:rsidR="005B5350" w:rsidRPr="005D2D30" w:rsidRDefault="00C24498" w:rsidP="00630831">
            <w:pPr>
              <w:pStyle w:val="TableTextRight"/>
            </w:pPr>
            <w:r>
              <w:t>1</w:t>
            </w:r>
            <w:r w:rsidR="00FC31CD">
              <w:t>64</w:t>
            </w:r>
          </w:p>
        </w:tc>
      </w:tr>
      <w:tr w:rsidR="005B5350" w:rsidRPr="006534F5" w14:paraId="18C58A40" w14:textId="77777777" w:rsidTr="00630831">
        <w:trPr>
          <w:trHeight w:val="20"/>
        </w:trPr>
        <w:tc>
          <w:tcPr>
            <w:tcW w:w="4064" w:type="pct"/>
            <w:hideMark/>
          </w:tcPr>
          <w:p w14:paraId="69D99D95" w14:textId="77777777" w:rsidR="005B5350" w:rsidRPr="006534F5" w:rsidRDefault="005B5350" w:rsidP="00630831">
            <w:pPr>
              <w:pStyle w:val="TableTextLeft"/>
            </w:pPr>
            <w:r>
              <w:t>E</w:t>
            </w:r>
            <w:r w:rsidRPr="006534F5">
              <w:t>: Lease liabilities</w:t>
            </w:r>
          </w:p>
        </w:tc>
        <w:tc>
          <w:tcPr>
            <w:tcW w:w="936" w:type="pct"/>
          </w:tcPr>
          <w:p w14:paraId="5C7F3FF5" w14:textId="6025D9BF" w:rsidR="005B5350" w:rsidRPr="005D2D30" w:rsidRDefault="005A4DD0" w:rsidP="00630831">
            <w:pPr>
              <w:pStyle w:val="TableTextRight"/>
            </w:pPr>
            <w:r>
              <w:t>16</w:t>
            </w:r>
            <w:r w:rsidR="00FC31CD">
              <w:t>7</w:t>
            </w:r>
          </w:p>
        </w:tc>
      </w:tr>
      <w:tr w:rsidR="005B5350" w:rsidRPr="006534F5" w14:paraId="09B2EB73" w14:textId="77777777" w:rsidTr="00630831">
        <w:trPr>
          <w:trHeight w:val="20"/>
        </w:trPr>
        <w:tc>
          <w:tcPr>
            <w:tcW w:w="4064" w:type="pct"/>
            <w:hideMark/>
          </w:tcPr>
          <w:p w14:paraId="6D557078" w14:textId="77777777" w:rsidR="005B5350" w:rsidRPr="006534F5" w:rsidRDefault="005B5350" w:rsidP="00630831">
            <w:pPr>
              <w:pStyle w:val="TableTextLeft"/>
            </w:pPr>
            <w:r>
              <w:t>F</w:t>
            </w:r>
            <w:r w:rsidRPr="006534F5">
              <w:t>: Other provisions</w:t>
            </w:r>
          </w:p>
        </w:tc>
        <w:tc>
          <w:tcPr>
            <w:tcW w:w="936" w:type="pct"/>
          </w:tcPr>
          <w:p w14:paraId="01C8A6C8" w14:textId="1BAAC757" w:rsidR="005B5350" w:rsidRPr="005D2D30" w:rsidRDefault="005A4DD0" w:rsidP="00630831">
            <w:pPr>
              <w:pStyle w:val="TableTextRight"/>
            </w:pPr>
            <w:r>
              <w:t>16</w:t>
            </w:r>
            <w:r w:rsidR="00FC31CD">
              <w:t>8</w:t>
            </w:r>
          </w:p>
        </w:tc>
      </w:tr>
      <w:tr w:rsidR="005B5350" w:rsidRPr="006534F5" w14:paraId="192162D9" w14:textId="77777777" w:rsidTr="00630831">
        <w:trPr>
          <w:trHeight w:val="20"/>
        </w:trPr>
        <w:tc>
          <w:tcPr>
            <w:tcW w:w="4064" w:type="pct"/>
            <w:hideMark/>
          </w:tcPr>
          <w:p w14:paraId="2FFF5560" w14:textId="77777777" w:rsidR="005B5350" w:rsidRPr="006534F5" w:rsidRDefault="005B5350" w:rsidP="00630831">
            <w:pPr>
              <w:pStyle w:val="TableTextLeft"/>
            </w:pPr>
            <w:r>
              <w:t>G</w:t>
            </w:r>
            <w:r w:rsidRPr="006534F5">
              <w:t>: Cash flow reconciliation</w:t>
            </w:r>
          </w:p>
        </w:tc>
        <w:tc>
          <w:tcPr>
            <w:tcW w:w="936" w:type="pct"/>
          </w:tcPr>
          <w:p w14:paraId="717B0FFD" w14:textId="248C0301" w:rsidR="005B5350" w:rsidRPr="005D2D30" w:rsidRDefault="005A4DD0" w:rsidP="00630831">
            <w:pPr>
              <w:pStyle w:val="TableTextRight"/>
            </w:pPr>
            <w:r>
              <w:t>16</w:t>
            </w:r>
            <w:r w:rsidR="00FC31CD">
              <w:t>9</w:t>
            </w:r>
          </w:p>
        </w:tc>
      </w:tr>
      <w:tr w:rsidR="005B5350" w:rsidRPr="006534F5" w14:paraId="72EAE19F" w14:textId="77777777" w:rsidTr="00630831">
        <w:trPr>
          <w:trHeight w:val="20"/>
        </w:trPr>
        <w:tc>
          <w:tcPr>
            <w:tcW w:w="4064" w:type="pct"/>
            <w:hideMark/>
          </w:tcPr>
          <w:p w14:paraId="30D9D95A" w14:textId="77777777" w:rsidR="005B5350" w:rsidRPr="006534F5" w:rsidRDefault="005B5350" w:rsidP="00630831">
            <w:pPr>
              <w:pStyle w:val="TableTextLeft"/>
            </w:pPr>
            <w:r>
              <w:t>H</w:t>
            </w:r>
            <w:r w:rsidRPr="006534F5">
              <w:t>: Appropriations</w:t>
            </w:r>
          </w:p>
        </w:tc>
        <w:tc>
          <w:tcPr>
            <w:tcW w:w="936" w:type="pct"/>
          </w:tcPr>
          <w:p w14:paraId="30742637" w14:textId="525748EA" w:rsidR="005B5350" w:rsidRPr="005D2D30" w:rsidRDefault="00C8274F" w:rsidP="00630831">
            <w:pPr>
              <w:pStyle w:val="TableTextRight"/>
            </w:pPr>
            <w:r>
              <w:t>1</w:t>
            </w:r>
            <w:r w:rsidR="00FC31CD">
              <w:t>70</w:t>
            </w:r>
          </w:p>
        </w:tc>
      </w:tr>
      <w:tr w:rsidR="005B5350" w:rsidRPr="006534F5" w14:paraId="23B9FD17" w14:textId="77777777" w:rsidTr="00630831">
        <w:trPr>
          <w:trHeight w:val="20"/>
        </w:trPr>
        <w:tc>
          <w:tcPr>
            <w:tcW w:w="4064" w:type="pct"/>
            <w:hideMark/>
          </w:tcPr>
          <w:p w14:paraId="37DE8234" w14:textId="77777777" w:rsidR="005B5350" w:rsidRPr="006534F5" w:rsidRDefault="005B5350" w:rsidP="00630831">
            <w:pPr>
              <w:pStyle w:val="TableTextLeft"/>
            </w:pPr>
            <w:r>
              <w:t>I</w:t>
            </w:r>
            <w:r w:rsidRPr="006534F5">
              <w:t xml:space="preserve">: </w:t>
            </w:r>
            <w:r>
              <w:t>Departmental budget variances</w:t>
            </w:r>
          </w:p>
        </w:tc>
        <w:tc>
          <w:tcPr>
            <w:tcW w:w="936" w:type="pct"/>
          </w:tcPr>
          <w:p w14:paraId="6E35DF07" w14:textId="59EA6284" w:rsidR="005B5350" w:rsidRPr="005D2D30" w:rsidRDefault="00482E71" w:rsidP="00630831">
            <w:pPr>
              <w:pStyle w:val="TableTextRight"/>
            </w:pPr>
            <w:r>
              <w:t>1</w:t>
            </w:r>
            <w:r w:rsidR="00FC31CD">
              <w:t>72</w:t>
            </w:r>
          </w:p>
        </w:tc>
      </w:tr>
      <w:tr w:rsidR="005B5350" w:rsidRPr="006534F5" w14:paraId="7ADC939F" w14:textId="77777777" w:rsidTr="00630831">
        <w:trPr>
          <w:trHeight w:val="20"/>
        </w:trPr>
        <w:tc>
          <w:tcPr>
            <w:tcW w:w="4064" w:type="pct"/>
          </w:tcPr>
          <w:p w14:paraId="312F2469" w14:textId="77777777" w:rsidR="005B5350" w:rsidRDefault="005B5350" w:rsidP="00630831">
            <w:pPr>
              <w:pStyle w:val="TableTextLeft"/>
            </w:pPr>
            <w:r>
              <w:t>Overview</w:t>
            </w:r>
          </w:p>
        </w:tc>
        <w:tc>
          <w:tcPr>
            <w:tcW w:w="936" w:type="pct"/>
          </w:tcPr>
          <w:p w14:paraId="7894ADCD" w14:textId="4186F239" w:rsidR="005B5350" w:rsidRPr="005D2D30" w:rsidRDefault="00482E71" w:rsidP="00630831">
            <w:pPr>
              <w:pStyle w:val="TableTextRight"/>
            </w:pPr>
            <w:r>
              <w:t>1</w:t>
            </w:r>
            <w:r w:rsidR="00FC31CD">
              <w:t>73</w:t>
            </w:r>
          </w:p>
        </w:tc>
      </w:tr>
      <w:tr w:rsidR="005B5350" w:rsidRPr="006534F5" w14:paraId="7FEBAB15" w14:textId="77777777" w:rsidTr="00630831">
        <w:trPr>
          <w:trHeight w:val="20"/>
        </w:trPr>
        <w:tc>
          <w:tcPr>
            <w:tcW w:w="4064" w:type="pct"/>
          </w:tcPr>
          <w:p w14:paraId="7B18283B" w14:textId="77777777" w:rsidR="005B5350" w:rsidRDefault="005B5350" w:rsidP="00630831">
            <w:pPr>
              <w:pStyle w:val="TableTextLeft"/>
            </w:pPr>
            <w:r>
              <w:t>Managing uncertainties</w:t>
            </w:r>
          </w:p>
        </w:tc>
        <w:tc>
          <w:tcPr>
            <w:tcW w:w="936" w:type="pct"/>
          </w:tcPr>
          <w:p w14:paraId="68CC47CE" w14:textId="1F428D09" w:rsidR="005B5350" w:rsidRPr="005D2D30" w:rsidRDefault="00482E71" w:rsidP="00630831">
            <w:pPr>
              <w:pStyle w:val="TableTextRight"/>
            </w:pPr>
            <w:r>
              <w:t>1</w:t>
            </w:r>
            <w:r w:rsidR="00FC31CD">
              <w:t>75</w:t>
            </w:r>
          </w:p>
        </w:tc>
      </w:tr>
      <w:tr w:rsidR="005B5350" w:rsidRPr="006534F5" w14:paraId="3F09C0A2" w14:textId="77777777" w:rsidTr="00630831">
        <w:trPr>
          <w:trHeight w:val="20"/>
        </w:trPr>
        <w:tc>
          <w:tcPr>
            <w:tcW w:w="4064" w:type="pct"/>
          </w:tcPr>
          <w:p w14:paraId="0F0F517F" w14:textId="77777777" w:rsidR="005B5350" w:rsidRDefault="005B5350" w:rsidP="00630831">
            <w:pPr>
              <w:pStyle w:val="TableTextLeft"/>
            </w:pPr>
            <w:r>
              <w:t>Other information</w:t>
            </w:r>
          </w:p>
        </w:tc>
        <w:tc>
          <w:tcPr>
            <w:tcW w:w="936" w:type="pct"/>
          </w:tcPr>
          <w:p w14:paraId="59B63B32" w14:textId="1CFF4CF4" w:rsidR="005B5350" w:rsidRPr="005D2D30" w:rsidRDefault="00482E71" w:rsidP="00630831">
            <w:pPr>
              <w:pStyle w:val="TableTextRight"/>
            </w:pPr>
            <w:r>
              <w:t>17</w:t>
            </w:r>
            <w:r w:rsidR="00FC31CD">
              <w:t>8</w:t>
            </w:r>
          </w:p>
        </w:tc>
      </w:tr>
    </w:tbl>
    <w:p w14:paraId="742FEE06" w14:textId="77777777" w:rsidR="005B5350" w:rsidRPr="001E5178" w:rsidRDefault="005B5350" w:rsidP="005B5350">
      <w:pPr>
        <w:rPr>
          <w:rFonts w:eastAsiaTheme="majorEastAsia"/>
        </w:rPr>
      </w:pPr>
      <w:r w:rsidRPr="001E5178">
        <w:br w:type="page"/>
      </w:r>
    </w:p>
    <w:p w14:paraId="33E01FF2" w14:textId="77777777" w:rsidR="005B5350" w:rsidRPr="006534F5" w:rsidRDefault="005B5350" w:rsidP="005B5350">
      <w:pPr>
        <w:pStyle w:val="Heading2"/>
      </w:pPr>
      <w:bookmarkStart w:id="1792" w:name="_Toc146112265"/>
      <w:bookmarkStart w:id="1793" w:name="_Toc207792944"/>
      <w:bookmarkStart w:id="1794" w:name="_Toc207793984"/>
      <w:bookmarkStart w:id="1795" w:name="_Toc207796153"/>
      <w:bookmarkStart w:id="1796" w:name="_Toc207796988"/>
      <w:bookmarkStart w:id="1797" w:name="_Toc207800291"/>
      <w:bookmarkStart w:id="1798" w:name="_Toc207810869"/>
      <w:bookmarkStart w:id="1799" w:name="_Toc208914149"/>
      <w:bookmarkStart w:id="1800" w:name="_Toc209424546"/>
      <w:r>
        <w:lastRenderedPageBreak/>
        <w:t>Departmental s</w:t>
      </w:r>
      <w:r w:rsidRPr="006534F5">
        <w:t>tatement of comprehensive income</w:t>
      </w:r>
      <w:bookmarkEnd w:id="1792"/>
      <w:bookmarkEnd w:id="1793"/>
      <w:bookmarkEnd w:id="1794"/>
      <w:bookmarkEnd w:id="1795"/>
      <w:bookmarkEnd w:id="1796"/>
      <w:bookmarkEnd w:id="1797"/>
      <w:bookmarkEnd w:id="1798"/>
      <w:bookmarkEnd w:id="1799"/>
      <w:bookmarkEnd w:id="1800"/>
    </w:p>
    <w:p w14:paraId="3836525E" w14:textId="77777777" w:rsidR="005B5350" w:rsidRPr="00A62690" w:rsidRDefault="005B5350" w:rsidP="005B5350">
      <w:pPr>
        <w:pStyle w:val="TableMainHeading"/>
      </w:pPr>
      <w:r w:rsidRPr="00A62690">
        <w:t>For the period ended 30 June 2025</w:t>
      </w:r>
    </w:p>
    <w:tbl>
      <w:tblPr>
        <w:tblStyle w:val="AOFMTablemain"/>
        <w:tblW w:w="5000" w:type="pct"/>
        <w:tblLook w:val="06A0" w:firstRow="1" w:lastRow="0" w:firstColumn="1" w:lastColumn="0" w:noHBand="1" w:noVBand="1"/>
      </w:tblPr>
      <w:tblGrid>
        <w:gridCol w:w="2852"/>
        <w:gridCol w:w="710"/>
        <w:gridCol w:w="1383"/>
        <w:gridCol w:w="1383"/>
        <w:gridCol w:w="1383"/>
      </w:tblGrid>
      <w:tr w:rsidR="0048600D" w:rsidRPr="006534F5" w14:paraId="3DE8700B" w14:textId="77777777" w:rsidTr="00D92452">
        <w:trPr>
          <w:cnfStyle w:val="100000000000" w:firstRow="1" w:lastRow="0" w:firstColumn="0" w:lastColumn="0" w:oddVBand="0" w:evenVBand="0" w:oddHBand="0" w:evenHBand="0" w:firstRowFirstColumn="0" w:firstRowLastColumn="0" w:lastRowFirstColumn="0" w:lastRowLastColumn="0"/>
        </w:trPr>
        <w:tc>
          <w:tcPr>
            <w:tcW w:w="1853" w:type="pct"/>
            <w:tcBorders>
              <w:bottom w:val="single" w:sz="4" w:space="0" w:color="29114B" w:themeColor="text2"/>
            </w:tcBorders>
            <w:noWrap/>
            <w:tcMar>
              <w:top w:w="57" w:type="dxa"/>
              <w:bottom w:w="57" w:type="dxa"/>
            </w:tcMar>
            <w:vAlign w:val="bottom"/>
            <w:hideMark/>
          </w:tcPr>
          <w:p w14:paraId="1702B69E" w14:textId="77777777" w:rsidR="005B5350" w:rsidRPr="000E7306" w:rsidRDefault="005B5350" w:rsidP="00630831">
            <w:pPr>
              <w:pStyle w:val="TableColumnHeadingRight"/>
              <w:rPr>
                <w:bCs/>
              </w:rPr>
            </w:pPr>
          </w:p>
        </w:tc>
        <w:tc>
          <w:tcPr>
            <w:tcW w:w="447" w:type="pct"/>
            <w:tcBorders>
              <w:bottom w:val="single" w:sz="4" w:space="0" w:color="29114B" w:themeColor="text2"/>
            </w:tcBorders>
            <w:tcMar>
              <w:top w:w="57" w:type="dxa"/>
              <w:bottom w:w="57" w:type="dxa"/>
            </w:tcMar>
            <w:vAlign w:val="bottom"/>
          </w:tcPr>
          <w:p w14:paraId="5E249666" w14:textId="77777777" w:rsidR="005B5350" w:rsidRPr="000E7306" w:rsidRDefault="005B5350" w:rsidP="00630831">
            <w:pPr>
              <w:pStyle w:val="TableColumnHeadingCentred"/>
              <w:jc w:val="right"/>
            </w:pPr>
            <w:r w:rsidRPr="000E7306">
              <w:t>Notes</w:t>
            </w:r>
          </w:p>
        </w:tc>
        <w:tc>
          <w:tcPr>
            <w:tcW w:w="900" w:type="pct"/>
            <w:tcBorders>
              <w:bottom w:val="single" w:sz="4" w:space="0" w:color="29114B" w:themeColor="text2"/>
            </w:tcBorders>
            <w:noWrap/>
            <w:tcMar>
              <w:top w:w="57" w:type="dxa"/>
              <w:bottom w:w="57" w:type="dxa"/>
            </w:tcMar>
            <w:vAlign w:val="bottom"/>
            <w:hideMark/>
          </w:tcPr>
          <w:p w14:paraId="3CAAC070" w14:textId="77777777" w:rsidR="005B5350" w:rsidRDefault="005B5350" w:rsidP="00630831">
            <w:pPr>
              <w:pStyle w:val="TableColumnHeadingRight"/>
              <w:rPr>
                <w:bCs/>
              </w:rPr>
            </w:pPr>
            <w:r w:rsidRPr="000E7306">
              <w:rPr>
                <w:bCs/>
              </w:rPr>
              <w:t>202</w:t>
            </w:r>
            <w:r>
              <w:rPr>
                <w:bCs/>
              </w:rPr>
              <w:t xml:space="preserve">5 </w:t>
            </w:r>
          </w:p>
          <w:p w14:paraId="7DA56C6A" w14:textId="77777777" w:rsidR="005B5350" w:rsidRPr="000E7306" w:rsidRDefault="005B5350" w:rsidP="00630831">
            <w:pPr>
              <w:pStyle w:val="TableColumnHeadingRight"/>
              <w:rPr>
                <w:bCs/>
              </w:rPr>
            </w:pPr>
            <w:r>
              <w:rPr>
                <w:bCs/>
              </w:rPr>
              <w:t>$’000</w:t>
            </w:r>
            <w:r w:rsidRPr="000E7306">
              <w:rPr>
                <w:bCs/>
              </w:rPr>
              <w:t xml:space="preserve"> </w:t>
            </w:r>
          </w:p>
        </w:tc>
        <w:tc>
          <w:tcPr>
            <w:tcW w:w="900" w:type="pct"/>
            <w:tcBorders>
              <w:bottom w:val="single" w:sz="4" w:space="0" w:color="29114B" w:themeColor="text2"/>
            </w:tcBorders>
            <w:noWrap/>
            <w:tcMar>
              <w:top w:w="57" w:type="dxa"/>
              <w:bottom w:w="57" w:type="dxa"/>
            </w:tcMar>
            <w:vAlign w:val="bottom"/>
            <w:hideMark/>
          </w:tcPr>
          <w:p w14:paraId="4E3D15A5" w14:textId="77777777" w:rsidR="005B5350" w:rsidRDefault="005B5350" w:rsidP="00630831">
            <w:pPr>
              <w:pStyle w:val="TableColumnHeadingRight"/>
            </w:pPr>
            <w:r w:rsidRPr="000E7306">
              <w:t>202</w:t>
            </w:r>
            <w:r>
              <w:t xml:space="preserve">4 </w:t>
            </w:r>
          </w:p>
          <w:p w14:paraId="18742D97" w14:textId="77777777" w:rsidR="005B5350" w:rsidRPr="000E7306" w:rsidRDefault="005B5350" w:rsidP="00630831">
            <w:pPr>
              <w:pStyle w:val="TableColumnHeadingRight"/>
            </w:pPr>
            <w:r>
              <w:t>$’000</w:t>
            </w:r>
            <w:r w:rsidRPr="000E7306">
              <w:t xml:space="preserve"> </w:t>
            </w:r>
          </w:p>
        </w:tc>
        <w:tc>
          <w:tcPr>
            <w:tcW w:w="900" w:type="pct"/>
            <w:tcBorders>
              <w:bottom w:val="single" w:sz="4" w:space="0" w:color="29114B" w:themeColor="text2"/>
            </w:tcBorders>
            <w:tcMar>
              <w:top w:w="57" w:type="dxa"/>
              <w:bottom w:w="57" w:type="dxa"/>
            </w:tcMar>
            <w:vAlign w:val="bottom"/>
            <w:hideMark/>
          </w:tcPr>
          <w:p w14:paraId="3C05BABE" w14:textId="77777777" w:rsidR="005B5350" w:rsidRDefault="005B5350" w:rsidP="00630831">
            <w:pPr>
              <w:pStyle w:val="TableColumnHeadingRight"/>
              <w:rPr>
                <w:bCs/>
              </w:rPr>
            </w:pPr>
            <w:r w:rsidRPr="000E7306">
              <w:rPr>
                <w:bCs/>
              </w:rPr>
              <w:t xml:space="preserve"> Budget</w:t>
            </w:r>
            <w:r>
              <w:rPr>
                <w:bCs/>
              </w:rPr>
              <w:t xml:space="preserve"> </w:t>
            </w:r>
            <w:r w:rsidRPr="000E7306">
              <w:rPr>
                <w:bCs/>
              </w:rPr>
              <w:t>202</w:t>
            </w:r>
            <w:r>
              <w:rPr>
                <w:bCs/>
              </w:rPr>
              <w:t xml:space="preserve">5 </w:t>
            </w:r>
          </w:p>
          <w:p w14:paraId="42D9F067" w14:textId="77777777" w:rsidR="005B5350" w:rsidRPr="000E7306" w:rsidRDefault="005B5350" w:rsidP="00630831">
            <w:pPr>
              <w:pStyle w:val="TableColumnHeadingRight"/>
              <w:rPr>
                <w:bCs/>
              </w:rPr>
            </w:pPr>
            <w:r>
              <w:rPr>
                <w:bCs/>
              </w:rPr>
              <w:t>$’000</w:t>
            </w:r>
          </w:p>
        </w:tc>
      </w:tr>
      <w:tr w:rsidR="005B5350" w:rsidRPr="006534F5" w14:paraId="0E5E2CC5" w14:textId="77777777" w:rsidTr="00575CA9">
        <w:tc>
          <w:tcPr>
            <w:tcW w:w="1853" w:type="pct"/>
            <w:tcBorders>
              <w:top w:val="single" w:sz="4" w:space="0" w:color="29114B" w:themeColor="text2"/>
              <w:right w:val="single" w:sz="4" w:space="0" w:color="FFFFFF" w:themeColor="background1"/>
            </w:tcBorders>
            <w:noWrap/>
            <w:tcMar>
              <w:top w:w="57" w:type="dxa"/>
              <w:bottom w:w="57" w:type="dxa"/>
            </w:tcMar>
            <w:hideMark/>
          </w:tcPr>
          <w:p w14:paraId="191F1A8F" w14:textId="77777777" w:rsidR="005B5350" w:rsidRPr="005B5350" w:rsidRDefault="005B5350" w:rsidP="00630831">
            <w:pPr>
              <w:pStyle w:val="TableSecondHeading"/>
              <w:rPr>
                <w:rStyle w:val="Strong"/>
                <w:b w:val="0"/>
              </w:rPr>
            </w:pPr>
            <w:r w:rsidRPr="005B5350">
              <w:rPr>
                <w:rStyle w:val="Strong"/>
              </w:rPr>
              <w:t>Net cost of services</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594A9B24" w14:textId="77777777" w:rsidR="005B5350" w:rsidRPr="00713EEF" w:rsidRDefault="005B5350" w:rsidP="00630831">
            <w:pPr>
              <w:pStyle w:val="TableTextCentered"/>
              <w:rPr>
                <w:rStyle w:val="Strong"/>
              </w:rPr>
            </w:pPr>
            <w:r w:rsidRPr="00713EEF">
              <w:rPr>
                <w:rStyle w:val="Strong"/>
              </w:rPr>
              <w:t> </w:t>
            </w: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1E2EA0F4" w14:textId="77777777" w:rsidR="005B5350" w:rsidRPr="000E7306" w:rsidRDefault="005B5350" w:rsidP="00630831">
            <w:pPr>
              <w:pStyle w:val="TableTextRight"/>
              <w:rPr>
                <w:rStyle w:val="Strong"/>
              </w:rPr>
            </w:pPr>
            <w:r w:rsidRPr="000E7306">
              <w:rPr>
                <w:rStyle w:val="Strong"/>
              </w:rPr>
              <w:t> </w:t>
            </w: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7DE16131" w14:textId="77777777" w:rsidR="005B5350" w:rsidRPr="006534F5" w:rsidRDefault="005B5350" w:rsidP="00630831">
            <w:pPr>
              <w:pStyle w:val="TableTextRight"/>
              <w:rPr>
                <w:color w:val="202845"/>
              </w:rPr>
            </w:pPr>
            <w:r w:rsidRPr="006534F5">
              <w:rPr>
                <w:color w:val="202845"/>
              </w:rPr>
              <w:t> </w:t>
            </w:r>
          </w:p>
        </w:tc>
        <w:tc>
          <w:tcPr>
            <w:tcW w:w="900" w:type="pct"/>
            <w:tcBorders>
              <w:top w:val="single" w:sz="4" w:space="0" w:color="29114B" w:themeColor="text2"/>
              <w:left w:val="single" w:sz="4" w:space="0" w:color="FFFFFF" w:themeColor="background1"/>
            </w:tcBorders>
            <w:shd w:val="clear" w:color="auto" w:fill="auto"/>
            <w:tcMar>
              <w:top w:w="57" w:type="dxa"/>
              <w:bottom w:w="57" w:type="dxa"/>
            </w:tcMar>
            <w:hideMark/>
          </w:tcPr>
          <w:p w14:paraId="4A5A899D" w14:textId="77777777" w:rsidR="005B5350" w:rsidRPr="006534F5" w:rsidRDefault="005B5350" w:rsidP="00630831">
            <w:pPr>
              <w:pStyle w:val="TableTextRight"/>
              <w:rPr>
                <w:color w:val="202845"/>
              </w:rPr>
            </w:pPr>
            <w:r w:rsidRPr="006534F5">
              <w:rPr>
                <w:color w:val="202845"/>
              </w:rPr>
              <w:t> </w:t>
            </w:r>
          </w:p>
        </w:tc>
      </w:tr>
      <w:tr w:rsidR="005B5350" w:rsidRPr="006534F5" w14:paraId="7A9FC954" w14:textId="77777777" w:rsidTr="008D3CA0">
        <w:tc>
          <w:tcPr>
            <w:tcW w:w="1853" w:type="pct"/>
            <w:noWrap/>
            <w:tcMar>
              <w:top w:w="57" w:type="dxa"/>
              <w:bottom w:w="57" w:type="dxa"/>
            </w:tcMar>
            <w:hideMark/>
          </w:tcPr>
          <w:p w14:paraId="4DE84826" w14:textId="77777777" w:rsidR="005B5350" w:rsidRPr="000E7306" w:rsidRDefault="005B5350" w:rsidP="00630831">
            <w:pPr>
              <w:pStyle w:val="TableTextLeft"/>
              <w:rPr>
                <w:rStyle w:val="Strong"/>
              </w:rPr>
            </w:pPr>
            <w:r w:rsidRPr="000E7306">
              <w:rPr>
                <w:rStyle w:val="Strong"/>
              </w:rPr>
              <w:t>E</w:t>
            </w:r>
            <w:r>
              <w:rPr>
                <w:rStyle w:val="Strong"/>
              </w:rPr>
              <w:t>xpenses</w:t>
            </w:r>
          </w:p>
        </w:tc>
        <w:tc>
          <w:tcPr>
            <w:tcW w:w="447" w:type="pct"/>
            <w:noWrap/>
            <w:tcMar>
              <w:top w:w="57" w:type="dxa"/>
              <w:bottom w:w="57" w:type="dxa"/>
            </w:tcMar>
            <w:hideMark/>
          </w:tcPr>
          <w:p w14:paraId="6324B7B0" w14:textId="77777777" w:rsidR="005B5350" w:rsidRPr="00713EEF" w:rsidRDefault="005B5350" w:rsidP="00630831">
            <w:pPr>
              <w:pStyle w:val="TableTextCentered"/>
              <w:rPr>
                <w:rStyle w:val="Strong"/>
              </w:rPr>
            </w:pPr>
            <w:r w:rsidRPr="00713EEF">
              <w:rPr>
                <w:rStyle w:val="Strong"/>
              </w:rPr>
              <w:t> </w:t>
            </w:r>
          </w:p>
        </w:tc>
        <w:tc>
          <w:tcPr>
            <w:tcW w:w="900" w:type="pct"/>
            <w:shd w:val="clear" w:color="auto" w:fill="E7DCF7" w:themeFill="text2" w:themeFillTint="1A"/>
            <w:noWrap/>
            <w:tcMar>
              <w:top w:w="57" w:type="dxa"/>
              <w:bottom w:w="57" w:type="dxa"/>
            </w:tcMar>
            <w:hideMark/>
          </w:tcPr>
          <w:p w14:paraId="12A7CBA2" w14:textId="77777777" w:rsidR="005B5350" w:rsidRPr="000E7306" w:rsidRDefault="005B5350" w:rsidP="00630831">
            <w:pPr>
              <w:pStyle w:val="TableTextRight"/>
              <w:rPr>
                <w:rStyle w:val="Strong"/>
              </w:rPr>
            </w:pPr>
            <w:r w:rsidRPr="000E7306">
              <w:rPr>
                <w:rStyle w:val="Strong"/>
              </w:rPr>
              <w:t> </w:t>
            </w:r>
          </w:p>
        </w:tc>
        <w:tc>
          <w:tcPr>
            <w:tcW w:w="900" w:type="pct"/>
            <w:noWrap/>
            <w:tcMar>
              <w:top w:w="57" w:type="dxa"/>
              <w:bottom w:w="57" w:type="dxa"/>
            </w:tcMar>
            <w:hideMark/>
          </w:tcPr>
          <w:p w14:paraId="4A3BC085" w14:textId="77777777" w:rsidR="005B5350" w:rsidRPr="006534F5" w:rsidRDefault="005B5350" w:rsidP="00630831">
            <w:pPr>
              <w:pStyle w:val="TableTextRight"/>
              <w:rPr>
                <w:color w:val="202845"/>
              </w:rPr>
            </w:pPr>
            <w:r w:rsidRPr="006534F5">
              <w:rPr>
                <w:color w:val="202845"/>
              </w:rPr>
              <w:t> </w:t>
            </w:r>
          </w:p>
        </w:tc>
        <w:tc>
          <w:tcPr>
            <w:tcW w:w="900" w:type="pct"/>
            <w:shd w:val="clear" w:color="auto" w:fill="E7DCF7" w:themeFill="text2" w:themeFillTint="1A"/>
            <w:noWrap/>
            <w:tcMar>
              <w:top w:w="57" w:type="dxa"/>
              <w:bottom w:w="57" w:type="dxa"/>
            </w:tcMar>
            <w:hideMark/>
          </w:tcPr>
          <w:p w14:paraId="715590C5" w14:textId="77777777" w:rsidR="005B5350" w:rsidRPr="00F31E97" w:rsidRDefault="005B5350" w:rsidP="00630831">
            <w:pPr>
              <w:pStyle w:val="TableTextRight"/>
              <w:jc w:val="left"/>
              <w:rPr>
                <w:color w:val="202845"/>
              </w:rPr>
            </w:pPr>
            <w:r w:rsidRPr="00F31E97">
              <w:rPr>
                <w:color w:val="202845"/>
              </w:rPr>
              <w:t> </w:t>
            </w:r>
          </w:p>
        </w:tc>
      </w:tr>
      <w:tr w:rsidR="005B5350" w:rsidRPr="00C31DDE" w14:paraId="0E0A791F" w14:textId="77777777" w:rsidTr="008D3CA0">
        <w:tc>
          <w:tcPr>
            <w:tcW w:w="1853" w:type="pct"/>
            <w:noWrap/>
            <w:tcMar>
              <w:top w:w="57" w:type="dxa"/>
              <w:bottom w:w="57" w:type="dxa"/>
            </w:tcMar>
            <w:hideMark/>
          </w:tcPr>
          <w:p w14:paraId="5EFB8DC8" w14:textId="77777777" w:rsidR="005B5350" w:rsidRPr="006534F5" w:rsidRDefault="005B5350" w:rsidP="00630831">
            <w:pPr>
              <w:pStyle w:val="TableTextLeft"/>
            </w:pPr>
            <w:r w:rsidRPr="006534F5">
              <w:t>Employee benefits</w:t>
            </w:r>
          </w:p>
        </w:tc>
        <w:tc>
          <w:tcPr>
            <w:tcW w:w="447" w:type="pct"/>
            <w:noWrap/>
            <w:tcMar>
              <w:top w:w="57" w:type="dxa"/>
              <w:bottom w:w="57" w:type="dxa"/>
            </w:tcMar>
            <w:hideMark/>
          </w:tcPr>
          <w:p w14:paraId="737B0BA4" w14:textId="77777777" w:rsidR="005B5350" w:rsidRPr="00713EEF" w:rsidRDefault="005B5350" w:rsidP="00630831">
            <w:pPr>
              <w:pStyle w:val="TableTextCentered"/>
              <w:rPr>
                <w:b/>
                <w:bCs/>
              </w:rPr>
            </w:pPr>
            <w:r w:rsidRPr="00713EEF">
              <w:rPr>
                <w:b/>
                <w:bCs/>
              </w:rPr>
              <w:t>A</w:t>
            </w:r>
          </w:p>
        </w:tc>
        <w:tc>
          <w:tcPr>
            <w:tcW w:w="900" w:type="pct"/>
            <w:shd w:val="clear" w:color="auto" w:fill="E7DCF7" w:themeFill="text2" w:themeFillTint="1A"/>
            <w:noWrap/>
            <w:tcMar>
              <w:top w:w="57" w:type="dxa"/>
              <w:bottom w:w="57" w:type="dxa"/>
            </w:tcMar>
          </w:tcPr>
          <w:p w14:paraId="527A988D" w14:textId="77777777" w:rsidR="005B5350" w:rsidRPr="00AE665D" w:rsidRDefault="005B5350" w:rsidP="00630831">
            <w:pPr>
              <w:pStyle w:val="TableTextRight"/>
            </w:pPr>
            <w:r>
              <w:t>10,808</w:t>
            </w:r>
          </w:p>
        </w:tc>
        <w:tc>
          <w:tcPr>
            <w:tcW w:w="900" w:type="pct"/>
            <w:noWrap/>
            <w:tcMar>
              <w:top w:w="57" w:type="dxa"/>
              <w:bottom w:w="57" w:type="dxa"/>
            </w:tcMar>
            <w:hideMark/>
          </w:tcPr>
          <w:p w14:paraId="443B2A5F" w14:textId="77777777" w:rsidR="005B5350" w:rsidRPr="00AE665D" w:rsidRDefault="005B5350" w:rsidP="00630831">
            <w:pPr>
              <w:pStyle w:val="TableTextRight"/>
            </w:pPr>
            <w:r>
              <w:t>9,256</w:t>
            </w:r>
            <w:r w:rsidRPr="00AE665D">
              <w:t xml:space="preserve"> </w:t>
            </w:r>
          </w:p>
        </w:tc>
        <w:tc>
          <w:tcPr>
            <w:tcW w:w="900" w:type="pct"/>
            <w:shd w:val="clear" w:color="auto" w:fill="E7DCF7" w:themeFill="text2" w:themeFillTint="1A"/>
            <w:noWrap/>
            <w:tcMar>
              <w:top w:w="57" w:type="dxa"/>
              <w:bottom w:w="57" w:type="dxa"/>
            </w:tcMar>
          </w:tcPr>
          <w:p w14:paraId="2CD54D7D" w14:textId="77777777" w:rsidR="005B5350" w:rsidRPr="00AE665D" w:rsidRDefault="005B5350" w:rsidP="00630831">
            <w:pPr>
              <w:pStyle w:val="TableTextRight"/>
            </w:pPr>
            <w:r>
              <w:t>9,996</w:t>
            </w:r>
          </w:p>
        </w:tc>
      </w:tr>
      <w:tr w:rsidR="005B5350" w:rsidRPr="00C31DDE" w14:paraId="70D620E2" w14:textId="77777777" w:rsidTr="008D3CA0">
        <w:tc>
          <w:tcPr>
            <w:tcW w:w="1853" w:type="pct"/>
            <w:noWrap/>
            <w:tcMar>
              <w:top w:w="57" w:type="dxa"/>
              <w:bottom w:w="57" w:type="dxa"/>
            </w:tcMar>
            <w:hideMark/>
          </w:tcPr>
          <w:p w14:paraId="42D56364" w14:textId="77777777" w:rsidR="005B5350" w:rsidRPr="006534F5" w:rsidRDefault="005B5350" w:rsidP="00630831">
            <w:pPr>
              <w:pStyle w:val="TableTextLeft"/>
            </w:pPr>
            <w:r w:rsidRPr="006534F5">
              <w:t>Supplier expenses</w:t>
            </w:r>
          </w:p>
        </w:tc>
        <w:tc>
          <w:tcPr>
            <w:tcW w:w="447" w:type="pct"/>
            <w:noWrap/>
            <w:tcMar>
              <w:top w:w="57" w:type="dxa"/>
              <w:bottom w:w="57" w:type="dxa"/>
            </w:tcMar>
            <w:hideMark/>
          </w:tcPr>
          <w:p w14:paraId="0F52D7F6" w14:textId="77777777" w:rsidR="005B5350" w:rsidRPr="00713EEF" w:rsidRDefault="005B5350" w:rsidP="00630831">
            <w:pPr>
              <w:pStyle w:val="TableTextCentered"/>
              <w:rPr>
                <w:b/>
                <w:bCs/>
              </w:rPr>
            </w:pPr>
            <w:r w:rsidRPr="00713EEF">
              <w:rPr>
                <w:b/>
                <w:bCs/>
              </w:rPr>
              <w:t>A</w:t>
            </w:r>
          </w:p>
        </w:tc>
        <w:tc>
          <w:tcPr>
            <w:tcW w:w="900" w:type="pct"/>
            <w:shd w:val="clear" w:color="auto" w:fill="E7DCF7" w:themeFill="text2" w:themeFillTint="1A"/>
            <w:noWrap/>
            <w:tcMar>
              <w:top w:w="57" w:type="dxa"/>
              <w:bottom w:w="57" w:type="dxa"/>
            </w:tcMar>
          </w:tcPr>
          <w:p w14:paraId="7833A9AB" w14:textId="77777777" w:rsidR="005B5350" w:rsidRPr="00AE665D" w:rsidRDefault="005B5350" w:rsidP="00630831">
            <w:pPr>
              <w:pStyle w:val="TableTextRight"/>
            </w:pPr>
            <w:r>
              <w:t>5,650</w:t>
            </w:r>
          </w:p>
        </w:tc>
        <w:tc>
          <w:tcPr>
            <w:tcW w:w="900" w:type="pct"/>
            <w:noWrap/>
            <w:tcMar>
              <w:top w:w="57" w:type="dxa"/>
              <w:bottom w:w="57" w:type="dxa"/>
            </w:tcMar>
            <w:hideMark/>
          </w:tcPr>
          <w:p w14:paraId="7100F2E3" w14:textId="77777777" w:rsidR="005B5350" w:rsidRPr="00AE665D" w:rsidRDefault="005B5350" w:rsidP="00630831">
            <w:pPr>
              <w:pStyle w:val="TableTextRight"/>
            </w:pPr>
            <w:r>
              <w:t>5,533</w:t>
            </w:r>
            <w:r w:rsidRPr="00AE665D">
              <w:t xml:space="preserve"> </w:t>
            </w:r>
          </w:p>
        </w:tc>
        <w:tc>
          <w:tcPr>
            <w:tcW w:w="900" w:type="pct"/>
            <w:shd w:val="clear" w:color="auto" w:fill="E7DCF7" w:themeFill="text2" w:themeFillTint="1A"/>
            <w:noWrap/>
            <w:tcMar>
              <w:top w:w="57" w:type="dxa"/>
              <w:bottom w:w="57" w:type="dxa"/>
            </w:tcMar>
          </w:tcPr>
          <w:p w14:paraId="4C72F2B6" w14:textId="77777777" w:rsidR="005B5350" w:rsidRPr="00AE665D" w:rsidRDefault="005B5350" w:rsidP="00630831">
            <w:pPr>
              <w:pStyle w:val="TableTextRight"/>
            </w:pPr>
            <w:r>
              <w:t>6,304</w:t>
            </w:r>
          </w:p>
        </w:tc>
      </w:tr>
      <w:tr w:rsidR="005B5350" w:rsidRPr="00C31DDE" w14:paraId="7C74945D" w14:textId="77777777" w:rsidTr="008D3CA0">
        <w:tc>
          <w:tcPr>
            <w:tcW w:w="1853" w:type="pct"/>
            <w:noWrap/>
            <w:tcMar>
              <w:top w:w="57" w:type="dxa"/>
              <w:bottom w:w="57" w:type="dxa"/>
            </w:tcMar>
            <w:hideMark/>
          </w:tcPr>
          <w:p w14:paraId="61B8661A" w14:textId="77777777" w:rsidR="005B5350" w:rsidRPr="006534F5" w:rsidRDefault="005B5350" w:rsidP="00630831">
            <w:pPr>
              <w:pStyle w:val="TableTextLeft"/>
            </w:pPr>
            <w:r w:rsidRPr="006534F5">
              <w:t>Depreciation and amortisation</w:t>
            </w:r>
          </w:p>
        </w:tc>
        <w:tc>
          <w:tcPr>
            <w:tcW w:w="447" w:type="pct"/>
            <w:noWrap/>
            <w:tcMar>
              <w:top w:w="57" w:type="dxa"/>
              <w:bottom w:w="57" w:type="dxa"/>
            </w:tcMar>
            <w:hideMark/>
          </w:tcPr>
          <w:p w14:paraId="7A31D1C7" w14:textId="77777777" w:rsidR="005B5350" w:rsidRPr="00713EEF" w:rsidRDefault="005B5350" w:rsidP="00630831">
            <w:pPr>
              <w:pStyle w:val="TableTextCentered"/>
              <w:rPr>
                <w:b/>
                <w:bCs/>
              </w:rPr>
            </w:pPr>
            <w:r w:rsidRPr="00713EEF">
              <w:rPr>
                <w:b/>
                <w:bCs/>
              </w:rPr>
              <w:t>C</w:t>
            </w:r>
          </w:p>
        </w:tc>
        <w:tc>
          <w:tcPr>
            <w:tcW w:w="900" w:type="pct"/>
            <w:shd w:val="clear" w:color="auto" w:fill="E7DCF7" w:themeFill="text2" w:themeFillTint="1A"/>
            <w:noWrap/>
            <w:tcMar>
              <w:top w:w="57" w:type="dxa"/>
              <w:bottom w:w="57" w:type="dxa"/>
            </w:tcMar>
          </w:tcPr>
          <w:p w14:paraId="6449B36E" w14:textId="77777777" w:rsidR="005B5350" w:rsidRPr="00AE665D" w:rsidRDefault="005B5350" w:rsidP="00630831">
            <w:pPr>
              <w:pStyle w:val="TableTextRight"/>
            </w:pPr>
            <w:r>
              <w:t>586</w:t>
            </w:r>
          </w:p>
        </w:tc>
        <w:tc>
          <w:tcPr>
            <w:tcW w:w="900" w:type="pct"/>
            <w:noWrap/>
            <w:tcMar>
              <w:top w:w="57" w:type="dxa"/>
              <w:bottom w:w="57" w:type="dxa"/>
            </w:tcMar>
            <w:hideMark/>
          </w:tcPr>
          <w:p w14:paraId="7A7571C7" w14:textId="77777777" w:rsidR="005B5350" w:rsidRPr="00AE665D" w:rsidRDefault="005B5350" w:rsidP="00630831">
            <w:pPr>
              <w:pStyle w:val="TableTextRight"/>
            </w:pPr>
            <w:r>
              <w:t>650</w:t>
            </w:r>
            <w:r w:rsidRPr="00AE665D">
              <w:t xml:space="preserve"> </w:t>
            </w:r>
          </w:p>
        </w:tc>
        <w:tc>
          <w:tcPr>
            <w:tcW w:w="900" w:type="pct"/>
            <w:shd w:val="clear" w:color="auto" w:fill="E7DCF7" w:themeFill="text2" w:themeFillTint="1A"/>
            <w:noWrap/>
            <w:tcMar>
              <w:top w:w="57" w:type="dxa"/>
              <w:bottom w:w="57" w:type="dxa"/>
            </w:tcMar>
          </w:tcPr>
          <w:p w14:paraId="069AD1F0" w14:textId="77777777" w:rsidR="005B5350" w:rsidRPr="00AE665D" w:rsidRDefault="005B5350" w:rsidP="00630831">
            <w:pPr>
              <w:pStyle w:val="TableTextRight"/>
            </w:pPr>
            <w:r>
              <w:t>598</w:t>
            </w:r>
          </w:p>
        </w:tc>
      </w:tr>
      <w:tr w:rsidR="005B5350" w:rsidRPr="00C31DDE" w14:paraId="37729FCA" w14:textId="77777777" w:rsidTr="008D3CA0">
        <w:tc>
          <w:tcPr>
            <w:tcW w:w="1853" w:type="pct"/>
            <w:noWrap/>
            <w:tcMar>
              <w:top w:w="57" w:type="dxa"/>
              <w:bottom w:w="57" w:type="dxa"/>
            </w:tcMar>
            <w:hideMark/>
          </w:tcPr>
          <w:p w14:paraId="1F6CAC1F" w14:textId="77777777" w:rsidR="005B5350" w:rsidRPr="006534F5" w:rsidRDefault="005B5350" w:rsidP="00630831">
            <w:pPr>
              <w:pStyle w:val="TableTextLeft"/>
            </w:pPr>
            <w:r w:rsidRPr="006534F5">
              <w:t>Interest on lease liabilities</w:t>
            </w:r>
          </w:p>
        </w:tc>
        <w:tc>
          <w:tcPr>
            <w:tcW w:w="447" w:type="pct"/>
            <w:noWrap/>
            <w:tcMar>
              <w:top w:w="57" w:type="dxa"/>
              <w:bottom w:w="57" w:type="dxa"/>
            </w:tcMar>
            <w:hideMark/>
          </w:tcPr>
          <w:p w14:paraId="2713F050" w14:textId="77777777" w:rsidR="005B5350" w:rsidRPr="00713EEF" w:rsidRDefault="005B5350" w:rsidP="00630831">
            <w:pPr>
              <w:pStyle w:val="TableTextCentered"/>
              <w:rPr>
                <w:b/>
                <w:bCs/>
              </w:rPr>
            </w:pPr>
          </w:p>
        </w:tc>
        <w:tc>
          <w:tcPr>
            <w:tcW w:w="900" w:type="pct"/>
            <w:shd w:val="clear" w:color="auto" w:fill="E7DCF7" w:themeFill="text2" w:themeFillTint="1A"/>
            <w:noWrap/>
            <w:tcMar>
              <w:top w:w="57" w:type="dxa"/>
              <w:bottom w:w="57" w:type="dxa"/>
            </w:tcMar>
          </w:tcPr>
          <w:p w14:paraId="42F6F8BD" w14:textId="77777777" w:rsidR="005B5350" w:rsidRPr="00AE665D" w:rsidRDefault="005B5350" w:rsidP="00630831">
            <w:pPr>
              <w:pStyle w:val="TableTextRight"/>
            </w:pPr>
            <w:r>
              <w:t>50</w:t>
            </w:r>
          </w:p>
        </w:tc>
        <w:tc>
          <w:tcPr>
            <w:tcW w:w="900" w:type="pct"/>
            <w:noWrap/>
            <w:tcMar>
              <w:top w:w="57" w:type="dxa"/>
              <w:bottom w:w="57" w:type="dxa"/>
            </w:tcMar>
            <w:hideMark/>
          </w:tcPr>
          <w:p w14:paraId="17B15609" w14:textId="77777777" w:rsidR="005B5350" w:rsidRPr="00AE665D" w:rsidRDefault="005B5350" w:rsidP="00630831">
            <w:pPr>
              <w:pStyle w:val="TableTextRight"/>
            </w:pPr>
            <w:r w:rsidRPr="00AE665D">
              <w:t>5</w:t>
            </w:r>
            <w:r>
              <w:t>4</w:t>
            </w:r>
            <w:r w:rsidRPr="00AE665D">
              <w:t xml:space="preserve"> </w:t>
            </w:r>
          </w:p>
        </w:tc>
        <w:tc>
          <w:tcPr>
            <w:tcW w:w="900" w:type="pct"/>
            <w:shd w:val="clear" w:color="auto" w:fill="E7DCF7" w:themeFill="text2" w:themeFillTint="1A"/>
            <w:noWrap/>
            <w:tcMar>
              <w:top w:w="57" w:type="dxa"/>
              <w:bottom w:w="57" w:type="dxa"/>
            </w:tcMar>
          </w:tcPr>
          <w:p w14:paraId="093E55EA" w14:textId="77777777" w:rsidR="005B5350" w:rsidRPr="00AE665D" w:rsidRDefault="005B5350" w:rsidP="00630831">
            <w:pPr>
              <w:pStyle w:val="TableTextRight"/>
            </w:pPr>
            <w:r>
              <w:t>71</w:t>
            </w:r>
          </w:p>
        </w:tc>
      </w:tr>
      <w:tr w:rsidR="005B5350" w:rsidRPr="00C31DDE" w14:paraId="7BBCE59D" w14:textId="77777777" w:rsidTr="008D3CA0">
        <w:tc>
          <w:tcPr>
            <w:tcW w:w="1853" w:type="pct"/>
            <w:noWrap/>
            <w:tcMar>
              <w:top w:w="57" w:type="dxa"/>
              <w:bottom w:w="57" w:type="dxa"/>
            </w:tcMar>
          </w:tcPr>
          <w:p w14:paraId="4368E18C" w14:textId="77777777" w:rsidR="005B5350" w:rsidRPr="006534F5" w:rsidRDefault="005B5350" w:rsidP="00630831">
            <w:pPr>
              <w:pStyle w:val="TableTextLeft"/>
            </w:pPr>
            <w:r>
              <w:t>Interest on makegood liability</w:t>
            </w:r>
          </w:p>
        </w:tc>
        <w:tc>
          <w:tcPr>
            <w:tcW w:w="447" w:type="pct"/>
            <w:noWrap/>
            <w:tcMar>
              <w:top w:w="57" w:type="dxa"/>
              <w:bottom w:w="57" w:type="dxa"/>
            </w:tcMar>
          </w:tcPr>
          <w:p w14:paraId="29A1978B" w14:textId="77777777" w:rsidR="005B5350" w:rsidRPr="00713EEF" w:rsidRDefault="005B5350" w:rsidP="00630831">
            <w:pPr>
              <w:pStyle w:val="TableTextCentered"/>
              <w:rPr>
                <w:b/>
                <w:bCs/>
              </w:rPr>
            </w:pPr>
            <w:r w:rsidRPr="00713EEF">
              <w:rPr>
                <w:b/>
                <w:bCs/>
              </w:rPr>
              <w:t>F</w:t>
            </w:r>
          </w:p>
        </w:tc>
        <w:tc>
          <w:tcPr>
            <w:tcW w:w="900" w:type="pct"/>
            <w:shd w:val="clear" w:color="auto" w:fill="E7DCF7" w:themeFill="text2" w:themeFillTint="1A"/>
            <w:noWrap/>
            <w:tcMar>
              <w:top w:w="57" w:type="dxa"/>
              <w:bottom w:w="57" w:type="dxa"/>
            </w:tcMar>
          </w:tcPr>
          <w:p w14:paraId="373F879D" w14:textId="77777777" w:rsidR="005B5350" w:rsidRPr="00AE665D" w:rsidRDefault="005B5350" w:rsidP="00630831">
            <w:pPr>
              <w:pStyle w:val="TableTextRight"/>
            </w:pPr>
            <w:r>
              <w:t>20</w:t>
            </w:r>
          </w:p>
        </w:tc>
        <w:tc>
          <w:tcPr>
            <w:tcW w:w="900" w:type="pct"/>
            <w:noWrap/>
            <w:tcMar>
              <w:top w:w="57" w:type="dxa"/>
              <w:bottom w:w="57" w:type="dxa"/>
            </w:tcMar>
          </w:tcPr>
          <w:p w14:paraId="1B425CE4" w14:textId="77777777" w:rsidR="005B5350" w:rsidRPr="00AE665D" w:rsidRDefault="005B5350" w:rsidP="00630831">
            <w:pPr>
              <w:pStyle w:val="TableTextRight"/>
            </w:pPr>
            <w:r>
              <w:t>20</w:t>
            </w:r>
            <w:r w:rsidRPr="00AE665D">
              <w:t xml:space="preserve"> </w:t>
            </w:r>
          </w:p>
        </w:tc>
        <w:tc>
          <w:tcPr>
            <w:tcW w:w="900" w:type="pct"/>
            <w:shd w:val="clear" w:color="auto" w:fill="E7DCF7" w:themeFill="text2" w:themeFillTint="1A"/>
            <w:noWrap/>
            <w:tcMar>
              <w:top w:w="57" w:type="dxa"/>
              <w:bottom w:w="57" w:type="dxa"/>
            </w:tcMar>
          </w:tcPr>
          <w:p w14:paraId="5BF25BE9" w14:textId="77777777" w:rsidR="005B5350" w:rsidRPr="00AE665D" w:rsidRDefault="005B5350" w:rsidP="00630831">
            <w:pPr>
              <w:pStyle w:val="TableTextRight"/>
            </w:pPr>
            <w:r>
              <w:noBreakHyphen/>
            </w:r>
          </w:p>
        </w:tc>
      </w:tr>
      <w:tr w:rsidR="005B5350" w:rsidRPr="00C31DDE" w14:paraId="362214BC" w14:textId="77777777" w:rsidTr="008D3CA0">
        <w:tc>
          <w:tcPr>
            <w:tcW w:w="1853" w:type="pct"/>
            <w:noWrap/>
            <w:tcMar>
              <w:top w:w="57" w:type="dxa"/>
              <w:bottom w:w="57" w:type="dxa"/>
            </w:tcMar>
          </w:tcPr>
          <w:p w14:paraId="18C1AE6D" w14:textId="77777777" w:rsidR="005B5350" w:rsidRDefault="005B5350" w:rsidP="00630831">
            <w:pPr>
              <w:pStyle w:val="TableTextLeft"/>
            </w:pPr>
            <w:r>
              <w:t>Asset write</w:t>
            </w:r>
            <w:r>
              <w:noBreakHyphen/>
              <w:t>offs</w:t>
            </w:r>
          </w:p>
        </w:tc>
        <w:tc>
          <w:tcPr>
            <w:tcW w:w="447" w:type="pct"/>
            <w:noWrap/>
            <w:tcMar>
              <w:top w:w="57" w:type="dxa"/>
              <w:bottom w:w="57" w:type="dxa"/>
            </w:tcMar>
          </w:tcPr>
          <w:p w14:paraId="594D3EC6" w14:textId="77777777" w:rsidR="005B5350" w:rsidRPr="00713EEF" w:rsidRDefault="005B5350" w:rsidP="00630831">
            <w:pPr>
              <w:pStyle w:val="TableTextCentered"/>
              <w:rPr>
                <w:b/>
                <w:bCs/>
              </w:rPr>
            </w:pPr>
          </w:p>
        </w:tc>
        <w:tc>
          <w:tcPr>
            <w:tcW w:w="900" w:type="pct"/>
            <w:shd w:val="clear" w:color="auto" w:fill="E7DCF7" w:themeFill="text2" w:themeFillTint="1A"/>
            <w:noWrap/>
            <w:tcMar>
              <w:top w:w="57" w:type="dxa"/>
              <w:bottom w:w="57" w:type="dxa"/>
            </w:tcMar>
          </w:tcPr>
          <w:p w14:paraId="036E0E18" w14:textId="77777777" w:rsidR="005B5350" w:rsidRDefault="005B5350" w:rsidP="00630831">
            <w:pPr>
              <w:pStyle w:val="TableTextRight"/>
            </w:pPr>
            <w:r>
              <w:noBreakHyphen/>
            </w:r>
          </w:p>
        </w:tc>
        <w:tc>
          <w:tcPr>
            <w:tcW w:w="900" w:type="pct"/>
            <w:noWrap/>
            <w:tcMar>
              <w:top w:w="57" w:type="dxa"/>
              <w:bottom w:w="57" w:type="dxa"/>
            </w:tcMar>
          </w:tcPr>
          <w:p w14:paraId="301F723B" w14:textId="77777777" w:rsidR="005B5350" w:rsidRDefault="005B5350" w:rsidP="00630831">
            <w:pPr>
              <w:pStyle w:val="TableTextRight"/>
            </w:pPr>
            <w:r>
              <w:t>8</w:t>
            </w:r>
          </w:p>
        </w:tc>
        <w:tc>
          <w:tcPr>
            <w:tcW w:w="900" w:type="pct"/>
            <w:shd w:val="clear" w:color="auto" w:fill="E7DCF7" w:themeFill="text2" w:themeFillTint="1A"/>
            <w:noWrap/>
            <w:tcMar>
              <w:top w:w="57" w:type="dxa"/>
              <w:bottom w:w="57" w:type="dxa"/>
            </w:tcMar>
          </w:tcPr>
          <w:p w14:paraId="416E0E29" w14:textId="77777777" w:rsidR="005B5350" w:rsidRDefault="005B5350" w:rsidP="00630831">
            <w:pPr>
              <w:pStyle w:val="TableTextRight"/>
            </w:pPr>
            <w:r>
              <w:noBreakHyphen/>
            </w:r>
          </w:p>
        </w:tc>
      </w:tr>
      <w:tr w:rsidR="005B5350" w:rsidRPr="00C31DDE" w14:paraId="3BAEAE7A" w14:textId="77777777" w:rsidTr="008D3CA0">
        <w:tc>
          <w:tcPr>
            <w:tcW w:w="1853" w:type="pct"/>
            <w:tcBorders>
              <w:bottom w:val="single" w:sz="4" w:space="0" w:color="29114B" w:themeColor="text2"/>
            </w:tcBorders>
            <w:noWrap/>
            <w:tcMar>
              <w:top w:w="57" w:type="dxa"/>
              <w:bottom w:w="57" w:type="dxa"/>
            </w:tcMar>
            <w:hideMark/>
          </w:tcPr>
          <w:p w14:paraId="548241F8" w14:textId="77777777" w:rsidR="005B5350" w:rsidRPr="00F0605E" w:rsidRDefault="005B5350" w:rsidP="00630831">
            <w:pPr>
              <w:pStyle w:val="TableTextLeft"/>
              <w:rPr>
                <w:rStyle w:val="Strong"/>
              </w:rPr>
            </w:pPr>
            <w:r w:rsidRPr="00F0605E">
              <w:rPr>
                <w:rStyle w:val="Strong"/>
              </w:rPr>
              <w:t>Total expenses</w:t>
            </w:r>
          </w:p>
        </w:tc>
        <w:tc>
          <w:tcPr>
            <w:tcW w:w="447" w:type="pct"/>
            <w:tcBorders>
              <w:bottom w:val="single" w:sz="4" w:space="0" w:color="29114B" w:themeColor="text2"/>
            </w:tcBorders>
            <w:noWrap/>
            <w:tcMar>
              <w:top w:w="57" w:type="dxa"/>
              <w:bottom w:w="57" w:type="dxa"/>
            </w:tcMar>
            <w:hideMark/>
          </w:tcPr>
          <w:p w14:paraId="2429A07C" w14:textId="77777777" w:rsidR="005B5350" w:rsidRPr="00F0605E" w:rsidRDefault="005B5350" w:rsidP="00630831">
            <w:pPr>
              <w:pStyle w:val="TableTextCentered"/>
              <w:rPr>
                <w:rStyle w:val="Strong"/>
              </w:rPr>
            </w:pPr>
            <w:r w:rsidRPr="00F0605E">
              <w:rPr>
                <w:rStyle w:val="Strong"/>
              </w:rPr>
              <w:t> </w:t>
            </w:r>
          </w:p>
        </w:tc>
        <w:tc>
          <w:tcPr>
            <w:tcW w:w="900" w:type="pct"/>
            <w:tcBorders>
              <w:bottom w:val="single" w:sz="4" w:space="0" w:color="29114B" w:themeColor="text2"/>
            </w:tcBorders>
            <w:shd w:val="clear" w:color="auto" w:fill="E7DCF7" w:themeFill="text2" w:themeFillTint="1A"/>
            <w:noWrap/>
            <w:tcMar>
              <w:top w:w="57" w:type="dxa"/>
              <w:bottom w:w="57" w:type="dxa"/>
            </w:tcMar>
          </w:tcPr>
          <w:p w14:paraId="6BFE8345" w14:textId="77777777" w:rsidR="005B5350" w:rsidRPr="00F0605E" w:rsidRDefault="005B5350" w:rsidP="00630831">
            <w:pPr>
              <w:pStyle w:val="TableTextRight"/>
              <w:rPr>
                <w:b/>
                <w:bCs/>
              </w:rPr>
            </w:pPr>
            <w:r w:rsidRPr="00F0605E">
              <w:rPr>
                <w:b/>
                <w:bCs/>
              </w:rPr>
              <w:t>17,114</w:t>
            </w:r>
          </w:p>
        </w:tc>
        <w:tc>
          <w:tcPr>
            <w:tcW w:w="900" w:type="pct"/>
            <w:tcBorders>
              <w:bottom w:val="single" w:sz="4" w:space="0" w:color="29114B" w:themeColor="text2"/>
            </w:tcBorders>
            <w:noWrap/>
            <w:tcMar>
              <w:top w:w="57" w:type="dxa"/>
              <w:bottom w:w="57" w:type="dxa"/>
            </w:tcMar>
            <w:hideMark/>
          </w:tcPr>
          <w:p w14:paraId="1DFEE02F" w14:textId="77777777" w:rsidR="005B5350" w:rsidRPr="00F0605E" w:rsidRDefault="005B5350" w:rsidP="00630831">
            <w:pPr>
              <w:pStyle w:val="TableTextRight"/>
              <w:rPr>
                <w:b/>
                <w:bCs/>
              </w:rPr>
            </w:pPr>
            <w:r w:rsidRPr="00F0605E">
              <w:rPr>
                <w:b/>
                <w:bCs/>
              </w:rPr>
              <w:t xml:space="preserve">15,521 </w:t>
            </w:r>
          </w:p>
        </w:tc>
        <w:tc>
          <w:tcPr>
            <w:tcW w:w="900" w:type="pct"/>
            <w:tcBorders>
              <w:bottom w:val="single" w:sz="4" w:space="0" w:color="29114B" w:themeColor="text2"/>
            </w:tcBorders>
            <w:shd w:val="clear" w:color="auto" w:fill="E7DCF7" w:themeFill="text2" w:themeFillTint="1A"/>
            <w:noWrap/>
            <w:tcMar>
              <w:top w:w="57" w:type="dxa"/>
              <w:bottom w:w="57" w:type="dxa"/>
            </w:tcMar>
          </w:tcPr>
          <w:p w14:paraId="55EB3720" w14:textId="77777777" w:rsidR="005B5350" w:rsidRPr="00F0605E" w:rsidRDefault="005B5350" w:rsidP="00630831">
            <w:pPr>
              <w:pStyle w:val="TableTextRight"/>
              <w:rPr>
                <w:b/>
                <w:bCs/>
              </w:rPr>
            </w:pPr>
            <w:r w:rsidRPr="00F0605E">
              <w:rPr>
                <w:b/>
                <w:bCs/>
              </w:rPr>
              <w:t>16,969</w:t>
            </w:r>
          </w:p>
        </w:tc>
      </w:tr>
      <w:tr w:rsidR="005B5350" w:rsidRPr="00C31DDE" w14:paraId="7C3CC0BF" w14:textId="77777777" w:rsidTr="00575CA9">
        <w:tc>
          <w:tcPr>
            <w:tcW w:w="1853"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37684EB8" w14:textId="77777777" w:rsidR="005B5350" w:rsidRPr="005B5350" w:rsidRDefault="005B5350" w:rsidP="00630831">
            <w:pPr>
              <w:pStyle w:val="TableSecondHeading"/>
              <w:rPr>
                <w:rStyle w:val="Strong"/>
                <w:b w:val="0"/>
              </w:rPr>
            </w:pPr>
            <w:r w:rsidRPr="005B5350">
              <w:rPr>
                <w:rStyle w:val="Strong"/>
              </w:rPr>
              <w:t>Own-source income</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37A0BEDD" w14:textId="77777777" w:rsidR="005B5350" w:rsidRPr="00713EEF" w:rsidRDefault="005B5350" w:rsidP="00630831">
            <w:pPr>
              <w:pStyle w:val="TableTextCentered"/>
              <w:rPr>
                <w:rStyle w:val="Strong"/>
              </w:rPr>
            </w:pPr>
            <w:r w:rsidRPr="00713EEF">
              <w:rPr>
                <w:rStyle w:val="Strong"/>
              </w:rPr>
              <w:t> </w:t>
            </w: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2CC6EBD8" w14:textId="77777777" w:rsidR="005B5350" w:rsidRPr="00AE665D" w:rsidRDefault="005B5350" w:rsidP="00630831">
            <w:pPr>
              <w:pStyle w:val="TableTextRight"/>
            </w:pP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665282DA" w14:textId="77777777" w:rsidR="005B5350" w:rsidRPr="00AE665D" w:rsidRDefault="005B5350" w:rsidP="00630831">
            <w:pPr>
              <w:pStyle w:val="TableTextRight"/>
            </w:pPr>
            <w:r w:rsidRPr="00AE665D">
              <w:t> </w:t>
            </w:r>
          </w:p>
        </w:tc>
        <w:tc>
          <w:tcPr>
            <w:tcW w:w="900" w:type="pct"/>
            <w:tcBorders>
              <w:top w:val="single" w:sz="4" w:space="0" w:color="29114B" w:themeColor="text2"/>
              <w:left w:val="single" w:sz="4" w:space="0" w:color="FFFFFF" w:themeColor="background1"/>
            </w:tcBorders>
            <w:shd w:val="clear" w:color="auto" w:fill="auto"/>
            <w:noWrap/>
            <w:tcMar>
              <w:top w:w="57" w:type="dxa"/>
              <w:bottom w:w="57" w:type="dxa"/>
            </w:tcMar>
          </w:tcPr>
          <w:p w14:paraId="0672C6AE" w14:textId="77777777" w:rsidR="005B5350" w:rsidRPr="00AE665D" w:rsidRDefault="005B5350" w:rsidP="00630831">
            <w:pPr>
              <w:pStyle w:val="TableTextRight"/>
            </w:pPr>
          </w:p>
        </w:tc>
      </w:tr>
      <w:tr w:rsidR="005B5350" w:rsidRPr="00C31DDE" w14:paraId="2EB03D8B" w14:textId="77777777" w:rsidTr="008D3CA0">
        <w:tc>
          <w:tcPr>
            <w:tcW w:w="1853" w:type="pct"/>
            <w:noWrap/>
            <w:tcMar>
              <w:top w:w="57" w:type="dxa"/>
              <w:bottom w:w="57" w:type="dxa"/>
            </w:tcMar>
            <w:hideMark/>
          </w:tcPr>
          <w:p w14:paraId="41BB60CA" w14:textId="77777777" w:rsidR="005B5350" w:rsidRPr="006534F5" w:rsidRDefault="005B5350" w:rsidP="00630831">
            <w:pPr>
              <w:pStyle w:val="TableTextLeft"/>
            </w:pPr>
            <w:r>
              <w:t>Other revenue</w:t>
            </w:r>
          </w:p>
        </w:tc>
        <w:tc>
          <w:tcPr>
            <w:tcW w:w="447" w:type="pct"/>
            <w:noWrap/>
            <w:tcMar>
              <w:top w:w="57" w:type="dxa"/>
              <w:bottom w:w="57" w:type="dxa"/>
            </w:tcMar>
            <w:hideMark/>
          </w:tcPr>
          <w:p w14:paraId="4C7CF388" w14:textId="77777777" w:rsidR="005B5350" w:rsidRPr="00713EEF" w:rsidRDefault="005B5350" w:rsidP="00630831">
            <w:pPr>
              <w:pStyle w:val="TableTextCentered"/>
              <w:rPr>
                <w:b/>
                <w:bCs/>
              </w:rPr>
            </w:pPr>
            <w:r w:rsidRPr="00713EEF">
              <w:rPr>
                <w:b/>
                <w:bCs/>
              </w:rPr>
              <w:t> </w:t>
            </w:r>
          </w:p>
        </w:tc>
        <w:tc>
          <w:tcPr>
            <w:tcW w:w="900" w:type="pct"/>
            <w:shd w:val="clear" w:color="auto" w:fill="E7DCF7" w:themeFill="text2" w:themeFillTint="1A"/>
            <w:noWrap/>
            <w:tcMar>
              <w:top w:w="57" w:type="dxa"/>
              <w:bottom w:w="57" w:type="dxa"/>
            </w:tcMar>
          </w:tcPr>
          <w:p w14:paraId="7097938D" w14:textId="77777777" w:rsidR="005B5350" w:rsidRPr="00AE665D" w:rsidRDefault="005B5350" w:rsidP="00630831">
            <w:pPr>
              <w:pStyle w:val="TableTextRight"/>
            </w:pPr>
            <w:r w:rsidRPr="00DC0384">
              <w:t>269</w:t>
            </w:r>
          </w:p>
        </w:tc>
        <w:tc>
          <w:tcPr>
            <w:tcW w:w="900" w:type="pct"/>
            <w:noWrap/>
            <w:tcMar>
              <w:top w:w="57" w:type="dxa"/>
              <w:bottom w:w="57" w:type="dxa"/>
            </w:tcMar>
            <w:hideMark/>
          </w:tcPr>
          <w:p w14:paraId="02047EB0" w14:textId="77777777" w:rsidR="005B5350" w:rsidRPr="00AE665D" w:rsidRDefault="005B5350" w:rsidP="00630831">
            <w:pPr>
              <w:pStyle w:val="TableTextRight"/>
            </w:pPr>
            <w:r>
              <w:t>112</w:t>
            </w:r>
            <w:r w:rsidRPr="00AE665D">
              <w:t xml:space="preserve"> </w:t>
            </w:r>
          </w:p>
        </w:tc>
        <w:tc>
          <w:tcPr>
            <w:tcW w:w="900" w:type="pct"/>
            <w:shd w:val="clear" w:color="auto" w:fill="E7DCF7" w:themeFill="text2" w:themeFillTint="1A"/>
            <w:noWrap/>
            <w:tcMar>
              <w:top w:w="57" w:type="dxa"/>
              <w:bottom w:w="57" w:type="dxa"/>
            </w:tcMar>
          </w:tcPr>
          <w:p w14:paraId="017CE029" w14:textId="77777777" w:rsidR="005B5350" w:rsidRPr="00AE665D" w:rsidRDefault="005B5350" w:rsidP="00630831">
            <w:pPr>
              <w:pStyle w:val="TableTextRight"/>
            </w:pPr>
            <w:r>
              <w:t>25</w:t>
            </w:r>
          </w:p>
        </w:tc>
      </w:tr>
      <w:tr w:rsidR="005B5350" w:rsidRPr="00C31DDE" w14:paraId="4491C886" w14:textId="77777777" w:rsidTr="008D3CA0">
        <w:tc>
          <w:tcPr>
            <w:tcW w:w="1853" w:type="pct"/>
            <w:noWrap/>
            <w:tcMar>
              <w:top w:w="57" w:type="dxa"/>
              <w:bottom w:w="57" w:type="dxa"/>
            </w:tcMar>
            <w:hideMark/>
          </w:tcPr>
          <w:p w14:paraId="3A35D442" w14:textId="77777777" w:rsidR="005B5350" w:rsidRPr="006534F5" w:rsidRDefault="005B5350" w:rsidP="00630831">
            <w:pPr>
              <w:pStyle w:val="TableTextLeft"/>
            </w:pPr>
            <w:r w:rsidRPr="006534F5">
              <w:t>Resources received free of charge</w:t>
            </w:r>
          </w:p>
        </w:tc>
        <w:tc>
          <w:tcPr>
            <w:tcW w:w="447" w:type="pct"/>
            <w:tcMar>
              <w:top w:w="57" w:type="dxa"/>
              <w:bottom w:w="57" w:type="dxa"/>
            </w:tcMar>
          </w:tcPr>
          <w:p w14:paraId="3E1CBBB6" w14:textId="77777777" w:rsidR="005B5350" w:rsidRPr="00713EEF" w:rsidRDefault="005B5350" w:rsidP="00630831">
            <w:pPr>
              <w:pStyle w:val="TableTextCentered"/>
              <w:rPr>
                <w:b/>
                <w:bCs/>
              </w:rPr>
            </w:pPr>
          </w:p>
        </w:tc>
        <w:tc>
          <w:tcPr>
            <w:tcW w:w="900" w:type="pct"/>
            <w:shd w:val="clear" w:color="auto" w:fill="E7DCF7" w:themeFill="text2" w:themeFillTint="1A"/>
            <w:noWrap/>
            <w:tcMar>
              <w:top w:w="57" w:type="dxa"/>
              <w:bottom w:w="57" w:type="dxa"/>
            </w:tcMar>
          </w:tcPr>
          <w:p w14:paraId="6F59FB19" w14:textId="77777777" w:rsidR="005B5350" w:rsidRPr="00AE665D" w:rsidRDefault="005B5350" w:rsidP="00630831">
            <w:pPr>
              <w:pStyle w:val="TableTextRight"/>
            </w:pPr>
            <w:r>
              <w:t>250</w:t>
            </w:r>
          </w:p>
        </w:tc>
        <w:tc>
          <w:tcPr>
            <w:tcW w:w="900" w:type="pct"/>
            <w:noWrap/>
            <w:tcMar>
              <w:top w:w="57" w:type="dxa"/>
              <w:bottom w:w="57" w:type="dxa"/>
            </w:tcMar>
            <w:hideMark/>
          </w:tcPr>
          <w:p w14:paraId="6A02E0F2" w14:textId="77777777" w:rsidR="005B5350" w:rsidRPr="00AE665D" w:rsidRDefault="005B5350" w:rsidP="00630831">
            <w:pPr>
              <w:pStyle w:val="TableTextRight"/>
            </w:pPr>
            <w:r>
              <w:t>250</w:t>
            </w:r>
            <w:r w:rsidRPr="00AE665D">
              <w:t xml:space="preserve"> </w:t>
            </w:r>
          </w:p>
        </w:tc>
        <w:tc>
          <w:tcPr>
            <w:tcW w:w="900" w:type="pct"/>
            <w:shd w:val="clear" w:color="auto" w:fill="E7DCF7" w:themeFill="text2" w:themeFillTint="1A"/>
            <w:noWrap/>
            <w:tcMar>
              <w:top w:w="57" w:type="dxa"/>
              <w:bottom w:w="57" w:type="dxa"/>
            </w:tcMar>
          </w:tcPr>
          <w:p w14:paraId="0B7C8F4A" w14:textId="77777777" w:rsidR="005B5350" w:rsidRPr="00AE665D" w:rsidRDefault="005B5350" w:rsidP="00630831">
            <w:pPr>
              <w:pStyle w:val="TableTextRight"/>
            </w:pPr>
            <w:r>
              <w:t>250</w:t>
            </w:r>
          </w:p>
        </w:tc>
      </w:tr>
      <w:tr w:rsidR="005B5350" w:rsidRPr="00C31DDE" w14:paraId="1BC91D3F" w14:textId="77777777" w:rsidTr="008D3CA0">
        <w:tc>
          <w:tcPr>
            <w:tcW w:w="1853" w:type="pct"/>
            <w:noWrap/>
            <w:tcMar>
              <w:top w:w="57" w:type="dxa"/>
              <w:bottom w:w="57" w:type="dxa"/>
            </w:tcMar>
            <w:hideMark/>
          </w:tcPr>
          <w:p w14:paraId="27C690D3" w14:textId="77777777" w:rsidR="005B5350" w:rsidRPr="00F0605E" w:rsidRDefault="005B5350" w:rsidP="00630831">
            <w:pPr>
              <w:pStyle w:val="TableTextLeft"/>
              <w:rPr>
                <w:b/>
                <w:bCs/>
              </w:rPr>
            </w:pPr>
            <w:r w:rsidRPr="00F0605E">
              <w:rPr>
                <w:b/>
                <w:bCs/>
              </w:rPr>
              <w:t>Total own</w:t>
            </w:r>
            <w:r w:rsidRPr="00F0605E">
              <w:rPr>
                <w:b/>
                <w:bCs/>
              </w:rPr>
              <w:noBreakHyphen/>
              <w:t>source income</w:t>
            </w:r>
          </w:p>
        </w:tc>
        <w:tc>
          <w:tcPr>
            <w:tcW w:w="447" w:type="pct"/>
            <w:noWrap/>
            <w:tcMar>
              <w:top w:w="57" w:type="dxa"/>
              <w:bottom w:w="57" w:type="dxa"/>
            </w:tcMar>
            <w:hideMark/>
          </w:tcPr>
          <w:p w14:paraId="07AEC7D2" w14:textId="77777777" w:rsidR="005B5350" w:rsidRPr="00F0605E" w:rsidRDefault="005B5350" w:rsidP="00630831">
            <w:pPr>
              <w:pStyle w:val="TableTextCentered"/>
              <w:rPr>
                <w:b/>
                <w:bCs/>
              </w:rPr>
            </w:pPr>
            <w:r w:rsidRPr="00F0605E">
              <w:rPr>
                <w:b/>
                <w:bCs/>
              </w:rPr>
              <w:t> </w:t>
            </w:r>
          </w:p>
        </w:tc>
        <w:tc>
          <w:tcPr>
            <w:tcW w:w="900" w:type="pct"/>
            <w:shd w:val="clear" w:color="auto" w:fill="E7DCF7" w:themeFill="text2" w:themeFillTint="1A"/>
            <w:noWrap/>
            <w:tcMar>
              <w:top w:w="57" w:type="dxa"/>
              <w:bottom w:w="57" w:type="dxa"/>
            </w:tcMar>
          </w:tcPr>
          <w:p w14:paraId="57347C9C" w14:textId="77777777" w:rsidR="005B5350" w:rsidRPr="00F0605E" w:rsidRDefault="005B5350" w:rsidP="00630831">
            <w:pPr>
              <w:pStyle w:val="TableTextRight"/>
              <w:rPr>
                <w:b/>
                <w:bCs/>
              </w:rPr>
            </w:pPr>
            <w:r w:rsidRPr="00F0605E">
              <w:rPr>
                <w:b/>
                <w:bCs/>
              </w:rPr>
              <w:t>519</w:t>
            </w:r>
          </w:p>
        </w:tc>
        <w:tc>
          <w:tcPr>
            <w:tcW w:w="900" w:type="pct"/>
            <w:noWrap/>
            <w:tcMar>
              <w:top w:w="57" w:type="dxa"/>
              <w:bottom w:w="57" w:type="dxa"/>
            </w:tcMar>
            <w:hideMark/>
          </w:tcPr>
          <w:p w14:paraId="139D44CA" w14:textId="77777777" w:rsidR="005B5350" w:rsidRPr="00F0605E" w:rsidRDefault="005B5350" w:rsidP="00630831">
            <w:pPr>
              <w:pStyle w:val="TableTextRight"/>
              <w:rPr>
                <w:b/>
                <w:bCs/>
              </w:rPr>
            </w:pPr>
            <w:r w:rsidRPr="00F0605E">
              <w:rPr>
                <w:b/>
                <w:bCs/>
              </w:rPr>
              <w:t>362</w:t>
            </w:r>
          </w:p>
        </w:tc>
        <w:tc>
          <w:tcPr>
            <w:tcW w:w="900" w:type="pct"/>
            <w:shd w:val="clear" w:color="auto" w:fill="E7DCF7" w:themeFill="text2" w:themeFillTint="1A"/>
            <w:noWrap/>
            <w:tcMar>
              <w:top w:w="57" w:type="dxa"/>
              <w:bottom w:w="57" w:type="dxa"/>
            </w:tcMar>
          </w:tcPr>
          <w:p w14:paraId="1364C43D" w14:textId="77777777" w:rsidR="005B5350" w:rsidRPr="00F0605E" w:rsidRDefault="005B5350" w:rsidP="00630831">
            <w:pPr>
              <w:pStyle w:val="TableTextRight"/>
              <w:rPr>
                <w:b/>
                <w:bCs/>
              </w:rPr>
            </w:pPr>
            <w:r w:rsidRPr="00F0605E">
              <w:rPr>
                <w:b/>
                <w:bCs/>
              </w:rPr>
              <w:t>275</w:t>
            </w:r>
          </w:p>
        </w:tc>
      </w:tr>
      <w:tr w:rsidR="005B5350" w:rsidRPr="00C31DDE" w14:paraId="27A4FF76" w14:textId="77777777" w:rsidTr="008D3CA0">
        <w:tc>
          <w:tcPr>
            <w:tcW w:w="1853" w:type="pct"/>
            <w:tcBorders>
              <w:bottom w:val="single" w:sz="4" w:space="0" w:color="29114B" w:themeColor="text2"/>
            </w:tcBorders>
            <w:noWrap/>
            <w:tcMar>
              <w:top w:w="57" w:type="dxa"/>
              <w:bottom w:w="57" w:type="dxa"/>
            </w:tcMar>
            <w:hideMark/>
          </w:tcPr>
          <w:p w14:paraId="0D73BF80" w14:textId="77777777" w:rsidR="005B5350" w:rsidRPr="00F0605E" w:rsidRDefault="005B5350" w:rsidP="00630831">
            <w:pPr>
              <w:pStyle w:val="TableTextLeft"/>
              <w:rPr>
                <w:b/>
                <w:bCs/>
              </w:rPr>
            </w:pPr>
            <w:r w:rsidRPr="00F0605E">
              <w:rPr>
                <w:b/>
                <w:bCs/>
              </w:rPr>
              <w:t>Net cost of services</w:t>
            </w:r>
          </w:p>
        </w:tc>
        <w:tc>
          <w:tcPr>
            <w:tcW w:w="447" w:type="pct"/>
            <w:tcBorders>
              <w:bottom w:val="single" w:sz="4" w:space="0" w:color="29114B" w:themeColor="text2"/>
            </w:tcBorders>
            <w:noWrap/>
            <w:tcMar>
              <w:top w:w="57" w:type="dxa"/>
              <w:bottom w:w="57" w:type="dxa"/>
            </w:tcMar>
            <w:hideMark/>
          </w:tcPr>
          <w:p w14:paraId="2C863B29" w14:textId="77777777" w:rsidR="005B5350" w:rsidRPr="00F0605E" w:rsidRDefault="005B5350" w:rsidP="00630831">
            <w:pPr>
              <w:pStyle w:val="TableTextCentered"/>
              <w:rPr>
                <w:b/>
                <w:bCs/>
              </w:rPr>
            </w:pPr>
            <w:r w:rsidRPr="00F0605E">
              <w:rPr>
                <w:b/>
                <w:bCs/>
              </w:rPr>
              <w:t> </w:t>
            </w:r>
          </w:p>
        </w:tc>
        <w:tc>
          <w:tcPr>
            <w:tcW w:w="900" w:type="pct"/>
            <w:tcBorders>
              <w:bottom w:val="single" w:sz="4" w:space="0" w:color="29114B" w:themeColor="text2"/>
            </w:tcBorders>
            <w:shd w:val="clear" w:color="auto" w:fill="E7DCF7" w:themeFill="text2" w:themeFillTint="1A"/>
            <w:noWrap/>
            <w:tcMar>
              <w:top w:w="57" w:type="dxa"/>
              <w:bottom w:w="57" w:type="dxa"/>
            </w:tcMar>
          </w:tcPr>
          <w:p w14:paraId="34986D6F" w14:textId="77777777" w:rsidR="005B5350" w:rsidRPr="00F0605E" w:rsidRDefault="005B5350" w:rsidP="00630831">
            <w:pPr>
              <w:pStyle w:val="TableTextRight"/>
              <w:rPr>
                <w:b/>
                <w:bCs/>
              </w:rPr>
            </w:pPr>
            <w:r w:rsidRPr="00F0605E">
              <w:rPr>
                <w:b/>
                <w:bCs/>
              </w:rPr>
              <w:t>(16,595)</w:t>
            </w:r>
          </w:p>
        </w:tc>
        <w:tc>
          <w:tcPr>
            <w:tcW w:w="900" w:type="pct"/>
            <w:tcBorders>
              <w:bottom w:val="single" w:sz="4" w:space="0" w:color="29114B" w:themeColor="text2"/>
            </w:tcBorders>
            <w:noWrap/>
            <w:tcMar>
              <w:top w:w="57" w:type="dxa"/>
              <w:bottom w:w="57" w:type="dxa"/>
            </w:tcMar>
            <w:hideMark/>
          </w:tcPr>
          <w:p w14:paraId="56AB177C" w14:textId="77777777" w:rsidR="005B5350" w:rsidRPr="00F0605E" w:rsidRDefault="005B5350" w:rsidP="00630831">
            <w:pPr>
              <w:pStyle w:val="TableTextRight"/>
              <w:rPr>
                <w:b/>
                <w:bCs/>
              </w:rPr>
            </w:pPr>
            <w:r w:rsidRPr="00F0605E">
              <w:rPr>
                <w:b/>
                <w:bCs/>
              </w:rPr>
              <w:t>(15,159)</w:t>
            </w:r>
          </w:p>
        </w:tc>
        <w:tc>
          <w:tcPr>
            <w:tcW w:w="900" w:type="pct"/>
            <w:tcBorders>
              <w:bottom w:val="single" w:sz="4" w:space="0" w:color="29114B" w:themeColor="text2"/>
            </w:tcBorders>
            <w:shd w:val="clear" w:color="auto" w:fill="E7DCF7" w:themeFill="text2" w:themeFillTint="1A"/>
            <w:noWrap/>
            <w:tcMar>
              <w:top w:w="57" w:type="dxa"/>
              <w:bottom w:w="57" w:type="dxa"/>
            </w:tcMar>
          </w:tcPr>
          <w:p w14:paraId="7CB0D9EB" w14:textId="77777777" w:rsidR="005B5350" w:rsidRPr="00F0605E" w:rsidRDefault="005B5350" w:rsidP="00630831">
            <w:pPr>
              <w:pStyle w:val="TableTextRight"/>
              <w:rPr>
                <w:b/>
                <w:bCs/>
              </w:rPr>
            </w:pPr>
            <w:r w:rsidRPr="00F0605E">
              <w:rPr>
                <w:b/>
                <w:bCs/>
              </w:rPr>
              <w:t>(16,694)</w:t>
            </w:r>
          </w:p>
        </w:tc>
      </w:tr>
      <w:tr w:rsidR="005B5350" w:rsidRPr="00C31DDE" w14:paraId="34F0F7FB" w14:textId="77777777" w:rsidTr="00575CA9">
        <w:tc>
          <w:tcPr>
            <w:tcW w:w="1853"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7FE92BB4" w14:textId="77777777" w:rsidR="005B5350" w:rsidRPr="005B5350" w:rsidRDefault="005B5350" w:rsidP="00630831">
            <w:pPr>
              <w:pStyle w:val="TableSecondHeading"/>
              <w:rPr>
                <w:rStyle w:val="Strong"/>
                <w:b w:val="0"/>
              </w:rPr>
            </w:pPr>
            <w:r w:rsidRPr="005B5350">
              <w:rPr>
                <w:rStyle w:val="Strong"/>
              </w:rPr>
              <w:t>Appropriation funding</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2F3E906D" w14:textId="77777777" w:rsidR="005B5350" w:rsidRPr="00713EEF" w:rsidRDefault="005B5350" w:rsidP="00630831">
            <w:pPr>
              <w:pStyle w:val="TableTextCentered"/>
              <w:rPr>
                <w:b/>
                <w:bCs/>
              </w:rPr>
            </w:pPr>
            <w:r w:rsidRPr="00713EEF">
              <w:rPr>
                <w:b/>
                <w:bCs/>
              </w:rPr>
              <w:t> </w:t>
            </w: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0E377F24" w14:textId="77777777" w:rsidR="005B5350" w:rsidRPr="00AE665D" w:rsidRDefault="005B5350" w:rsidP="00630831">
            <w:pPr>
              <w:pStyle w:val="TableTextRight"/>
            </w:pPr>
          </w:p>
        </w:tc>
        <w:tc>
          <w:tcPr>
            <w:tcW w:w="900"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02153DE1" w14:textId="77777777" w:rsidR="005B5350" w:rsidRPr="00AE665D" w:rsidRDefault="005B5350" w:rsidP="00630831">
            <w:pPr>
              <w:pStyle w:val="TableTextRight"/>
            </w:pPr>
            <w:r w:rsidRPr="00AE665D">
              <w:t> </w:t>
            </w:r>
          </w:p>
        </w:tc>
        <w:tc>
          <w:tcPr>
            <w:tcW w:w="900" w:type="pct"/>
            <w:tcBorders>
              <w:top w:val="single" w:sz="4" w:space="0" w:color="29114B" w:themeColor="text2"/>
              <w:left w:val="single" w:sz="4" w:space="0" w:color="FFFFFF" w:themeColor="background1"/>
            </w:tcBorders>
            <w:shd w:val="clear" w:color="auto" w:fill="auto"/>
            <w:noWrap/>
            <w:tcMar>
              <w:top w:w="57" w:type="dxa"/>
              <w:bottom w:w="57" w:type="dxa"/>
            </w:tcMar>
          </w:tcPr>
          <w:p w14:paraId="03F3A441" w14:textId="77777777" w:rsidR="005B5350" w:rsidRPr="00AE665D" w:rsidRDefault="005B5350" w:rsidP="00630831">
            <w:pPr>
              <w:pStyle w:val="TableTextRight"/>
            </w:pPr>
          </w:p>
        </w:tc>
      </w:tr>
      <w:tr w:rsidR="005B5350" w:rsidRPr="00C31DDE" w14:paraId="42CFA03E" w14:textId="77777777" w:rsidTr="008D3CA0">
        <w:tc>
          <w:tcPr>
            <w:tcW w:w="1853" w:type="pct"/>
            <w:noWrap/>
            <w:tcMar>
              <w:top w:w="57" w:type="dxa"/>
              <w:bottom w:w="57" w:type="dxa"/>
            </w:tcMar>
            <w:hideMark/>
          </w:tcPr>
          <w:p w14:paraId="1B6622A8" w14:textId="77777777" w:rsidR="005B5350" w:rsidRPr="006534F5" w:rsidRDefault="005B5350" w:rsidP="00630831">
            <w:pPr>
              <w:pStyle w:val="TableTextLeft"/>
            </w:pPr>
            <w:r w:rsidRPr="006534F5">
              <w:t xml:space="preserve">Revenue from </w:t>
            </w:r>
            <w:r>
              <w:t>G</w:t>
            </w:r>
            <w:r w:rsidRPr="006534F5">
              <w:t>overnment</w:t>
            </w:r>
          </w:p>
        </w:tc>
        <w:tc>
          <w:tcPr>
            <w:tcW w:w="447" w:type="pct"/>
            <w:noWrap/>
            <w:tcMar>
              <w:top w:w="57" w:type="dxa"/>
              <w:bottom w:w="57" w:type="dxa"/>
            </w:tcMar>
            <w:hideMark/>
          </w:tcPr>
          <w:p w14:paraId="384C4064" w14:textId="77777777" w:rsidR="005B5350" w:rsidRPr="00713EEF" w:rsidRDefault="005B5350" w:rsidP="00630831">
            <w:pPr>
              <w:pStyle w:val="TableTextCentered"/>
              <w:rPr>
                <w:b/>
                <w:bCs/>
              </w:rPr>
            </w:pPr>
            <w:r w:rsidRPr="00713EEF">
              <w:rPr>
                <w:b/>
                <w:bCs/>
              </w:rPr>
              <w:t> </w:t>
            </w:r>
          </w:p>
        </w:tc>
        <w:tc>
          <w:tcPr>
            <w:tcW w:w="900" w:type="pct"/>
            <w:shd w:val="clear" w:color="auto" w:fill="E7DCF7" w:themeFill="text2" w:themeFillTint="1A"/>
            <w:noWrap/>
            <w:tcMar>
              <w:top w:w="57" w:type="dxa"/>
              <w:bottom w:w="57" w:type="dxa"/>
            </w:tcMar>
          </w:tcPr>
          <w:p w14:paraId="604F04BF" w14:textId="77777777" w:rsidR="005B5350" w:rsidRPr="00AE665D" w:rsidRDefault="005B5350" w:rsidP="00630831">
            <w:pPr>
              <w:pStyle w:val="TableTextRight"/>
            </w:pPr>
            <w:r>
              <w:t>16,357</w:t>
            </w:r>
          </w:p>
        </w:tc>
        <w:tc>
          <w:tcPr>
            <w:tcW w:w="900" w:type="pct"/>
            <w:noWrap/>
            <w:tcMar>
              <w:top w:w="57" w:type="dxa"/>
              <w:bottom w:w="57" w:type="dxa"/>
            </w:tcMar>
            <w:hideMark/>
          </w:tcPr>
          <w:p w14:paraId="5275EF66" w14:textId="77777777" w:rsidR="005B5350" w:rsidRPr="00AE665D" w:rsidRDefault="005B5350" w:rsidP="00630831">
            <w:pPr>
              <w:pStyle w:val="TableTextRight"/>
            </w:pPr>
            <w:r>
              <w:t>19,121</w:t>
            </w:r>
            <w:r w:rsidRPr="00AE665D">
              <w:t xml:space="preserve"> </w:t>
            </w:r>
          </w:p>
        </w:tc>
        <w:tc>
          <w:tcPr>
            <w:tcW w:w="900" w:type="pct"/>
            <w:shd w:val="clear" w:color="auto" w:fill="E7DCF7" w:themeFill="text2" w:themeFillTint="1A"/>
            <w:noWrap/>
            <w:tcMar>
              <w:top w:w="57" w:type="dxa"/>
              <w:bottom w:w="57" w:type="dxa"/>
            </w:tcMar>
          </w:tcPr>
          <w:p w14:paraId="116DF7FF" w14:textId="77777777" w:rsidR="005B5350" w:rsidRPr="00AE665D" w:rsidRDefault="005B5350" w:rsidP="00630831">
            <w:pPr>
              <w:pStyle w:val="TableTextRight"/>
            </w:pPr>
            <w:r>
              <w:t>16,357</w:t>
            </w:r>
          </w:p>
        </w:tc>
      </w:tr>
      <w:tr w:rsidR="005B5350" w:rsidRPr="00C31DDE" w14:paraId="0C13ADDC" w14:textId="77777777" w:rsidTr="008D3CA0">
        <w:tc>
          <w:tcPr>
            <w:tcW w:w="1853" w:type="pct"/>
            <w:noWrap/>
            <w:tcMar>
              <w:top w:w="57" w:type="dxa"/>
              <w:bottom w:w="57" w:type="dxa"/>
            </w:tcMar>
            <w:hideMark/>
          </w:tcPr>
          <w:p w14:paraId="3243439D" w14:textId="77777777" w:rsidR="005B5350" w:rsidRPr="00F0605E" w:rsidRDefault="005B5350" w:rsidP="00630831">
            <w:pPr>
              <w:pStyle w:val="TableTextLeft"/>
            </w:pPr>
            <w:r w:rsidRPr="00F0605E">
              <w:t>Total appropriation funding</w:t>
            </w:r>
          </w:p>
        </w:tc>
        <w:tc>
          <w:tcPr>
            <w:tcW w:w="447" w:type="pct"/>
            <w:tcMar>
              <w:top w:w="57" w:type="dxa"/>
              <w:bottom w:w="57" w:type="dxa"/>
            </w:tcMar>
          </w:tcPr>
          <w:p w14:paraId="5985B6C0" w14:textId="77777777" w:rsidR="005B5350" w:rsidRPr="00F0605E" w:rsidRDefault="005B5350" w:rsidP="00630831">
            <w:pPr>
              <w:pStyle w:val="TableTextCentered"/>
            </w:pPr>
          </w:p>
        </w:tc>
        <w:tc>
          <w:tcPr>
            <w:tcW w:w="900" w:type="pct"/>
            <w:shd w:val="clear" w:color="auto" w:fill="E7DCF7" w:themeFill="text2" w:themeFillTint="1A"/>
            <w:noWrap/>
            <w:tcMar>
              <w:top w:w="57" w:type="dxa"/>
              <w:bottom w:w="57" w:type="dxa"/>
            </w:tcMar>
          </w:tcPr>
          <w:p w14:paraId="79C0BFFC" w14:textId="77777777" w:rsidR="005B5350" w:rsidRPr="00F0605E" w:rsidRDefault="005B5350" w:rsidP="00630831">
            <w:pPr>
              <w:pStyle w:val="TableTextRight"/>
              <w:rPr>
                <w:b/>
                <w:bCs/>
              </w:rPr>
            </w:pPr>
            <w:r w:rsidRPr="00F0605E">
              <w:rPr>
                <w:b/>
                <w:bCs/>
              </w:rPr>
              <w:t>16,357</w:t>
            </w:r>
          </w:p>
        </w:tc>
        <w:tc>
          <w:tcPr>
            <w:tcW w:w="900" w:type="pct"/>
            <w:noWrap/>
            <w:tcMar>
              <w:top w:w="57" w:type="dxa"/>
              <w:bottom w:w="57" w:type="dxa"/>
            </w:tcMar>
          </w:tcPr>
          <w:p w14:paraId="72921763" w14:textId="77777777" w:rsidR="005B5350" w:rsidRPr="00F0605E" w:rsidRDefault="005B5350" w:rsidP="00630831">
            <w:pPr>
              <w:pStyle w:val="TableTextRight"/>
              <w:rPr>
                <w:b/>
                <w:bCs/>
              </w:rPr>
            </w:pPr>
            <w:r w:rsidRPr="00F0605E">
              <w:rPr>
                <w:b/>
                <w:bCs/>
              </w:rPr>
              <w:t xml:space="preserve">19,121 </w:t>
            </w:r>
          </w:p>
        </w:tc>
        <w:tc>
          <w:tcPr>
            <w:tcW w:w="900" w:type="pct"/>
            <w:shd w:val="clear" w:color="auto" w:fill="E7DCF7" w:themeFill="text2" w:themeFillTint="1A"/>
            <w:noWrap/>
            <w:tcMar>
              <w:top w:w="57" w:type="dxa"/>
              <w:bottom w:w="57" w:type="dxa"/>
            </w:tcMar>
          </w:tcPr>
          <w:p w14:paraId="69982015" w14:textId="77777777" w:rsidR="005B5350" w:rsidRPr="00F0605E" w:rsidRDefault="005B5350" w:rsidP="00630831">
            <w:pPr>
              <w:pStyle w:val="TableTextRight"/>
              <w:rPr>
                <w:b/>
                <w:bCs/>
              </w:rPr>
            </w:pPr>
            <w:r w:rsidRPr="00F0605E">
              <w:rPr>
                <w:b/>
                <w:bCs/>
              </w:rPr>
              <w:t>16,357</w:t>
            </w:r>
          </w:p>
        </w:tc>
      </w:tr>
      <w:tr w:rsidR="005B5350" w:rsidRPr="00C31DDE" w14:paraId="143A187E" w14:textId="77777777" w:rsidTr="008D3CA0">
        <w:tc>
          <w:tcPr>
            <w:tcW w:w="1853" w:type="pct"/>
            <w:noWrap/>
            <w:tcMar>
              <w:top w:w="57" w:type="dxa"/>
              <w:bottom w:w="57" w:type="dxa"/>
            </w:tcMar>
            <w:hideMark/>
          </w:tcPr>
          <w:p w14:paraId="6A01776F" w14:textId="77777777" w:rsidR="005B5350" w:rsidRPr="00F0605E" w:rsidRDefault="005B5350" w:rsidP="00630831">
            <w:pPr>
              <w:pStyle w:val="TableTextLeft"/>
            </w:pPr>
            <w:r w:rsidRPr="00F0605E">
              <w:t>(Deficit)/surplus</w:t>
            </w:r>
          </w:p>
        </w:tc>
        <w:tc>
          <w:tcPr>
            <w:tcW w:w="447" w:type="pct"/>
            <w:noWrap/>
            <w:tcMar>
              <w:top w:w="57" w:type="dxa"/>
              <w:bottom w:w="57" w:type="dxa"/>
            </w:tcMar>
            <w:hideMark/>
          </w:tcPr>
          <w:p w14:paraId="554FC519" w14:textId="77777777" w:rsidR="005B5350" w:rsidRPr="00F0605E" w:rsidRDefault="005B5350" w:rsidP="00630831">
            <w:pPr>
              <w:pStyle w:val="TableTextCentered"/>
            </w:pPr>
            <w:r w:rsidRPr="00F0605E">
              <w:t> </w:t>
            </w:r>
          </w:p>
        </w:tc>
        <w:tc>
          <w:tcPr>
            <w:tcW w:w="900" w:type="pct"/>
            <w:shd w:val="clear" w:color="auto" w:fill="E7DCF7" w:themeFill="text2" w:themeFillTint="1A"/>
            <w:noWrap/>
            <w:tcMar>
              <w:top w:w="57" w:type="dxa"/>
              <w:bottom w:w="57" w:type="dxa"/>
            </w:tcMar>
          </w:tcPr>
          <w:p w14:paraId="70493FDF" w14:textId="77777777" w:rsidR="005B5350" w:rsidRPr="00F0605E" w:rsidRDefault="005B5350" w:rsidP="00630831">
            <w:pPr>
              <w:pStyle w:val="TableTextRight"/>
              <w:rPr>
                <w:b/>
                <w:bCs/>
              </w:rPr>
            </w:pPr>
            <w:r w:rsidRPr="00F0605E">
              <w:rPr>
                <w:b/>
                <w:bCs/>
              </w:rPr>
              <w:t>(238)</w:t>
            </w:r>
          </w:p>
        </w:tc>
        <w:tc>
          <w:tcPr>
            <w:tcW w:w="900" w:type="pct"/>
            <w:noWrap/>
            <w:tcMar>
              <w:top w:w="57" w:type="dxa"/>
              <w:bottom w:w="57" w:type="dxa"/>
            </w:tcMar>
            <w:hideMark/>
          </w:tcPr>
          <w:p w14:paraId="45244E84" w14:textId="77777777" w:rsidR="005B5350" w:rsidRPr="00F0605E" w:rsidRDefault="005B5350" w:rsidP="00630831">
            <w:pPr>
              <w:pStyle w:val="TableTextRight"/>
              <w:rPr>
                <w:b/>
                <w:bCs/>
              </w:rPr>
            </w:pPr>
            <w:r w:rsidRPr="00F0605E">
              <w:rPr>
                <w:b/>
                <w:bCs/>
              </w:rPr>
              <w:t xml:space="preserve">3,962 </w:t>
            </w:r>
          </w:p>
        </w:tc>
        <w:tc>
          <w:tcPr>
            <w:tcW w:w="900" w:type="pct"/>
            <w:shd w:val="clear" w:color="auto" w:fill="E7DCF7" w:themeFill="text2" w:themeFillTint="1A"/>
            <w:noWrap/>
            <w:tcMar>
              <w:top w:w="57" w:type="dxa"/>
              <w:bottom w:w="57" w:type="dxa"/>
            </w:tcMar>
          </w:tcPr>
          <w:p w14:paraId="1CE4E536" w14:textId="77777777" w:rsidR="005B5350" w:rsidRPr="00F0605E" w:rsidRDefault="005B5350" w:rsidP="00630831">
            <w:pPr>
              <w:pStyle w:val="TableTextRight"/>
              <w:rPr>
                <w:b/>
                <w:bCs/>
              </w:rPr>
            </w:pPr>
            <w:r w:rsidRPr="00F0605E">
              <w:rPr>
                <w:b/>
                <w:bCs/>
              </w:rPr>
              <w:t>(337)</w:t>
            </w:r>
          </w:p>
        </w:tc>
      </w:tr>
      <w:tr w:rsidR="005B5350" w:rsidRPr="006534F5" w14:paraId="1280A122" w14:textId="77777777" w:rsidTr="008D3CA0">
        <w:tc>
          <w:tcPr>
            <w:tcW w:w="1853" w:type="pct"/>
            <w:noWrap/>
            <w:tcMar>
              <w:top w:w="57" w:type="dxa"/>
              <w:bottom w:w="57" w:type="dxa"/>
            </w:tcMar>
            <w:hideMark/>
          </w:tcPr>
          <w:p w14:paraId="13CA6561" w14:textId="77777777" w:rsidR="005B5350" w:rsidRPr="00F0605E" w:rsidRDefault="005B5350" w:rsidP="00630831">
            <w:pPr>
              <w:pStyle w:val="TableTextLeft"/>
            </w:pPr>
            <w:r w:rsidRPr="00F0605E">
              <w:t>Total comprehensive (loss)/income</w:t>
            </w:r>
          </w:p>
        </w:tc>
        <w:tc>
          <w:tcPr>
            <w:tcW w:w="447" w:type="pct"/>
            <w:noWrap/>
            <w:tcMar>
              <w:top w:w="57" w:type="dxa"/>
              <w:bottom w:w="57" w:type="dxa"/>
            </w:tcMar>
            <w:hideMark/>
          </w:tcPr>
          <w:p w14:paraId="569FF847" w14:textId="77777777" w:rsidR="005B5350" w:rsidRPr="00F0605E" w:rsidRDefault="005B5350" w:rsidP="00630831">
            <w:pPr>
              <w:pStyle w:val="TableTextCentered"/>
            </w:pPr>
            <w:r w:rsidRPr="00F0605E">
              <w:t> </w:t>
            </w:r>
          </w:p>
        </w:tc>
        <w:tc>
          <w:tcPr>
            <w:tcW w:w="900" w:type="pct"/>
            <w:shd w:val="clear" w:color="auto" w:fill="E7DCF7" w:themeFill="text2" w:themeFillTint="1A"/>
            <w:noWrap/>
            <w:tcMar>
              <w:top w:w="57" w:type="dxa"/>
              <w:bottom w:w="57" w:type="dxa"/>
            </w:tcMar>
          </w:tcPr>
          <w:p w14:paraId="5204A4EB" w14:textId="77777777" w:rsidR="005B5350" w:rsidRPr="00F0605E" w:rsidRDefault="005B5350" w:rsidP="00630831">
            <w:pPr>
              <w:pStyle w:val="TableTextRight"/>
              <w:rPr>
                <w:b/>
                <w:bCs/>
              </w:rPr>
            </w:pPr>
            <w:r w:rsidRPr="00F0605E">
              <w:rPr>
                <w:b/>
                <w:bCs/>
              </w:rPr>
              <w:t>(238)</w:t>
            </w:r>
          </w:p>
        </w:tc>
        <w:tc>
          <w:tcPr>
            <w:tcW w:w="900" w:type="pct"/>
            <w:noWrap/>
            <w:tcMar>
              <w:top w:w="57" w:type="dxa"/>
              <w:bottom w:w="57" w:type="dxa"/>
            </w:tcMar>
            <w:hideMark/>
          </w:tcPr>
          <w:p w14:paraId="17379F25" w14:textId="77777777" w:rsidR="005B5350" w:rsidRPr="00F0605E" w:rsidRDefault="005B5350" w:rsidP="00630831">
            <w:pPr>
              <w:pStyle w:val="TableTextRight"/>
              <w:rPr>
                <w:b/>
                <w:bCs/>
              </w:rPr>
            </w:pPr>
            <w:r w:rsidRPr="00F0605E">
              <w:rPr>
                <w:b/>
                <w:bCs/>
              </w:rPr>
              <w:t xml:space="preserve">3,962 </w:t>
            </w:r>
          </w:p>
        </w:tc>
        <w:tc>
          <w:tcPr>
            <w:tcW w:w="900" w:type="pct"/>
            <w:shd w:val="clear" w:color="auto" w:fill="E7DCF7" w:themeFill="text2" w:themeFillTint="1A"/>
            <w:noWrap/>
            <w:tcMar>
              <w:top w:w="57" w:type="dxa"/>
              <w:bottom w:w="57" w:type="dxa"/>
            </w:tcMar>
          </w:tcPr>
          <w:p w14:paraId="4BE104C4" w14:textId="77777777" w:rsidR="005B5350" w:rsidRPr="00F0605E" w:rsidRDefault="005B5350" w:rsidP="00630831">
            <w:pPr>
              <w:pStyle w:val="TableTextRight"/>
              <w:rPr>
                <w:b/>
                <w:bCs/>
              </w:rPr>
            </w:pPr>
            <w:r w:rsidRPr="00F0605E">
              <w:rPr>
                <w:b/>
                <w:bCs/>
              </w:rPr>
              <w:t>(337)</w:t>
            </w:r>
          </w:p>
        </w:tc>
      </w:tr>
    </w:tbl>
    <w:p w14:paraId="6BB2453A" w14:textId="77777777" w:rsidR="005B5350" w:rsidRPr="00A5461E" w:rsidRDefault="005B5350" w:rsidP="005B5350">
      <w:pPr>
        <w:pStyle w:val="Chartnotenotab"/>
      </w:pPr>
      <w:r w:rsidRPr="00A5461E">
        <w:t xml:space="preserve">The above statement should be read in conjunction with the accompanying notes. </w:t>
      </w:r>
    </w:p>
    <w:p w14:paraId="3116C4E5" w14:textId="77777777" w:rsidR="005B5350" w:rsidRDefault="005B5350" w:rsidP="005B5350">
      <w:pPr>
        <w:pStyle w:val="Chartnotenotab"/>
        <w:rPr>
          <w:szCs w:val="12"/>
        </w:rPr>
      </w:pPr>
      <w:r w:rsidRPr="00C941E8">
        <w:rPr>
          <w:szCs w:val="12"/>
        </w:rPr>
        <w:t>Note I explains significant variances between actuals and the original budget as presented in the 2024</w:t>
      </w:r>
      <w:r w:rsidRPr="00B235A9">
        <w:rPr>
          <w:szCs w:val="12"/>
        </w:rPr>
        <w:t>–</w:t>
      </w:r>
      <w:r w:rsidRPr="00C941E8">
        <w:rPr>
          <w:szCs w:val="12"/>
        </w:rPr>
        <w:t>25 Portfolio Budget Statements.</w:t>
      </w:r>
    </w:p>
    <w:p w14:paraId="518C64B9" w14:textId="77777777" w:rsidR="005B5350" w:rsidRDefault="005B5350" w:rsidP="005B5350">
      <w:pPr>
        <w:rPr>
          <w:sz w:val="16"/>
          <w:szCs w:val="16"/>
        </w:rPr>
      </w:pPr>
    </w:p>
    <w:p w14:paraId="20F9E6F0" w14:textId="77777777" w:rsidR="005B5350" w:rsidRPr="006534F5" w:rsidRDefault="005B5350" w:rsidP="005B5350">
      <w:pPr>
        <w:pStyle w:val="Heading2"/>
      </w:pPr>
      <w:r>
        <w:br w:type="page"/>
      </w:r>
      <w:bookmarkStart w:id="1801" w:name="_Toc146112266"/>
      <w:bookmarkStart w:id="1802" w:name="_Toc207792945"/>
      <w:bookmarkStart w:id="1803" w:name="_Toc207793985"/>
      <w:bookmarkStart w:id="1804" w:name="_Toc207796154"/>
      <w:bookmarkStart w:id="1805" w:name="_Toc207796989"/>
      <w:bookmarkStart w:id="1806" w:name="_Toc207800292"/>
      <w:bookmarkStart w:id="1807" w:name="_Toc207810870"/>
      <w:bookmarkStart w:id="1808" w:name="_Toc208914150"/>
      <w:bookmarkStart w:id="1809" w:name="_Toc209424547"/>
      <w:r>
        <w:lastRenderedPageBreak/>
        <w:t>Departmental s</w:t>
      </w:r>
      <w:r w:rsidRPr="006534F5">
        <w:t>tatement of financial position</w:t>
      </w:r>
      <w:bookmarkEnd w:id="1801"/>
      <w:bookmarkEnd w:id="1802"/>
      <w:bookmarkEnd w:id="1803"/>
      <w:bookmarkEnd w:id="1804"/>
      <w:bookmarkEnd w:id="1805"/>
      <w:bookmarkEnd w:id="1806"/>
      <w:bookmarkEnd w:id="1807"/>
      <w:bookmarkEnd w:id="1808"/>
      <w:bookmarkEnd w:id="1809"/>
    </w:p>
    <w:p w14:paraId="2E1D458D" w14:textId="77777777" w:rsidR="005B5350" w:rsidRPr="00A419F5" w:rsidRDefault="005B5350" w:rsidP="005B5350">
      <w:pPr>
        <w:pStyle w:val="TableMainHeading"/>
      </w:pPr>
      <w:r w:rsidRPr="00A419F5">
        <w:t xml:space="preserve">As </w:t>
      </w:r>
      <w:proofErr w:type="gramStart"/>
      <w:r w:rsidRPr="00A419F5">
        <w:t>at</w:t>
      </w:r>
      <w:proofErr w:type="gramEnd"/>
      <w:r w:rsidRPr="00A419F5">
        <w:t xml:space="preserve"> 30 June 2025</w:t>
      </w:r>
    </w:p>
    <w:tbl>
      <w:tblPr>
        <w:tblStyle w:val="AOFMTablemain"/>
        <w:tblW w:w="5000" w:type="pct"/>
        <w:tblLook w:val="06A0" w:firstRow="1" w:lastRow="0" w:firstColumn="1" w:lastColumn="0" w:noHBand="1" w:noVBand="1"/>
      </w:tblPr>
      <w:tblGrid>
        <w:gridCol w:w="2612"/>
        <w:gridCol w:w="710"/>
        <w:gridCol w:w="1463"/>
        <w:gridCol w:w="1463"/>
        <w:gridCol w:w="1463"/>
      </w:tblGrid>
      <w:tr w:rsidR="006C235E" w:rsidRPr="006534F5" w14:paraId="732428D2" w14:textId="77777777" w:rsidTr="00D92452">
        <w:trPr>
          <w:cnfStyle w:val="100000000000" w:firstRow="1" w:lastRow="0" w:firstColumn="0" w:lastColumn="0" w:oddVBand="0" w:evenVBand="0" w:oddHBand="0" w:evenHBand="0" w:firstRowFirstColumn="0" w:firstRowLastColumn="0" w:lastRowFirstColumn="0" w:lastRowLastColumn="0"/>
        </w:trPr>
        <w:tc>
          <w:tcPr>
            <w:tcW w:w="1697" w:type="pct"/>
            <w:tcBorders>
              <w:bottom w:val="single" w:sz="4" w:space="0" w:color="29114B" w:themeColor="text2"/>
            </w:tcBorders>
            <w:noWrap/>
            <w:vAlign w:val="bottom"/>
            <w:hideMark/>
          </w:tcPr>
          <w:p w14:paraId="34020D30" w14:textId="77777777" w:rsidR="005B5350" w:rsidRPr="00580427" w:rsidRDefault="005B5350" w:rsidP="00630831">
            <w:pPr>
              <w:pStyle w:val="TableColumnHeadingRight"/>
              <w:rPr>
                <w:bCs/>
              </w:rPr>
            </w:pPr>
          </w:p>
        </w:tc>
        <w:tc>
          <w:tcPr>
            <w:tcW w:w="449" w:type="pct"/>
            <w:tcBorders>
              <w:bottom w:val="single" w:sz="4" w:space="0" w:color="29114B" w:themeColor="text2"/>
            </w:tcBorders>
            <w:vAlign w:val="bottom"/>
          </w:tcPr>
          <w:p w14:paraId="4DC0B18B" w14:textId="77777777" w:rsidR="005B5350" w:rsidRPr="00580427" w:rsidRDefault="005B5350" w:rsidP="00630831">
            <w:pPr>
              <w:pStyle w:val="TableColumnHeadingCentred"/>
              <w:jc w:val="right"/>
            </w:pPr>
            <w:r w:rsidRPr="000E7306">
              <w:t>Notes</w:t>
            </w:r>
          </w:p>
        </w:tc>
        <w:tc>
          <w:tcPr>
            <w:tcW w:w="951" w:type="pct"/>
            <w:tcBorders>
              <w:bottom w:val="single" w:sz="4" w:space="0" w:color="29114B" w:themeColor="text2"/>
            </w:tcBorders>
            <w:noWrap/>
            <w:vAlign w:val="bottom"/>
            <w:hideMark/>
          </w:tcPr>
          <w:p w14:paraId="746809CB" w14:textId="77777777" w:rsidR="005B5350" w:rsidRDefault="005B5350" w:rsidP="00630831">
            <w:pPr>
              <w:pStyle w:val="TableColumnHeadingRight"/>
              <w:rPr>
                <w:bCs/>
              </w:rPr>
            </w:pPr>
            <w:r w:rsidRPr="000E7306">
              <w:rPr>
                <w:bCs/>
              </w:rPr>
              <w:t>202</w:t>
            </w:r>
            <w:r>
              <w:rPr>
                <w:bCs/>
              </w:rPr>
              <w:t xml:space="preserve">5 </w:t>
            </w:r>
          </w:p>
          <w:p w14:paraId="564CAAF4" w14:textId="77777777" w:rsidR="005B5350" w:rsidRPr="00580427" w:rsidRDefault="005B5350" w:rsidP="00630831">
            <w:pPr>
              <w:pStyle w:val="TableColumnHeadingRight"/>
              <w:rPr>
                <w:bCs/>
              </w:rPr>
            </w:pPr>
            <w:r>
              <w:rPr>
                <w:bCs/>
              </w:rPr>
              <w:t>$’000</w:t>
            </w:r>
            <w:r w:rsidRPr="000E7306">
              <w:rPr>
                <w:bCs/>
              </w:rPr>
              <w:t xml:space="preserve"> </w:t>
            </w:r>
          </w:p>
        </w:tc>
        <w:tc>
          <w:tcPr>
            <w:tcW w:w="951" w:type="pct"/>
            <w:tcBorders>
              <w:bottom w:val="single" w:sz="4" w:space="0" w:color="29114B" w:themeColor="text2"/>
            </w:tcBorders>
            <w:noWrap/>
            <w:vAlign w:val="bottom"/>
            <w:hideMark/>
          </w:tcPr>
          <w:p w14:paraId="5647365F" w14:textId="77777777" w:rsidR="005B5350" w:rsidRDefault="005B5350" w:rsidP="00630831">
            <w:pPr>
              <w:pStyle w:val="TableColumnHeadingRight"/>
            </w:pPr>
            <w:r w:rsidRPr="000E7306">
              <w:t>202</w:t>
            </w:r>
            <w:r>
              <w:t xml:space="preserve">4 </w:t>
            </w:r>
          </w:p>
          <w:p w14:paraId="04FDAB4A" w14:textId="77777777" w:rsidR="005B5350" w:rsidRPr="00580427" w:rsidRDefault="005B5350" w:rsidP="00630831">
            <w:pPr>
              <w:pStyle w:val="TableColumnHeadingRight"/>
            </w:pPr>
            <w:r>
              <w:t>$’000</w:t>
            </w:r>
            <w:r w:rsidRPr="000E7306">
              <w:t xml:space="preserve"> </w:t>
            </w:r>
          </w:p>
        </w:tc>
        <w:tc>
          <w:tcPr>
            <w:tcW w:w="951" w:type="pct"/>
            <w:tcBorders>
              <w:bottom w:val="single" w:sz="4" w:space="0" w:color="29114B" w:themeColor="text2"/>
            </w:tcBorders>
            <w:vAlign w:val="bottom"/>
            <w:hideMark/>
          </w:tcPr>
          <w:p w14:paraId="12A0E205" w14:textId="77777777" w:rsidR="005B5350" w:rsidRDefault="005B5350" w:rsidP="00630831">
            <w:pPr>
              <w:pStyle w:val="TableColumnHeadingRight"/>
              <w:rPr>
                <w:bCs/>
              </w:rPr>
            </w:pPr>
            <w:r w:rsidRPr="000E7306">
              <w:rPr>
                <w:bCs/>
              </w:rPr>
              <w:t xml:space="preserve"> Budget</w:t>
            </w:r>
            <w:r>
              <w:rPr>
                <w:bCs/>
              </w:rPr>
              <w:t xml:space="preserve"> </w:t>
            </w:r>
            <w:r w:rsidRPr="000E7306">
              <w:rPr>
                <w:bCs/>
              </w:rPr>
              <w:t>202</w:t>
            </w:r>
            <w:r>
              <w:rPr>
                <w:bCs/>
              </w:rPr>
              <w:t xml:space="preserve">5 </w:t>
            </w:r>
          </w:p>
          <w:p w14:paraId="410B8CC5" w14:textId="77777777" w:rsidR="005B5350" w:rsidRPr="00580427" w:rsidRDefault="005B5350" w:rsidP="00630831">
            <w:pPr>
              <w:pStyle w:val="TableColumnHeadingRight"/>
              <w:rPr>
                <w:bCs/>
              </w:rPr>
            </w:pPr>
            <w:r>
              <w:rPr>
                <w:bCs/>
              </w:rPr>
              <w:t>$’000</w:t>
            </w:r>
          </w:p>
        </w:tc>
      </w:tr>
      <w:tr w:rsidR="005B5350" w:rsidRPr="006534F5" w14:paraId="68D0DDD5" w14:textId="77777777" w:rsidTr="00575CA9">
        <w:tc>
          <w:tcPr>
            <w:tcW w:w="1697"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4D3EF687" w14:textId="77777777" w:rsidR="005B5350" w:rsidRPr="005B5350" w:rsidRDefault="005B5350" w:rsidP="00630831">
            <w:pPr>
              <w:pStyle w:val="TableSecondHeading"/>
              <w:rPr>
                <w:rStyle w:val="Strong"/>
                <w:b w:val="0"/>
                <w:bCs w:val="0"/>
              </w:rPr>
            </w:pPr>
            <w:r w:rsidRPr="005B5350">
              <w:rPr>
                <w:rStyle w:val="Strong"/>
                <w:bCs w:val="0"/>
              </w:rPr>
              <w:t>Assets</w:t>
            </w:r>
          </w:p>
        </w:tc>
        <w:tc>
          <w:tcPr>
            <w:tcW w:w="449"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038464CD" w14:textId="77777777" w:rsidR="005B5350" w:rsidRPr="00F576B8" w:rsidRDefault="005B5350" w:rsidP="00630831">
            <w:pPr>
              <w:pStyle w:val="TableTextCentered"/>
              <w:rPr>
                <w:b/>
                <w:bCs/>
              </w:rPr>
            </w:pPr>
            <w:r w:rsidRPr="00F576B8">
              <w:rPr>
                <w:b/>
                <w:bCs/>
              </w:rPr>
              <w:t> </w:t>
            </w: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091BB217" w14:textId="77777777" w:rsidR="005B5350" w:rsidRPr="00580427" w:rsidRDefault="005B5350" w:rsidP="00630831">
            <w:pPr>
              <w:keepLines/>
              <w:spacing w:after="0" w:line="240" w:lineRule="auto"/>
              <w:jc w:val="right"/>
              <w:rPr>
                <w:rStyle w:val="Strong"/>
              </w:rPr>
            </w:pPr>
            <w:r w:rsidRPr="00580427">
              <w:rPr>
                <w:rStyle w:val="Strong"/>
              </w:rPr>
              <w:t> </w:t>
            </w: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068BD6E1" w14:textId="77777777" w:rsidR="005B5350" w:rsidRPr="006534F5" w:rsidRDefault="005B5350" w:rsidP="00630831">
            <w:pPr>
              <w:keepLines/>
              <w:spacing w:after="0" w:line="240" w:lineRule="auto"/>
              <w:jc w:val="right"/>
              <w:rPr>
                <w:color w:val="202845"/>
                <w:szCs w:val="16"/>
                <w:lang w:eastAsia="zh-CN"/>
              </w:rPr>
            </w:pPr>
            <w:r w:rsidRPr="006534F5">
              <w:rPr>
                <w:color w:val="202845"/>
                <w:szCs w:val="16"/>
                <w:lang w:eastAsia="zh-CN"/>
              </w:rPr>
              <w:t> </w:t>
            </w:r>
          </w:p>
        </w:tc>
        <w:tc>
          <w:tcPr>
            <w:tcW w:w="951" w:type="pct"/>
            <w:tcBorders>
              <w:top w:val="single" w:sz="4" w:space="0" w:color="29114B" w:themeColor="text2"/>
              <w:left w:val="single" w:sz="4" w:space="0" w:color="FFFFFF" w:themeColor="background1"/>
            </w:tcBorders>
            <w:shd w:val="clear" w:color="auto" w:fill="auto"/>
            <w:tcMar>
              <w:top w:w="57" w:type="dxa"/>
              <w:bottom w:w="57" w:type="dxa"/>
            </w:tcMar>
            <w:hideMark/>
          </w:tcPr>
          <w:p w14:paraId="3DBF23E5" w14:textId="77777777" w:rsidR="005B5350" w:rsidRPr="006534F5" w:rsidRDefault="005B5350" w:rsidP="00630831">
            <w:pPr>
              <w:keepLines/>
              <w:spacing w:after="0" w:line="240" w:lineRule="auto"/>
              <w:jc w:val="right"/>
              <w:rPr>
                <w:color w:val="202845"/>
                <w:szCs w:val="16"/>
                <w:lang w:eastAsia="zh-CN"/>
              </w:rPr>
            </w:pPr>
            <w:r w:rsidRPr="006534F5">
              <w:rPr>
                <w:color w:val="202845"/>
                <w:szCs w:val="16"/>
                <w:lang w:eastAsia="zh-CN"/>
              </w:rPr>
              <w:t> </w:t>
            </w:r>
          </w:p>
        </w:tc>
      </w:tr>
      <w:tr w:rsidR="005B5350" w:rsidRPr="006534F5" w14:paraId="017D9262" w14:textId="77777777" w:rsidTr="008D3CA0">
        <w:tc>
          <w:tcPr>
            <w:tcW w:w="1697" w:type="pct"/>
            <w:noWrap/>
            <w:tcMar>
              <w:top w:w="57" w:type="dxa"/>
              <w:bottom w:w="57" w:type="dxa"/>
            </w:tcMar>
            <w:hideMark/>
          </w:tcPr>
          <w:p w14:paraId="2FDB25D2" w14:textId="77777777" w:rsidR="005B5350" w:rsidRPr="00A419F5" w:rsidRDefault="005B5350" w:rsidP="00630831">
            <w:pPr>
              <w:pStyle w:val="TableTextLeft"/>
              <w:rPr>
                <w:b/>
                <w:bCs/>
              </w:rPr>
            </w:pPr>
            <w:r w:rsidRPr="00A419F5">
              <w:rPr>
                <w:b/>
                <w:bCs/>
              </w:rPr>
              <w:t>Financial assets:</w:t>
            </w:r>
          </w:p>
        </w:tc>
        <w:tc>
          <w:tcPr>
            <w:tcW w:w="449" w:type="pct"/>
            <w:noWrap/>
            <w:tcMar>
              <w:top w:w="57" w:type="dxa"/>
              <w:bottom w:w="57" w:type="dxa"/>
            </w:tcMar>
            <w:hideMark/>
          </w:tcPr>
          <w:p w14:paraId="0546C348"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hideMark/>
          </w:tcPr>
          <w:p w14:paraId="06BE5A68" w14:textId="77777777" w:rsidR="005B5350" w:rsidRPr="00580427" w:rsidRDefault="005B5350" w:rsidP="00630831">
            <w:pPr>
              <w:keepLines/>
              <w:spacing w:after="0" w:line="240" w:lineRule="auto"/>
              <w:jc w:val="right"/>
              <w:rPr>
                <w:rStyle w:val="Strong"/>
              </w:rPr>
            </w:pPr>
            <w:r w:rsidRPr="00580427">
              <w:rPr>
                <w:rStyle w:val="Strong"/>
              </w:rPr>
              <w:t> </w:t>
            </w:r>
          </w:p>
        </w:tc>
        <w:tc>
          <w:tcPr>
            <w:tcW w:w="951" w:type="pct"/>
            <w:noWrap/>
            <w:tcMar>
              <w:top w:w="57" w:type="dxa"/>
              <w:bottom w:w="57" w:type="dxa"/>
            </w:tcMar>
            <w:hideMark/>
          </w:tcPr>
          <w:p w14:paraId="4F9EF291" w14:textId="77777777" w:rsidR="005B5350" w:rsidRPr="006534F5" w:rsidRDefault="005B5350" w:rsidP="00630831">
            <w:pPr>
              <w:keepLines/>
              <w:spacing w:after="0" w:line="240" w:lineRule="auto"/>
              <w:jc w:val="right"/>
              <w:rPr>
                <w:color w:val="202845"/>
                <w:szCs w:val="16"/>
                <w:lang w:eastAsia="zh-CN"/>
              </w:rPr>
            </w:pPr>
            <w:r w:rsidRPr="006534F5">
              <w:rPr>
                <w:color w:val="202845"/>
                <w:szCs w:val="16"/>
                <w:lang w:eastAsia="zh-CN"/>
              </w:rPr>
              <w:t> </w:t>
            </w:r>
          </w:p>
        </w:tc>
        <w:tc>
          <w:tcPr>
            <w:tcW w:w="951" w:type="pct"/>
            <w:shd w:val="clear" w:color="auto" w:fill="E7DCF7" w:themeFill="text2" w:themeFillTint="1A"/>
            <w:noWrap/>
            <w:tcMar>
              <w:top w:w="57" w:type="dxa"/>
              <w:bottom w:w="57" w:type="dxa"/>
            </w:tcMar>
            <w:hideMark/>
          </w:tcPr>
          <w:p w14:paraId="1FCC73A7" w14:textId="77777777" w:rsidR="005B5350" w:rsidRPr="006534F5" w:rsidRDefault="005B5350" w:rsidP="00630831">
            <w:pPr>
              <w:keepLines/>
              <w:spacing w:after="0" w:line="240" w:lineRule="auto"/>
              <w:jc w:val="right"/>
              <w:rPr>
                <w:color w:val="202845"/>
                <w:szCs w:val="16"/>
                <w:lang w:eastAsia="zh-CN"/>
              </w:rPr>
            </w:pPr>
            <w:r w:rsidRPr="006534F5">
              <w:rPr>
                <w:color w:val="202845"/>
                <w:szCs w:val="16"/>
                <w:lang w:eastAsia="zh-CN"/>
              </w:rPr>
              <w:t> </w:t>
            </w:r>
          </w:p>
        </w:tc>
      </w:tr>
      <w:tr w:rsidR="005B5350" w:rsidRPr="006534F5" w14:paraId="6B7C477B" w14:textId="77777777" w:rsidTr="008D3CA0">
        <w:tc>
          <w:tcPr>
            <w:tcW w:w="1697" w:type="pct"/>
            <w:noWrap/>
            <w:tcMar>
              <w:top w:w="57" w:type="dxa"/>
              <w:bottom w:w="57" w:type="dxa"/>
            </w:tcMar>
            <w:hideMark/>
          </w:tcPr>
          <w:p w14:paraId="49655C5E" w14:textId="77777777" w:rsidR="005B5350" w:rsidRPr="006534F5" w:rsidRDefault="005B5350" w:rsidP="00630831">
            <w:pPr>
              <w:pStyle w:val="TableTextLeft"/>
            </w:pPr>
            <w:r w:rsidRPr="006534F5">
              <w:t>Cash and cash equivalents</w:t>
            </w:r>
          </w:p>
        </w:tc>
        <w:tc>
          <w:tcPr>
            <w:tcW w:w="449" w:type="pct"/>
            <w:noWrap/>
            <w:tcMar>
              <w:top w:w="57" w:type="dxa"/>
              <w:bottom w:w="57" w:type="dxa"/>
            </w:tcMar>
            <w:hideMark/>
          </w:tcPr>
          <w:p w14:paraId="509566C7"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0E94C36D" w14:textId="77777777" w:rsidR="005B5350" w:rsidRPr="006534F5" w:rsidRDefault="005B5350" w:rsidP="00630831">
            <w:pPr>
              <w:pStyle w:val="TableTextRight"/>
              <w:rPr>
                <w:lang w:eastAsia="zh-CN"/>
              </w:rPr>
            </w:pPr>
            <w:r>
              <w:rPr>
                <w:lang w:eastAsia="zh-CN"/>
              </w:rPr>
              <w:t>207</w:t>
            </w:r>
          </w:p>
        </w:tc>
        <w:tc>
          <w:tcPr>
            <w:tcW w:w="951" w:type="pct"/>
            <w:noWrap/>
            <w:tcMar>
              <w:top w:w="57" w:type="dxa"/>
              <w:bottom w:w="57" w:type="dxa"/>
            </w:tcMar>
            <w:hideMark/>
          </w:tcPr>
          <w:p w14:paraId="7C19EBFC" w14:textId="77777777" w:rsidR="005B5350" w:rsidRPr="006534F5" w:rsidRDefault="005B5350" w:rsidP="00630831">
            <w:pPr>
              <w:pStyle w:val="TableTextRight"/>
              <w:rPr>
                <w:lang w:eastAsia="zh-CN"/>
              </w:rPr>
            </w:pPr>
            <w:r>
              <w:t xml:space="preserve">100 </w:t>
            </w:r>
          </w:p>
        </w:tc>
        <w:tc>
          <w:tcPr>
            <w:tcW w:w="951" w:type="pct"/>
            <w:shd w:val="clear" w:color="auto" w:fill="E7DCF7" w:themeFill="text2" w:themeFillTint="1A"/>
            <w:noWrap/>
            <w:tcMar>
              <w:top w:w="57" w:type="dxa"/>
              <w:bottom w:w="57" w:type="dxa"/>
            </w:tcMar>
          </w:tcPr>
          <w:p w14:paraId="097F1604" w14:textId="77777777" w:rsidR="005B5350" w:rsidRPr="006534F5" w:rsidRDefault="005B5350" w:rsidP="00630831">
            <w:pPr>
              <w:pStyle w:val="TableTextRight"/>
              <w:rPr>
                <w:lang w:eastAsia="zh-CN"/>
              </w:rPr>
            </w:pPr>
            <w:r>
              <w:rPr>
                <w:lang w:eastAsia="zh-CN"/>
              </w:rPr>
              <w:t>100</w:t>
            </w:r>
          </w:p>
        </w:tc>
      </w:tr>
      <w:tr w:rsidR="005B5350" w:rsidRPr="006534F5" w14:paraId="1FC33263" w14:textId="77777777" w:rsidTr="008D3CA0">
        <w:tc>
          <w:tcPr>
            <w:tcW w:w="1697" w:type="pct"/>
            <w:noWrap/>
            <w:tcMar>
              <w:top w:w="57" w:type="dxa"/>
              <w:bottom w:w="57" w:type="dxa"/>
            </w:tcMar>
            <w:hideMark/>
          </w:tcPr>
          <w:p w14:paraId="19CF2416" w14:textId="77777777" w:rsidR="005B5350" w:rsidRPr="006534F5" w:rsidRDefault="005B5350" w:rsidP="00630831">
            <w:pPr>
              <w:pStyle w:val="TableTextLeft"/>
            </w:pPr>
            <w:r w:rsidRPr="006534F5">
              <w:t>Receivables</w:t>
            </w:r>
          </w:p>
        </w:tc>
        <w:tc>
          <w:tcPr>
            <w:tcW w:w="449" w:type="pct"/>
            <w:noWrap/>
            <w:tcMar>
              <w:top w:w="57" w:type="dxa"/>
              <w:bottom w:w="57" w:type="dxa"/>
            </w:tcMar>
            <w:hideMark/>
          </w:tcPr>
          <w:p w14:paraId="3AA810C5" w14:textId="77777777" w:rsidR="005B5350" w:rsidRPr="00F576B8" w:rsidRDefault="005B5350" w:rsidP="00630831">
            <w:pPr>
              <w:pStyle w:val="TableTextCentered"/>
              <w:rPr>
                <w:b/>
                <w:bCs/>
              </w:rPr>
            </w:pPr>
            <w:r w:rsidRPr="00F576B8">
              <w:rPr>
                <w:b/>
                <w:bCs/>
              </w:rPr>
              <w:t>B</w:t>
            </w:r>
          </w:p>
        </w:tc>
        <w:tc>
          <w:tcPr>
            <w:tcW w:w="951" w:type="pct"/>
            <w:shd w:val="clear" w:color="auto" w:fill="E7DCF7" w:themeFill="text2" w:themeFillTint="1A"/>
            <w:noWrap/>
            <w:tcMar>
              <w:top w:w="57" w:type="dxa"/>
              <w:bottom w:w="57" w:type="dxa"/>
            </w:tcMar>
          </w:tcPr>
          <w:p w14:paraId="5C9838EB" w14:textId="77777777" w:rsidR="005B5350" w:rsidRPr="006534F5" w:rsidRDefault="005B5350" w:rsidP="00630831">
            <w:pPr>
              <w:pStyle w:val="TableTextRight"/>
              <w:rPr>
                <w:lang w:eastAsia="zh-CN"/>
              </w:rPr>
            </w:pPr>
            <w:r>
              <w:rPr>
                <w:lang w:eastAsia="zh-CN"/>
              </w:rPr>
              <w:t>36,256</w:t>
            </w:r>
          </w:p>
        </w:tc>
        <w:tc>
          <w:tcPr>
            <w:tcW w:w="951" w:type="pct"/>
            <w:noWrap/>
            <w:tcMar>
              <w:top w:w="57" w:type="dxa"/>
              <w:bottom w:w="57" w:type="dxa"/>
            </w:tcMar>
            <w:hideMark/>
          </w:tcPr>
          <w:p w14:paraId="56CC8A07" w14:textId="77777777" w:rsidR="005B5350" w:rsidRPr="006534F5" w:rsidRDefault="005B5350" w:rsidP="00630831">
            <w:pPr>
              <w:pStyle w:val="TableTextRight"/>
              <w:rPr>
                <w:lang w:eastAsia="zh-CN"/>
              </w:rPr>
            </w:pPr>
            <w:r>
              <w:t xml:space="preserve">36,578 </w:t>
            </w:r>
          </w:p>
        </w:tc>
        <w:tc>
          <w:tcPr>
            <w:tcW w:w="951" w:type="pct"/>
            <w:shd w:val="clear" w:color="auto" w:fill="E7DCF7" w:themeFill="text2" w:themeFillTint="1A"/>
            <w:noWrap/>
            <w:tcMar>
              <w:top w:w="57" w:type="dxa"/>
              <w:bottom w:w="57" w:type="dxa"/>
            </w:tcMar>
          </w:tcPr>
          <w:p w14:paraId="7FD815A4" w14:textId="77777777" w:rsidR="005B5350" w:rsidRPr="006534F5" w:rsidRDefault="005B5350" w:rsidP="00630831">
            <w:pPr>
              <w:pStyle w:val="TableTextRight"/>
              <w:rPr>
                <w:lang w:eastAsia="zh-CN"/>
              </w:rPr>
            </w:pPr>
            <w:r>
              <w:rPr>
                <w:lang w:eastAsia="zh-CN"/>
              </w:rPr>
              <w:t>36,582</w:t>
            </w:r>
          </w:p>
        </w:tc>
      </w:tr>
      <w:tr w:rsidR="005B5350" w:rsidRPr="006534F5" w14:paraId="127BEDBE" w14:textId="77777777" w:rsidTr="008D3CA0">
        <w:tc>
          <w:tcPr>
            <w:tcW w:w="1697" w:type="pct"/>
            <w:noWrap/>
            <w:tcMar>
              <w:top w:w="57" w:type="dxa"/>
              <w:bottom w:w="57" w:type="dxa"/>
            </w:tcMar>
            <w:hideMark/>
          </w:tcPr>
          <w:p w14:paraId="1E70B28B" w14:textId="77777777" w:rsidR="005B5350" w:rsidRPr="00580427" w:rsidRDefault="005B5350" w:rsidP="00630831">
            <w:pPr>
              <w:pStyle w:val="TableTextLeft"/>
              <w:rPr>
                <w:rStyle w:val="Strong"/>
              </w:rPr>
            </w:pPr>
            <w:r w:rsidRPr="00580427">
              <w:rPr>
                <w:rStyle w:val="Strong"/>
              </w:rPr>
              <w:t>Non</w:t>
            </w:r>
            <w:r>
              <w:rPr>
                <w:rStyle w:val="Strong"/>
              </w:rPr>
              <w:noBreakHyphen/>
            </w:r>
            <w:r w:rsidRPr="00580427">
              <w:rPr>
                <w:rStyle w:val="Strong"/>
              </w:rPr>
              <w:t>financial assets:</w:t>
            </w:r>
          </w:p>
        </w:tc>
        <w:tc>
          <w:tcPr>
            <w:tcW w:w="449" w:type="pct"/>
            <w:noWrap/>
            <w:tcMar>
              <w:top w:w="57" w:type="dxa"/>
              <w:bottom w:w="57" w:type="dxa"/>
            </w:tcMar>
            <w:hideMark/>
          </w:tcPr>
          <w:p w14:paraId="647E4946"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5BCDE6E8" w14:textId="77777777" w:rsidR="005B5350" w:rsidRPr="000E5309" w:rsidRDefault="005B5350" w:rsidP="00630831">
            <w:pPr>
              <w:pStyle w:val="TableTextRight"/>
              <w:rPr>
                <w:b/>
                <w:bCs/>
                <w:lang w:eastAsia="zh-CN"/>
              </w:rPr>
            </w:pPr>
          </w:p>
        </w:tc>
        <w:tc>
          <w:tcPr>
            <w:tcW w:w="951" w:type="pct"/>
            <w:noWrap/>
            <w:tcMar>
              <w:top w:w="57" w:type="dxa"/>
              <w:bottom w:w="57" w:type="dxa"/>
            </w:tcMar>
            <w:hideMark/>
          </w:tcPr>
          <w:p w14:paraId="05204261" w14:textId="77777777" w:rsidR="005B5350" w:rsidRPr="006534F5" w:rsidRDefault="005B5350" w:rsidP="00630831">
            <w:pPr>
              <w:pStyle w:val="TableTextRight"/>
              <w:rPr>
                <w:lang w:eastAsia="zh-CN"/>
              </w:rPr>
            </w:pPr>
            <w:r w:rsidRPr="00580427">
              <w:rPr>
                <w:rStyle w:val="Strong"/>
              </w:rPr>
              <w:t> </w:t>
            </w:r>
          </w:p>
        </w:tc>
        <w:tc>
          <w:tcPr>
            <w:tcW w:w="951" w:type="pct"/>
            <w:shd w:val="clear" w:color="auto" w:fill="E7DCF7" w:themeFill="text2" w:themeFillTint="1A"/>
            <w:noWrap/>
            <w:tcMar>
              <w:top w:w="57" w:type="dxa"/>
              <w:bottom w:w="57" w:type="dxa"/>
            </w:tcMar>
          </w:tcPr>
          <w:p w14:paraId="419F2C86" w14:textId="77777777" w:rsidR="005B5350" w:rsidRPr="006534F5" w:rsidRDefault="005B5350" w:rsidP="00630831">
            <w:pPr>
              <w:pStyle w:val="TableTextRight"/>
              <w:rPr>
                <w:lang w:eastAsia="zh-CN"/>
              </w:rPr>
            </w:pPr>
          </w:p>
        </w:tc>
      </w:tr>
      <w:tr w:rsidR="005B5350" w:rsidRPr="006534F5" w14:paraId="1654AFC5" w14:textId="77777777" w:rsidTr="008D3CA0">
        <w:tc>
          <w:tcPr>
            <w:tcW w:w="1697" w:type="pct"/>
            <w:noWrap/>
            <w:tcMar>
              <w:top w:w="57" w:type="dxa"/>
              <w:bottom w:w="57" w:type="dxa"/>
            </w:tcMar>
            <w:hideMark/>
          </w:tcPr>
          <w:p w14:paraId="375C5C6E" w14:textId="77777777" w:rsidR="005B5350" w:rsidRPr="006534F5" w:rsidRDefault="005B5350" w:rsidP="00630831">
            <w:pPr>
              <w:pStyle w:val="TableTextLeft"/>
              <w:spacing w:before="0"/>
            </w:pPr>
            <w:r w:rsidRPr="006534F5">
              <w:t>Property, plant, and equipment</w:t>
            </w:r>
            <w:r w:rsidRPr="009205D6">
              <w:rPr>
                <w:vertAlign w:val="superscript"/>
              </w:rPr>
              <w:t>1</w:t>
            </w:r>
          </w:p>
        </w:tc>
        <w:tc>
          <w:tcPr>
            <w:tcW w:w="449" w:type="pct"/>
            <w:noWrap/>
            <w:tcMar>
              <w:top w:w="57" w:type="dxa"/>
              <w:bottom w:w="57" w:type="dxa"/>
            </w:tcMar>
            <w:hideMark/>
          </w:tcPr>
          <w:p w14:paraId="6D52A998" w14:textId="77777777" w:rsidR="005B5350" w:rsidRPr="00F576B8" w:rsidRDefault="005B5350" w:rsidP="00630831">
            <w:pPr>
              <w:pStyle w:val="TableTextCentered"/>
              <w:rPr>
                <w:b/>
                <w:bCs/>
              </w:rPr>
            </w:pPr>
            <w:r w:rsidRPr="00F576B8">
              <w:rPr>
                <w:b/>
                <w:bCs/>
              </w:rPr>
              <w:t>C</w:t>
            </w:r>
          </w:p>
        </w:tc>
        <w:tc>
          <w:tcPr>
            <w:tcW w:w="951" w:type="pct"/>
            <w:shd w:val="clear" w:color="auto" w:fill="E7DCF7" w:themeFill="text2" w:themeFillTint="1A"/>
            <w:noWrap/>
            <w:tcMar>
              <w:top w:w="57" w:type="dxa"/>
              <w:bottom w:w="57" w:type="dxa"/>
            </w:tcMar>
          </w:tcPr>
          <w:p w14:paraId="174130EB" w14:textId="77777777" w:rsidR="005B5350" w:rsidRPr="006534F5" w:rsidRDefault="005B5350" w:rsidP="00630831">
            <w:pPr>
              <w:pStyle w:val="TableTextRight"/>
              <w:rPr>
                <w:lang w:eastAsia="zh-CN"/>
              </w:rPr>
            </w:pPr>
            <w:r>
              <w:rPr>
                <w:lang w:eastAsia="zh-CN"/>
              </w:rPr>
              <w:t>5,046</w:t>
            </w:r>
          </w:p>
        </w:tc>
        <w:tc>
          <w:tcPr>
            <w:tcW w:w="951" w:type="pct"/>
            <w:noWrap/>
            <w:tcMar>
              <w:top w:w="57" w:type="dxa"/>
              <w:bottom w:w="57" w:type="dxa"/>
            </w:tcMar>
            <w:hideMark/>
          </w:tcPr>
          <w:p w14:paraId="3AFE7539" w14:textId="77777777" w:rsidR="005B5350" w:rsidRPr="006534F5" w:rsidRDefault="005B5350" w:rsidP="00630831">
            <w:pPr>
              <w:pStyle w:val="TableTextRight"/>
              <w:spacing w:before="0"/>
              <w:rPr>
                <w:lang w:eastAsia="zh-CN"/>
              </w:rPr>
            </w:pPr>
            <w:r>
              <w:t>5,345</w:t>
            </w:r>
            <w:r w:rsidRPr="00DE56EF">
              <w:t xml:space="preserve"> </w:t>
            </w:r>
          </w:p>
        </w:tc>
        <w:tc>
          <w:tcPr>
            <w:tcW w:w="951" w:type="pct"/>
            <w:shd w:val="clear" w:color="auto" w:fill="E7DCF7" w:themeFill="text2" w:themeFillTint="1A"/>
            <w:noWrap/>
            <w:tcMar>
              <w:top w:w="57" w:type="dxa"/>
              <w:bottom w:w="57" w:type="dxa"/>
            </w:tcMar>
          </w:tcPr>
          <w:p w14:paraId="4EE3DAFB" w14:textId="77777777" w:rsidR="005B5350" w:rsidRPr="006534F5" w:rsidRDefault="005B5350" w:rsidP="00630831">
            <w:pPr>
              <w:pStyle w:val="TableTextRight"/>
              <w:rPr>
                <w:lang w:eastAsia="zh-CN"/>
              </w:rPr>
            </w:pPr>
            <w:r>
              <w:rPr>
                <w:lang w:eastAsia="zh-CN"/>
              </w:rPr>
              <w:t>5,464</w:t>
            </w:r>
          </w:p>
        </w:tc>
      </w:tr>
      <w:tr w:rsidR="005B5350" w:rsidRPr="006534F5" w14:paraId="00D5F7BD" w14:textId="77777777" w:rsidTr="008D3CA0">
        <w:tc>
          <w:tcPr>
            <w:tcW w:w="1697" w:type="pct"/>
            <w:noWrap/>
            <w:tcMar>
              <w:top w:w="57" w:type="dxa"/>
              <w:bottom w:w="57" w:type="dxa"/>
            </w:tcMar>
          </w:tcPr>
          <w:p w14:paraId="49E7D136" w14:textId="77777777" w:rsidR="005B5350" w:rsidRPr="006534F5" w:rsidRDefault="005B5350" w:rsidP="00630831">
            <w:pPr>
              <w:pStyle w:val="TableTextLeft"/>
              <w:spacing w:before="0"/>
            </w:pPr>
            <w:r>
              <w:t>Software</w:t>
            </w:r>
          </w:p>
        </w:tc>
        <w:tc>
          <w:tcPr>
            <w:tcW w:w="449" w:type="pct"/>
            <w:noWrap/>
            <w:tcMar>
              <w:top w:w="57" w:type="dxa"/>
              <w:bottom w:w="57" w:type="dxa"/>
            </w:tcMar>
          </w:tcPr>
          <w:p w14:paraId="5D51EABE" w14:textId="77777777" w:rsidR="005B5350" w:rsidRPr="00F576B8" w:rsidRDefault="005B5350" w:rsidP="00630831">
            <w:pPr>
              <w:pStyle w:val="TableTextCentered"/>
              <w:rPr>
                <w:b/>
                <w:bCs/>
              </w:rPr>
            </w:pPr>
            <w:r w:rsidRPr="00F576B8">
              <w:rPr>
                <w:b/>
                <w:bCs/>
              </w:rPr>
              <w:t>C</w:t>
            </w:r>
          </w:p>
        </w:tc>
        <w:tc>
          <w:tcPr>
            <w:tcW w:w="951" w:type="pct"/>
            <w:shd w:val="clear" w:color="auto" w:fill="E7DCF7" w:themeFill="text2" w:themeFillTint="1A"/>
            <w:noWrap/>
            <w:tcMar>
              <w:top w:w="57" w:type="dxa"/>
              <w:bottom w:w="57" w:type="dxa"/>
            </w:tcMar>
          </w:tcPr>
          <w:p w14:paraId="2AA76AF8" w14:textId="77777777" w:rsidR="005B5350" w:rsidRDefault="005B5350" w:rsidP="00630831">
            <w:pPr>
              <w:pStyle w:val="TableTextRight"/>
              <w:rPr>
                <w:lang w:eastAsia="zh-CN"/>
              </w:rPr>
            </w:pPr>
            <w:r>
              <w:rPr>
                <w:lang w:eastAsia="zh-CN"/>
              </w:rPr>
              <w:t>235</w:t>
            </w:r>
          </w:p>
        </w:tc>
        <w:tc>
          <w:tcPr>
            <w:tcW w:w="951" w:type="pct"/>
            <w:noWrap/>
            <w:tcMar>
              <w:top w:w="57" w:type="dxa"/>
              <w:bottom w:w="57" w:type="dxa"/>
            </w:tcMar>
          </w:tcPr>
          <w:p w14:paraId="73BF6DCE" w14:textId="77777777" w:rsidR="005B5350" w:rsidRDefault="005B5350" w:rsidP="00630831">
            <w:pPr>
              <w:pStyle w:val="TableTextRight"/>
              <w:spacing w:before="0"/>
            </w:pPr>
            <w:r>
              <w:t>72</w:t>
            </w:r>
          </w:p>
        </w:tc>
        <w:tc>
          <w:tcPr>
            <w:tcW w:w="951" w:type="pct"/>
            <w:shd w:val="clear" w:color="auto" w:fill="E7DCF7" w:themeFill="text2" w:themeFillTint="1A"/>
            <w:noWrap/>
            <w:tcMar>
              <w:top w:w="57" w:type="dxa"/>
              <w:bottom w:w="57" w:type="dxa"/>
            </w:tcMar>
          </w:tcPr>
          <w:p w14:paraId="11E45D24" w14:textId="77777777" w:rsidR="005B5350" w:rsidRDefault="005B5350" w:rsidP="00630831">
            <w:pPr>
              <w:pStyle w:val="TableTextRight"/>
              <w:rPr>
                <w:lang w:eastAsia="zh-CN"/>
              </w:rPr>
            </w:pPr>
            <w:r>
              <w:rPr>
                <w:lang w:eastAsia="zh-CN"/>
              </w:rPr>
              <w:t>213</w:t>
            </w:r>
          </w:p>
        </w:tc>
      </w:tr>
      <w:tr w:rsidR="005B5350" w:rsidRPr="006534F5" w14:paraId="2022E8E7" w14:textId="77777777" w:rsidTr="008D3CA0">
        <w:tc>
          <w:tcPr>
            <w:tcW w:w="1697" w:type="pct"/>
            <w:noWrap/>
            <w:tcMar>
              <w:top w:w="57" w:type="dxa"/>
              <w:bottom w:w="57" w:type="dxa"/>
            </w:tcMar>
            <w:hideMark/>
          </w:tcPr>
          <w:p w14:paraId="2B8DAFFB" w14:textId="77777777" w:rsidR="005B5350" w:rsidRPr="006534F5" w:rsidRDefault="005B5350" w:rsidP="00630831">
            <w:pPr>
              <w:pStyle w:val="TableTextLeft"/>
            </w:pPr>
            <w:r w:rsidRPr="006534F5">
              <w:t>Supplier prepayments</w:t>
            </w:r>
          </w:p>
        </w:tc>
        <w:tc>
          <w:tcPr>
            <w:tcW w:w="449" w:type="pct"/>
            <w:noWrap/>
            <w:tcMar>
              <w:top w:w="57" w:type="dxa"/>
              <w:bottom w:w="57" w:type="dxa"/>
            </w:tcMar>
            <w:hideMark/>
          </w:tcPr>
          <w:p w14:paraId="75A4EB00"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52D85AE5" w14:textId="77777777" w:rsidR="005B5350" w:rsidRPr="006534F5" w:rsidRDefault="005B5350" w:rsidP="00630831">
            <w:pPr>
              <w:pStyle w:val="TableTextRight"/>
              <w:rPr>
                <w:lang w:eastAsia="zh-CN"/>
              </w:rPr>
            </w:pPr>
            <w:r>
              <w:rPr>
                <w:lang w:eastAsia="zh-CN"/>
              </w:rPr>
              <w:t>230</w:t>
            </w:r>
          </w:p>
        </w:tc>
        <w:tc>
          <w:tcPr>
            <w:tcW w:w="951" w:type="pct"/>
            <w:noWrap/>
            <w:tcMar>
              <w:top w:w="57" w:type="dxa"/>
              <w:bottom w:w="57" w:type="dxa"/>
            </w:tcMar>
            <w:hideMark/>
          </w:tcPr>
          <w:p w14:paraId="5123D709" w14:textId="77777777" w:rsidR="005B5350" w:rsidRPr="006534F5" w:rsidRDefault="005B5350" w:rsidP="00630831">
            <w:pPr>
              <w:pStyle w:val="TableTextRight"/>
              <w:rPr>
                <w:lang w:eastAsia="zh-CN"/>
              </w:rPr>
            </w:pPr>
            <w:r>
              <w:t xml:space="preserve">494 </w:t>
            </w:r>
          </w:p>
        </w:tc>
        <w:tc>
          <w:tcPr>
            <w:tcW w:w="951" w:type="pct"/>
            <w:shd w:val="clear" w:color="auto" w:fill="E7DCF7" w:themeFill="text2" w:themeFillTint="1A"/>
            <w:noWrap/>
            <w:tcMar>
              <w:top w:w="57" w:type="dxa"/>
              <w:bottom w:w="57" w:type="dxa"/>
            </w:tcMar>
          </w:tcPr>
          <w:p w14:paraId="66FD57EC" w14:textId="77777777" w:rsidR="005B5350" w:rsidRPr="006534F5" w:rsidRDefault="005B5350" w:rsidP="00630831">
            <w:pPr>
              <w:pStyle w:val="TableTextRight"/>
              <w:rPr>
                <w:lang w:eastAsia="zh-CN"/>
              </w:rPr>
            </w:pPr>
            <w:r>
              <w:rPr>
                <w:lang w:eastAsia="zh-CN"/>
              </w:rPr>
              <w:t>344</w:t>
            </w:r>
          </w:p>
        </w:tc>
      </w:tr>
      <w:tr w:rsidR="005B5350" w:rsidRPr="006534F5" w14:paraId="6E29C6A5" w14:textId="77777777" w:rsidTr="008D3CA0">
        <w:tc>
          <w:tcPr>
            <w:tcW w:w="1697" w:type="pct"/>
            <w:tcBorders>
              <w:bottom w:val="single" w:sz="4" w:space="0" w:color="29114B" w:themeColor="text2"/>
            </w:tcBorders>
            <w:noWrap/>
            <w:tcMar>
              <w:top w:w="57" w:type="dxa"/>
              <w:bottom w:w="57" w:type="dxa"/>
            </w:tcMar>
            <w:hideMark/>
          </w:tcPr>
          <w:p w14:paraId="764DBC88" w14:textId="77777777" w:rsidR="005B5350" w:rsidRPr="00580427" w:rsidRDefault="005B5350" w:rsidP="00630831">
            <w:pPr>
              <w:pStyle w:val="TableTextLeft"/>
              <w:rPr>
                <w:rStyle w:val="Strong"/>
              </w:rPr>
            </w:pPr>
            <w:r w:rsidRPr="00580427">
              <w:rPr>
                <w:rStyle w:val="Strong"/>
              </w:rPr>
              <w:t>Total assets</w:t>
            </w:r>
          </w:p>
        </w:tc>
        <w:tc>
          <w:tcPr>
            <w:tcW w:w="449" w:type="pct"/>
            <w:tcBorders>
              <w:bottom w:val="single" w:sz="4" w:space="0" w:color="29114B" w:themeColor="text2"/>
            </w:tcBorders>
            <w:noWrap/>
            <w:tcMar>
              <w:top w:w="57" w:type="dxa"/>
              <w:bottom w:w="57" w:type="dxa"/>
            </w:tcMar>
            <w:hideMark/>
          </w:tcPr>
          <w:p w14:paraId="1F46ACB6" w14:textId="77777777" w:rsidR="005B5350" w:rsidRPr="00F576B8" w:rsidRDefault="005B5350" w:rsidP="00630831">
            <w:pPr>
              <w:pStyle w:val="TableTextCentered"/>
              <w:rPr>
                <w:b/>
                <w:bCs/>
              </w:rPr>
            </w:pPr>
            <w:r w:rsidRPr="00F576B8">
              <w:rPr>
                <w:b/>
                <w:bCs/>
              </w:rPr>
              <w:t> </w:t>
            </w:r>
          </w:p>
        </w:tc>
        <w:tc>
          <w:tcPr>
            <w:tcW w:w="951" w:type="pct"/>
            <w:tcBorders>
              <w:bottom w:val="single" w:sz="4" w:space="0" w:color="29114B" w:themeColor="text2"/>
            </w:tcBorders>
            <w:shd w:val="clear" w:color="auto" w:fill="E7DCF7" w:themeFill="text2" w:themeFillTint="1A"/>
            <w:noWrap/>
            <w:tcMar>
              <w:top w:w="57" w:type="dxa"/>
              <w:bottom w:w="57" w:type="dxa"/>
            </w:tcMar>
          </w:tcPr>
          <w:p w14:paraId="755C8CF8" w14:textId="77777777" w:rsidR="005B5350" w:rsidRPr="00CF71D4" w:rsidRDefault="005B5350" w:rsidP="00630831">
            <w:pPr>
              <w:pStyle w:val="TableTextRight"/>
              <w:rPr>
                <w:b/>
                <w:bCs/>
                <w:lang w:eastAsia="zh-CN"/>
              </w:rPr>
            </w:pPr>
            <w:r w:rsidRPr="00CF71D4">
              <w:rPr>
                <w:b/>
                <w:bCs/>
                <w:lang w:eastAsia="zh-CN"/>
              </w:rPr>
              <w:t>41,974</w:t>
            </w:r>
          </w:p>
        </w:tc>
        <w:tc>
          <w:tcPr>
            <w:tcW w:w="951" w:type="pct"/>
            <w:tcBorders>
              <w:bottom w:val="single" w:sz="4" w:space="0" w:color="29114B" w:themeColor="text2"/>
            </w:tcBorders>
            <w:noWrap/>
            <w:tcMar>
              <w:top w:w="57" w:type="dxa"/>
              <w:bottom w:w="57" w:type="dxa"/>
            </w:tcMar>
            <w:hideMark/>
          </w:tcPr>
          <w:p w14:paraId="7A98F18A" w14:textId="77777777" w:rsidR="005B5350" w:rsidRPr="00CF71D4" w:rsidRDefault="005B5350" w:rsidP="00630831">
            <w:pPr>
              <w:pStyle w:val="TableTextRight"/>
              <w:rPr>
                <w:b/>
                <w:bCs/>
                <w:lang w:eastAsia="zh-CN"/>
              </w:rPr>
            </w:pPr>
            <w:r w:rsidRPr="00CF71D4">
              <w:rPr>
                <w:b/>
                <w:bCs/>
              </w:rPr>
              <w:t xml:space="preserve">42,589 </w:t>
            </w:r>
          </w:p>
        </w:tc>
        <w:tc>
          <w:tcPr>
            <w:tcW w:w="951" w:type="pct"/>
            <w:tcBorders>
              <w:bottom w:val="single" w:sz="4" w:space="0" w:color="29114B" w:themeColor="text2"/>
            </w:tcBorders>
            <w:shd w:val="clear" w:color="auto" w:fill="E7DCF7" w:themeFill="text2" w:themeFillTint="1A"/>
            <w:noWrap/>
            <w:tcMar>
              <w:top w:w="57" w:type="dxa"/>
              <w:bottom w:w="57" w:type="dxa"/>
            </w:tcMar>
          </w:tcPr>
          <w:p w14:paraId="58772741" w14:textId="77777777" w:rsidR="005B5350" w:rsidRPr="00CF71D4" w:rsidRDefault="005B5350" w:rsidP="00630831">
            <w:pPr>
              <w:pStyle w:val="TableTextRight"/>
              <w:rPr>
                <w:b/>
                <w:bCs/>
                <w:lang w:eastAsia="zh-CN"/>
              </w:rPr>
            </w:pPr>
            <w:r w:rsidRPr="00CF71D4">
              <w:rPr>
                <w:b/>
                <w:bCs/>
                <w:lang w:eastAsia="zh-CN"/>
              </w:rPr>
              <w:t>42,703</w:t>
            </w:r>
          </w:p>
        </w:tc>
      </w:tr>
      <w:tr w:rsidR="005B5350" w:rsidRPr="006534F5" w14:paraId="4BF4FCF6" w14:textId="77777777" w:rsidTr="00575CA9">
        <w:tc>
          <w:tcPr>
            <w:tcW w:w="1697"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53B6A692" w14:textId="77777777" w:rsidR="005B5350" w:rsidRPr="00575CA9" w:rsidRDefault="005B5350" w:rsidP="00630831">
            <w:pPr>
              <w:pStyle w:val="TableSecondHeading"/>
              <w:rPr>
                <w:b/>
              </w:rPr>
            </w:pPr>
            <w:r w:rsidRPr="00575CA9">
              <w:rPr>
                <w:b/>
              </w:rPr>
              <w:t>Liabilities</w:t>
            </w:r>
          </w:p>
        </w:tc>
        <w:tc>
          <w:tcPr>
            <w:tcW w:w="449"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212107FB" w14:textId="77777777" w:rsidR="005B5350" w:rsidRPr="00F576B8" w:rsidRDefault="005B5350" w:rsidP="00630831">
            <w:pPr>
              <w:pStyle w:val="TableTextCentered"/>
              <w:rPr>
                <w:b/>
                <w:bCs/>
              </w:rPr>
            </w:pPr>
            <w:r w:rsidRPr="00F576B8">
              <w:rPr>
                <w:b/>
                <w:bCs/>
              </w:rPr>
              <w:t> </w:t>
            </w: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tcPr>
          <w:p w14:paraId="0B3BF2F7" w14:textId="77777777" w:rsidR="005B5350" w:rsidRPr="000E5309" w:rsidRDefault="005B5350" w:rsidP="00630831">
            <w:pPr>
              <w:pStyle w:val="TableTextRight"/>
              <w:rPr>
                <w:lang w:eastAsia="zh-CN"/>
              </w:rPr>
            </w:pP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15E4ABD9" w14:textId="77777777" w:rsidR="005B5350" w:rsidRPr="006534F5" w:rsidRDefault="005B5350" w:rsidP="00630831">
            <w:pPr>
              <w:pStyle w:val="TableTextRight"/>
              <w:rPr>
                <w:lang w:eastAsia="zh-CN"/>
              </w:rPr>
            </w:pPr>
            <w:r>
              <w:rPr>
                <w:b/>
                <w:bCs/>
              </w:rPr>
              <w:t> </w:t>
            </w:r>
          </w:p>
        </w:tc>
        <w:tc>
          <w:tcPr>
            <w:tcW w:w="951" w:type="pct"/>
            <w:tcBorders>
              <w:top w:val="single" w:sz="4" w:space="0" w:color="29114B" w:themeColor="text2"/>
              <w:left w:val="single" w:sz="4" w:space="0" w:color="FFFFFF" w:themeColor="background1"/>
            </w:tcBorders>
            <w:shd w:val="clear" w:color="auto" w:fill="auto"/>
            <w:tcMar>
              <w:top w:w="57" w:type="dxa"/>
              <w:bottom w:w="57" w:type="dxa"/>
            </w:tcMar>
          </w:tcPr>
          <w:p w14:paraId="00A16D91" w14:textId="77777777" w:rsidR="005B5350" w:rsidRPr="006534F5" w:rsidRDefault="005B5350" w:rsidP="00630831">
            <w:pPr>
              <w:pStyle w:val="TableTextRight"/>
              <w:rPr>
                <w:lang w:eastAsia="zh-CN"/>
              </w:rPr>
            </w:pPr>
          </w:p>
        </w:tc>
      </w:tr>
      <w:tr w:rsidR="005B5350" w:rsidRPr="006534F5" w14:paraId="0AEE0D82" w14:textId="77777777" w:rsidTr="008D3CA0">
        <w:tc>
          <w:tcPr>
            <w:tcW w:w="1697" w:type="pct"/>
            <w:noWrap/>
            <w:tcMar>
              <w:top w:w="57" w:type="dxa"/>
              <w:bottom w:w="57" w:type="dxa"/>
            </w:tcMar>
            <w:hideMark/>
          </w:tcPr>
          <w:p w14:paraId="1099466F" w14:textId="77777777" w:rsidR="005B5350" w:rsidRPr="006534F5" w:rsidRDefault="005B5350" w:rsidP="00630831">
            <w:pPr>
              <w:pStyle w:val="TableTextLeft"/>
            </w:pPr>
            <w:r w:rsidRPr="006534F5">
              <w:t>Payables:</w:t>
            </w:r>
          </w:p>
        </w:tc>
        <w:tc>
          <w:tcPr>
            <w:tcW w:w="449" w:type="pct"/>
            <w:noWrap/>
            <w:tcMar>
              <w:top w:w="57" w:type="dxa"/>
              <w:bottom w:w="57" w:type="dxa"/>
            </w:tcMar>
            <w:hideMark/>
          </w:tcPr>
          <w:p w14:paraId="632FBFD4"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39DF0800" w14:textId="77777777" w:rsidR="005B5350" w:rsidRPr="000E5309" w:rsidRDefault="005B5350" w:rsidP="00630831">
            <w:pPr>
              <w:pStyle w:val="TableTextRight"/>
              <w:rPr>
                <w:lang w:eastAsia="zh-CN"/>
              </w:rPr>
            </w:pPr>
          </w:p>
        </w:tc>
        <w:tc>
          <w:tcPr>
            <w:tcW w:w="951" w:type="pct"/>
            <w:noWrap/>
            <w:tcMar>
              <w:top w:w="57" w:type="dxa"/>
              <w:bottom w:w="57" w:type="dxa"/>
            </w:tcMar>
            <w:hideMark/>
          </w:tcPr>
          <w:p w14:paraId="3C42B5A0" w14:textId="77777777" w:rsidR="005B5350" w:rsidRPr="006534F5" w:rsidRDefault="005B5350" w:rsidP="00630831">
            <w:pPr>
              <w:pStyle w:val="TableTextRight"/>
              <w:rPr>
                <w:lang w:eastAsia="zh-CN"/>
              </w:rPr>
            </w:pPr>
            <w:r>
              <w:rPr>
                <w:b/>
                <w:bCs/>
              </w:rPr>
              <w:t> </w:t>
            </w:r>
          </w:p>
        </w:tc>
        <w:tc>
          <w:tcPr>
            <w:tcW w:w="951" w:type="pct"/>
            <w:shd w:val="clear" w:color="auto" w:fill="E7DCF7" w:themeFill="text2" w:themeFillTint="1A"/>
            <w:noWrap/>
            <w:tcMar>
              <w:top w:w="57" w:type="dxa"/>
              <w:bottom w:w="57" w:type="dxa"/>
            </w:tcMar>
          </w:tcPr>
          <w:p w14:paraId="663E9BDB" w14:textId="77777777" w:rsidR="005B5350" w:rsidRPr="006534F5" w:rsidRDefault="005B5350" w:rsidP="00630831">
            <w:pPr>
              <w:pStyle w:val="TableTextRight"/>
              <w:rPr>
                <w:lang w:eastAsia="zh-CN"/>
              </w:rPr>
            </w:pPr>
          </w:p>
        </w:tc>
      </w:tr>
      <w:tr w:rsidR="005B5350" w:rsidRPr="006534F5" w14:paraId="1132836A" w14:textId="77777777" w:rsidTr="008D3CA0">
        <w:tc>
          <w:tcPr>
            <w:tcW w:w="1697" w:type="pct"/>
            <w:noWrap/>
            <w:tcMar>
              <w:top w:w="57" w:type="dxa"/>
              <w:bottom w:w="57" w:type="dxa"/>
            </w:tcMar>
            <w:hideMark/>
          </w:tcPr>
          <w:p w14:paraId="6988EBBF" w14:textId="77777777" w:rsidR="005B5350" w:rsidRPr="006534F5" w:rsidRDefault="005B5350" w:rsidP="00630831">
            <w:pPr>
              <w:pStyle w:val="TableTextLeft"/>
            </w:pPr>
            <w:r w:rsidRPr="006534F5">
              <w:t xml:space="preserve">Supplier payables </w:t>
            </w:r>
          </w:p>
        </w:tc>
        <w:tc>
          <w:tcPr>
            <w:tcW w:w="449" w:type="pct"/>
            <w:noWrap/>
            <w:tcMar>
              <w:top w:w="57" w:type="dxa"/>
              <w:bottom w:w="57" w:type="dxa"/>
            </w:tcMar>
            <w:hideMark/>
          </w:tcPr>
          <w:p w14:paraId="44C8EF14"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6B88B34C" w14:textId="77777777" w:rsidR="005B5350" w:rsidRPr="006534F5" w:rsidRDefault="005B5350" w:rsidP="00630831">
            <w:pPr>
              <w:pStyle w:val="TableTextRight"/>
              <w:rPr>
                <w:lang w:eastAsia="zh-CN"/>
              </w:rPr>
            </w:pPr>
            <w:r>
              <w:rPr>
                <w:lang w:eastAsia="zh-CN"/>
              </w:rPr>
              <w:t>778</w:t>
            </w:r>
          </w:p>
        </w:tc>
        <w:tc>
          <w:tcPr>
            <w:tcW w:w="951" w:type="pct"/>
            <w:noWrap/>
            <w:tcMar>
              <w:top w:w="57" w:type="dxa"/>
              <w:bottom w:w="57" w:type="dxa"/>
            </w:tcMar>
            <w:hideMark/>
          </w:tcPr>
          <w:p w14:paraId="76534D10" w14:textId="77777777" w:rsidR="005B5350" w:rsidRPr="006534F5" w:rsidRDefault="005B5350" w:rsidP="00630831">
            <w:pPr>
              <w:pStyle w:val="TableTextRight"/>
              <w:rPr>
                <w:lang w:eastAsia="zh-CN"/>
              </w:rPr>
            </w:pPr>
            <w:r>
              <w:t xml:space="preserve">869 </w:t>
            </w:r>
          </w:p>
        </w:tc>
        <w:tc>
          <w:tcPr>
            <w:tcW w:w="951" w:type="pct"/>
            <w:shd w:val="clear" w:color="auto" w:fill="E7DCF7" w:themeFill="text2" w:themeFillTint="1A"/>
            <w:noWrap/>
            <w:tcMar>
              <w:top w:w="57" w:type="dxa"/>
              <w:bottom w:w="57" w:type="dxa"/>
            </w:tcMar>
          </w:tcPr>
          <w:p w14:paraId="74C052B9" w14:textId="77777777" w:rsidR="005B5350" w:rsidRPr="006534F5" w:rsidRDefault="005B5350" w:rsidP="00630831">
            <w:pPr>
              <w:pStyle w:val="TableTextRight"/>
              <w:rPr>
                <w:lang w:eastAsia="zh-CN"/>
              </w:rPr>
            </w:pPr>
            <w:r>
              <w:rPr>
                <w:lang w:eastAsia="zh-CN"/>
              </w:rPr>
              <w:t>883</w:t>
            </w:r>
          </w:p>
        </w:tc>
      </w:tr>
      <w:tr w:rsidR="005B5350" w:rsidRPr="006534F5" w14:paraId="1E7A707C" w14:textId="77777777" w:rsidTr="008D3CA0">
        <w:tc>
          <w:tcPr>
            <w:tcW w:w="1697" w:type="pct"/>
            <w:noWrap/>
            <w:tcMar>
              <w:top w:w="57" w:type="dxa"/>
              <w:bottom w:w="57" w:type="dxa"/>
            </w:tcMar>
            <w:hideMark/>
          </w:tcPr>
          <w:p w14:paraId="59E824E4" w14:textId="77777777" w:rsidR="005B5350" w:rsidRPr="006534F5" w:rsidRDefault="005B5350" w:rsidP="00630831">
            <w:pPr>
              <w:pStyle w:val="TableTextLeft"/>
            </w:pPr>
            <w:r w:rsidRPr="006534F5">
              <w:t>Salary and superannuation</w:t>
            </w:r>
          </w:p>
        </w:tc>
        <w:tc>
          <w:tcPr>
            <w:tcW w:w="449" w:type="pct"/>
            <w:noWrap/>
            <w:tcMar>
              <w:top w:w="57" w:type="dxa"/>
              <w:bottom w:w="57" w:type="dxa"/>
            </w:tcMar>
            <w:hideMark/>
          </w:tcPr>
          <w:p w14:paraId="39DC1F30"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4CA53E8B" w14:textId="77777777" w:rsidR="005B5350" w:rsidRPr="006534F5" w:rsidRDefault="005B5350" w:rsidP="00630831">
            <w:pPr>
              <w:pStyle w:val="TableTextRight"/>
              <w:rPr>
                <w:lang w:eastAsia="zh-CN"/>
              </w:rPr>
            </w:pPr>
            <w:r>
              <w:rPr>
                <w:lang w:eastAsia="zh-CN"/>
              </w:rPr>
              <w:t>292</w:t>
            </w:r>
          </w:p>
        </w:tc>
        <w:tc>
          <w:tcPr>
            <w:tcW w:w="951" w:type="pct"/>
            <w:noWrap/>
            <w:tcMar>
              <w:top w:w="57" w:type="dxa"/>
              <w:bottom w:w="57" w:type="dxa"/>
            </w:tcMar>
            <w:hideMark/>
          </w:tcPr>
          <w:p w14:paraId="7A5D269F" w14:textId="77777777" w:rsidR="005B5350" w:rsidRPr="006534F5" w:rsidRDefault="005B5350" w:rsidP="00630831">
            <w:pPr>
              <w:pStyle w:val="TableTextRight"/>
              <w:rPr>
                <w:lang w:eastAsia="zh-CN"/>
              </w:rPr>
            </w:pPr>
            <w:r>
              <w:t xml:space="preserve">264 </w:t>
            </w:r>
          </w:p>
        </w:tc>
        <w:tc>
          <w:tcPr>
            <w:tcW w:w="951" w:type="pct"/>
            <w:shd w:val="clear" w:color="auto" w:fill="E7DCF7" w:themeFill="text2" w:themeFillTint="1A"/>
            <w:noWrap/>
            <w:tcMar>
              <w:top w:w="57" w:type="dxa"/>
              <w:bottom w:w="57" w:type="dxa"/>
            </w:tcMar>
          </w:tcPr>
          <w:p w14:paraId="629F9094" w14:textId="77777777" w:rsidR="005B5350" w:rsidRPr="006534F5" w:rsidRDefault="005B5350" w:rsidP="00630831">
            <w:pPr>
              <w:pStyle w:val="TableTextRight"/>
              <w:rPr>
                <w:lang w:eastAsia="zh-CN"/>
              </w:rPr>
            </w:pPr>
            <w:r>
              <w:rPr>
                <w:lang w:eastAsia="zh-CN"/>
              </w:rPr>
              <w:t>864</w:t>
            </w:r>
          </w:p>
        </w:tc>
      </w:tr>
      <w:tr w:rsidR="005B5350" w:rsidRPr="006534F5" w14:paraId="3363B9AA" w14:textId="77777777" w:rsidTr="008D3CA0">
        <w:tc>
          <w:tcPr>
            <w:tcW w:w="1697" w:type="pct"/>
            <w:noWrap/>
            <w:tcMar>
              <w:top w:w="57" w:type="dxa"/>
              <w:bottom w:w="57" w:type="dxa"/>
            </w:tcMar>
            <w:hideMark/>
          </w:tcPr>
          <w:p w14:paraId="5A39FC0B" w14:textId="77777777" w:rsidR="005B5350" w:rsidRPr="00713EEF" w:rsidRDefault="005B5350" w:rsidP="00630831">
            <w:pPr>
              <w:pStyle w:val="TableTextLeft"/>
              <w:rPr>
                <w:b/>
                <w:bCs/>
              </w:rPr>
            </w:pPr>
            <w:r w:rsidRPr="00713EEF">
              <w:rPr>
                <w:b/>
                <w:bCs/>
              </w:rPr>
              <w:t>Provisions:</w:t>
            </w:r>
          </w:p>
        </w:tc>
        <w:tc>
          <w:tcPr>
            <w:tcW w:w="449" w:type="pct"/>
            <w:noWrap/>
            <w:tcMar>
              <w:top w:w="57" w:type="dxa"/>
              <w:bottom w:w="57" w:type="dxa"/>
            </w:tcMar>
            <w:hideMark/>
          </w:tcPr>
          <w:p w14:paraId="7D871845"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42BB0CF2" w14:textId="77777777" w:rsidR="005B5350" w:rsidRPr="000E5309" w:rsidRDefault="005B5350" w:rsidP="00630831">
            <w:pPr>
              <w:pStyle w:val="TableTextRight"/>
              <w:rPr>
                <w:b/>
                <w:bCs/>
                <w:lang w:eastAsia="zh-CN"/>
              </w:rPr>
            </w:pPr>
          </w:p>
        </w:tc>
        <w:tc>
          <w:tcPr>
            <w:tcW w:w="951" w:type="pct"/>
            <w:noWrap/>
            <w:tcMar>
              <w:top w:w="57" w:type="dxa"/>
              <w:bottom w:w="57" w:type="dxa"/>
            </w:tcMar>
            <w:hideMark/>
          </w:tcPr>
          <w:p w14:paraId="1CEC7FC0" w14:textId="77777777" w:rsidR="005B5350" w:rsidRPr="006534F5" w:rsidRDefault="005B5350" w:rsidP="00630831">
            <w:pPr>
              <w:pStyle w:val="TableTextRight"/>
              <w:rPr>
                <w:lang w:eastAsia="zh-CN"/>
              </w:rPr>
            </w:pPr>
            <w:r w:rsidRPr="00580427">
              <w:rPr>
                <w:rStyle w:val="Strong"/>
              </w:rPr>
              <w:t> </w:t>
            </w:r>
          </w:p>
        </w:tc>
        <w:tc>
          <w:tcPr>
            <w:tcW w:w="951" w:type="pct"/>
            <w:shd w:val="clear" w:color="auto" w:fill="E7DCF7" w:themeFill="text2" w:themeFillTint="1A"/>
            <w:noWrap/>
            <w:tcMar>
              <w:top w:w="57" w:type="dxa"/>
              <w:bottom w:w="57" w:type="dxa"/>
            </w:tcMar>
          </w:tcPr>
          <w:p w14:paraId="37EDA871" w14:textId="77777777" w:rsidR="005B5350" w:rsidRPr="006534F5" w:rsidRDefault="005B5350" w:rsidP="00630831">
            <w:pPr>
              <w:pStyle w:val="TableTextRight"/>
              <w:rPr>
                <w:lang w:eastAsia="zh-CN"/>
              </w:rPr>
            </w:pPr>
          </w:p>
        </w:tc>
      </w:tr>
      <w:tr w:rsidR="005B5350" w:rsidRPr="006534F5" w14:paraId="759EFEA0" w14:textId="77777777" w:rsidTr="008D3CA0">
        <w:tc>
          <w:tcPr>
            <w:tcW w:w="1697" w:type="pct"/>
            <w:noWrap/>
            <w:tcMar>
              <w:top w:w="57" w:type="dxa"/>
              <w:bottom w:w="57" w:type="dxa"/>
            </w:tcMar>
            <w:hideMark/>
          </w:tcPr>
          <w:p w14:paraId="13D67498" w14:textId="77777777" w:rsidR="005B5350" w:rsidRPr="006534F5" w:rsidRDefault="005B5350" w:rsidP="00630831">
            <w:pPr>
              <w:pStyle w:val="TableTextLeft"/>
            </w:pPr>
            <w:r w:rsidRPr="006534F5">
              <w:t>Employee provisions</w:t>
            </w:r>
          </w:p>
        </w:tc>
        <w:tc>
          <w:tcPr>
            <w:tcW w:w="449" w:type="pct"/>
            <w:noWrap/>
            <w:tcMar>
              <w:top w:w="57" w:type="dxa"/>
              <w:bottom w:w="57" w:type="dxa"/>
            </w:tcMar>
            <w:hideMark/>
          </w:tcPr>
          <w:p w14:paraId="2543A9C9" w14:textId="77777777" w:rsidR="005B5350" w:rsidRPr="00F576B8" w:rsidRDefault="005B5350" w:rsidP="00630831">
            <w:pPr>
              <w:pStyle w:val="TableTextCentered"/>
              <w:rPr>
                <w:b/>
                <w:bCs/>
              </w:rPr>
            </w:pPr>
            <w:r w:rsidRPr="00F576B8">
              <w:rPr>
                <w:b/>
                <w:bCs/>
              </w:rPr>
              <w:t>D</w:t>
            </w:r>
          </w:p>
        </w:tc>
        <w:tc>
          <w:tcPr>
            <w:tcW w:w="951" w:type="pct"/>
            <w:shd w:val="clear" w:color="auto" w:fill="E7DCF7" w:themeFill="text2" w:themeFillTint="1A"/>
            <w:noWrap/>
            <w:tcMar>
              <w:top w:w="57" w:type="dxa"/>
              <w:bottom w:w="57" w:type="dxa"/>
            </w:tcMar>
          </w:tcPr>
          <w:p w14:paraId="2FD55132" w14:textId="77777777" w:rsidR="005B5350" w:rsidRPr="006534F5" w:rsidRDefault="005B5350" w:rsidP="00630831">
            <w:pPr>
              <w:pStyle w:val="TableTextRight"/>
              <w:rPr>
                <w:lang w:eastAsia="zh-CN"/>
              </w:rPr>
            </w:pPr>
            <w:r>
              <w:rPr>
                <w:lang w:eastAsia="zh-CN"/>
              </w:rPr>
              <w:t>2,667</w:t>
            </w:r>
          </w:p>
        </w:tc>
        <w:tc>
          <w:tcPr>
            <w:tcW w:w="951" w:type="pct"/>
            <w:noWrap/>
            <w:tcMar>
              <w:top w:w="57" w:type="dxa"/>
              <w:bottom w:w="57" w:type="dxa"/>
            </w:tcMar>
            <w:hideMark/>
          </w:tcPr>
          <w:p w14:paraId="2598C874" w14:textId="77777777" w:rsidR="005B5350" w:rsidRPr="006534F5" w:rsidRDefault="005B5350" w:rsidP="00630831">
            <w:pPr>
              <w:pStyle w:val="TableTextRight"/>
              <w:rPr>
                <w:lang w:eastAsia="zh-CN"/>
              </w:rPr>
            </w:pPr>
            <w:r>
              <w:t xml:space="preserve">3,275 </w:t>
            </w:r>
          </w:p>
        </w:tc>
        <w:tc>
          <w:tcPr>
            <w:tcW w:w="951" w:type="pct"/>
            <w:shd w:val="clear" w:color="auto" w:fill="E7DCF7" w:themeFill="text2" w:themeFillTint="1A"/>
            <w:noWrap/>
            <w:tcMar>
              <w:top w:w="57" w:type="dxa"/>
              <w:bottom w:w="57" w:type="dxa"/>
            </w:tcMar>
          </w:tcPr>
          <w:p w14:paraId="714EC315" w14:textId="77777777" w:rsidR="005B5350" w:rsidRPr="006534F5" w:rsidRDefault="005B5350" w:rsidP="00630831">
            <w:pPr>
              <w:pStyle w:val="TableTextRight"/>
              <w:rPr>
                <w:lang w:eastAsia="zh-CN"/>
              </w:rPr>
            </w:pPr>
            <w:r>
              <w:rPr>
                <w:lang w:eastAsia="zh-CN"/>
              </w:rPr>
              <w:t>2,400</w:t>
            </w:r>
          </w:p>
        </w:tc>
      </w:tr>
      <w:tr w:rsidR="005B5350" w:rsidRPr="006534F5" w14:paraId="48BAF6F9" w14:textId="77777777" w:rsidTr="008D3CA0">
        <w:tc>
          <w:tcPr>
            <w:tcW w:w="1697" w:type="pct"/>
            <w:noWrap/>
            <w:tcMar>
              <w:top w:w="57" w:type="dxa"/>
              <w:bottom w:w="57" w:type="dxa"/>
            </w:tcMar>
            <w:hideMark/>
          </w:tcPr>
          <w:p w14:paraId="6F9B4605" w14:textId="77777777" w:rsidR="005B5350" w:rsidRPr="006534F5" w:rsidRDefault="005B5350" w:rsidP="00630831">
            <w:pPr>
              <w:pStyle w:val="TableTextLeft"/>
            </w:pPr>
            <w:r w:rsidRPr="006534F5">
              <w:t>Lease liabilities</w:t>
            </w:r>
          </w:p>
        </w:tc>
        <w:tc>
          <w:tcPr>
            <w:tcW w:w="449" w:type="pct"/>
            <w:noWrap/>
            <w:tcMar>
              <w:top w:w="57" w:type="dxa"/>
              <w:bottom w:w="57" w:type="dxa"/>
            </w:tcMar>
            <w:hideMark/>
          </w:tcPr>
          <w:p w14:paraId="32DA1E6F" w14:textId="77777777" w:rsidR="005B5350" w:rsidRPr="00F576B8" w:rsidRDefault="005B5350" w:rsidP="00630831">
            <w:pPr>
              <w:pStyle w:val="TableTextCentered"/>
              <w:rPr>
                <w:b/>
                <w:bCs/>
              </w:rPr>
            </w:pPr>
            <w:r w:rsidRPr="00F576B8">
              <w:rPr>
                <w:b/>
                <w:bCs/>
              </w:rPr>
              <w:t>E</w:t>
            </w:r>
          </w:p>
        </w:tc>
        <w:tc>
          <w:tcPr>
            <w:tcW w:w="951" w:type="pct"/>
            <w:shd w:val="clear" w:color="auto" w:fill="E7DCF7" w:themeFill="text2" w:themeFillTint="1A"/>
            <w:noWrap/>
            <w:tcMar>
              <w:top w:w="57" w:type="dxa"/>
              <w:bottom w:w="57" w:type="dxa"/>
            </w:tcMar>
          </w:tcPr>
          <w:p w14:paraId="74CE6276" w14:textId="77777777" w:rsidR="005B5350" w:rsidRPr="006534F5" w:rsidRDefault="005B5350" w:rsidP="00630831">
            <w:pPr>
              <w:pStyle w:val="TableTextRight"/>
              <w:rPr>
                <w:lang w:eastAsia="zh-CN"/>
              </w:rPr>
            </w:pPr>
            <w:r>
              <w:rPr>
                <w:lang w:eastAsia="zh-CN"/>
              </w:rPr>
              <w:t>3,519</w:t>
            </w:r>
          </w:p>
        </w:tc>
        <w:tc>
          <w:tcPr>
            <w:tcW w:w="951" w:type="pct"/>
            <w:noWrap/>
            <w:tcMar>
              <w:top w:w="57" w:type="dxa"/>
              <w:bottom w:w="57" w:type="dxa"/>
            </w:tcMar>
            <w:hideMark/>
          </w:tcPr>
          <w:p w14:paraId="2CA4366A" w14:textId="77777777" w:rsidR="005B5350" w:rsidRPr="006534F5" w:rsidRDefault="005B5350" w:rsidP="00630831">
            <w:pPr>
              <w:pStyle w:val="TableTextRight"/>
              <w:rPr>
                <w:lang w:eastAsia="zh-CN"/>
              </w:rPr>
            </w:pPr>
            <w:r>
              <w:t>3,649</w:t>
            </w:r>
            <w:r w:rsidRPr="00DE56EF">
              <w:t xml:space="preserve"> </w:t>
            </w:r>
          </w:p>
        </w:tc>
        <w:tc>
          <w:tcPr>
            <w:tcW w:w="951" w:type="pct"/>
            <w:shd w:val="clear" w:color="auto" w:fill="E7DCF7" w:themeFill="text2" w:themeFillTint="1A"/>
            <w:noWrap/>
            <w:tcMar>
              <w:top w:w="57" w:type="dxa"/>
              <w:bottom w:w="57" w:type="dxa"/>
            </w:tcMar>
          </w:tcPr>
          <w:p w14:paraId="32C84990" w14:textId="77777777" w:rsidR="005B5350" w:rsidRPr="006534F5" w:rsidRDefault="005B5350" w:rsidP="00630831">
            <w:pPr>
              <w:pStyle w:val="TableTextRight"/>
              <w:rPr>
                <w:lang w:eastAsia="zh-CN"/>
              </w:rPr>
            </w:pPr>
            <w:r>
              <w:rPr>
                <w:lang w:eastAsia="zh-CN"/>
              </w:rPr>
              <w:t>3,388</w:t>
            </w:r>
          </w:p>
        </w:tc>
      </w:tr>
      <w:tr w:rsidR="005B5350" w:rsidRPr="006534F5" w14:paraId="1809BEEF" w14:textId="77777777" w:rsidTr="008D3CA0">
        <w:tc>
          <w:tcPr>
            <w:tcW w:w="1697" w:type="pct"/>
            <w:noWrap/>
            <w:tcMar>
              <w:top w:w="57" w:type="dxa"/>
              <w:bottom w:w="57" w:type="dxa"/>
            </w:tcMar>
            <w:hideMark/>
          </w:tcPr>
          <w:p w14:paraId="47A18A3E" w14:textId="77777777" w:rsidR="005B5350" w:rsidRPr="006534F5" w:rsidRDefault="005B5350" w:rsidP="00630831">
            <w:pPr>
              <w:pStyle w:val="TableTextLeft"/>
            </w:pPr>
            <w:r w:rsidRPr="006534F5">
              <w:t>Other provisions</w:t>
            </w:r>
          </w:p>
        </w:tc>
        <w:tc>
          <w:tcPr>
            <w:tcW w:w="449" w:type="pct"/>
            <w:noWrap/>
            <w:tcMar>
              <w:top w:w="57" w:type="dxa"/>
              <w:bottom w:w="57" w:type="dxa"/>
            </w:tcMar>
            <w:hideMark/>
          </w:tcPr>
          <w:p w14:paraId="1B4159EC" w14:textId="77777777" w:rsidR="005B5350" w:rsidRPr="00F576B8" w:rsidRDefault="005B5350" w:rsidP="00630831">
            <w:pPr>
              <w:pStyle w:val="TableTextCentered"/>
              <w:rPr>
                <w:b/>
                <w:bCs/>
              </w:rPr>
            </w:pPr>
            <w:r w:rsidRPr="00F576B8">
              <w:rPr>
                <w:b/>
                <w:bCs/>
              </w:rPr>
              <w:t>F</w:t>
            </w:r>
          </w:p>
        </w:tc>
        <w:tc>
          <w:tcPr>
            <w:tcW w:w="951" w:type="pct"/>
            <w:shd w:val="clear" w:color="auto" w:fill="E7DCF7" w:themeFill="text2" w:themeFillTint="1A"/>
            <w:noWrap/>
            <w:tcMar>
              <w:top w:w="57" w:type="dxa"/>
              <w:bottom w:w="57" w:type="dxa"/>
            </w:tcMar>
          </w:tcPr>
          <w:p w14:paraId="35236DB4" w14:textId="77777777" w:rsidR="005B5350" w:rsidRPr="006534F5" w:rsidRDefault="005B5350" w:rsidP="00630831">
            <w:pPr>
              <w:pStyle w:val="TableTextRight"/>
              <w:rPr>
                <w:lang w:eastAsia="zh-CN"/>
              </w:rPr>
            </w:pPr>
            <w:r>
              <w:rPr>
                <w:lang w:eastAsia="zh-CN"/>
              </w:rPr>
              <w:t>623</w:t>
            </w:r>
          </w:p>
        </w:tc>
        <w:tc>
          <w:tcPr>
            <w:tcW w:w="951" w:type="pct"/>
            <w:noWrap/>
            <w:tcMar>
              <w:top w:w="57" w:type="dxa"/>
              <w:bottom w:w="57" w:type="dxa"/>
            </w:tcMar>
            <w:hideMark/>
          </w:tcPr>
          <w:p w14:paraId="2B346A5C" w14:textId="77777777" w:rsidR="005B5350" w:rsidRPr="006534F5" w:rsidRDefault="005B5350" w:rsidP="00630831">
            <w:pPr>
              <w:pStyle w:val="TableTextRight"/>
              <w:rPr>
                <w:lang w:eastAsia="zh-CN"/>
              </w:rPr>
            </w:pPr>
            <w:r>
              <w:t>603</w:t>
            </w:r>
          </w:p>
        </w:tc>
        <w:tc>
          <w:tcPr>
            <w:tcW w:w="951" w:type="pct"/>
            <w:shd w:val="clear" w:color="auto" w:fill="E7DCF7" w:themeFill="text2" w:themeFillTint="1A"/>
            <w:noWrap/>
            <w:tcMar>
              <w:top w:w="57" w:type="dxa"/>
              <w:bottom w:w="57" w:type="dxa"/>
            </w:tcMar>
          </w:tcPr>
          <w:p w14:paraId="14E10857" w14:textId="77777777" w:rsidR="005B5350" w:rsidRPr="006534F5" w:rsidRDefault="005B5350" w:rsidP="00630831">
            <w:pPr>
              <w:pStyle w:val="TableTextRight"/>
              <w:rPr>
                <w:lang w:eastAsia="zh-CN"/>
              </w:rPr>
            </w:pPr>
            <w:r>
              <w:rPr>
                <w:lang w:eastAsia="zh-CN"/>
              </w:rPr>
              <w:t>624</w:t>
            </w:r>
          </w:p>
        </w:tc>
      </w:tr>
      <w:tr w:rsidR="005B5350" w:rsidRPr="006534F5" w14:paraId="39C52C96" w14:textId="77777777" w:rsidTr="008D3CA0">
        <w:tc>
          <w:tcPr>
            <w:tcW w:w="1697" w:type="pct"/>
            <w:noWrap/>
            <w:tcMar>
              <w:top w:w="57" w:type="dxa"/>
              <w:bottom w:w="57" w:type="dxa"/>
            </w:tcMar>
            <w:hideMark/>
          </w:tcPr>
          <w:p w14:paraId="48EE9BAF" w14:textId="77777777" w:rsidR="005B5350" w:rsidRPr="00580427" w:rsidRDefault="005B5350" w:rsidP="00630831">
            <w:pPr>
              <w:pStyle w:val="TableTextLeft"/>
              <w:rPr>
                <w:rStyle w:val="Strong"/>
              </w:rPr>
            </w:pPr>
            <w:r w:rsidRPr="00580427">
              <w:rPr>
                <w:rStyle w:val="Strong"/>
              </w:rPr>
              <w:t>Total liabilities</w:t>
            </w:r>
          </w:p>
        </w:tc>
        <w:tc>
          <w:tcPr>
            <w:tcW w:w="449" w:type="pct"/>
            <w:noWrap/>
            <w:tcMar>
              <w:top w:w="57" w:type="dxa"/>
              <w:bottom w:w="57" w:type="dxa"/>
            </w:tcMar>
            <w:hideMark/>
          </w:tcPr>
          <w:p w14:paraId="04D75FA5"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557CF2F7" w14:textId="77777777" w:rsidR="005B5350" w:rsidRPr="00CF71D4" w:rsidRDefault="005B5350" w:rsidP="00630831">
            <w:pPr>
              <w:pStyle w:val="TableTextRight"/>
              <w:rPr>
                <w:b/>
                <w:bCs/>
                <w:lang w:eastAsia="zh-CN"/>
              </w:rPr>
            </w:pPr>
            <w:r w:rsidRPr="00CF71D4">
              <w:rPr>
                <w:b/>
                <w:bCs/>
                <w:lang w:eastAsia="zh-CN"/>
              </w:rPr>
              <w:t>7,879</w:t>
            </w:r>
          </w:p>
        </w:tc>
        <w:tc>
          <w:tcPr>
            <w:tcW w:w="951" w:type="pct"/>
            <w:noWrap/>
            <w:tcMar>
              <w:top w:w="57" w:type="dxa"/>
              <w:bottom w:w="57" w:type="dxa"/>
            </w:tcMar>
            <w:hideMark/>
          </w:tcPr>
          <w:p w14:paraId="3581C626" w14:textId="77777777" w:rsidR="005B5350" w:rsidRPr="00CF71D4" w:rsidRDefault="005B5350" w:rsidP="00630831">
            <w:pPr>
              <w:pStyle w:val="TableTextRight"/>
              <w:rPr>
                <w:b/>
                <w:bCs/>
                <w:lang w:eastAsia="zh-CN"/>
              </w:rPr>
            </w:pPr>
            <w:r w:rsidRPr="00CF71D4">
              <w:rPr>
                <w:b/>
                <w:bCs/>
              </w:rPr>
              <w:t xml:space="preserve">8,660 </w:t>
            </w:r>
          </w:p>
        </w:tc>
        <w:tc>
          <w:tcPr>
            <w:tcW w:w="951" w:type="pct"/>
            <w:shd w:val="clear" w:color="auto" w:fill="E7DCF7" w:themeFill="text2" w:themeFillTint="1A"/>
            <w:noWrap/>
            <w:tcMar>
              <w:top w:w="57" w:type="dxa"/>
              <w:bottom w:w="57" w:type="dxa"/>
            </w:tcMar>
          </w:tcPr>
          <w:p w14:paraId="4E9B602B" w14:textId="77777777" w:rsidR="005B5350" w:rsidRPr="00CF71D4" w:rsidRDefault="005B5350" w:rsidP="00630831">
            <w:pPr>
              <w:pStyle w:val="TableTextRight"/>
              <w:rPr>
                <w:b/>
                <w:bCs/>
                <w:lang w:eastAsia="zh-CN"/>
              </w:rPr>
            </w:pPr>
            <w:r w:rsidRPr="00CF71D4">
              <w:rPr>
                <w:b/>
                <w:bCs/>
                <w:lang w:eastAsia="zh-CN"/>
              </w:rPr>
              <w:t>8,159</w:t>
            </w:r>
          </w:p>
        </w:tc>
      </w:tr>
      <w:tr w:rsidR="005B5350" w:rsidRPr="006534F5" w14:paraId="442FD2FA" w14:textId="77777777" w:rsidTr="008D3CA0">
        <w:tc>
          <w:tcPr>
            <w:tcW w:w="1697" w:type="pct"/>
            <w:tcBorders>
              <w:bottom w:val="single" w:sz="4" w:space="0" w:color="29114B" w:themeColor="text2"/>
            </w:tcBorders>
            <w:noWrap/>
            <w:tcMar>
              <w:top w:w="57" w:type="dxa"/>
              <w:bottom w:w="57" w:type="dxa"/>
            </w:tcMar>
            <w:hideMark/>
          </w:tcPr>
          <w:p w14:paraId="5C4C3D99" w14:textId="77777777" w:rsidR="005B5350" w:rsidRPr="00580427" w:rsidRDefault="005B5350" w:rsidP="00630831">
            <w:pPr>
              <w:pStyle w:val="TableTextLeft"/>
              <w:rPr>
                <w:rStyle w:val="Strong"/>
              </w:rPr>
            </w:pPr>
            <w:r w:rsidRPr="00580427">
              <w:rPr>
                <w:rStyle w:val="Strong"/>
              </w:rPr>
              <w:t>Net assets</w:t>
            </w:r>
          </w:p>
        </w:tc>
        <w:tc>
          <w:tcPr>
            <w:tcW w:w="449" w:type="pct"/>
            <w:tcBorders>
              <w:bottom w:val="single" w:sz="4" w:space="0" w:color="29114B" w:themeColor="text2"/>
            </w:tcBorders>
            <w:noWrap/>
            <w:tcMar>
              <w:top w:w="57" w:type="dxa"/>
              <w:bottom w:w="57" w:type="dxa"/>
            </w:tcMar>
            <w:hideMark/>
          </w:tcPr>
          <w:p w14:paraId="73E3FEE1" w14:textId="77777777" w:rsidR="005B5350" w:rsidRPr="00F576B8" w:rsidRDefault="005B5350" w:rsidP="00630831">
            <w:pPr>
              <w:pStyle w:val="TableTextCentered"/>
              <w:rPr>
                <w:b/>
                <w:bCs/>
              </w:rPr>
            </w:pPr>
            <w:r w:rsidRPr="00F576B8">
              <w:rPr>
                <w:b/>
                <w:bCs/>
              </w:rPr>
              <w:t> </w:t>
            </w:r>
          </w:p>
        </w:tc>
        <w:tc>
          <w:tcPr>
            <w:tcW w:w="951" w:type="pct"/>
            <w:tcBorders>
              <w:bottom w:val="single" w:sz="4" w:space="0" w:color="29114B" w:themeColor="text2"/>
            </w:tcBorders>
            <w:shd w:val="clear" w:color="auto" w:fill="E7DCF7" w:themeFill="text2" w:themeFillTint="1A"/>
            <w:noWrap/>
            <w:tcMar>
              <w:top w:w="57" w:type="dxa"/>
              <w:bottom w:w="57" w:type="dxa"/>
            </w:tcMar>
          </w:tcPr>
          <w:p w14:paraId="0CB5F7F3" w14:textId="77777777" w:rsidR="005B5350" w:rsidRPr="00CF71D4" w:rsidRDefault="005B5350" w:rsidP="00630831">
            <w:pPr>
              <w:pStyle w:val="TableTextRight"/>
              <w:rPr>
                <w:b/>
                <w:bCs/>
                <w:lang w:eastAsia="zh-CN"/>
              </w:rPr>
            </w:pPr>
            <w:r w:rsidRPr="00CF71D4">
              <w:rPr>
                <w:b/>
                <w:bCs/>
                <w:lang w:eastAsia="zh-CN"/>
              </w:rPr>
              <w:t>34,095</w:t>
            </w:r>
          </w:p>
        </w:tc>
        <w:tc>
          <w:tcPr>
            <w:tcW w:w="951" w:type="pct"/>
            <w:tcBorders>
              <w:bottom w:val="single" w:sz="4" w:space="0" w:color="29114B" w:themeColor="text2"/>
            </w:tcBorders>
            <w:noWrap/>
            <w:tcMar>
              <w:top w:w="57" w:type="dxa"/>
              <w:bottom w:w="57" w:type="dxa"/>
            </w:tcMar>
            <w:hideMark/>
          </w:tcPr>
          <w:p w14:paraId="3BF5E2A5" w14:textId="77777777" w:rsidR="005B5350" w:rsidRPr="00CF71D4" w:rsidRDefault="005B5350" w:rsidP="00630831">
            <w:pPr>
              <w:pStyle w:val="TableTextRight"/>
              <w:rPr>
                <w:b/>
                <w:bCs/>
                <w:lang w:eastAsia="zh-CN"/>
              </w:rPr>
            </w:pPr>
            <w:r w:rsidRPr="00CF71D4">
              <w:rPr>
                <w:b/>
                <w:bCs/>
              </w:rPr>
              <w:t xml:space="preserve">33,929 </w:t>
            </w:r>
          </w:p>
        </w:tc>
        <w:tc>
          <w:tcPr>
            <w:tcW w:w="951" w:type="pct"/>
            <w:tcBorders>
              <w:bottom w:val="single" w:sz="4" w:space="0" w:color="29114B" w:themeColor="text2"/>
            </w:tcBorders>
            <w:shd w:val="clear" w:color="auto" w:fill="E7DCF7" w:themeFill="text2" w:themeFillTint="1A"/>
            <w:noWrap/>
            <w:tcMar>
              <w:top w:w="57" w:type="dxa"/>
              <w:bottom w:w="57" w:type="dxa"/>
            </w:tcMar>
          </w:tcPr>
          <w:p w14:paraId="6304A4B6" w14:textId="77777777" w:rsidR="005B5350" w:rsidRPr="00CF71D4" w:rsidRDefault="005B5350" w:rsidP="00630831">
            <w:pPr>
              <w:pStyle w:val="TableTextRight"/>
              <w:rPr>
                <w:b/>
                <w:bCs/>
                <w:lang w:eastAsia="zh-CN"/>
              </w:rPr>
            </w:pPr>
            <w:r w:rsidRPr="00CF71D4">
              <w:rPr>
                <w:b/>
                <w:bCs/>
                <w:lang w:eastAsia="zh-CN"/>
              </w:rPr>
              <w:t>34,544</w:t>
            </w:r>
          </w:p>
        </w:tc>
      </w:tr>
      <w:tr w:rsidR="005B5350" w:rsidRPr="006534F5" w14:paraId="4E1D2536" w14:textId="77777777" w:rsidTr="00575CA9">
        <w:tc>
          <w:tcPr>
            <w:tcW w:w="1697"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79BD9A22" w14:textId="77777777" w:rsidR="005B5350" w:rsidRPr="005B5350" w:rsidRDefault="005B5350" w:rsidP="00630831">
            <w:pPr>
              <w:pStyle w:val="TableSecondHeading"/>
              <w:rPr>
                <w:rStyle w:val="Strong"/>
                <w:b w:val="0"/>
                <w:bCs w:val="0"/>
              </w:rPr>
            </w:pPr>
            <w:r w:rsidRPr="005B5350">
              <w:rPr>
                <w:rStyle w:val="Strong"/>
                <w:bCs w:val="0"/>
              </w:rPr>
              <w:t>Equity</w:t>
            </w:r>
          </w:p>
        </w:tc>
        <w:tc>
          <w:tcPr>
            <w:tcW w:w="449"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79CEF7F8" w14:textId="77777777" w:rsidR="005B5350" w:rsidRPr="00F576B8" w:rsidRDefault="005B5350" w:rsidP="00630831">
            <w:pPr>
              <w:pStyle w:val="TableTextCentered"/>
              <w:rPr>
                <w:b/>
                <w:bCs/>
              </w:rPr>
            </w:pPr>
            <w:r w:rsidRPr="00F576B8">
              <w:rPr>
                <w:b/>
                <w:bCs/>
              </w:rPr>
              <w:t> </w:t>
            </w: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tcPr>
          <w:p w14:paraId="140BDB69" w14:textId="77777777" w:rsidR="005B5350" w:rsidRPr="000E5309" w:rsidRDefault="005B5350" w:rsidP="00630831">
            <w:pPr>
              <w:pStyle w:val="TableTextRight"/>
              <w:rPr>
                <w:lang w:eastAsia="zh-CN"/>
              </w:rPr>
            </w:pPr>
          </w:p>
        </w:tc>
        <w:tc>
          <w:tcPr>
            <w:tcW w:w="951" w:type="pct"/>
            <w:tcBorders>
              <w:top w:val="single" w:sz="4" w:space="0" w:color="29114B" w:themeColor="text2"/>
              <w:left w:val="single" w:sz="4" w:space="0" w:color="FFFFFF" w:themeColor="background1"/>
              <w:right w:val="single" w:sz="4" w:space="0" w:color="FFFFFF" w:themeColor="background1"/>
            </w:tcBorders>
            <w:shd w:val="clear" w:color="auto" w:fill="auto"/>
            <w:tcMar>
              <w:top w:w="57" w:type="dxa"/>
              <w:bottom w:w="57" w:type="dxa"/>
            </w:tcMar>
            <w:hideMark/>
          </w:tcPr>
          <w:p w14:paraId="25ECF76E" w14:textId="77777777" w:rsidR="005B5350" w:rsidRPr="006534F5" w:rsidRDefault="005B5350" w:rsidP="00630831">
            <w:pPr>
              <w:pStyle w:val="TableTextRight"/>
              <w:rPr>
                <w:lang w:eastAsia="zh-CN"/>
              </w:rPr>
            </w:pPr>
            <w:r>
              <w:rPr>
                <w:b/>
                <w:bCs/>
              </w:rPr>
              <w:t> </w:t>
            </w:r>
          </w:p>
        </w:tc>
        <w:tc>
          <w:tcPr>
            <w:tcW w:w="951" w:type="pct"/>
            <w:tcBorders>
              <w:top w:val="single" w:sz="4" w:space="0" w:color="29114B" w:themeColor="text2"/>
              <w:left w:val="single" w:sz="4" w:space="0" w:color="FFFFFF" w:themeColor="background1"/>
            </w:tcBorders>
            <w:shd w:val="clear" w:color="auto" w:fill="auto"/>
            <w:tcMar>
              <w:top w:w="57" w:type="dxa"/>
              <w:bottom w:w="57" w:type="dxa"/>
            </w:tcMar>
          </w:tcPr>
          <w:p w14:paraId="0EDCF7DA" w14:textId="77777777" w:rsidR="005B5350" w:rsidRPr="000E5309" w:rsidRDefault="005B5350" w:rsidP="00630831">
            <w:pPr>
              <w:pStyle w:val="TableTextRight"/>
              <w:rPr>
                <w:lang w:eastAsia="zh-CN"/>
              </w:rPr>
            </w:pPr>
          </w:p>
        </w:tc>
      </w:tr>
      <w:tr w:rsidR="005B5350" w:rsidRPr="006534F5" w14:paraId="6485C8FF" w14:textId="77777777" w:rsidTr="008D3CA0">
        <w:tc>
          <w:tcPr>
            <w:tcW w:w="1697" w:type="pct"/>
            <w:noWrap/>
            <w:tcMar>
              <w:top w:w="57" w:type="dxa"/>
              <w:bottom w:w="57" w:type="dxa"/>
            </w:tcMar>
            <w:hideMark/>
          </w:tcPr>
          <w:p w14:paraId="4F29593D" w14:textId="77777777" w:rsidR="005B5350" w:rsidRPr="006534F5" w:rsidRDefault="005B5350" w:rsidP="00630831">
            <w:pPr>
              <w:pStyle w:val="TableTextLeft"/>
            </w:pPr>
            <w:r w:rsidRPr="006534F5">
              <w:t>Retained surplus</w:t>
            </w:r>
          </w:p>
        </w:tc>
        <w:tc>
          <w:tcPr>
            <w:tcW w:w="449" w:type="pct"/>
            <w:noWrap/>
            <w:tcMar>
              <w:top w:w="57" w:type="dxa"/>
              <w:bottom w:w="57" w:type="dxa"/>
            </w:tcMar>
            <w:hideMark/>
          </w:tcPr>
          <w:p w14:paraId="00516416"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4D795B2F" w14:textId="77777777" w:rsidR="005B5350" w:rsidRPr="006534F5" w:rsidRDefault="005B5350" w:rsidP="00630831">
            <w:pPr>
              <w:pStyle w:val="TableTextRight"/>
              <w:rPr>
                <w:lang w:eastAsia="zh-CN"/>
              </w:rPr>
            </w:pPr>
            <w:r>
              <w:rPr>
                <w:lang w:eastAsia="zh-CN"/>
              </w:rPr>
              <w:t>45,381</w:t>
            </w:r>
          </w:p>
        </w:tc>
        <w:tc>
          <w:tcPr>
            <w:tcW w:w="951" w:type="pct"/>
            <w:noWrap/>
            <w:tcMar>
              <w:top w:w="57" w:type="dxa"/>
              <w:bottom w:w="57" w:type="dxa"/>
            </w:tcMar>
            <w:hideMark/>
          </w:tcPr>
          <w:p w14:paraId="43AC06F2" w14:textId="77777777" w:rsidR="005B5350" w:rsidRPr="006534F5" w:rsidRDefault="005B5350" w:rsidP="00630831">
            <w:pPr>
              <w:pStyle w:val="TableTextRight"/>
              <w:rPr>
                <w:lang w:eastAsia="zh-CN"/>
              </w:rPr>
            </w:pPr>
            <w:r>
              <w:t xml:space="preserve">45,619 </w:t>
            </w:r>
          </w:p>
        </w:tc>
        <w:tc>
          <w:tcPr>
            <w:tcW w:w="951" w:type="pct"/>
            <w:shd w:val="clear" w:color="auto" w:fill="E7DCF7" w:themeFill="text2" w:themeFillTint="1A"/>
            <w:noWrap/>
            <w:tcMar>
              <w:top w:w="57" w:type="dxa"/>
              <w:bottom w:w="57" w:type="dxa"/>
            </w:tcMar>
          </w:tcPr>
          <w:p w14:paraId="39935738" w14:textId="77777777" w:rsidR="005B5350" w:rsidRPr="006534F5" w:rsidRDefault="005B5350" w:rsidP="00630831">
            <w:pPr>
              <w:pStyle w:val="TableTextRight"/>
              <w:rPr>
                <w:lang w:eastAsia="zh-CN"/>
              </w:rPr>
            </w:pPr>
            <w:r>
              <w:rPr>
                <w:lang w:eastAsia="zh-CN"/>
              </w:rPr>
              <w:t>43,706</w:t>
            </w:r>
          </w:p>
        </w:tc>
      </w:tr>
      <w:tr w:rsidR="005B5350" w:rsidRPr="006534F5" w14:paraId="1ED70692" w14:textId="77777777" w:rsidTr="008D3CA0">
        <w:tc>
          <w:tcPr>
            <w:tcW w:w="1697" w:type="pct"/>
            <w:noWrap/>
            <w:tcMar>
              <w:top w:w="57" w:type="dxa"/>
              <w:bottom w:w="57" w:type="dxa"/>
            </w:tcMar>
            <w:hideMark/>
          </w:tcPr>
          <w:p w14:paraId="7B7CCDAD" w14:textId="77777777" w:rsidR="005B5350" w:rsidRPr="006534F5" w:rsidRDefault="005B5350" w:rsidP="00630831">
            <w:pPr>
              <w:pStyle w:val="TableTextLeft"/>
            </w:pPr>
            <w:r w:rsidRPr="006534F5">
              <w:t>Asset revaluation reserve</w:t>
            </w:r>
          </w:p>
        </w:tc>
        <w:tc>
          <w:tcPr>
            <w:tcW w:w="449" w:type="pct"/>
            <w:noWrap/>
            <w:tcMar>
              <w:top w:w="57" w:type="dxa"/>
              <w:bottom w:w="57" w:type="dxa"/>
            </w:tcMar>
            <w:hideMark/>
          </w:tcPr>
          <w:p w14:paraId="7DEB6D64"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4BD085CC" w14:textId="77777777" w:rsidR="005B5350" w:rsidRPr="006534F5" w:rsidRDefault="005B5350" w:rsidP="00630831">
            <w:pPr>
              <w:pStyle w:val="TableTextRight"/>
              <w:rPr>
                <w:lang w:eastAsia="zh-CN"/>
              </w:rPr>
            </w:pPr>
            <w:r>
              <w:rPr>
                <w:lang w:eastAsia="zh-CN"/>
              </w:rPr>
              <w:t>715</w:t>
            </w:r>
          </w:p>
        </w:tc>
        <w:tc>
          <w:tcPr>
            <w:tcW w:w="951" w:type="pct"/>
            <w:noWrap/>
            <w:tcMar>
              <w:top w:w="57" w:type="dxa"/>
              <w:bottom w:w="57" w:type="dxa"/>
            </w:tcMar>
            <w:hideMark/>
          </w:tcPr>
          <w:p w14:paraId="19A9AF50" w14:textId="77777777" w:rsidR="005B5350" w:rsidRPr="006534F5" w:rsidRDefault="005B5350" w:rsidP="00630831">
            <w:pPr>
              <w:pStyle w:val="TableTextRight"/>
              <w:rPr>
                <w:lang w:eastAsia="zh-CN"/>
              </w:rPr>
            </w:pPr>
            <w:r>
              <w:t xml:space="preserve">715 </w:t>
            </w:r>
          </w:p>
        </w:tc>
        <w:tc>
          <w:tcPr>
            <w:tcW w:w="951" w:type="pct"/>
            <w:shd w:val="clear" w:color="auto" w:fill="E7DCF7" w:themeFill="text2" w:themeFillTint="1A"/>
            <w:noWrap/>
            <w:tcMar>
              <w:top w:w="57" w:type="dxa"/>
              <w:bottom w:w="57" w:type="dxa"/>
            </w:tcMar>
          </w:tcPr>
          <w:p w14:paraId="1DB75F7D" w14:textId="77777777" w:rsidR="005B5350" w:rsidRPr="006534F5" w:rsidRDefault="005B5350" w:rsidP="00630831">
            <w:pPr>
              <w:pStyle w:val="TableTextRight"/>
              <w:rPr>
                <w:lang w:eastAsia="zh-CN"/>
              </w:rPr>
            </w:pPr>
            <w:r>
              <w:rPr>
                <w:lang w:eastAsia="zh-CN"/>
              </w:rPr>
              <w:t>715</w:t>
            </w:r>
          </w:p>
        </w:tc>
      </w:tr>
      <w:tr w:rsidR="005B5350" w:rsidRPr="006534F5" w14:paraId="14AA21EB" w14:textId="77777777" w:rsidTr="008D3CA0">
        <w:tc>
          <w:tcPr>
            <w:tcW w:w="1697" w:type="pct"/>
            <w:noWrap/>
            <w:tcMar>
              <w:top w:w="57" w:type="dxa"/>
              <w:bottom w:w="57" w:type="dxa"/>
            </w:tcMar>
            <w:hideMark/>
          </w:tcPr>
          <w:p w14:paraId="3A23BF72" w14:textId="77777777" w:rsidR="005B5350" w:rsidRPr="006534F5" w:rsidRDefault="005B5350" w:rsidP="00630831">
            <w:pPr>
              <w:pStyle w:val="TableTextLeft"/>
            </w:pPr>
            <w:r w:rsidRPr="006534F5">
              <w:t>Contributed equity</w:t>
            </w:r>
          </w:p>
        </w:tc>
        <w:tc>
          <w:tcPr>
            <w:tcW w:w="449" w:type="pct"/>
            <w:noWrap/>
            <w:tcMar>
              <w:top w:w="57" w:type="dxa"/>
              <w:bottom w:w="57" w:type="dxa"/>
            </w:tcMar>
            <w:hideMark/>
          </w:tcPr>
          <w:p w14:paraId="087438EE"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6DB8C4FF" w14:textId="77777777" w:rsidR="005B5350" w:rsidRPr="006534F5" w:rsidRDefault="005B5350" w:rsidP="00630831">
            <w:pPr>
              <w:pStyle w:val="TableTextRight"/>
              <w:rPr>
                <w:lang w:eastAsia="zh-CN"/>
              </w:rPr>
            </w:pPr>
            <w:r>
              <w:rPr>
                <w:lang w:eastAsia="zh-CN"/>
              </w:rPr>
              <w:t>(12,001)</w:t>
            </w:r>
          </w:p>
        </w:tc>
        <w:tc>
          <w:tcPr>
            <w:tcW w:w="951" w:type="pct"/>
            <w:noWrap/>
            <w:tcMar>
              <w:top w:w="57" w:type="dxa"/>
              <w:bottom w:w="57" w:type="dxa"/>
            </w:tcMar>
            <w:hideMark/>
          </w:tcPr>
          <w:p w14:paraId="646A4FDD" w14:textId="77777777" w:rsidR="005B5350" w:rsidRPr="006534F5" w:rsidRDefault="005B5350" w:rsidP="00630831">
            <w:pPr>
              <w:pStyle w:val="TableTextRight"/>
              <w:rPr>
                <w:lang w:eastAsia="zh-CN"/>
              </w:rPr>
            </w:pPr>
            <w:r>
              <w:t>(12,406)</w:t>
            </w:r>
          </w:p>
        </w:tc>
        <w:tc>
          <w:tcPr>
            <w:tcW w:w="951" w:type="pct"/>
            <w:shd w:val="clear" w:color="auto" w:fill="E7DCF7" w:themeFill="text2" w:themeFillTint="1A"/>
            <w:noWrap/>
            <w:tcMar>
              <w:top w:w="57" w:type="dxa"/>
              <w:bottom w:w="57" w:type="dxa"/>
            </w:tcMar>
          </w:tcPr>
          <w:p w14:paraId="5D86BA68" w14:textId="77777777" w:rsidR="005B5350" w:rsidRPr="006534F5" w:rsidRDefault="005B5350" w:rsidP="00630831">
            <w:pPr>
              <w:pStyle w:val="TableTextRight"/>
              <w:rPr>
                <w:lang w:eastAsia="zh-CN"/>
              </w:rPr>
            </w:pPr>
            <w:r>
              <w:rPr>
                <w:lang w:eastAsia="zh-CN"/>
              </w:rPr>
              <w:t>(9,877)</w:t>
            </w:r>
          </w:p>
        </w:tc>
      </w:tr>
      <w:tr w:rsidR="005B5350" w:rsidRPr="006534F5" w14:paraId="1548E36C" w14:textId="77777777" w:rsidTr="008D3CA0">
        <w:tc>
          <w:tcPr>
            <w:tcW w:w="1697" w:type="pct"/>
            <w:noWrap/>
            <w:tcMar>
              <w:top w:w="57" w:type="dxa"/>
              <w:bottom w:w="57" w:type="dxa"/>
            </w:tcMar>
            <w:hideMark/>
          </w:tcPr>
          <w:p w14:paraId="5DE3EAB1" w14:textId="77777777" w:rsidR="005B5350" w:rsidRPr="00580427" w:rsidRDefault="005B5350" w:rsidP="00630831">
            <w:pPr>
              <w:pStyle w:val="TableTextLeft"/>
              <w:rPr>
                <w:rStyle w:val="Strong"/>
              </w:rPr>
            </w:pPr>
            <w:r w:rsidRPr="00580427">
              <w:rPr>
                <w:rStyle w:val="Strong"/>
              </w:rPr>
              <w:t>Total equity</w:t>
            </w:r>
          </w:p>
        </w:tc>
        <w:tc>
          <w:tcPr>
            <w:tcW w:w="449" w:type="pct"/>
            <w:noWrap/>
            <w:tcMar>
              <w:top w:w="57" w:type="dxa"/>
              <w:bottom w:w="57" w:type="dxa"/>
            </w:tcMar>
            <w:hideMark/>
          </w:tcPr>
          <w:p w14:paraId="0BAF7C98" w14:textId="77777777" w:rsidR="005B5350" w:rsidRPr="00F576B8" w:rsidRDefault="005B5350" w:rsidP="00630831">
            <w:pPr>
              <w:pStyle w:val="TableTextCentered"/>
              <w:rPr>
                <w:b/>
                <w:bCs/>
              </w:rPr>
            </w:pPr>
            <w:r w:rsidRPr="00F576B8">
              <w:rPr>
                <w:b/>
                <w:bCs/>
              </w:rPr>
              <w:t> </w:t>
            </w:r>
          </w:p>
        </w:tc>
        <w:tc>
          <w:tcPr>
            <w:tcW w:w="951" w:type="pct"/>
            <w:shd w:val="clear" w:color="auto" w:fill="E7DCF7" w:themeFill="text2" w:themeFillTint="1A"/>
            <w:noWrap/>
            <w:tcMar>
              <w:top w:w="57" w:type="dxa"/>
              <w:bottom w:w="57" w:type="dxa"/>
            </w:tcMar>
          </w:tcPr>
          <w:p w14:paraId="664B8319" w14:textId="77777777" w:rsidR="005B5350" w:rsidRPr="000E5309" w:rsidRDefault="005B5350" w:rsidP="00630831">
            <w:pPr>
              <w:pStyle w:val="TableTextRight"/>
              <w:rPr>
                <w:b/>
                <w:bCs/>
                <w:lang w:eastAsia="zh-CN"/>
              </w:rPr>
            </w:pPr>
            <w:r w:rsidRPr="000E5309">
              <w:rPr>
                <w:b/>
                <w:bCs/>
                <w:lang w:eastAsia="zh-CN"/>
              </w:rPr>
              <w:t>34,095</w:t>
            </w:r>
          </w:p>
        </w:tc>
        <w:tc>
          <w:tcPr>
            <w:tcW w:w="951" w:type="pct"/>
            <w:noWrap/>
            <w:tcMar>
              <w:top w:w="57" w:type="dxa"/>
              <w:bottom w:w="57" w:type="dxa"/>
            </w:tcMar>
            <w:hideMark/>
          </w:tcPr>
          <w:p w14:paraId="79F1328A" w14:textId="77777777" w:rsidR="005B5350" w:rsidRPr="006534F5" w:rsidRDefault="005B5350" w:rsidP="00630831">
            <w:pPr>
              <w:pStyle w:val="TableTextRight"/>
              <w:rPr>
                <w:b/>
                <w:bCs/>
                <w:lang w:eastAsia="zh-CN"/>
              </w:rPr>
            </w:pPr>
            <w:r>
              <w:rPr>
                <w:rStyle w:val="Strong"/>
              </w:rPr>
              <w:t>33,929</w:t>
            </w:r>
            <w:r w:rsidRPr="00580427">
              <w:rPr>
                <w:rStyle w:val="Strong"/>
              </w:rPr>
              <w:t xml:space="preserve"> </w:t>
            </w:r>
          </w:p>
        </w:tc>
        <w:tc>
          <w:tcPr>
            <w:tcW w:w="951" w:type="pct"/>
            <w:shd w:val="clear" w:color="auto" w:fill="E7DCF7" w:themeFill="text2" w:themeFillTint="1A"/>
            <w:noWrap/>
            <w:tcMar>
              <w:top w:w="57" w:type="dxa"/>
              <w:bottom w:w="57" w:type="dxa"/>
            </w:tcMar>
          </w:tcPr>
          <w:p w14:paraId="352CDDE1" w14:textId="77777777" w:rsidR="005B5350" w:rsidRPr="00631967" w:rsidRDefault="005B5350" w:rsidP="00630831">
            <w:pPr>
              <w:pStyle w:val="TableTextRight"/>
              <w:rPr>
                <w:b/>
                <w:bCs/>
                <w:lang w:eastAsia="zh-CN"/>
              </w:rPr>
            </w:pPr>
            <w:r w:rsidRPr="00631967">
              <w:rPr>
                <w:b/>
                <w:bCs/>
                <w:lang w:eastAsia="zh-CN"/>
              </w:rPr>
              <w:t>34,544</w:t>
            </w:r>
          </w:p>
        </w:tc>
      </w:tr>
    </w:tbl>
    <w:p w14:paraId="2849622E" w14:textId="77777777" w:rsidR="005B5350" w:rsidRPr="00A5461E" w:rsidRDefault="005B5350" w:rsidP="005B5350">
      <w:pPr>
        <w:pStyle w:val="Chartnotenotab"/>
      </w:pPr>
      <w:r w:rsidRPr="00A5461E">
        <w:t xml:space="preserve">The above statement should be read in conjunction with the accompanying notes. </w:t>
      </w:r>
    </w:p>
    <w:p w14:paraId="22483E2D" w14:textId="77777777" w:rsidR="005B5350" w:rsidRPr="00A5461E" w:rsidRDefault="005B5350" w:rsidP="005B5350">
      <w:pPr>
        <w:pStyle w:val="Chartnotenotab"/>
      </w:pPr>
      <w:r w:rsidRPr="00A5461E">
        <w:t xml:space="preserve">Note I </w:t>
      </w:r>
      <w:r>
        <w:t>explains</w:t>
      </w:r>
      <w:r w:rsidRPr="00A5461E">
        <w:t xml:space="preserve"> </w:t>
      </w:r>
      <w:r>
        <w:t xml:space="preserve">significant </w:t>
      </w:r>
      <w:r w:rsidRPr="00A5461E">
        <w:t>variances between actuals and the original budget as presented in the 2024</w:t>
      </w:r>
      <w:r w:rsidRPr="00B235A9">
        <w:t>–</w:t>
      </w:r>
      <w:r w:rsidRPr="00A5461E">
        <w:t>25 Portfolio Budget Statements.</w:t>
      </w:r>
    </w:p>
    <w:p w14:paraId="4886186B" w14:textId="77777777" w:rsidR="005B5350" w:rsidRPr="00A5461E" w:rsidRDefault="005B5350" w:rsidP="005B5350">
      <w:pPr>
        <w:pStyle w:val="ChartorTableNote"/>
      </w:pPr>
      <w:r w:rsidRPr="00A419F5">
        <w:t>1</w:t>
      </w:r>
      <w:r w:rsidRPr="00A419F5">
        <w:tab/>
      </w:r>
      <w:r w:rsidRPr="00A5461E">
        <w:t>Right</w:t>
      </w:r>
      <w:r>
        <w:noBreakHyphen/>
      </w:r>
      <w:r w:rsidRPr="00A5461E">
        <w:t>of</w:t>
      </w:r>
      <w:r>
        <w:noBreakHyphen/>
      </w:r>
      <w:r w:rsidRPr="00A5461E">
        <w:t xml:space="preserve">use </w:t>
      </w:r>
      <w:proofErr w:type="gramStart"/>
      <w:r w:rsidRPr="00A5461E">
        <w:t>assets</w:t>
      </w:r>
      <w:proofErr w:type="gramEnd"/>
      <w:r w:rsidRPr="00A5461E">
        <w:t xml:space="preserve"> are included in property, plant and equipment.</w:t>
      </w:r>
    </w:p>
    <w:p w14:paraId="7F597A2F" w14:textId="77777777" w:rsidR="00F27F6B" w:rsidRPr="006534F5" w:rsidRDefault="005B5350" w:rsidP="00F27F6B">
      <w:pPr>
        <w:pStyle w:val="Heading2"/>
      </w:pPr>
      <w:r>
        <w:br w:type="page"/>
      </w:r>
      <w:bookmarkStart w:id="1810" w:name="_Toc146112267"/>
      <w:bookmarkStart w:id="1811" w:name="_Toc207792946"/>
      <w:bookmarkStart w:id="1812" w:name="_Toc207793986"/>
      <w:bookmarkStart w:id="1813" w:name="_Toc207796155"/>
      <w:bookmarkStart w:id="1814" w:name="_Toc207796990"/>
      <w:bookmarkStart w:id="1815" w:name="_Toc207800293"/>
      <w:bookmarkStart w:id="1816" w:name="_Toc207810871"/>
      <w:bookmarkStart w:id="1817" w:name="_Toc208914151"/>
      <w:bookmarkStart w:id="1818" w:name="_Toc209424548"/>
      <w:r w:rsidR="00F27F6B">
        <w:lastRenderedPageBreak/>
        <w:t>Departmental s</w:t>
      </w:r>
      <w:r w:rsidR="00F27F6B" w:rsidRPr="006534F5">
        <w:t>tatement of changes in equity</w:t>
      </w:r>
      <w:bookmarkEnd w:id="1810"/>
      <w:bookmarkEnd w:id="1811"/>
      <w:bookmarkEnd w:id="1812"/>
      <w:bookmarkEnd w:id="1813"/>
      <w:bookmarkEnd w:id="1814"/>
      <w:bookmarkEnd w:id="1815"/>
      <w:bookmarkEnd w:id="1816"/>
      <w:bookmarkEnd w:id="1817"/>
      <w:bookmarkEnd w:id="1818"/>
    </w:p>
    <w:p w14:paraId="26B1497F" w14:textId="77777777" w:rsidR="00F27F6B" w:rsidRPr="00262FF1" w:rsidRDefault="00F27F6B" w:rsidP="00F27F6B">
      <w:pPr>
        <w:pStyle w:val="TableMainHeading"/>
      </w:pPr>
      <w:r w:rsidRPr="00262FF1">
        <w:t>For the period ended 30 June 2025</w:t>
      </w:r>
    </w:p>
    <w:tbl>
      <w:tblPr>
        <w:tblStyle w:val="AOFMTablemain"/>
        <w:tblW w:w="5000" w:type="pct"/>
        <w:tblLook w:val="06A0" w:firstRow="1" w:lastRow="0" w:firstColumn="1" w:lastColumn="0" w:noHBand="1" w:noVBand="1"/>
      </w:tblPr>
      <w:tblGrid>
        <w:gridCol w:w="2746"/>
        <w:gridCol w:w="710"/>
        <w:gridCol w:w="1418"/>
        <w:gridCol w:w="1418"/>
        <w:gridCol w:w="1419"/>
      </w:tblGrid>
      <w:tr w:rsidR="006C235E" w:rsidRPr="006534F5" w14:paraId="04A9D3DA" w14:textId="77777777" w:rsidTr="00D92452">
        <w:trPr>
          <w:cnfStyle w:val="100000000000" w:firstRow="1" w:lastRow="0" w:firstColumn="0" w:lastColumn="0" w:oddVBand="0" w:evenVBand="0" w:oddHBand="0" w:evenHBand="0" w:firstRowFirstColumn="0" w:firstRowLastColumn="0" w:lastRowFirstColumn="0" w:lastRowLastColumn="0"/>
        </w:trPr>
        <w:tc>
          <w:tcPr>
            <w:tcW w:w="1784" w:type="pct"/>
            <w:tcBorders>
              <w:bottom w:val="single" w:sz="4" w:space="0" w:color="29114B" w:themeColor="text2"/>
            </w:tcBorders>
            <w:noWrap/>
            <w:vAlign w:val="bottom"/>
            <w:hideMark/>
          </w:tcPr>
          <w:p w14:paraId="7A5D60AE" w14:textId="77777777" w:rsidR="00F27F6B" w:rsidRPr="007847EF" w:rsidRDefault="00F27F6B" w:rsidP="00630831">
            <w:pPr>
              <w:pStyle w:val="TableColumnHeadingRight"/>
              <w:rPr>
                <w:bCs/>
              </w:rPr>
            </w:pPr>
          </w:p>
        </w:tc>
        <w:tc>
          <w:tcPr>
            <w:tcW w:w="447" w:type="pct"/>
            <w:tcBorders>
              <w:bottom w:val="single" w:sz="4" w:space="0" w:color="29114B" w:themeColor="text2"/>
            </w:tcBorders>
            <w:vAlign w:val="bottom"/>
          </w:tcPr>
          <w:p w14:paraId="6B52E15A" w14:textId="77777777" w:rsidR="00F27F6B" w:rsidRPr="007847EF" w:rsidRDefault="00F27F6B" w:rsidP="00630831">
            <w:pPr>
              <w:pStyle w:val="TableColumnHeadingCentred"/>
            </w:pPr>
            <w:r w:rsidRPr="007847EF">
              <w:t>Notes</w:t>
            </w:r>
          </w:p>
        </w:tc>
        <w:tc>
          <w:tcPr>
            <w:tcW w:w="923" w:type="pct"/>
            <w:tcBorders>
              <w:bottom w:val="single" w:sz="4" w:space="0" w:color="29114B" w:themeColor="text2"/>
            </w:tcBorders>
            <w:noWrap/>
            <w:vAlign w:val="bottom"/>
            <w:hideMark/>
          </w:tcPr>
          <w:p w14:paraId="659C3A7F" w14:textId="77777777" w:rsidR="00F27F6B" w:rsidRDefault="00F27F6B" w:rsidP="00630831">
            <w:pPr>
              <w:pStyle w:val="TableColumnHeadingRight"/>
              <w:rPr>
                <w:bCs/>
              </w:rPr>
            </w:pPr>
            <w:r w:rsidRPr="000E7306">
              <w:rPr>
                <w:bCs/>
              </w:rPr>
              <w:t>202</w:t>
            </w:r>
            <w:r>
              <w:rPr>
                <w:bCs/>
              </w:rPr>
              <w:t xml:space="preserve">5 </w:t>
            </w:r>
          </w:p>
          <w:p w14:paraId="357CFD45" w14:textId="77777777" w:rsidR="00F27F6B" w:rsidRPr="00460DB7" w:rsidRDefault="00F27F6B" w:rsidP="00630831">
            <w:pPr>
              <w:pStyle w:val="TableColumnHeadingRight"/>
              <w:rPr>
                <w:bCs/>
              </w:rPr>
            </w:pPr>
            <w:r>
              <w:rPr>
                <w:bCs/>
              </w:rPr>
              <w:t>$’000</w:t>
            </w:r>
            <w:r w:rsidRPr="000E7306">
              <w:rPr>
                <w:bCs/>
              </w:rPr>
              <w:t xml:space="preserve"> </w:t>
            </w:r>
          </w:p>
        </w:tc>
        <w:tc>
          <w:tcPr>
            <w:tcW w:w="923" w:type="pct"/>
            <w:tcBorders>
              <w:bottom w:val="single" w:sz="4" w:space="0" w:color="29114B" w:themeColor="text2"/>
            </w:tcBorders>
            <w:noWrap/>
            <w:vAlign w:val="bottom"/>
            <w:hideMark/>
          </w:tcPr>
          <w:p w14:paraId="170CFF75" w14:textId="77777777" w:rsidR="00F27F6B" w:rsidRPr="00460DB7" w:rsidRDefault="00F27F6B" w:rsidP="00630831">
            <w:pPr>
              <w:pStyle w:val="TableColumnHeadingRight"/>
              <w:rPr>
                <w:bCs/>
              </w:rPr>
            </w:pPr>
            <w:r w:rsidRPr="00460DB7">
              <w:rPr>
                <w:bCs/>
              </w:rPr>
              <w:t xml:space="preserve">2024 </w:t>
            </w:r>
          </w:p>
          <w:p w14:paraId="68B0F89A" w14:textId="77777777" w:rsidR="00F27F6B" w:rsidRPr="00460DB7" w:rsidRDefault="00F27F6B" w:rsidP="00630831">
            <w:pPr>
              <w:pStyle w:val="TableColumnHeadingRight"/>
              <w:rPr>
                <w:bCs/>
              </w:rPr>
            </w:pPr>
            <w:r w:rsidRPr="00460DB7">
              <w:rPr>
                <w:bCs/>
              </w:rPr>
              <w:t xml:space="preserve">$’000 </w:t>
            </w:r>
          </w:p>
        </w:tc>
        <w:tc>
          <w:tcPr>
            <w:tcW w:w="923" w:type="pct"/>
            <w:tcBorders>
              <w:bottom w:val="single" w:sz="4" w:space="0" w:color="29114B" w:themeColor="text2"/>
            </w:tcBorders>
            <w:vAlign w:val="bottom"/>
            <w:hideMark/>
          </w:tcPr>
          <w:p w14:paraId="683E28A0" w14:textId="77777777" w:rsidR="00F27F6B" w:rsidRDefault="00F27F6B" w:rsidP="00630831">
            <w:pPr>
              <w:pStyle w:val="TableColumnHeadingRight"/>
              <w:rPr>
                <w:bCs/>
              </w:rPr>
            </w:pPr>
            <w:r w:rsidRPr="000E7306">
              <w:rPr>
                <w:bCs/>
              </w:rPr>
              <w:t xml:space="preserve"> Budget</w:t>
            </w:r>
            <w:r>
              <w:rPr>
                <w:bCs/>
              </w:rPr>
              <w:t xml:space="preserve"> </w:t>
            </w:r>
            <w:r w:rsidRPr="000E7306">
              <w:rPr>
                <w:bCs/>
              </w:rPr>
              <w:t>202</w:t>
            </w:r>
            <w:r>
              <w:rPr>
                <w:bCs/>
              </w:rPr>
              <w:t xml:space="preserve">5 </w:t>
            </w:r>
          </w:p>
          <w:p w14:paraId="33A9658E" w14:textId="77777777" w:rsidR="00F27F6B" w:rsidRPr="007847EF" w:rsidRDefault="00F27F6B" w:rsidP="00630831">
            <w:pPr>
              <w:pStyle w:val="TableColumnHeadingRight"/>
              <w:rPr>
                <w:bCs/>
              </w:rPr>
            </w:pPr>
            <w:r>
              <w:rPr>
                <w:bCs/>
              </w:rPr>
              <w:t>$’000</w:t>
            </w:r>
          </w:p>
        </w:tc>
      </w:tr>
      <w:tr w:rsidR="00F27F6B" w:rsidRPr="006534F5" w14:paraId="2AFD6443" w14:textId="77777777" w:rsidTr="00575CA9">
        <w:tc>
          <w:tcPr>
            <w:tcW w:w="1784" w:type="pct"/>
            <w:tcBorders>
              <w:top w:val="single" w:sz="4" w:space="0" w:color="29114B" w:themeColor="text2"/>
              <w:right w:val="single" w:sz="4" w:space="0" w:color="FFFFFF" w:themeColor="background1"/>
            </w:tcBorders>
            <w:shd w:val="clear" w:color="auto" w:fill="auto"/>
            <w:noWrap/>
            <w:hideMark/>
          </w:tcPr>
          <w:p w14:paraId="02310ED1" w14:textId="77777777" w:rsidR="00F27F6B" w:rsidRPr="00575CA9" w:rsidRDefault="00F27F6B" w:rsidP="00630831">
            <w:pPr>
              <w:pStyle w:val="TableSecondHeading"/>
              <w:rPr>
                <w:b/>
              </w:rPr>
            </w:pPr>
            <w:r w:rsidRPr="00575CA9">
              <w:rPr>
                <w:b/>
              </w:rPr>
              <w:t>Retained earnings</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hideMark/>
          </w:tcPr>
          <w:p w14:paraId="2F121961" w14:textId="77777777" w:rsidR="00F27F6B" w:rsidRPr="00575CA9" w:rsidRDefault="00F27F6B" w:rsidP="00630831">
            <w:pPr>
              <w:pStyle w:val="TableTextCentered"/>
              <w:rPr>
                <w:rStyle w:val="Strong"/>
                <w:bCs w:val="0"/>
              </w:rPr>
            </w:pPr>
            <w:r w:rsidRPr="00575CA9">
              <w:rPr>
                <w:rStyle w:val="Strong"/>
                <w:bCs w:val="0"/>
              </w:rPr>
              <w:t> </w:t>
            </w: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64647395" w14:textId="77777777" w:rsidR="00F27F6B" w:rsidRPr="00575CA9" w:rsidRDefault="00F27F6B" w:rsidP="00630831">
            <w:pPr>
              <w:pStyle w:val="TableTextRight"/>
              <w:jc w:val="left"/>
              <w:rPr>
                <w:b/>
                <w:color w:val="202845"/>
              </w:rPr>
            </w:pPr>
            <w:r w:rsidRPr="00575CA9">
              <w:rPr>
                <w:b/>
                <w:color w:val="202845"/>
              </w:rPr>
              <w:t> </w:t>
            </w: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7CB307B2" w14:textId="77777777" w:rsidR="00F27F6B" w:rsidRPr="00575CA9" w:rsidRDefault="00F27F6B" w:rsidP="00630831">
            <w:pPr>
              <w:pStyle w:val="TableTextRight"/>
              <w:rPr>
                <w:b/>
                <w:color w:val="202845"/>
              </w:rPr>
            </w:pPr>
            <w:r w:rsidRPr="00575CA9">
              <w:rPr>
                <w:b/>
                <w:color w:val="202845"/>
              </w:rPr>
              <w:t> </w:t>
            </w:r>
          </w:p>
        </w:tc>
        <w:tc>
          <w:tcPr>
            <w:tcW w:w="923" w:type="pct"/>
            <w:tcBorders>
              <w:top w:val="single" w:sz="4" w:space="0" w:color="29114B" w:themeColor="text2"/>
              <w:left w:val="single" w:sz="4" w:space="0" w:color="FFFFFF" w:themeColor="background1"/>
            </w:tcBorders>
            <w:shd w:val="clear" w:color="auto" w:fill="auto"/>
            <w:hideMark/>
          </w:tcPr>
          <w:p w14:paraId="7B3B3F6E" w14:textId="77777777" w:rsidR="00F27F6B" w:rsidRPr="00575CA9" w:rsidRDefault="00F27F6B" w:rsidP="00630831">
            <w:pPr>
              <w:pStyle w:val="TableTextRight"/>
              <w:rPr>
                <w:b/>
                <w:color w:val="202845"/>
              </w:rPr>
            </w:pPr>
            <w:r w:rsidRPr="00575CA9">
              <w:rPr>
                <w:b/>
                <w:color w:val="202845"/>
              </w:rPr>
              <w:t> </w:t>
            </w:r>
          </w:p>
        </w:tc>
      </w:tr>
      <w:tr w:rsidR="00F27F6B" w:rsidRPr="006534F5" w14:paraId="1E9EC0C2" w14:textId="77777777" w:rsidTr="006A715B">
        <w:tc>
          <w:tcPr>
            <w:tcW w:w="1784" w:type="pct"/>
            <w:noWrap/>
            <w:hideMark/>
          </w:tcPr>
          <w:p w14:paraId="55FC1736" w14:textId="77777777" w:rsidR="00F27F6B" w:rsidRPr="007847EF" w:rsidRDefault="00F27F6B" w:rsidP="00630831">
            <w:pPr>
              <w:pStyle w:val="TableTextLeft"/>
              <w:rPr>
                <w:rStyle w:val="Strong"/>
              </w:rPr>
            </w:pPr>
            <w:r w:rsidRPr="007847EF">
              <w:rPr>
                <w:rStyle w:val="Strong"/>
              </w:rPr>
              <w:t>Opening balance</w:t>
            </w:r>
          </w:p>
        </w:tc>
        <w:tc>
          <w:tcPr>
            <w:tcW w:w="447" w:type="pct"/>
            <w:noWrap/>
            <w:hideMark/>
          </w:tcPr>
          <w:p w14:paraId="43134749" w14:textId="77777777" w:rsidR="00F27F6B" w:rsidRPr="007847EF" w:rsidRDefault="00F27F6B" w:rsidP="00630831">
            <w:pPr>
              <w:pStyle w:val="TableTextCentered"/>
              <w:rPr>
                <w:rStyle w:val="Strong"/>
              </w:rPr>
            </w:pPr>
            <w:r w:rsidRPr="007847EF">
              <w:rPr>
                <w:rStyle w:val="Strong"/>
              </w:rPr>
              <w:t> </w:t>
            </w:r>
          </w:p>
        </w:tc>
        <w:tc>
          <w:tcPr>
            <w:tcW w:w="923" w:type="pct"/>
            <w:shd w:val="clear" w:color="auto" w:fill="E7DCF7" w:themeFill="text2" w:themeFillTint="1A"/>
            <w:noWrap/>
          </w:tcPr>
          <w:p w14:paraId="55A29F19" w14:textId="77777777" w:rsidR="00F27F6B" w:rsidRPr="00AE665D" w:rsidRDefault="00F27F6B" w:rsidP="00630831">
            <w:pPr>
              <w:pStyle w:val="TableTextRight"/>
              <w:rPr>
                <w:b/>
                <w:bCs/>
                <w:color w:val="auto"/>
              </w:rPr>
            </w:pPr>
            <w:r>
              <w:rPr>
                <w:b/>
                <w:bCs/>
                <w:color w:val="auto"/>
              </w:rPr>
              <w:t>45,619</w:t>
            </w:r>
          </w:p>
        </w:tc>
        <w:tc>
          <w:tcPr>
            <w:tcW w:w="923" w:type="pct"/>
            <w:noWrap/>
            <w:hideMark/>
          </w:tcPr>
          <w:p w14:paraId="5ABE6B48" w14:textId="77777777" w:rsidR="00F27F6B" w:rsidRPr="00AE665D" w:rsidRDefault="00F27F6B" w:rsidP="00630831">
            <w:pPr>
              <w:pStyle w:val="TableTextRight"/>
              <w:rPr>
                <w:color w:val="auto"/>
              </w:rPr>
            </w:pPr>
            <w:r>
              <w:rPr>
                <w:b/>
                <w:color w:val="auto"/>
              </w:rPr>
              <w:t>41,658</w:t>
            </w:r>
            <w:r w:rsidRPr="00AE665D">
              <w:rPr>
                <w:b/>
                <w:bCs/>
                <w:color w:val="auto"/>
              </w:rPr>
              <w:t xml:space="preserve"> </w:t>
            </w:r>
          </w:p>
        </w:tc>
        <w:tc>
          <w:tcPr>
            <w:tcW w:w="923" w:type="pct"/>
            <w:shd w:val="clear" w:color="auto" w:fill="E7DCF7" w:themeFill="text2" w:themeFillTint="1A"/>
            <w:noWrap/>
          </w:tcPr>
          <w:p w14:paraId="562683E5" w14:textId="77777777" w:rsidR="00F27F6B" w:rsidRPr="00AE665D" w:rsidRDefault="00F27F6B" w:rsidP="00630831">
            <w:pPr>
              <w:pStyle w:val="TableTextRight"/>
              <w:rPr>
                <w:b/>
                <w:bCs/>
                <w:color w:val="auto"/>
              </w:rPr>
            </w:pPr>
            <w:r>
              <w:rPr>
                <w:b/>
                <w:bCs/>
                <w:color w:val="auto"/>
              </w:rPr>
              <w:t>44,043</w:t>
            </w:r>
          </w:p>
        </w:tc>
      </w:tr>
      <w:tr w:rsidR="00F27F6B" w:rsidRPr="006534F5" w14:paraId="28C1B867" w14:textId="77777777" w:rsidTr="006A715B">
        <w:tc>
          <w:tcPr>
            <w:tcW w:w="1784" w:type="pct"/>
            <w:noWrap/>
            <w:hideMark/>
          </w:tcPr>
          <w:p w14:paraId="4B55A0C7" w14:textId="77777777" w:rsidR="00F27F6B" w:rsidRPr="006534F5" w:rsidRDefault="00F27F6B" w:rsidP="00630831">
            <w:pPr>
              <w:pStyle w:val="TableTextLeft"/>
            </w:pPr>
            <w:r>
              <w:t>(Deficit)/surplus for the period</w:t>
            </w:r>
          </w:p>
        </w:tc>
        <w:tc>
          <w:tcPr>
            <w:tcW w:w="447" w:type="pct"/>
            <w:noWrap/>
            <w:hideMark/>
          </w:tcPr>
          <w:p w14:paraId="2F05C504" w14:textId="77777777" w:rsidR="00F27F6B" w:rsidRPr="006534F5" w:rsidRDefault="00F27F6B" w:rsidP="00630831">
            <w:pPr>
              <w:pStyle w:val="TableTextCentered"/>
              <w:rPr>
                <w:color w:val="202845"/>
              </w:rPr>
            </w:pPr>
            <w:r w:rsidRPr="006534F5">
              <w:rPr>
                <w:color w:val="202845"/>
              </w:rPr>
              <w:t> </w:t>
            </w:r>
          </w:p>
        </w:tc>
        <w:tc>
          <w:tcPr>
            <w:tcW w:w="923" w:type="pct"/>
            <w:shd w:val="clear" w:color="auto" w:fill="E7DCF7" w:themeFill="text2" w:themeFillTint="1A"/>
            <w:noWrap/>
          </w:tcPr>
          <w:p w14:paraId="0B63F250" w14:textId="77777777" w:rsidR="00F27F6B" w:rsidRPr="00FC1026" w:rsidRDefault="00F27F6B" w:rsidP="00630831">
            <w:pPr>
              <w:pStyle w:val="TableTextRight"/>
              <w:rPr>
                <w:color w:val="auto"/>
              </w:rPr>
            </w:pPr>
            <w:r w:rsidRPr="00FC1026">
              <w:rPr>
                <w:color w:val="auto"/>
              </w:rPr>
              <w:t>(238)</w:t>
            </w:r>
          </w:p>
        </w:tc>
        <w:tc>
          <w:tcPr>
            <w:tcW w:w="923" w:type="pct"/>
            <w:noWrap/>
            <w:hideMark/>
          </w:tcPr>
          <w:p w14:paraId="1453A1F6" w14:textId="77777777" w:rsidR="00F27F6B" w:rsidRPr="00FC1026" w:rsidRDefault="00F27F6B" w:rsidP="00630831">
            <w:pPr>
              <w:pStyle w:val="TableTextRight"/>
              <w:rPr>
                <w:color w:val="auto"/>
              </w:rPr>
            </w:pPr>
            <w:r w:rsidRPr="00FC1026">
              <w:rPr>
                <w:color w:val="auto"/>
              </w:rPr>
              <w:t xml:space="preserve">3,962 </w:t>
            </w:r>
          </w:p>
        </w:tc>
        <w:tc>
          <w:tcPr>
            <w:tcW w:w="923" w:type="pct"/>
            <w:shd w:val="clear" w:color="auto" w:fill="E7DCF7" w:themeFill="text2" w:themeFillTint="1A"/>
            <w:noWrap/>
          </w:tcPr>
          <w:p w14:paraId="67790500" w14:textId="77777777" w:rsidR="00F27F6B" w:rsidRPr="00FC1026" w:rsidRDefault="00F27F6B" w:rsidP="00630831">
            <w:pPr>
              <w:pStyle w:val="TableTextRight"/>
              <w:rPr>
                <w:color w:val="auto"/>
              </w:rPr>
            </w:pPr>
            <w:r w:rsidRPr="00FC1026">
              <w:rPr>
                <w:color w:val="auto"/>
              </w:rPr>
              <w:t>(337)</w:t>
            </w:r>
          </w:p>
        </w:tc>
      </w:tr>
      <w:tr w:rsidR="00F27F6B" w:rsidRPr="006534F5" w14:paraId="0B30AD18" w14:textId="77777777" w:rsidTr="006A715B">
        <w:tc>
          <w:tcPr>
            <w:tcW w:w="1784" w:type="pct"/>
            <w:tcBorders>
              <w:bottom w:val="single" w:sz="4" w:space="0" w:color="29114B" w:themeColor="text2"/>
            </w:tcBorders>
            <w:noWrap/>
            <w:hideMark/>
          </w:tcPr>
          <w:p w14:paraId="2ACC145F" w14:textId="77777777" w:rsidR="00F27F6B" w:rsidRPr="007847EF" w:rsidRDefault="00F27F6B" w:rsidP="00630831">
            <w:pPr>
              <w:pStyle w:val="TableTextLeft"/>
              <w:rPr>
                <w:rStyle w:val="Strong"/>
              </w:rPr>
            </w:pPr>
            <w:r>
              <w:rPr>
                <w:rStyle w:val="Strong"/>
              </w:rPr>
              <w:t xml:space="preserve">Closing balance as </w:t>
            </w:r>
            <w:proofErr w:type="gramStart"/>
            <w:r>
              <w:rPr>
                <w:rStyle w:val="Strong"/>
              </w:rPr>
              <w:t>at</w:t>
            </w:r>
            <w:proofErr w:type="gramEnd"/>
            <w:r>
              <w:rPr>
                <w:rStyle w:val="Strong"/>
              </w:rPr>
              <w:t xml:space="preserve"> 30 June</w:t>
            </w:r>
          </w:p>
        </w:tc>
        <w:tc>
          <w:tcPr>
            <w:tcW w:w="447" w:type="pct"/>
            <w:tcBorders>
              <w:bottom w:val="single" w:sz="4" w:space="0" w:color="29114B" w:themeColor="text2"/>
            </w:tcBorders>
            <w:noWrap/>
            <w:hideMark/>
          </w:tcPr>
          <w:p w14:paraId="723648E4" w14:textId="77777777" w:rsidR="00F27F6B" w:rsidRPr="006534F5" w:rsidRDefault="00F27F6B" w:rsidP="00630831">
            <w:pPr>
              <w:pStyle w:val="TableTextCentered"/>
              <w:rPr>
                <w:color w:val="202845"/>
              </w:rPr>
            </w:pPr>
            <w:r w:rsidRPr="006534F5">
              <w:rPr>
                <w:color w:val="202845"/>
              </w:rPr>
              <w:t> </w:t>
            </w:r>
          </w:p>
        </w:tc>
        <w:tc>
          <w:tcPr>
            <w:tcW w:w="923" w:type="pct"/>
            <w:tcBorders>
              <w:bottom w:val="single" w:sz="4" w:space="0" w:color="29114B" w:themeColor="text2"/>
            </w:tcBorders>
            <w:shd w:val="clear" w:color="auto" w:fill="E7DCF7" w:themeFill="text2" w:themeFillTint="1A"/>
            <w:noWrap/>
          </w:tcPr>
          <w:p w14:paraId="27973E80" w14:textId="77777777" w:rsidR="00F27F6B" w:rsidRPr="00AE665D" w:rsidRDefault="00F27F6B" w:rsidP="00630831">
            <w:pPr>
              <w:pStyle w:val="TableTextRight"/>
              <w:rPr>
                <w:b/>
                <w:bCs/>
                <w:color w:val="auto"/>
              </w:rPr>
            </w:pPr>
            <w:r>
              <w:rPr>
                <w:b/>
                <w:bCs/>
                <w:color w:val="auto"/>
              </w:rPr>
              <w:t>45,381</w:t>
            </w:r>
          </w:p>
        </w:tc>
        <w:tc>
          <w:tcPr>
            <w:tcW w:w="923" w:type="pct"/>
            <w:tcBorders>
              <w:bottom w:val="single" w:sz="4" w:space="0" w:color="29114B" w:themeColor="text2"/>
            </w:tcBorders>
            <w:noWrap/>
            <w:hideMark/>
          </w:tcPr>
          <w:p w14:paraId="70458F16" w14:textId="77777777" w:rsidR="00F27F6B" w:rsidRPr="00AE665D" w:rsidRDefault="00F27F6B" w:rsidP="00630831">
            <w:pPr>
              <w:pStyle w:val="TableTextRight"/>
              <w:rPr>
                <w:b/>
                <w:bCs/>
                <w:color w:val="auto"/>
              </w:rPr>
            </w:pPr>
            <w:r>
              <w:rPr>
                <w:b/>
                <w:bCs/>
                <w:color w:val="auto"/>
              </w:rPr>
              <w:t>45,620</w:t>
            </w:r>
            <w:r w:rsidRPr="00AE665D">
              <w:rPr>
                <w:b/>
                <w:bCs/>
                <w:color w:val="auto"/>
              </w:rPr>
              <w:t xml:space="preserve"> </w:t>
            </w:r>
          </w:p>
        </w:tc>
        <w:tc>
          <w:tcPr>
            <w:tcW w:w="923" w:type="pct"/>
            <w:tcBorders>
              <w:bottom w:val="single" w:sz="4" w:space="0" w:color="29114B" w:themeColor="text2"/>
            </w:tcBorders>
            <w:shd w:val="clear" w:color="auto" w:fill="E7DCF7" w:themeFill="text2" w:themeFillTint="1A"/>
            <w:noWrap/>
          </w:tcPr>
          <w:p w14:paraId="378F2FFC" w14:textId="77777777" w:rsidR="00F27F6B" w:rsidRPr="00AE665D" w:rsidRDefault="00F27F6B" w:rsidP="00630831">
            <w:pPr>
              <w:pStyle w:val="TableTextRight"/>
              <w:rPr>
                <w:b/>
                <w:bCs/>
                <w:color w:val="auto"/>
              </w:rPr>
            </w:pPr>
            <w:r>
              <w:rPr>
                <w:b/>
                <w:bCs/>
                <w:color w:val="auto"/>
              </w:rPr>
              <w:t>43,706</w:t>
            </w:r>
          </w:p>
        </w:tc>
      </w:tr>
      <w:tr w:rsidR="00F27F6B" w:rsidRPr="006534F5" w14:paraId="32C2AB1E" w14:textId="77777777" w:rsidTr="00575CA9">
        <w:tc>
          <w:tcPr>
            <w:tcW w:w="1784" w:type="pct"/>
            <w:tcBorders>
              <w:top w:val="single" w:sz="4" w:space="0" w:color="29114B" w:themeColor="text2"/>
              <w:right w:val="single" w:sz="4" w:space="0" w:color="FFFFFF" w:themeColor="background1"/>
            </w:tcBorders>
            <w:shd w:val="clear" w:color="auto" w:fill="auto"/>
            <w:noWrap/>
          </w:tcPr>
          <w:p w14:paraId="656D1D53" w14:textId="77777777" w:rsidR="00F27F6B" w:rsidRPr="00575CA9" w:rsidRDefault="00F27F6B" w:rsidP="00630831">
            <w:pPr>
              <w:pStyle w:val="TableSecondHeading"/>
              <w:rPr>
                <w:rStyle w:val="Strong"/>
                <w:b w:val="0"/>
              </w:rPr>
            </w:pPr>
            <w:r w:rsidRPr="00575CA9">
              <w:rPr>
                <w:b/>
              </w:rPr>
              <w:t>Asset revaluation reserve</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260AEE6B" w14:textId="77777777" w:rsidR="00F27F6B" w:rsidRPr="00575CA9" w:rsidRDefault="00F27F6B" w:rsidP="00630831">
            <w:pPr>
              <w:pStyle w:val="TableTextCentered"/>
              <w:rPr>
                <w:b/>
                <w:color w:val="202845"/>
              </w:rPr>
            </w:pP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0C693C9E" w14:textId="77777777" w:rsidR="00F27F6B" w:rsidRPr="00575CA9" w:rsidRDefault="00F27F6B" w:rsidP="00630831">
            <w:pPr>
              <w:pStyle w:val="TableTextRight"/>
              <w:rPr>
                <w:b/>
                <w:color w:val="auto"/>
              </w:rPr>
            </w:pP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3C472049" w14:textId="77777777" w:rsidR="00F27F6B" w:rsidRPr="00575CA9" w:rsidRDefault="00F27F6B" w:rsidP="00630831">
            <w:pPr>
              <w:pStyle w:val="TableTextRight"/>
              <w:rPr>
                <w:b/>
                <w:color w:val="auto"/>
              </w:rPr>
            </w:pPr>
          </w:p>
        </w:tc>
        <w:tc>
          <w:tcPr>
            <w:tcW w:w="923" w:type="pct"/>
            <w:tcBorders>
              <w:top w:val="single" w:sz="4" w:space="0" w:color="29114B" w:themeColor="text2"/>
              <w:left w:val="single" w:sz="4" w:space="0" w:color="FFFFFF" w:themeColor="background1"/>
            </w:tcBorders>
            <w:shd w:val="clear" w:color="auto" w:fill="auto"/>
            <w:noWrap/>
          </w:tcPr>
          <w:p w14:paraId="0FAE74C7" w14:textId="77777777" w:rsidR="00F27F6B" w:rsidRPr="00575CA9" w:rsidRDefault="00F27F6B" w:rsidP="00630831">
            <w:pPr>
              <w:pStyle w:val="TableTextRight"/>
              <w:rPr>
                <w:b/>
                <w:color w:val="auto"/>
              </w:rPr>
            </w:pPr>
          </w:p>
        </w:tc>
      </w:tr>
      <w:tr w:rsidR="00F27F6B" w:rsidRPr="006534F5" w14:paraId="24E07F8B" w14:textId="77777777" w:rsidTr="006A715B">
        <w:tc>
          <w:tcPr>
            <w:tcW w:w="1784" w:type="pct"/>
            <w:noWrap/>
            <w:hideMark/>
          </w:tcPr>
          <w:p w14:paraId="712B79E8" w14:textId="77777777" w:rsidR="00F27F6B" w:rsidRPr="007847EF" w:rsidRDefault="00F27F6B" w:rsidP="00630831">
            <w:pPr>
              <w:pStyle w:val="TableTextLeft"/>
              <w:rPr>
                <w:rStyle w:val="Strong"/>
              </w:rPr>
            </w:pPr>
            <w:r w:rsidRPr="007847EF">
              <w:rPr>
                <w:rStyle w:val="Strong"/>
              </w:rPr>
              <w:t>Opening balance</w:t>
            </w:r>
          </w:p>
        </w:tc>
        <w:tc>
          <w:tcPr>
            <w:tcW w:w="447" w:type="pct"/>
            <w:noWrap/>
            <w:hideMark/>
          </w:tcPr>
          <w:p w14:paraId="2BF0BB95" w14:textId="77777777" w:rsidR="00F27F6B" w:rsidRPr="006534F5" w:rsidRDefault="00F27F6B" w:rsidP="00630831">
            <w:pPr>
              <w:pStyle w:val="TableTextCentered"/>
            </w:pPr>
            <w:r w:rsidRPr="006534F5">
              <w:t> </w:t>
            </w:r>
          </w:p>
        </w:tc>
        <w:tc>
          <w:tcPr>
            <w:tcW w:w="923" w:type="pct"/>
            <w:shd w:val="clear" w:color="auto" w:fill="E7DCF7" w:themeFill="text2" w:themeFillTint="1A"/>
            <w:noWrap/>
          </w:tcPr>
          <w:p w14:paraId="4D59182C" w14:textId="77777777" w:rsidR="00F27F6B" w:rsidRPr="00AE665D" w:rsidRDefault="00F27F6B" w:rsidP="00630831">
            <w:pPr>
              <w:pStyle w:val="TableTextRight"/>
              <w:rPr>
                <w:b/>
                <w:bCs/>
                <w:color w:val="auto"/>
              </w:rPr>
            </w:pPr>
            <w:r>
              <w:rPr>
                <w:b/>
                <w:bCs/>
                <w:color w:val="auto"/>
              </w:rPr>
              <w:t>715</w:t>
            </w:r>
          </w:p>
        </w:tc>
        <w:tc>
          <w:tcPr>
            <w:tcW w:w="923" w:type="pct"/>
            <w:noWrap/>
            <w:hideMark/>
          </w:tcPr>
          <w:p w14:paraId="6E01300A" w14:textId="77777777" w:rsidR="00F27F6B" w:rsidRPr="00AE665D" w:rsidRDefault="00F27F6B" w:rsidP="00630831">
            <w:pPr>
              <w:pStyle w:val="TableTextRight"/>
              <w:rPr>
                <w:color w:val="auto"/>
              </w:rPr>
            </w:pPr>
            <w:r>
              <w:rPr>
                <w:b/>
                <w:bCs/>
                <w:color w:val="auto"/>
              </w:rPr>
              <w:t>7</w:t>
            </w:r>
            <w:r w:rsidRPr="00AE665D">
              <w:rPr>
                <w:b/>
                <w:bCs/>
                <w:color w:val="auto"/>
              </w:rPr>
              <w:t xml:space="preserve">15 </w:t>
            </w:r>
          </w:p>
        </w:tc>
        <w:tc>
          <w:tcPr>
            <w:tcW w:w="923" w:type="pct"/>
            <w:shd w:val="clear" w:color="auto" w:fill="E7DCF7" w:themeFill="text2" w:themeFillTint="1A"/>
            <w:noWrap/>
          </w:tcPr>
          <w:p w14:paraId="3E9CEA97" w14:textId="77777777" w:rsidR="00F27F6B" w:rsidRPr="00AE665D" w:rsidRDefault="00F27F6B" w:rsidP="00630831">
            <w:pPr>
              <w:pStyle w:val="TableTextRight"/>
              <w:rPr>
                <w:b/>
                <w:bCs/>
                <w:color w:val="auto"/>
              </w:rPr>
            </w:pPr>
            <w:r>
              <w:rPr>
                <w:b/>
                <w:bCs/>
                <w:color w:val="auto"/>
              </w:rPr>
              <w:t>715</w:t>
            </w:r>
          </w:p>
        </w:tc>
      </w:tr>
      <w:tr w:rsidR="00F27F6B" w:rsidRPr="006534F5" w14:paraId="109E5B80" w14:textId="77777777" w:rsidTr="006A715B">
        <w:tc>
          <w:tcPr>
            <w:tcW w:w="1784" w:type="pct"/>
            <w:tcBorders>
              <w:bottom w:val="single" w:sz="4" w:space="0" w:color="29114B" w:themeColor="text2"/>
            </w:tcBorders>
            <w:noWrap/>
            <w:hideMark/>
          </w:tcPr>
          <w:p w14:paraId="5389C56C" w14:textId="77777777" w:rsidR="00F27F6B" w:rsidRPr="007847EF" w:rsidRDefault="00F27F6B" w:rsidP="00630831">
            <w:pPr>
              <w:pStyle w:val="TableTextLeft"/>
              <w:rPr>
                <w:rStyle w:val="Strong"/>
              </w:rPr>
            </w:pPr>
            <w:r>
              <w:rPr>
                <w:rStyle w:val="Strong"/>
              </w:rPr>
              <w:t xml:space="preserve">Closing balance as </w:t>
            </w:r>
            <w:proofErr w:type="gramStart"/>
            <w:r>
              <w:rPr>
                <w:rStyle w:val="Strong"/>
              </w:rPr>
              <w:t>at</w:t>
            </w:r>
            <w:proofErr w:type="gramEnd"/>
            <w:r>
              <w:rPr>
                <w:rStyle w:val="Strong"/>
              </w:rPr>
              <w:t xml:space="preserve"> 30 June</w:t>
            </w:r>
          </w:p>
        </w:tc>
        <w:tc>
          <w:tcPr>
            <w:tcW w:w="447" w:type="pct"/>
            <w:tcBorders>
              <w:bottom w:val="single" w:sz="4" w:space="0" w:color="29114B" w:themeColor="text2"/>
            </w:tcBorders>
            <w:noWrap/>
            <w:hideMark/>
          </w:tcPr>
          <w:p w14:paraId="6767967A" w14:textId="77777777" w:rsidR="00F27F6B" w:rsidRPr="006534F5" w:rsidRDefault="00F27F6B" w:rsidP="00630831">
            <w:pPr>
              <w:pStyle w:val="TableTextCentered"/>
            </w:pPr>
            <w:r w:rsidRPr="006534F5">
              <w:t> </w:t>
            </w:r>
          </w:p>
        </w:tc>
        <w:tc>
          <w:tcPr>
            <w:tcW w:w="923" w:type="pct"/>
            <w:tcBorders>
              <w:bottom w:val="single" w:sz="4" w:space="0" w:color="29114B" w:themeColor="text2"/>
            </w:tcBorders>
            <w:shd w:val="clear" w:color="auto" w:fill="E7DCF7" w:themeFill="text2" w:themeFillTint="1A"/>
            <w:noWrap/>
          </w:tcPr>
          <w:p w14:paraId="0C04A2C9" w14:textId="77777777" w:rsidR="00F27F6B" w:rsidRPr="00AE665D" w:rsidRDefault="00F27F6B" w:rsidP="00630831">
            <w:pPr>
              <w:pStyle w:val="TableTextRight"/>
              <w:rPr>
                <w:b/>
                <w:bCs/>
                <w:color w:val="auto"/>
              </w:rPr>
            </w:pPr>
            <w:r>
              <w:rPr>
                <w:b/>
                <w:bCs/>
                <w:color w:val="auto"/>
              </w:rPr>
              <w:t>715</w:t>
            </w:r>
          </w:p>
        </w:tc>
        <w:tc>
          <w:tcPr>
            <w:tcW w:w="923" w:type="pct"/>
            <w:tcBorders>
              <w:bottom w:val="single" w:sz="4" w:space="0" w:color="29114B" w:themeColor="text2"/>
            </w:tcBorders>
            <w:noWrap/>
            <w:hideMark/>
          </w:tcPr>
          <w:p w14:paraId="28E5B20B" w14:textId="77777777" w:rsidR="00F27F6B" w:rsidRPr="00AE665D" w:rsidRDefault="00F27F6B" w:rsidP="00630831">
            <w:pPr>
              <w:pStyle w:val="TableTextRight"/>
              <w:rPr>
                <w:b/>
                <w:bCs/>
                <w:color w:val="auto"/>
              </w:rPr>
            </w:pPr>
            <w:r w:rsidRPr="00AE665D">
              <w:rPr>
                <w:b/>
                <w:bCs/>
                <w:color w:val="auto"/>
              </w:rPr>
              <w:t xml:space="preserve">715 </w:t>
            </w:r>
          </w:p>
        </w:tc>
        <w:tc>
          <w:tcPr>
            <w:tcW w:w="923" w:type="pct"/>
            <w:tcBorders>
              <w:bottom w:val="single" w:sz="4" w:space="0" w:color="29114B" w:themeColor="text2"/>
            </w:tcBorders>
            <w:shd w:val="clear" w:color="auto" w:fill="E7DCF7" w:themeFill="text2" w:themeFillTint="1A"/>
            <w:noWrap/>
          </w:tcPr>
          <w:p w14:paraId="0EEC0C3E" w14:textId="77777777" w:rsidR="00F27F6B" w:rsidRPr="00AE665D" w:rsidRDefault="00F27F6B" w:rsidP="00630831">
            <w:pPr>
              <w:pStyle w:val="TableTextRight"/>
              <w:rPr>
                <w:b/>
                <w:bCs/>
                <w:color w:val="auto"/>
              </w:rPr>
            </w:pPr>
            <w:r>
              <w:rPr>
                <w:b/>
                <w:bCs/>
                <w:color w:val="auto"/>
              </w:rPr>
              <w:t>715</w:t>
            </w:r>
          </w:p>
        </w:tc>
      </w:tr>
      <w:tr w:rsidR="00F27F6B" w:rsidRPr="006534F5" w14:paraId="5408D555" w14:textId="77777777" w:rsidTr="00575CA9">
        <w:tc>
          <w:tcPr>
            <w:tcW w:w="1784" w:type="pct"/>
            <w:tcBorders>
              <w:top w:val="single" w:sz="4" w:space="0" w:color="29114B" w:themeColor="text2"/>
              <w:right w:val="single" w:sz="4" w:space="0" w:color="FFFFFF" w:themeColor="background1"/>
            </w:tcBorders>
            <w:shd w:val="clear" w:color="auto" w:fill="auto"/>
            <w:noWrap/>
            <w:hideMark/>
          </w:tcPr>
          <w:p w14:paraId="26290116" w14:textId="77777777" w:rsidR="00F27F6B" w:rsidRPr="00F27F6B" w:rsidRDefault="00F27F6B" w:rsidP="00630831">
            <w:pPr>
              <w:pStyle w:val="TableSecondHeading"/>
              <w:rPr>
                <w:rStyle w:val="Strong"/>
                <w:b w:val="0"/>
                <w:bCs w:val="0"/>
              </w:rPr>
            </w:pPr>
            <w:r w:rsidRPr="00F27F6B">
              <w:rPr>
                <w:rStyle w:val="Strong"/>
                <w:bCs w:val="0"/>
              </w:rPr>
              <w:t>Contributed equity</w:t>
            </w:r>
          </w:p>
        </w:tc>
        <w:tc>
          <w:tcPr>
            <w:tcW w:w="447" w:type="pct"/>
            <w:tcBorders>
              <w:top w:val="single" w:sz="4" w:space="0" w:color="29114B" w:themeColor="text2"/>
              <w:left w:val="single" w:sz="4" w:space="0" w:color="FFFFFF" w:themeColor="background1"/>
              <w:right w:val="single" w:sz="4" w:space="0" w:color="FFFFFF" w:themeColor="background1"/>
            </w:tcBorders>
            <w:shd w:val="clear" w:color="auto" w:fill="auto"/>
            <w:noWrap/>
            <w:hideMark/>
          </w:tcPr>
          <w:p w14:paraId="0E1B7CB1" w14:textId="77777777" w:rsidR="00F27F6B" w:rsidRPr="006534F5" w:rsidRDefault="00F27F6B" w:rsidP="00630831">
            <w:pPr>
              <w:pStyle w:val="TableTextCentered"/>
            </w:pPr>
            <w:r w:rsidRPr="006534F5">
              <w:t> </w:t>
            </w: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tcPr>
          <w:p w14:paraId="4F8B41A8" w14:textId="77777777" w:rsidR="00F27F6B" w:rsidRPr="00FC1026" w:rsidRDefault="00F27F6B" w:rsidP="00630831">
            <w:pPr>
              <w:pStyle w:val="TableTextRight"/>
              <w:rPr>
                <w:b/>
                <w:bCs/>
                <w:color w:val="auto"/>
              </w:rPr>
            </w:pPr>
          </w:p>
        </w:tc>
        <w:tc>
          <w:tcPr>
            <w:tcW w:w="923"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2C629C14" w14:textId="77777777" w:rsidR="00F27F6B" w:rsidRPr="006534F5" w:rsidRDefault="00F27F6B" w:rsidP="00630831">
            <w:pPr>
              <w:pStyle w:val="TableTextRight"/>
              <w:rPr>
                <w:color w:val="202845"/>
              </w:rPr>
            </w:pPr>
            <w:r>
              <w:rPr>
                <w:b/>
                <w:bCs/>
                <w:color w:val="202845"/>
              </w:rPr>
              <w:t> </w:t>
            </w:r>
          </w:p>
        </w:tc>
        <w:tc>
          <w:tcPr>
            <w:tcW w:w="923" w:type="pct"/>
            <w:tcBorders>
              <w:top w:val="single" w:sz="4" w:space="0" w:color="29114B" w:themeColor="text2"/>
              <w:left w:val="single" w:sz="4" w:space="0" w:color="FFFFFF" w:themeColor="background1"/>
            </w:tcBorders>
            <w:shd w:val="clear" w:color="auto" w:fill="auto"/>
          </w:tcPr>
          <w:p w14:paraId="5E0A8122" w14:textId="77777777" w:rsidR="00F27F6B" w:rsidRPr="00FC1026" w:rsidRDefault="00F27F6B" w:rsidP="00630831">
            <w:pPr>
              <w:pStyle w:val="TableTextRight"/>
              <w:rPr>
                <w:b/>
                <w:bCs/>
                <w:color w:val="auto"/>
              </w:rPr>
            </w:pPr>
          </w:p>
        </w:tc>
      </w:tr>
      <w:tr w:rsidR="00F27F6B" w:rsidRPr="006534F5" w14:paraId="2973B0B8" w14:textId="77777777" w:rsidTr="006A715B">
        <w:tc>
          <w:tcPr>
            <w:tcW w:w="1784" w:type="pct"/>
            <w:noWrap/>
            <w:hideMark/>
          </w:tcPr>
          <w:p w14:paraId="71ED11DD" w14:textId="77777777" w:rsidR="00F27F6B" w:rsidRPr="006534F5" w:rsidRDefault="00F27F6B" w:rsidP="00630831">
            <w:pPr>
              <w:pStyle w:val="TableTextLeft"/>
            </w:pPr>
            <w:r w:rsidRPr="006534F5">
              <w:t>Opening balance</w:t>
            </w:r>
            <w:r>
              <w:t xml:space="preserve"> as </w:t>
            </w:r>
            <w:proofErr w:type="gramStart"/>
            <w:r>
              <w:t>at</w:t>
            </w:r>
            <w:proofErr w:type="gramEnd"/>
            <w:r>
              <w:t xml:space="preserve"> 1 July</w:t>
            </w:r>
          </w:p>
        </w:tc>
        <w:tc>
          <w:tcPr>
            <w:tcW w:w="447" w:type="pct"/>
            <w:noWrap/>
            <w:hideMark/>
          </w:tcPr>
          <w:p w14:paraId="2ED35262" w14:textId="77777777" w:rsidR="00F27F6B" w:rsidRPr="006534F5" w:rsidRDefault="00F27F6B" w:rsidP="00630831">
            <w:pPr>
              <w:pStyle w:val="TableTextCentered"/>
            </w:pPr>
            <w:r w:rsidRPr="006534F5">
              <w:t> </w:t>
            </w:r>
          </w:p>
        </w:tc>
        <w:tc>
          <w:tcPr>
            <w:tcW w:w="923" w:type="pct"/>
            <w:shd w:val="clear" w:color="auto" w:fill="E7DCF7" w:themeFill="text2" w:themeFillTint="1A"/>
            <w:noWrap/>
          </w:tcPr>
          <w:p w14:paraId="7C0C4041" w14:textId="77777777" w:rsidR="00F27F6B" w:rsidRPr="00AE665D" w:rsidRDefault="00F27F6B" w:rsidP="00630831">
            <w:pPr>
              <w:pStyle w:val="TableTextRight"/>
              <w:rPr>
                <w:b/>
                <w:bCs/>
                <w:color w:val="auto"/>
              </w:rPr>
            </w:pPr>
            <w:r>
              <w:rPr>
                <w:b/>
                <w:bCs/>
                <w:color w:val="auto"/>
              </w:rPr>
              <w:t>(12,406)</w:t>
            </w:r>
          </w:p>
        </w:tc>
        <w:tc>
          <w:tcPr>
            <w:tcW w:w="923" w:type="pct"/>
            <w:noWrap/>
            <w:hideMark/>
          </w:tcPr>
          <w:p w14:paraId="7D0A08D4" w14:textId="77777777" w:rsidR="00F27F6B" w:rsidRPr="00AE665D" w:rsidRDefault="00F27F6B" w:rsidP="00630831">
            <w:pPr>
              <w:pStyle w:val="TableTextRight"/>
              <w:rPr>
                <w:color w:val="auto"/>
              </w:rPr>
            </w:pPr>
            <w:r w:rsidRPr="00AE665D">
              <w:rPr>
                <w:b/>
                <w:color w:val="auto"/>
              </w:rPr>
              <w:t>(</w:t>
            </w:r>
            <w:r>
              <w:rPr>
                <w:b/>
                <w:color w:val="auto"/>
              </w:rPr>
              <w:t>10,677</w:t>
            </w:r>
            <w:r w:rsidRPr="00AE665D">
              <w:rPr>
                <w:b/>
                <w:color w:val="auto"/>
              </w:rPr>
              <w:t>)</w:t>
            </w:r>
          </w:p>
        </w:tc>
        <w:tc>
          <w:tcPr>
            <w:tcW w:w="923" w:type="pct"/>
            <w:shd w:val="clear" w:color="auto" w:fill="E7DCF7" w:themeFill="text2" w:themeFillTint="1A"/>
            <w:noWrap/>
          </w:tcPr>
          <w:p w14:paraId="050199BE" w14:textId="77777777" w:rsidR="00F27F6B" w:rsidRPr="00AE665D" w:rsidRDefault="00F27F6B" w:rsidP="00630831">
            <w:pPr>
              <w:pStyle w:val="TableTextRight"/>
              <w:rPr>
                <w:b/>
                <w:bCs/>
                <w:color w:val="auto"/>
              </w:rPr>
            </w:pPr>
            <w:r>
              <w:rPr>
                <w:b/>
                <w:bCs/>
                <w:color w:val="auto"/>
              </w:rPr>
              <w:t>(10,282)</w:t>
            </w:r>
          </w:p>
        </w:tc>
      </w:tr>
      <w:tr w:rsidR="00F27F6B" w:rsidRPr="006534F5" w14:paraId="1AB0CB26" w14:textId="77777777" w:rsidTr="006A715B">
        <w:tc>
          <w:tcPr>
            <w:tcW w:w="1784" w:type="pct"/>
            <w:noWrap/>
            <w:hideMark/>
          </w:tcPr>
          <w:p w14:paraId="564F3A24" w14:textId="77777777" w:rsidR="00F27F6B" w:rsidRPr="006534F5" w:rsidRDefault="00F27F6B" w:rsidP="00630831">
            <w:pPr>
              <w:pStyle w:val="TableTextLeft"/>
            </w:pPr>
            <w:r>
              <w:t>Departmental capital budget</w:t>
            </w:r>
          </w:p>
        </w:tc>
        <w:tc>
          <w:tcPr>
            <w:tcW w:w="447" w:type="pct"/>
            <w:noWrap/>
            <w:hideMark/>
          </w:tcPr>
          <w:p w14:paraId="387652DE" w14:textId="77777777" w:rsidR="00F27F6B" w:rsidRPr="006534F5" w:rsidRDefault="00F27F6B" w:rsidP="00630831">
            <w:pPr>
              <w:pStyle w:val="TableTextCentered"/>
            </w:pPr>
            <w:r w:rsidRPr="006534F5">
              <w:t> </w:t>
            </w:r>
          </w:p>
        </w:tc>
        <w:tc>
          <w:tcPr>
            <w:tcW w:w="923" w:type="pct"/>
            <w:shd w:val="clear" w:color="auto" w:fill="E7DCF7" w:themeFill="text2" w:themeFillTint="1A"/>
            <w:noWrap/>
          </w:tcPr>
          <w:p w14:paraId="2E55D5AF" w14:textId="77777777" w:rsidR="00F27F6B" w:rsidRPr="00FC1026" w:rsidRDefault="00F27F6B" w:rsidP="00630831">
            <w:pPr>
              <w:pStyle w:val="TableTextRight"/>
              <w:rPr>
                <w:color w:val="auto"/>
              </w:rPr>
            </w:pPr>
            <w:r w:rsidRPr="00FC1026">
              <w:rPr>
                <w:color w:val="auto"/>
              </w:rPr>
              <w:t>405</w:t>
            </w:r>
          </w:p>
        </w:tc>
        <w:tc>
          <w:tcPr>
            <w:tcW w:w="923" w:type="pct"/>
            <w:noWrap/>
            <w:hideMark/>
          </w:tcPr>
          <w:p w14:paraId="2DF3558B" w14:textId="77777777" w:rsidR="00F27F6B" w:rsidRPr="00FC1026" w:rsidRDefault="00F27F6B" w:rsidP="00630831">
            <w:pPr>
              <w:pStyle w:val="TableTextRight"/>
              <w:rPr>
                <w:color w:val="auto"/>
              </w:rPr>
            </w:pPr>
            <w:r w:rsidRPr="00FC1026">
              <w:rPr>
                <w:color w:val="auto"/>
              </w:rPr>
              <w:t xml:space="preserve">395 </w:t>
            </w:r>
          </w:p>
        </w:tc>
        <w:tc>
          <w:tcPr>
            <w:tcW w:w="923" w:type="pct"/>
            <w:shd w:val="clear" w:color="auto" w:fill="E7DCF7" w:themeFill="text2" w:themeFillTint="1A"/>
            <w:noWrap/>
          </w:tcPr>
          <w:p w14:paraId="6B258D76" w14:textId="77777777" w:rsidR="00F27F6B" w:rsidRPr="00FC1026" w:rsidRDefault="00F27F6B" w:rsidP="00630831">
            <w:pPr>
              <w:pStyle w:val="TableTextRight"/>
              <w:rPr>
                <w:color w:val="auto"/>
              </w:rPr>
            </w:pPr>
            <w:r w:rsidRPr="00FC1026">
              <w:rPr>
                <w:color w:val="auto"/>
              </w:rPr>
              <w:t>405</w:t>
            </w:r>
          </w:p>
        </w:tc>
      </w:tr>
      <w:tr w:rsidR="00F27F6B" w:rsidRPr="006534F5" w14:paraId="201ED94B" w14:textId="77777777" w:rsidTr="006A715B">
        <w:tc>
          <w:tcPr>
            <w:tcW w:w="1784" w:type="pct"/>
            <w:noWrap/>
            <w:hideMark/>
          </w:tcPr>
          <w:p w14:paraId="0B6E3E36" w14:textId="77777777" w:rsidR="00F27F6B" w:rsidRPr="006534F5" w:rsidRDefault="00F27F6B" w:rsidP="00630831">
            <w:pPr>
              <w:pStyle w:val="TableTextLeft"/>
            </w:pPr>
            <w:r w:rsidRPr="006534F5">
              <w:t>Appropriations extinguished</w:t>
            </w:r>
          </w:p>
        </w:tc>
        <w:tc>
          <w:tcPr>
            <w:tcW w:w="447" w:type="pct"/>
            <w:noWrap/>
            <w:hideMark/>
          </w:tcPr>
          <w:p w14:paraId="1F554315" w14:textId="77777777" w:rsidR="00F27F6B" w:rsidRPr="00F95E23" w:rsidRDefault="00F27F6B" w:rsidP="00630831">
            <w:pPr>
              <w:pStyle w:val="TableTextCentered"/>
              <w:rPr>
                <w:b/>
                <w:bCs/>
                <w:color w:val="auto"/>
              </w:rPr>
            </w:pPr>
            <w:r w:rsidRPr="00F95E23">
              <w:rPr>
                <w:b/>
                <w:bCs/>
                <w:color w:val="auto"/>
              </w:rPr>
              <w:t>H</w:t>
            </w:r>
          </w:p>
        </w:tc>
        <w:tc>
          <w:tcPr>
            <w:tcW w:w="923" w:type="pct"/>
            <w:shd w:val="clear" w:color="auto" w:fill="E7DCF7" w:themeFill="text2" w:themeFillTint="1A"/>
            <w:noWrap/>
          </w:tcPr>
          <w:p w14:paraId="24FB4F94" w14:textId="77777777" w:rsidR="00F27F6B" w:rsidRPr="00FC1026" w:rsidRDefault="00F27F6B" w:rsidP="00630831">
            <w:pPr>
              <w:pStyle w:val="TableTextRight"/>
              <w:rPr>
                <w:b/>
                <w:bCs/>
                <w:color w:val="auto"/>
              </w:rPr>
            </w:pPr>
            <w:r w:rsidRPr="00FC1026">
              <w:rPr>
                <w:b/>
                <w:bCs/>
                <w:color w:val="auto"/>
              </w:rPr>
              <w:noBreakHyphen/>
            </w:r>
          </w:p>
        </w:tc>
        <w:tc>
          <w:tcPr>
            <w:tcW w:w="923" w:type="pct"/>
            <w:noWrap/>
            <w:hideMark/>
          </w:tcPr>
          <w:p w14:paraId="5828972A" w14:textId="77777777" w:rsidR="00F27F6B" w:rsidRPr="00AE665D" w:rsidRDefault="00F27F6B" w:rsidP="00630831">
            <w:pPr>
              <w:pStyle w:val="TableTextRight"/>
              <w:rPr>
                <w:color w:val="auto"/>
              </w:rPr>
            </w:pPr>
            <w:r w:rsidRPr="00AE665D">
              <w:rPr>
                <w:color w:val="auto"/>
              </w:rPr>
              <w:t>(2,</w:t>
            </w:r>
            <w:r>
              <w:rPr>
                <w:color w:val="auto"/>
              </w:rPr>
              <w:t>124</w:t>
            </w:r>
            <w:r w:rsidRPr="00AE665D">
              <w:rPr>
                <w:color w:val="auto"/>
              </w:rPr>
              <w:t>)</w:t>
            </w:r>
          </w:p>
        </w:tc>
        <w:tc>
          <w:tcPr>
            <w:tcW w:w="923" w:type="pct"/>
            <w:shd w:val="clear" w:color="auto" w:fill="E7DCF7" w:themeFill="text2" w:themeFillTint="1A"/>
            <w:noWrap/>
          </w:tcPr>
          <w:p w14:paraId="283BFB27" w14:textId="77777777" w:rsidR="00F27F6B" w:rsidRPr="00FC1026" w:rsidRDefault="00F27F6B" w:rsidP="00630831">
            <w:pPr>
              <w:pStyle w:val="TableTextRight"/>
              <w:rPr>
                <w:b/>
                <w:bCs/>
                <w:color w:val="auto"/>
              </w:rPr>
            </w:pPr>
            <w:r w:rsidRPr="00FC1026">
              <w:rPr>
                <w:b/>
                <w:bCs/>
                <w:color w:val="auto"/>
              </w:rPr>
              <w:noBreakHyphen/>
            </w:r>
          </w:p>
        </w:tc>
      </w:tr>
      <w:tr w:rsidR="00F27F6B" w:rsidRPr="006534F5" w14:paraId="5E59519B" w14:textId="77777777" w:rsidTr="006A715B">
        <w:tc>
          <w:tcPr>
            <w:tcW w:w="1784" w:type="pct"/>
            <w:noWrap/>
            <w:hideMark/>
          </w:tcPr>
          <w:p w14:paraId="5A82C8B8" w14:textId="77777777" w:rsidR="00F27F6B" w:rsidRPr="00A419F5" w:rsidRDefault="00F27F6B" w:rsidP="00630831">
            <w:pPr>
              <w:pStyle w:val="TableTextLeft"/>
              <w:rPr>
                <w:b/>
                <w:bCs/>
              </w:rPr>
            </w:pPr>
            <w:r w:rsidRPr="00A419F5">
              <w:rPr>
                <w:b/>
                <w:bCs/>
              </w:rPr>
              <w:t xml:space="preserve">Closing balance as </w:t>
            </w:r>
            <w:proofErr w:type="gramStart"/>
            <w:r w:rsidRPr="00A419F5">
              <w:rPr>
                <w:b/>
                <w:bCs/>
              </w:rPr>
              <w:t>at</w:t>
            </w:r>
            <w:proofErr w:type="gramEnd"/>
            <w:r w:rsidRPr="00A419F5">
              <w:rPr>
                <w:b/>
                <w:bCs/>
              </w:rPr>
              <w:t xml:space="preserve"> 30 June</w:t>
            </w:r>
          </w:p>
        </w:tc>
        <w:tc>
          <w:tcPr>
            <w:tcW w:w="447" w:type="pct"/>
            <w:noWrap/>
            <w:hideMark/>
          </w:tcPr>
          <w:p w14:paraId="665B16B4" w14:textId="77777777" w:rsidR="00F27F6B" w:rsidRPr="006534F5" w:rsidRDefault="00F27F6B" w:rsidP="00630831">
            <w:pPr>
              <w:pStyle w:val="TableTextCentered"/>
            </w:pPr>
            <w:r w:rsidRPr="006534F5">
              <w:t> </w:t>
            </w:r>
          </w:p>
        </w:tc>
        <w:tc>
          <w:tcPr>
            <w:tcW w:w="923" w:type="pct"/>
            <w:shd w:val="clear" w:color="auto" w:fill="E7DCF7" w:themeFill="text2" w:themeFillTint="1A"/>
            <w:noWrap/>
          </w:tcPr>
          <w:p w14:paraId="4F82EBC1" w14:textId="77777777" w:rsidR="00F27F6B" w:rsidRPr="00AE665D" w:rsidRDefault="00F27F6B" w:rsidP="00630831">
            <w:pPr>
              <w:pStyle w:val="TableTextRight"/>
              <w:rPr>
                <w:b/>
                <w:bCs/>
                <w:color w:val="auto"/>
              </w:rPr>
            </w:pPr>
            <w:r>
              <w:rPr>
                <w:b/>
                <w:bCs/>
                <w:color w:val="auto"/>
              </w:rPr>
              <w:t>(12,001)</w:t>
            </w:r>
          </w:p>
        </w:tc>
        <w:tc>
          <w:tcPr>
            <w:tcW w:w="923" w:type="pct"/>
            <w:noWrap/>
            <w:hideMark/>
          </w:tcPr>
          <w:p w14:paraId="6C9B2852" w14:textId="77777777" w:rsidR="00F27F6B" w:rsidRPr="00AE665D" w:rsidRDefault="00F27F6B" w:rsidP="00630831">
            <w:pPr>
              <w:pStyle w:val="TableTextRight"/>
              <w:rPr>
                <w:b/>
                <w:bCs/>
                <w:color w:val="auto"/>
              </w:rPr>
            </w:pPr>
            <w:r w:rsidRPr="00AE665D">
              <w:rPr>
                <w:b/>
                <w:bCs/>
                <w:color w:val="auto"/>
              </w:rPr>
              <w:t>(</w:t>
            </w:r>
            <w:r>
              <w:rPr>
                <w:b/>
                <w:bCs/>
                <w:color w:val="auto"/>
              </w:rPr>
              <w:t>12,406</w:t>
            </w:r>
            <w:r w:rsidRPr="00AE665D">
              <w:rPr>
                <w:b/>
                <w:bCs/>
                <w:color w:val="auto"/>
              </w:rPr>
              <w:t>)</w:t>
            </w:r>
          </w:p>
        </w:tc>
        <w:tc>
          <w:tcPr>
            <w:tcW w:w="923" w:type="pct"/>
            <w:shd w:val="clear" w:color="auto" w:fill="E7DCF7" w:themeFill="text2" w:themeFillTint="1A"/>
            <w:noWrap/>
          </w:tcPr>
          <w:p w14:paraId="1766D07F" w14:textId="77777777" w:rsidR="00F27F6B" w:rsidRPr="00AE665D" w:rsidRDefault="00F27F6B" w:rsidP="00630831">
            <w:pPr>
              <w:pStyle w:val="TableTextRight"/>
              <w:rPr>
                <w:b/>
                <w:bCs/>
                <w:color w:val="auto"/>
              </w:rPr>
            </w:pPr>
            <w:r>
              <w:rPr>
                <w:b/>
                <w:bCs/>
                <w:color w:val="auto"/>
              </w:rPr>
              <w:t>(9,877)</w:t>
            </w:r>
          </w:p>
        </w:tc>
      </w:tr>
      <w:tr w:rsidR="00F27F6B" w:rsidRPr="006534F5" w14:paraId="4B0806EF" w14:textId="77777777" w:rsidTr="006A715B">
        <w:tc>
          <w:tcPr>
            <w:tcW w:w="1784" w:type="pct"/>
            <w:noWrap/>
            <w:hideMark/>
          </w:tcPr>
          <w:p w14:paraId="239C8D5D" w14:textId="77777777" w:rsidR="00F27F6B" w:rsidRPr="00A419F5" w:rsidRDefault="00F27F6B" w:rsidP="00630831">
            <w:pPr>
              <w:pStyle w:val="TableTextLeft"/>
              <w:rPr>
                <w:b/>
                <w:bCs/>
              </w:rPr>
            </w:pPr>
            <w:r w:rsidRPr="00A419F5">
              <w:rPr>
                <w:b/>
                <w:bCs/>
              </w:rPr>
              <w:t>Total equity</w:t>
            </w:r>
          </w:p>
        </w:tc>
        <w:tc>
          <w:tcPr>
            <w:tcW w:w="447" w:type="pct"/>
            <w:noWrap/>
            <w:hideMark/>
          </w:tcPr>
          <w:p w14:paraId="47E7EB65" w14:textId="77777777" w:rsidR="00F27F6B" w:rsidRPr="006534F5" w:rsidRDefault="00F27F6B" w:rsidP="00630831">
            <w:pPr>
              <w:pStyle w:val="TableTextCentered"/>
            </w:pPr>
            <w:r w:rsidRPr="006534F5">
              <w:t> </w:t>
            </w:r>
          </w:p>
        </w:tc>
        <w:tc>
          <w:tcPr>
            <w:tcW w:w="923" w:type="pct"/>
            <w:shd w:val="clear" w:color="auto" w:fill="E7DCF7" w:themeFill="text2" w:themeFillTint="1A"/>
            <w:noWrap/>
          </w:tcPr>
          <w:p w14:paraId="273E6DE4" w14:textId="77777777" w:rsidR="00F27F6B" w:rsidRPr="00AE665D" w:rsidRDefault="00F27F6B" w:rsidP="00630831">
            <w:pPr>
              <w:pStyle w:val="TableTextRight"/>
              <w:rPr>
                <w:b/>
                <w:bCs/>
                <w:color w:val="auto"/>
              </w:rPr>
            </w:pPr>
            <w:r>
              <w:rPr>
                <w:b/>
                <w:bCs/>
                <w:color w:val="auto"/>
              </w:rPr>
              <w:t>34,095</w:t>
            </w:r>
          </w:p>
        </w:tc>
        <w:tc>
          <w:tcPr>
            <w:tcW w:w="923" w:type="pct"/>
            <w:noWrap/>
            <w:hideMark/>
          </w:tcPr>
          <w:p w14:paraId="210A8265" w14:textId="77777777" w:rsidR="00F27F6B" w:rsidRPr="00AE665D" w:rsidRDefault="00F27F6B" w:rsidP="00630831">
            <w:pPr>
              <w:pStyle w:val="TableTextRight"/>
              <w:rPr>
                <w:b/>
                <w:bCs/>
                <w:color w:val="auto"/>
              </w:rPr>
            </w:pPr>
            <w:r w:rsidRPr="00AE665D">
              <w:rPr>
                <w:b/>
                <w:bCs/>
                <w:color w:val="auto"/>
              </w:rPr>
              <w:t xml:space="preserve"> </w:t>
            </w:r>
            <w:r>
              <w:rPr>
                <w:b/>
                <w:bCs/>
                <w:color w:val="auto"/>
              </w:rPr>
              <w:t>33,929</w:t>
            </w:r>
            <w:r w:rsidRPr="00AE665D">
              <w:rPr>
                <w:b/>
                <w:bCs/>
                <w:color w:val="auto"/>
              </w:rPr>
              <w:t xml:space="preserve"> </w:t>
            </w:r>
          </w:p>
        </w:tc>
        <w:tc>
          <w:tcPr>
            <w:tcW w:w="923" w:type="pct"/>
            <w:shd w:val="clear" w:color="auto" w:fill="E7DCF7" w:themeFill="text2" w:themeFillTint="1A"/>
            <w:noWrap/>
          </w:tcPr>
          <w:p w14:paraId="2B3929DF" w14:textId="77777777" w:rsidR="00F27F6B" w:rsidRPr="00AE665D" w:rsidRDefault="00F27F6B" w:rsidP="00630831">
            <w:pPr>
              <w:pStyle w:val="TableTextRight"/>
              <w:rPr>
                <w:b/>
                <w:bCs/>
                <w:color w:val="auto"/>
              </w:rPr>
            </w:pPr>
            <w:r>
              <w:rPr>
                <w:b/>
                <w:bCs/>
                <w:color w:val="auto"/>
              </w:rPr>
              <w:t>34,544</w:t>
            </w:r>
          </w:p>
        </w:tc>
      </w:tr>
    </w:tbl>
    <w:p w14:paraId="0DFEDE23" w14:textId="77777777" w:rsidR="00F27F6B" w:rsidRPr="00A5461E" w:rsidRDefault="00F27F6B" w:rsidP="00F27F6B">
      <w:pPr>
        <w:pStyle w:val="Chartnotenotab"/>
      </w:pPr>
      <w:r w:rsidRPr="00A5461E">
        <w:t xml:space="preserve">The above </w:t>
      </w:r>
      <w:r w:rsidRPr="00262FF1">
        <w:t>statement</w:t>
      </w:r>
      <w:r w:rsidRPr="00A5461E">
        <w:t xml:space="preserve"> should be read in conjunction with the accompanying notes.</w:t>
      </w:r>
    </w:p>
    <w:p w14:paraId="059C99FE" w14:textId="77777777" w:rsidR="00F27F6B" w:rsidRPr="00262FF1" w:rsidRDefault="00F27F6B" w:rsidP="00F27F6B">
      <w:pPr>
        <w:pStyle w:val="Chartnotenotab"/>
      </w:pPr>
      <w:r w:rsidRPr="00262FF1">
        <w:t>Note I explains significant variances between actuals and the original budget as presented in the 2024</w:t>
      </w:r>
      <w:r w:rsidRPr="00B235A9">
        <w:t>–</w:t>
      </w:r>
      <w:r w:rsidRPr="00262FF1">
        <w:t>25 Portfolio Budget Statements.</w:t>
      </w:r>
    </w:p>
    <w:p w14:paraId="63CC5E5E" w14:textId="77777777" w:rsidR="00F27F6B" w:rsidRDefault="00F27F6B" w:rsidP="00F27F6B">
      <w:pPr>
        <w:pStyle w:val="Chartnotenotab"/>
        <w:rPr>
          <w:sz w:val="14"/>
          <w:szCs w:val="14"/>
        </w:rPr>
      </w:pP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F27F6B" w14:paraId="3AFD1C20" w14:textId="77777777" w:rsidTr="005345D9">
        <w:tc>
          <w:tcPr>
            <w:tcW w:w="7700" w:type="dxa"/>
            <w:tcBorders>
              <w:bottom w:val="single" w:sz="24" w:space="0" w:color="472978" w:themeColor="accent1"/>
            </w:tcBorders>
            <w:shd w:val="clear" w:color="auto" w:fill="E7DCF7" w:themeFill="text2" w:themeFillTint="1A"/>
          </w:tcPr>
          <w:p w14:paraId="324D25B9" w14:textId="77777777" w:rsidR="00F27F6B" w:rsidRDefault="00F27F6B" w:rsidP="00630831">
            <w:pPr>
              <w:pStyle w:val="Boxheading"/>
            </w:pPr>
            <w:r>
              <w:t>Accounting Policy</w:t>
            </w:r>
          </w:p>
          <w:p w14:paraId="54AD016C" w14:textId="77777777" w:rsidR="00F27F6B" w:rsidRPr="00B235A9" w:rsidRDefault="00F27F6B" w:rsidP="00630831">
            <w:pPr>
              <w:pStyle w:val="BoxText"/>
              <w:rPr>
                <w:b/>
                <w:bCs/>
              </w:rPr>
            </w:pPr>
            <w:r w:rsidRPr="00B235A9">
              <w:rPr>
                <w:b/>
                <w:bCs/>
              </w:rPr>
              <w:t>Equity Injections</w:t>
            </w:r>
          </w:p>
          <w:p w14:paraId="0C1C7690" w14:textId="77777777" w:rsidR="00F27F6B" w:rsidRPr="006574CB" w:rsidRDefault="00F27F6B" w:rsidP="00630831">
            <w:pPr>
              <w:pStyle w:val="BoxText"/>
            </w:pPr>
            <w:r>
              <w:t>Amounts appropriated which are designated as ‘equity injections’ for a year (less any formal reductions) and Departmental Capital Budgets (DCB) are recognised directly in contributed equity in that year.</w:t>
            </w:r>
          </w:p>
        </w:tc>
      </w:tr>
    </w:tbl>
    <w:p w14:paraId="1B2CB8BE" w14:textId="77777777" w:rsidR="00F27F6B" w:rsidRDefault="00F27F6B" w:rsidP="00F27F6B">
      <w:pPr>
        <w:pStyle w:val="Chartnotenotab"/>
        <w:rPr>
          <w:sz w:val="14"/>
          <w:szCs w:val="14"/>
        </w:rPr>
      </w:pPr>
    </w:p>
    <w:p w14:paraId="1DB7FE95" w14:textId="77777777" w:rsidR="00F27F6B" w:rsidRPr="00B93507" w:rsidRDefault="00F27F6B" w:rsidP="00F27F6B">
      <w:pPr>
        <w:rPr>
          <w:rFonts w:eastAsiaTheme="majorEastAsia"/>
        </w:rPr>
      </w:pPr>
      <w:r w:rsidRPr="00B93507">
        <w:br w:type="page"/>
      </w:r>
    </w:p>
    <w:p w14:paraId="7F2D446B" w14:textId="77777777" w:rsidR="00AE023D" w:rsidRPr="006534F5" w:rsidRDefault="00AE023D" w:rsidP="00AE023D">
      <w:pPr>
        <w:pStyle w:val="Heading2"/>
      </w:pPr>
      <w:bookmarkStart w:id="1819" w:name="_Toc146112268"/>
      <w:bookmarkStart w:id="1820" w:name="_Toc207792947"/>
      <w:bookmarkStart w:id="1821" w:name="_Toc207793987"/>
      <w:bookmarkStart w:id="1822" w:name="_Toc207796156"/>
      <w:bookmarkStart w:id="1823" w:name="_Toc207796991"/>
      <w:bookmarkStart w:id="1824" w:name="_Toc207800294"/>
      <w:bookmarkStart w:id="1825" w:name="_Toc207810872"/>
      <w:bookmarkStart w:id="1826" w:name="_Toc208914152"/>
      <w:bookmarkStart w:id="1827" w:name="_Toc209424549"/>
      <w:r>
        <w:lastRenderedPageBreak/>
        <w:t xml:space="preserve">Departmental </w:t>
      </w:r>
      <w:r w:rsidRPr="006534F5">
        <w:t>cash flow</w:t>
      </w:r>
      <w:bookmarkEnd w:id="1819"/>
      <w:r w:rsidRPr="00602170">
        <w:t xml:space="preserve"> </w:t>
      </w:r>
      <w:r>
        <w:t>s</w:t>
      </w:r>
      <w:r w:rsidRPr="006534F5">
        <w:t>tatement</w:t>
      </w:r>
      <w:bookmarkEnd w:id="1820"/>
      <w:bookmarkEnd w:id="1821"/>
      <w:bookmarkEnd w:id="1822"/>
      <w:bookmarkEnd w:id="1823"/>
      <w:bookmarkEnd w:id="1824"/>
      <w:bookmarkEnd w:id="1825"/>
      <w:bookmarkEnd w:id="1826"/>
      <w:bookmarkEnd w:id="1827"/>
    </w:p>
    <w:p w14:paraId="06A6C877" w14:textId="77777777" w:rsidR="00AE023D" w:rsidRPr="005574B7" w:rsidRDefault="00AE023D" w:rsidP="00AE023D">
      <w:pPr>
        <w:pStyle w:val="TableMainHeading"/>
      </w:pPr>
      <w:r w:rsidRPr="005574B7">
        <w:t>For the period ended 30 June 2025</w:t>
      </w:r>
    </w:p>
    <w:tbl>
      <w:tblPr>
        <w:tblStyle w:val="AOFMTablemain"/>
        <w:tblW w:w="5000" w:type="pct"/>
        <w:tblLook w:val="06A0" w:firstRow="1" w:lastRow="0" w:firstColumn="1" w:lastColumn="0" w:noHBand="1" w:noVBand="1"/>
      </w:tblPr>
      <w:tblGrid>
        <w:gridCol w:w="3576"/>
        <w:gridCol w:w="710"/>
        <w:gridCol w:w="1025"/>
        <w:gridCol w:w="1028"/>
        <w:gridCol w:w="1372"/>
      </w:tblGrid>
      <w:tr w:rsidR="006C235E" w:rsidRPr="006534F5" w14:paraId="79BB3D03" w14:textId="77777777" w:rsidTr="00D92452">
        <w:trPr>
          <w:cnfStyle w:val="100000000000" w:firstRow="1" w:lastRow="0" w:firstColumn="0" w:lastColumn="0" w:oddVBand="0" w:evenVBand="0" w:oddHBand="0" w:evenHBand="0" w:firstRowFirstColumn="0" w:firstRowLastColumn="0" w:lastRowFirstColumn="0" w:lastRowLastColumn="0"/>
        </w:trPr>
        <w:tc>
          <w:tcPr>
            <w:tcW w:w="2322" w:type="pct"/>
            <w:tcBorders>
              <w:bottom w:val="single" w:sz="4" w:space="0" w:color="29114B" w:themeColor="text2"/>
            </w:tcBorders>
            <w:noWrap/>
            <w:vAlign w:val="bottom"/>
            <w:hideMark/>
          </w:tcPr>
          <w:p w14:paraId="47653FFE" w14:textId="77777777" w:rsidR="00AE023D" w:rsidRPr="000A7288" w:rsidRDefault="00AE023D" w:rsidP="00630831">
            <w:pPr>
              <w:pStyle w:val="TableTextRight"/>
              <w:rPr>
                <w:b/>
                <w:bCs/>
                <w:color w:val="FFFFFF" w:themeColor="background1"/>
              </w:rPr>
            </w:pPr>
            <w:r w:rsidRPr="000A7288">
              <w:rPr>
                <w:color w:val="FFFFFF" w:themeColor="background1"/>
              </w:rPr>
              <w:t> </w:t>
            </w:r>
          </w:p>
        </w:tc>
        <w:tc>
          <w:tcPr>
            <w:tcW w:w="448" w:type="pct"/>
            <w:tcBorders>
              <w:bottom w:val="single" w:sz="4" w:space="0" w:color="29114B" w:themeColor="text2"/>
            </w:tcBorders>
            <w:vAlign w:val="bottom"/>
          </w:tcPr>
          <w:p w14:paraId="1254C70C" w14:textId="77777777" w:rsidR="00AE023D" w:rsidRPr="000A7288" w:rsidRDefault="00AE023D" w:rsidP="00630831">
            <w:pPr>
              <w:pStyle w:val="TableColumnHeadingCentred"/>
            </w:pPr>
            <w:r w:rsidRPr="000A7288">
              <w:t>Notes</w:t>
            </w:r>
          </w:p>
        </w:tc>
        <w:tc>
          <w:tcPr>
            <w:tcW w:w="668" w:type="pct"/>
            <w:tcBorders>
              <w:bottom w:val="single" w:sz="4" w:space="0" w:color="29114B" w:themeColor="text2"/>
            </w:tcBorders>
            <w:noWrap/>
            <w:vAlign w:val="bottom"/>
            <w:hideMark/>
          </w:tcPr>
          <w:p w14:paraId="5964CDAE" w14:textId="77777777" w:rsidR="00AE023D" w:rsidRPr="00113687" w:rsidRDefault="00AE023D" w:rsidP="00630831">
            <w:pPr>
              <w:pStyle w:val="TableColumnHeadingRight"/>
            </w:pPr>
            <w:r w:rsidRPr="00113687">
              <w:t xml:space="preserve">2025 </w:t>
            </w:r>
          </w:p>
          <w:p w14:paraId="0B338081" w14:textId="77777777" w:rsidR="00AE023D" w:rsidRPr="00113687" w:rsidRDefault="00AE023D" w:rsidP="00630831">
            <w:pPr>
              <w:pStyle w:val="TableColumnHeadingRight"/>
            </w:pPr>
            <w:r w:rsidRPr="00113687">
              <w:t>$</w:t>
            </w:r>
            <w:r>
              <w:t>’</w:t>
            </w:r>
            <w:r w:rsidRPr="00113687">
              <w:t xml:space="preserve">000 </w:t>
            </w:r>
          </w:p>
        </w:tc>
        <w:tc>
          <w:tcPr>
            <w:tcW w:w="669" w:type="pct"/>
            <w:tcBorders>
              <w:bottom w:val="single" w:sz="4" w:space="0" w:color="29114B" w:themeColor="text2"/>
            </w:tcBorders>
            <w:noWrap/>
            <w:vAlign w:val="bottom"/>
            <w:hideMark/>
          </w:tcPr>
          <w:p w14:paraId="51D584BE" w14:textId="77777777" w:rsidR="00AE023D" w:rsidRPr="00113687" w:rsidRDefault="00AE023D" w:rsidP="00630831">
            <w:pPr>
              <w:pStyle w:val="TableColumnHeadingRight"/>
            </w:pPr>
            <w:r w:rsidRPr="00113687">
              <w:t xml:space="preserve">2024 </w:t>
            </w:r>
          </w:p>
          <w:p w14:paraId="0752497D" w14:textId="77777777" w:rsidR="00AE023D" w:rsidRPr="00113687" w:rsidRDefault="00AE023D" w:rsidP="00630831">
            <w:pPr>
              <w:pStyle w:val="TableColumnHeadingRight"/>
            </w:pPr>
            <w:r w:rsidRPr="00113687">
              <w:t>$</w:t>
            </w:r>
            <w:r>
              <w:t>’</w:t>
            </w:r>
            <w:r w:rsidRPr="00113687">
              <w:t xml:space="preserve">000 </w:t>
            </w:r>
          </w:p>
        </w:tc>
        <w:tc>
          <w:tcPr>
            <w:tcW w:w="892" w:type="pct"/>
            <w:tcBorders>
              <w:bottom w:val="single" w:sz="4" w:space="0" w:color="29114B" w:themeColor="text2"/>
            </w:tcBorders>
            <w:vAlign w:val="bottom"/>
            <w:hideMark/>
          </w:tcPr>
          <w:p w14:paraId="7AD9F96D" w14:textId="77777777" w:rsidR="00AE023D" w:rsidRDefault="00AE023D" w:rsidP="00630831">
            <w:pPr>
              <w:pStyle w:val="TableColumnHeadingRight"/>
            </w:pPr>
            <w:r w:rsidRPr="00113687">
              <w:t xml:space="preserve"> Budget</w:t>
            </w:r>
            <w:r>
              <w:t xml:space="preserve"> </w:t>
            </w:r>
            <w:r w:rsidRPr="00113687">
              <w:t xml:space="preserve">2025 </w:t>
            </w:r>
          </w:p>
          <w:p w14:paraId="1742D392" w14:textId="77777777" w:rsidR="00AE023D" w:rsidRPr="00113687" w:rsidRDefault="00AE023D" w:rsidP="00630831">
            <w:pPr>
              <w:pStyle w:val="TableColumnHeadingRight"/>
            </w:pPr>
            <w:r w:rsidRPr="00113687">
              <w:t>$</w:t>
            </w:r>
            <w:r>
              <w:t>’</w:t>
            </w:r>
            <w:r w:rsidRPr="00113687">
              <w:t>000</w:t>
            </w:r>
          </w:p>
        </w:tc>
      </w:tr>
      <w:tr w:rsidR="00AE023D" w:rsidRPr="006534F5" w14:paraId="75EEA9D5" w14:textId="77777777" w:rsidTr="00575CA9">
        <w:tc>
          <w:tcPr>
            <w:tcW w:w="2322" w:type="pct"/>
            <w:tcBorders>
              <w:top w:val="single" w:sz="4" w:space="0" w:color="29114B" w:themeColor="text2"/>
              <w:right w:val="single" w:sz="4" w:space="0" w:color="FFFFFF" w:themeColor="background1"/>
            </w:tcBorders>
            <w:shd w:val="clear" w:color="auto" w:fill="auto"/>
            <w:hideMark/>
          </w:tcPr>
          <w:p w14:paraId="1F20860A" w14:textId="77777777" w:rsidR="00AE023D" w:rsidRPr="00D92452" w:rsidRDefault="00AE023D" w:rsidP="00630831">
            <w:pPr>
              <w:pStyle w:val="TableSecondHeading"/>
              <w:rPr>
                <w:rStyle w:val="Strong"/>
                <w:b w:val="0"/>
                <w:bCs w:val="0"/>
              </w:rPr>
            </w:pPr>
            <w:r w:rsidRPr="00D92452">
              <w:rPr>
                <w:rStyle w:val="Strong"/>
                <w:bCs w:val="0"/>
              </w:rPr>
              <w:t>Operating activities</w:t>
            </w:r>
          </w:p>
        </w:tc>
        <w:tc>
          <w:tcPr>
            <w:tcW w:w="448" w:type="pct"/>
            <w:tcBorders>
              <w:top w:val="single" w:sz="4" w:space="0" w:color="29114B" w:themeColor="text2"/>
              <w:left w:val="single" w:sz="4" w:space="0" w:color="FFFFFF" w:themeColor="background1"/>
              <w:right w:val="single" w:sz="4" w:space="0" w:color="FFFFFF" w:themeColor="background1"/>
            </w:tcBorders>
            <w:shd w:val="clear" w:color="auto" w:fill="auto"/>
            <w:noWrap/>
            <w:hideMark/>
          </w:tcPr>
          <w:p w14:paraId="3DC3017A" w14:textId="77777777" w:rsidR="00AE023D" w:rsidRPr="006534F5" w:rsidRDefault="00AE023D" w:rsidP="00630831">
            <w:pPr>
              <w:pStyle w:val="TableTextCentered"/>
            </w:pPr>
            <w:r w:rsidRPr="006534F5">
              <w:t> </w:t>
            </w:r>
          </w:p>
        </w:tc>
        <w:tc>
          <w:tcPr>
            <w:tcW w:w="668"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7D1C88F9" w14:textId="77777777" w:rsidR="00AE023D" w:rsidRPr="006534F5" w:rsidRDefault="00AE023D" w:rsidP="00630831">
            <w:pPr>
              <w:pStyle w:val="TableTextRight"/>
              <w:rPr>
                <w:color w:val="202845"/>
              </w:rPr>
            </w:pPr>
            <w:r w:rsidRPr="006534F5">
              <w:rPr>
                <w:color w:val="202845"/>
              </w:rPr>
              <w:t> </w:t>
            </w:r>
          </w:p>
        </w:tc>
        <w:tc>
          <w:tcPr>
            <w:tcW w:w="669"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4ABFA8A0" w14:textId="77777777" w:rsidR="00AE023D" w:rsidRPr="006534F5" w:rsidRDefault="00AE023D" w:rsidP="00630831">
            <w:pPr>
              <w:pStyle w:val="TableTextRight"/>
              <w:rPr>
                <w:color w:val="202845"/>
              </w:rPr>
            </w:pPr>
            <w:r w:rsidRPr="006534F5">
              <w:rPr>
                <w:color w:val="202845"/>
              </w:rPr>
              <w:t> </w:t>
            </w:r>
          </w:p>
        </w:tc>
        <w:tc>
          <w:tcPr>
            <w:tcW w:w="892" w:type="pct"/>
            <w:tcBorders>
              <w:top w:val="single" w:sz="4" w:space="0" w:color="29114B" w:themeColor="text2"/>
              <w:left w:val="single" w:sz="4" w:space="0" w:color="FFFFFF" w:themeColor="background1"/>
            </w:tcBorders>
            <w:shd w:val="clear" w:color="auto" w:fill="auto"/>
            <w:hideMark/>
          </w:tcPr>
          <w:p w14:paraId="35B4D8D1" w14:textId="77777777" w:rsidR="00AE023D" w:rsidRPr="006534F5" w:rsidRDefault="00AE023D" w:rsidP="00630831">
            <w:pPr>
              <w:pStyle w:val="TableTextRight"/>
              <w:rPr>
                <w:color w:val="202845"/>
              </w:rPr>
            </w:pPr>
            <w:r w:rsidRPr="006534F5">
              <w:rPr>
                <w:color w:val="202845"/>
              </w:rPr>
              <w:t> </w:t>
            </w:r>
          </w:p>
        </w:tc>
      </w:tr>
      <w:tr w:rsidR="00AE023D" w:rsidRPr="00E27869" w14:paraId="5235EA44" w14:textId="77777777" w:rsidTr="006A715B">
        <w:tc>
          <w:tcPr>
            <w:tcW w:w="2322" w:type="pct"/>
            <w:noWrap/>
            <w:hideMark/>
          </w:tcPr>
          <w:p w14:paraId="5FF63D66" w14:textId="77777777" w:rsidR="00AE023D" w:rsidRPr="00244EF2" w:rsidRDefault="00AE023D" w:rsidP="00630831">
            <w:pPr>
              <w:pStyle w:val="TableTextLeft"/>
            </w:pPr>
            <w:r w:rsidRPr="00244EF2">
              <w:t>Appropriations</w:t>
            </w:r>
          </w:p>
        </w:tc>
        <w:tc>
          <w:tcPr>
            <w:tcW w:w="448" w:type="pct"/>
            <w:noWrap/>
            <w:hideMark/>
          </w:tcPr>
          <w:p w14:paraId="049E56FD"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497BCEB9" w14:textId="77777777" w:rsidR="00AE023D" w:rsidRPr="00AE665D" w:rsidRDefault="00AE023D" w:rsidP="00630831">
            <w:pPr>
              <w:pStyle w:val="TableTextRight"/>
            </w:pPr>
            <w:r>
              <w:t>17,285</w:t>
            </w:r>
          </w:p>
        </w:tc>
        <w:tc>
          <w:tcPr>
            <w:tcW w:w="669" w:type="pct"/>
            <w:noWrap/>
            <w:hideMark/>
          </w:tcPr>
          <w:p w14:paraId="2DB66C7F" w14:textId="77777777" w:rsidR="00AE023D" w:rsidRPr="00AE665D" w:rsidRDefault="00AE023D" w:rsidP="00630831">
            <w:pPr>
              <w:pStyle w:val="TableTextRight"/>
            </w:pPr>
            <w:r>
              <w:t>14,936</w:t>
            </w:r>
          </w:p>
        </w:tc>
        <w:tc>
          <w:tcPr>
            <w:tcW w:w="892" w:type="pct"/>
            <w:shd w:val="clear" w:color="auto" w:fill="E7DCF7" w:themeFill="text2" w:themeFillTint="1A"/>
            <w:noWrap/>
          </w:tcPr>
          <w:p w14:paraId="4A6CFD15" w14:textId="77777777" w:rsidR="00AE023D" w:rsidRPr="00AE665D" w:rsidRDefault="00AE023D" w:rsidP="00630831">
            <w:pPr>
              <w:pStyle w:val="TableTextRight"/>
            </w:pPr>
            <w:r>
              <w:t>16,357</w:t>
            </w:r>
          </w:p>
        </w:tc>
      </w:tr>
      <w:tr w:rsidR="00AE023D" w:rsidRPr="00E27869" w14:paraId="738E8FDF" w14:textId="77777777" w:rsidTr="006A715B">
        <w:tc>
          <w:tcPr>
            <w:tcW w:w="2322" w:type="pct"/>
            <w:noWrap/>
            <w:hideMark/>
          </w:tcPr>
          <w:p w14:paraId="79691229" w14:textId="77777777" w:rsidR="00AE023D" w:rsidRPr="00244EF2" w:rsidRDefault="00AE023D" w:rsidP="00630831">
            <w:pPr>
              <w:pStyle w:val="TableTextLeft"/>
            </w:pPr>
            <w:r w:rsidRPr="00244EF2">
              <w:t xml:space="preserve">GST received </w:t>
            </w:r>
          </w:p>
        </w:tc>
        <w:tc>
          <w:tcPr>
            <w:tcW w:w="448" w:type="pct"/>
            <w:noWrap/>
            <w:hideMark/>
          </w:tcPr>
          <w:p w14:paraId="4EEA9878"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18E80AE3" w14:textId="77777777" w:rsidR="00AE023D" w:rsidRPr="00AE665D" w:rsidRDefault="00AE023D" w:rsidP="00630831">
            <w:pPr>
              <w:pStyle w:val="TableTextRight"/>
            </w:pPr>
            <w:r>
              <w:t>11</w:t>
            </w:r>
          </w:p>
        </w:tc>
        <w:tc>
          <w:tcPr>
            <w:tcW w:w="669" w:type="pct"/>
            <w:noWrap/>
            <w:hideMark/>
          </w:tcPr>
          <w:p w14:paraId="18F67165" w14:textId="77777777" w:rsidR="00AE023D" w:rsidRPr="00AE665D" w:rsidRDefault="00AE023D" w:rsidP="00630831">
            <w:pPr>
              <w:pStyle w:val="TableTextRight"/>
            </w:pPr>
            <w:r>
              <w:t>6</w:t>
            </w:r>
          </w:p>
        </w:tc>
        <w:tc>
          <w:tcPr>
            <w:tcW w:w="892" w:type="pct"/>
            <w:shd w:val="clear" w:color="auto" w:fill="E7DCF7" w:themeFill="text2" w:themeFillTint="1A"/>
            <w:noWrap/>
          </w:tcPr>
          <w:p w14:paraId="4168FBBE" w14:textId="77777777" w:rsidR="00AE023D" w:rsidRPr="00AE665D" w:rsidRDefault="00AE023D" w:rsidP="00630831">
            <w:pPr>
              <w:pStyle w:val="TableTextRight"/>
            </w:pPr>
            <w:r>
              <w:noBreakHyphen/>
            </w:r>
          </w:p>
        </w:tc>
      </w:tr>
      <w:tr w:rsidR="00AE023D" w:rsidRPr="00E27869" w14:paraId="40DB7B3B" w14:textId="77777777" w:rsidTr="006A715B">
        <w:tc>
          <w:tcPr>
            <w:tcW w:w="2322" w:type="pct"/>
            <w:noWrap/>
            <w:hideMark/>
          </w:tcPr>
          <w:p w14:paraId="3F3254C6" w14:textId="77777777" w:rsidR="00AE023D" w:rsidRPr="00244EF2" w:rsidRDefault="00AE023D" w:rsidP="00630831">
            <w:pPr>
              <w:pStyle w:val="TableTextLeft"/>
            </w:pPr>
            <w:r w:rsidRPr="00244EF2">
              <w:t>Services and other</w:t>
            </w:r>
          </w:p>
        </w:tc>
        <w:tc>
          <w:tcPr>
            <w:tcW w:w="448" w:type="pct"/>
            <w:noWrap/>
            <w:hideMark/>
          </w:tcPr>
          <w:p w14:paraId="08EB0607"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3B52E2B5" w14:textId="77777777" w:rsidR="00AE023D" w:rsidRPr="00AE665D" w:rsidRDefault="00AE023D" w:rsidP="00630831">
            <w:pPr>
              <w:pStyle w:val="TableTextRight"/>
            </w:pPr>
            <w:r>
              <w:t>981</w:t>
            </w:r>
          </w:p>
        </w:tc>
        <w:tc>
          <w:tcPr>
            <w:tcW w:w="669" w:type="pct"/>
            <w:noWrap/>
            <w:hideMark/>
          </w:tcPr>
          <w:p w14:paraId="75CFFB03" w14:textId="77777777" w:rsidR="00AE023D" w:rsidRPr="00AE665D" w:rsidRDefault="00AE023D" w:rsidP="00630831">
            <w:pPr>
              <w:pStyle w:val="TableTextRight"/>
            </w:pPr>
            <w:r>
              <w:t>267</w:t>
            </w:r>
            <w:r w:rsidRPr="00AE665D">
              <w:t xml:space="preserve"> </w:t>
            </w:r>
          </w:p>
        </w:tc>
        <w:tc>
          <w:tcPr>
            <w:tcW w:w="892" w:type="pct"/>
            <w:shd w:val="clear" w:color="auto" w:fill="E7DCF7" w:themeFill="text2" w:themeFillTint="1A"/>
            <w:noWrap/>
          </w:tcPr>
          <w:p w14:paraId="46DDAA4F" w14:textId="77777777" w:rsidR="00AE023D" w:rsidRPr="00AE665D" w:rsidRDefault="00AE023D" w:rsidP="00630831">
            <w:pPr>
              <w:pStyle w:val="TableTextRight"/>
            </w:pPr>
            <w:r>
              <w:t>25</w:t>
            </w:r>
          </w:p>
        </w:tc>
      </w:tr>
      <w:tr w:rsidR="00AE023D" w:rsidRPr="00E27869" w14:paraId="0D6A69A4" w14:textId="77777777" w:rsidTr="006A715B">
        <w:tc>
          <w:tcPr>
            <w:tcW w:w="2322" w:type="pct"/>
            <w:noWrap/>
            <w:hideMark/>
          </w:tcPr>
          <w:p w14:paraId="3F135ACE" w14:textId="77777777" w:rsidR="00AE023D" w:rsidRPr="00244EF2" w:rsidRDefault="00AE023D" w:rsidP="00630831">
            <w:pPr>
              <w:pStyle w:val="TableTextLeft"/>
            </w:pPr>
            <w:r w:rsidRPr="00244EF2">
              <w:t xml:space="preserve">Employees </w:t>
            </w:r>
          </w:p>
        </w:tc>
        <w:tc>
          <w:tcPr>
            <w:tcW w:w="448" w:type="pct"/>
            <w:noWrap/>
            <w:hideMark/>
          </w:tcPr>
          <w:p w14:paraId="648F588A"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6A449FD0" w14:textId="77777777" w:rsidR="00AE023D" w:rsidRPr="00AE665D" w:rsidRDefault="00AE023D" w:rsidP="00630831">
            <w:pPr>
              <w:pStyle w:val="TableTextRight"/>
            </w:pPr>
            <w:r>
              <w:t>(11,081)</w:t>
            </w:r>
          </w:p>
        </w:tc>
        <w:tc>
          <w:tcPr>
            <w:tcW w:w="669" w:type="pct"/>
            <w:noWrap/>
            <w:hideMark/>
          </w:tcPr>
          <w:p w14:paraId="65B3EE2A" w14:textId="77777777" w:rsidR="00AE023D" w:rsidRPr="00AE665D" w:rsidRDefault="00AE023D" w:rsidP="00630831">
            <w:pPr>
              <w:pStyle w:val="TableTextRight"/>
            </w:pPr>
            <w:r>
              <w:t>(9,108</w:t>
            </w:r>
            <w:r w:rsidRPr="00AE665D">
              <w:t>)</w:t>
            </w:r>
          </w:p>
        </w:tc>
        <w:tc>
          <w:tcPr>
            <w:tcW w:w="892" w:type="pct"/>
            <w:shd w:val="clear" w:color="auto" w:fill="E7DCF7" w:themeFill="text2" w:themeFillTint="1A"/>
            <w:noWrap/>
          </w:tcPr>
          <w:p w14:paraId="42C4A7E9" w14:textId="77777777" w:rsidR="00AE023D" w:rsidRPr="00AE665D" w:rsidRDefault="00AE023D" w:rsidP="00630831">
            <w:pPr>
              <w:pStyle w:val="TableTextRight"/>
            </w:pPr>
            <w:r>
              <w:t>(9,996)</w:t>
            </w:r>
          </w:p>
        </w:tc>
      </w:tr>
      <w:tr w:rsidR="00AE023D" w:rsidRPr="00E27869" w14:paraId="0D75D2F6" w14:textId="77777777" w:rsidTr="006A715B">
        <w:tc>
          <w:tcPr>
            <w:tcW w:w="2322" w:type="pct"/>
            <w:noWrap/>
            <w:hideMark/>
          </w:tcPr>
          <w:p w14:paraId="466383CE" w14:textId="77777777" w:rsidR="00AE023D" w:rsidRPr="00244EF2" w:rsidRDefault="00AE023D" w:rsidP="00630831">
            <w:pPr>
              <w:pStyle w:val="TableTextLeft"/>
            </w:pPr>
            <w:r w:rsidRPr="00244EF2">
              <w:t xml:space="preserve">Suppliers </w:t>
            </w:r>
          </w:p>
        </w:tc>
        <w:tc>
          <w:tcPr>
            <w:tcW w:w="448" w:type="pct"/>
            <w:noWrap/>
            <w:hideMark/>
          </w:tcPr>
          <w:p w14:paraId="72C45DC2"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724DD934" w14:textId="77777777" w:rsidR="00AE023D" w:rsidRPr="00AE665D" w:rsidRDefault="00AE023D" w:rsidP="00630831">
            <w:pPr>
              <w:pStyle w:val="TableTextRight"/>
            </w:pPr>
            <w:r>
              <w:t>(6,240)</w:t>
            </w:r>
          </w:p>
        </w:tc>
        <w:tc>
          <w:tcPr>
            <w:tcW w:w="669" w:type="pct"/>
            <w:noWrap/>
            <w:hideMark/>
          </w:tcPr>
          <w:p w14:paraId="2F92984D" w14:textId="77777777" w:rsidR="00AE023D" w:rsidRPr="00AE665D" w:rsidRDefault="00AE023D" w:rsidP="00630831">
            <w:pPr>
              <w:pStyle w:val="TableTextRight"/>
            </w:pPr>
            <w:r w:rsidRPr="00AE665D">
              <w:t>(5,</w:t>
            </w:r>
            <w:r>
              <w:t>522</w:t>
            </w:r>
            <w:r w:rsidRPr="00AE665D">
              <w:t>)</w:t>
            </w:r>
          </w:p>
        </w:tc>
        <w:tc>
          <w:tcPr>
            <w:tcW w:w="892" w:type="pct"/>
            <w:shd w:val="clear" w:color="auto" w:fill="E7DCF7" w:themeFill="text2" w:themeFillTint="1A"/>
            <w:noWrap/>
          </w:tcPr>
          <w:p w14:paraId="25E997EB" w14:textId="77777777" w:rsidR="00AE023D" w:rsidRPr="00AE665D" w:rsidRDefault="00AE023D" w:rsidP="00630831">
            <w:pPr>
              <w:pStyle w:val="TableTextRight"/>
            </w:pPr>
            <w:r>
              <w:t>(6,050)</w:t>
            </w:r>
          </w:p>
        </w:tc>
      </w:tr>
      <w:tr w:rsidR="00AE023D" w:rsidRPr="00E27869" w14:paraId="06000579" w14:textId="77777777" w:rsidTr="006A715B">
        <w:tc>
          <w:tcPr>
            <w:tcW w:w="2322" w:type="pct"/>
            <w:noWrap/>
            <w:hideMark/>
          </w:tcPr>
          <w:p w14:paraId="7C2AF0DE" w14:textId="77777777" w:rsidR="00AE023D" w:rsidRPr="00244EF2" w:rsidRDefault="00AE023D" w:rsidP="00630831">
            <w:pPr>
              <w:pStyle w:val="TableTextLeft"/>
            </w:pPr>
            <w:r w:rsidRPr="00244EF2">
              <w:t>Interest paid on leases</w:t>
            </w:r>
          </w:p>
        </w:tc>
        <w:tc>
          <w:tcPr>
            <w:tcW w:w="448" w:type="pct"/>
            <w:noWrap/>
            <w:hideMark/>
          </w:tcPr>
          <w:p w14:paraId="16677C1F"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1B117453" w14:textId="77777777" w:rsidR="00AE023D" w:rsidRPr="00AE665D" w:rsidRDefault="00AE023D" w:rsidP="00630831">
            <w:pPr>
              <w:pStyle w:val="TableTextRight"/>
            </w:pPr>
            <w:r>
              <w:t>(52)</w:t>
            </w:r>
          </w:p>
        </w:tc>
        <w:tc>
          <w:tcPr>
            <w:tcW w:w="669" w:type="pct"/>
            <w:noWrap/>
            <w:hideMark/>
          </w:tcPr>
          <w:p w14:paraId="07A85D70" w14:textId="77777777" w:rsidR="00AE023D" w:rsidRPr="00AE665D" w:rsidRDefault="00AE023D" w:rsidP="00630831">
            <w:pPr>
              <w:pStyle w:val="TableTextRight"/>
            </w:pPr>
            <w:r w:rsidRPr="00AE665D">
              <w:t>(5</w:t>
            </w:r>
            <w:r>
              <w:t>4</w:t>
            </w:r>
            <w:r w:rsidRPr="00AE665D">
              <w:t>)</w:t>
            </w:r>
          </w:p>
        </w:tc>
        <w:tc>
          <w:tcPr>
            <w:tcW w:w="892" w:type="pct"/>
            <w:shd w:val="clear" w:color="auto" w:fill="E7DCF7" w:themeFill="text2" w:themeFillTint="1A"/>
            <w:noWrap/>
          </w:tcPr>
          <w:p w14:paraId="61153786" w14:textId="77777777" w:rsidR="00AE023D" w:rsidRPr="00AE665D" w:rsidRDefault="00AE023D" w:rsidP="00630831">
            <w:pPr>
              <w:pStyle w:val="TableTextRight"/>
            </w:pPr>
            <w:r>
              <w:t>(50)</w:t>
            </w:r>
          </w:p>
        </w:tc>
      </w:tr>
      <w:tr w:rsidR="00AE023D" w:rsidRPr="00E27869" w14:paraId="412849BD" w14:textId="77777777" w:rsidTr="006A715B">
        <w:tc>
          <w:tcPr>
            <w:tcW w:w="2322" w:type="pct"/>
            <w:noWrap/>
            <w:hideMark/>
          </w:tcPr>
          <w:p w14:paraId="49DE94C0" w14:textId="77777777" w:rsidR="00AE023D" w:rsidRPr="00244EF2" w:rsidRDefault="00AE023D" w:rsidP="00630831">
            <w:pPr>
              <w:pStyle w:val="TableTextLeft"/>
            </w:pPr>
            <w:r w:rsidRPr="00244EF2">
              <w:t xml:space="preserve">Section 74 receipts transferred to OPA </w:t>
            </w:r>
          </w:p>
        </w:tc>
        <w:tc>
          <w:tcPr>
            <w:tcW w:w="448" w:type="pct"/>
            <w:noWrap/>
            <w:hideMark/>
          </w:tcPr>
          <w:p w14:paraId="7AFD6084"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656C8ED4" w14:textId="77777777" w:rsidR="00AE023D" w:rsidRPr="00AE665D" w:rsidRDefault="00AE023D" w:rsidP="00630831">
            <w:pPr>
              <w:pStyle w:val="TableTextRight"/>
            </w:pPr>
            <w:r>
              <w:t>(532)</w:t>
            </w:r>
          </w:p>
        </w:tc>
        <w:tc>
          <w:tcPr>
            <w:tcW w:w="669" w:type="pct"/>
            <w:noWrap/>
            <w:hideMark/>
          </w:tcPr>
          <w:p w14:paraId="10B043FE" w14:textId="77777777" w:rsidR="00AE023D" w:rsidRPr="00AE665D" w:rsidRDefault="00AE023D" w:rsidP="00630831">
            <w:pPr>
              <w:pStyle w:val="TableTextRight"/>
            </w:pPr>
            <w:r w:rsidRPr="00AE665D">
              <w:t>(</w:t>
            </w:r>
            <w:r>
              <w:t>272</w:t>
            </w:r>
            <w:r w:rsidRPr="00AE665D">
              <w:t>)</w:t>
            </w:r>
          </w:p>
        </w:tc>
        <w:tc>
          <w:tcPr>
            <w:tcW w:w="892" w:type="pct"/>
            <w:shd w:val="clear" w:color="auto" w:fill="E7DCF7" w:themeFill="text2" w:themeFillTint="1A"/>
            <w:noWrap/>
          </w:tcPr>
          <w:p w14:paraId="552D2D1B" w14:textId="77777777" w:rsidR="00AE023D" w:rsidRPr="00AE665D" w:rsidRDefault="00AE023D" w:rsidP="00630831">
            <w:pPr>
              <w:pStyle w:val="TableTextRight"/>
            </w:pPr>
            <w:r>
              <w:t>(25)</w:t>
            </w:r>
          </w:p>
        </w:tc>
      </w:tr>
      <w:tr w:rsidR="00AE023D" w:rsidRPr="00E27869" w14:paraId="37E51D51" w14:textId="77777777" w:rsidTr="006A715B">
        <w:tc>
          <w:tcPr>
            <w:tcW w:w="2322" w:type="pct"/>
            <w:tcBorders>
              <w:bottom w:val="single" w:sz="4" w:space="0" w:color="29114B" w:themeColor="text2"/>
            </w:tcBorders>
            <w:hideMark/>
          </w:tcPr>
          <w:p w14:paraId="41A1A4D6" w14:textId="77777777" w:rsidR="00AE023D" w:rsidRPr="00244EF2" w:rsidRDefault="00AE023D" w:rsidP="00630831">
            <w:pPr>
              <w:pStyle w:val="TableTextLeft"/>
              <w:rPr>
                <w:b/>
                <w:bCs/>
              </w:rPr>
            </w:pPr>
            <w:r w:rsidRPr="00244EF2">
              <w:rPr>
                <w:b/>
                <w:bCs/>
              </w:rPr>
              <w:t>Net cash from operating activities</w:t>
            </w:r>
          </w:p>
        </w:tc>
        <w:tc>
          <w:tcPr>
            <w:tcW w:w="448" w:type="pct"/>
            <w:tcBorders>
              <w:bottom w:val="single" w:sz="4" w:space="0" w:color="29114B" w:themeColor="text2"/>
            </w:tcBorders>
            <w:noWrap/>
            <w:hideMark/>
          </w:tcPr>
          <w:p w14:paraId="713D8306" w14:textId="77777777" w:rsidR="00AE023D" w:rsidRPr="00262FF1" w:rsidRDefault="00AE023D" w:rsidP="00630831">
            <w:pPr>
              <w:pStyle w:val="TableTextCentered"/>
              <w:rPr>
                <w:b/>
                <w:bCs/>
                <w:color w:val="auto"/>
              </w:rPr>
            </w:pPr>
            <w:r w:rsidRPr="00262FF1">
              <w:rPr>
                <w:b/>
                <w:bCs/>
                <w:color w:val="auto"/>
              </w:rPr>
              <w:t>G</w:t>
            </w:r>
          </w:p>
        </w:tc>
        <w:tc>
          <w:tcPr>
            <w:tcW w:w="668" w:type="pct"/>
            <w:tcBorders>
              <w:bottom w:val="single" w:sz="4" w:space="0" w:color="29114B" w:themeColor="text2"/>
            </w:tcBorders>
            <w:shd w:val="clear" w:color="auto" w:fill="E7DCF7" w:themeFill="text2" w:themeFillTint="1A"/>
            <w:noWrap/>
          </w:tcPr>
          <w:p w14:paraId="5FD882DA" w14:textId="77777777" w:rsidR="00AE023D" w:rsidRPr="00244EF2" w:rsidRDefault="00AE023D" w:rsidP="00630831">
            <w:pPr>
              <w:pStyle w:val="TableTextRight"/>
              <w:rPr>
                <w:b/>
                <w:bCs/>
              </w:rPr>
            </w:pPr>
            <w:r w:rsidRPr="00244EF2">
              <w:rPr>
                <w:b/>
                <w:bCs/>
              </w:rPr>
              <w:t>372</w:t>
            </w:r>
          </w:p>
        </w:tc>
        <w:tc>
          <w:tcPr>
            <w:tcW w:w="669" w:type="pct"/>
            <w:tcBorders>
              <w:bottom w:val="single" w:sz="4" w:space="0" w:color="29114B" w:themeColor="text2"/>
            </w:tcBorders>
            <w:noWrap/>
            <w:hideMark/>
          </w:tcPr>
          <w:p w14:paraId="1020C0D6" w14:textId="77777777" w:rsidR="00AE023D" w:rsidRPr="00244EF2" w:rsidRDefault="00AE023D" w:rsidP="00630831">
            <w:pPr>
              <w:pStyle w:val="TableTextRight"/>
              <w:rPr>
                <w:b/>
                <w:bCs/>
              </w:rPr>
            </w:pPr>
            <w:r w:rsidRPr="00244EF2">
              <w:rPr>
                <w:b/>
                <w:bCs/>
              </w:rPr>
              <w:t xml:space="preserve">253 </w:t>
            </w:r>
          </w:p>
        </w:tc>
        <w:tc>
          <w:tcPr>
            <w:tcW w:w="892" w:type="pct"/>
            <w:tcBorders>
              <w:bottom w:val="single" w:sz="4" w:space="0" w:color="29114B" w:themeColor="text2"/>
            </w:tcBorders>
            <w:shd w:val="clear" w:color="auto" w:fill="E7DCF7" w:themeFill="text2" w:themeFillTint="1A"/>
            <w:noWrap/>
          </w:tcPr>
          <w:p w14:paraId="53928AD6" w14:textId="77777777" w:rsidR="00AE023D" w:rsidRPr="00244EF2" w:rsidRDefault="00AE023D" w:rsidP="00630831">
            <w:pPr>
              <w:pStyle w:val="TableTextRight"/>
              <w:rPr>
                <w:b/>
                <w:bCs/>
              </w:rPr>
            </w:pPr>
            <w:r w:rsidRPr="00244EF2">
              <w:rPr>
                <w:b/>
                <w:bCs/>
              </w:rPr>
              <w:t>261</w:t>
            </w:r>
          </w:p>
        </w:tc>
      </w:tr>
      <w:tr w:rsidR="00AE023D" w:rsidRPr="00E27869" w14:paraId="00F55C70" w14:textId="77777777" w:rsidTr="00575CA9">
        <w:tc>
          <w:tcPr>
            <w:tcW w:w="2322" w:type="pct"/>
            <w:tcBorders>
              <w:top w:val="single" w:sz="4" w:space="0" w:color="29114B" w:themeColor="text2"/>
              <w:right w:val="single" w:sz="4" w:space="0" w:color="FFFFFF" w:themeColor="background1"/>
            </w:tcBorders>
            <w:shd w:val="clear" w:color="auto" w:fill="auto"/>
            <w:hideMark/>
          </w:tcPr>
          <w:p w14:paraId="6BA283A4" w14:textId="77777777" w:rsidR="00AE023D" w:rsidRPr="00D92452" w:rsidRDefault="00AE023D" w:rsidP="00630831">
            <w:pPr>
              <w:pStyle w:val="TableSecondHeading"/>
              <w:rPr>
                <w:rStyle w:val="Strong"/>
                <w:b w:val="0"/>
                <w:bCs w:val="0"/>
              </w:rPr>
            </w:pPr>
            <w:r w:rsidRPr="00D92452">
              <w:rPr>
                <w:rStyle w:val="Strong"/>
                <w:bCs w:val="0"/>
              </w:rPr>
              <w:t>Investing activities</w:t>
            </w:r>
          </w:p>
        </w:tc>
        <w:tc>
          <w:tcPr>
            <w:tcW w:w="448" w:type="pct"/>
            <w:tcBorders>
              <w:top w:val="single" w:sz="4" w:space="0" w:color="29114B" w:themeColor="text2"/>
              <w:left w:val="single" w:sz="4" w:space="0" w:color="FFFFFF" w:themeColor="background1"/>
              <w:right w:val="single" w:sz="4" w:space="0" w:color="FFFFFF" w:themeColor="background1"/>
            </w:tcBorders>
            <w:shd w:val="clear" w:color="auto" w:fill="auto"/>
            <w:noWrap/>
            <w:hideMark/>
          </w:tcPr>
          <w:p w14:paraId="54A114E7" w14:textId="77777777" w:rsidR="00AE023D" w:rsidRPr="00D92452" w:rsidRDefault="00AE023D" w:rsidP="00630831">
            <w:pPr>
              <w:pStyle w:val="TableTextCentered"/>
              <w:rPr>
                <w:b/>
              </w:rPr>
            </w:pPr>
            <w:r w:rsidRPr="00D92452">
              <w:rPr>
                <w:b/>
              </w:rPr>
              <w:t> </w:t>
            </w:r>
          </w:p>
        </w:tc>
        <w:tc>
          <w:tcPr>
            <w:tcW w:w="668" w:type="pct"/>
            <w:tcBorders>
              <w:top w:val="single" w:sz="4" w:space="0" w:color="29114B" w:themeColor="text2"/>
              <w:left w:val="single" w:sz="4" w:space="0" w:color="FFFFFF" w:themeColor="background1"/>
              <w:right w:val="single" w:sz="4" w:space="0" w:color="FFFFFF" w:themeColor="background1"/>
            </w:tcBorders>
            <w:shd w:val="clear" w:color="auto" w:fill="auto"/>
          </w:tcPr>
          <w:p w14:paraId="42ABB22B" w14:textId="77777777" w:rsidR="00AE023D" w:rsidRPr="00D92452" w:rsidRDefault="00AE023D" w:rsidP="00630831">
            <w:pPr>
              <w:pStyle w:val="TableTextRight"/>
              <w:rPr>
                <w:b/>
              </w:rPr>
            </w:pPr>
          </w:p>
        </w:tc>
        <w:tc>
          <w:tcPr>
            <w:tcW w:w="669"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4FDEE3B4" w14:textId="77777777" w:rsidR="00AE023D" w:rsidRPr="00D92452" w:rsidRDefault="00AE023D" w:rsidP="00630831">
            <w:pPr>
              <w:pStyle w:val="TableTextRight"/>
              <w:rPr>
                <w:b/>
              </w:rPr>
            </w:pPr>
            <w:r w:rsidRPr="00D92452">
              <w:rPr>
                <w:b/>
              </w:rPr>
              <w:t> </w:t>
            </w:r>
          </w:p>
        </w:tc>
        <w:tc>
          <w:tcPr>
            <w:tcW w:w="892" w:type="pct"/>
            <w:tcBorders>
              <w:top w:val="single" w:sz="4" w:space="0" w:color="29114B" w:themeColor="text2"/>
              <w:left w:val="single" w:sz="4" w:space="0" w:color="FFFFFF" w:themeColor="background1"/>
            </w:tcBorders>
            <w:shd w:val="clear" w:color="auto" w:fill="auto"/>
          </w:tcPr>
          <w:p w14:paraId="34D24031" w14:textId="77777777" w:rsidR="00AE023D" w:rsidRPr="00D92452" w:rsidRDefault="00AE023D" w:rsidP="00630831">
            <w:pPr>
              <w:pStyle w:val="TableTextRight"/>
              <w:rPr>
                <w:b/>
              </w:rPr>
            </w:pPr>
          </w:p>
        </w:tc>
      </w:tr>
      <w:tr w:rsidR="00AE023D" w:rsidRPr="00E27869" w14:paraId="52FFE492" w14:textId="77777777" w:rsidTr="006A715B">
        <w:tc>
          <w:tcPr>
            <w:tcW w:w="2322" w:type="pct"/>
            <w:noWrap/>
            <w:hideMark/>
          </w:tcPr>
          <w:p w14:paraId="5FE7F6D9" w14:textId="77777777" w:rsidR="00AE023D" w:rsidRPr="006534F5" w:rsidRDefault="00AE023D" w:rsidP="00630831">
            <w:pPr>
              <w:pStyle w:val="TableTextLeft"/>
            </w:pPr>
            <w:r w:rsidRPr="006534F5">
              <w:t>Purchase of assets</w:t>
            </w:r>
          </w:p>
        </w:tc>
        <w:tc>
          <w:tcPr>
            <w:tcW w:w="448" w:type="pct"/>
            <w:noWrap/>
            <w:hideMark/>
          </w:tcPr>
          <w:p w14:paraId="60F5CB95"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508FF5E2" w14:textId="77777777" w:rsidR="00AE023D" w:rsidRPr="00AE665D" w:rsidRDefault="00AE023D" w:rsidP="00630831">
            <w:pPr>
              <w:pStyle w:val="TableTextRight"/>
            </w:pPr>
            <w:r>
              <w:t>(318)</w:t>
            </w:r>
          </w:p>
        </w:tc>
        <w:tc>
          <w:tcPr>
            <w:tcW w:w="669" w:type="pct"/>
            <w:noWrap/>
            <w:hideMark/>
          </w:tcPr>
          <w:p w14:paraId="3DD8C860" w14:textId="77777777" w:rsidR="00AE023D" w:rsidRPr="00AE665D" w:rsidRDefault="00AE023D" w:rsidP="00630831">
            <w:pPr>
              <w:pStyle w:val="TableTextRight"/>
            </w:pPr>
            <w:r w:rsidRPr="00AE665D">
              <w:t>(</w:t>
            </w:r>
            <w:r>
              <w:t>2</w:t>
            </w:r>
            <w:r w:rsidRPr="00AE665D">
              <w:t>)</w:t>
            </w:r>
          </w:p>
        </w:tc>
        <w:tc>
          <w:tcPr>
            <w:tcW w:w="892" w:type="pct"/>
            <w:shd w:val="clear" w:color="auto" w:fill="E7DCF7" w:themeFill="text2" w:themeFillTint="1A"/>
            <w:noWrap/>
          </w:tcPr>
          <w:p w14:paraId="408BEC95" w14:textId="77777777" w:rsidR="00AE023D" w:rsidRPr="00AE665D" w:rsidRDefault="00AE023D" w:rsidP="00630831">
            <w:pPr>
              <w:pStyle w:val="TableTextRight"/>
            </w:pPr>
            <w:r>
              <w:t>(405)</w:t>
            </w:r>
          </w:p>
        </w:tc>
      </w:tr>
      <w:tr w:rsidR="00AE023D" w:rsidRPr="00E27869" w14:paraId="44EF364A" w14:textId="77777777" w:rsidTr="006A715B">
        <w:tc>
          <w:tcPr>
            <w:tcW w:w="2322" w:type="pct"/>
            <w:tcBorders>
              <w:bottom w:val="single" w:sz="4" w:space="0" w:color="29114B" w:themeColor="text2"/>
            </w:tcBorders>
            <w:hideMark/>
          </w:tcPr>
          <w:p w14:paraId="3DF0AA14" w14:textId="77777777" w:rsidR="00AE023D" w:rsidRPr="00262FF1" w:rsidRDefault="00AE023D" w:rsidP="00630831">
            <w:pPr>
              <w:pStyle w:val="TableTextLeft"/>
              <w:rPr>
                <w:rStyle w:val="Strong"/>
              </w:rPr>
            </w:pPr>
            <w:r w:rsidRPr="00262FF1">
              <w:rPr>
                <w:rStyle w:val="Strong"/>
              </w:rPr>
              <w:t>Net cash (used by) investing activities</w:t>
            </w:r>
          </w:p>
        </w:tc>
        <w:tc>
          <w:tcPr>
            <w:tcW w:w="448" w:type="pct"/>
            <w:tcBorders>
              <w:bottom w:val="single" w:sz="4" w:space="0" w:color="29114B" w:themeColor="text2"/>
            </w:tcBorders>
            <w:noWrap/>
            <w:hideMark/>
          </w:tcPr>
          <w:p w14:paraId="54B99077" w14:textId="77777777" w:rsidR="00AE023D" w:rsidRPr="006534F5" w:rsidRDefault="00AE023D" w:rsidP="00630831">
            <w:pPr>
              <w:pStyle w:val="TableTextCentered"/>
            </w:pPr>
            <w:r w:rsidRPr="006534F5">
              <w:t> </w:t>
            </w:r>
          </w:p>
        </w:tc>
        <w:tc>
          <w:tcPr>
            <w:tcW w:w="668" w:type="pct"/>
            <w:tcBorders>
              <w:bottom w:val="single" w:sz="4" w:space="0" w:color="29114B" w:themeColor="text2"/>
            </w:tcBorders>
            <w:shd w:val="clear" w:color="auto" w:fill="E7DCF7" w:themeFill="text2" w:themeFillTint="1A"/>
            <w:noWrap/>
          </w:tcPr>
          <w:p w14:paraId="6DE7FED8" w14:textId="77777777" w:rsidR="00AE023D" w:rsidRPr="00244EF2" w:rsidRDefault="00AE023D" w:rsidP="00630831">
            <w:pPr>
              <w:pStyle w:val="TableTextRight"/>
              <w:rPr>
                <w:b/>
                <w:bCs/>
              </w:rPr>
            </w:pPr>
            <w:r w:rsidRPr="00244EF2">
              <w:rPr>
                <w:b/>
                <w:bCs/>
              </w:rPr>
              <w:t>(318)</w:t>
            </w:r>
          </w:p>
        </w:tc>
        <w:tc>
          <w:tcPr>
            <w:tcW w:w="669" w:type="pct"/>
            <w:tcBorders>
              <w:bottom w:val="single" w:sz="4" w:space="0" w:color="29114B" w:themeColor="text2"/>
            </w:tcBorders>
            <w:noWrap/>
            <w:hideMark/>
          </w:tcPr>
          <w:p w14:paraId="78288799" w14:textId="77777777" w:rsidR="00AE023D" w:rsidRPr="00244EF2" w:rsidRDefault="00AE023D" w:rsidP="00630831">
            <w:pPr>
              <w:pStyle w:val="TableTextRight"/>
              <w:rPr>
                <w:b/>
                <w:bCs/>
              </w:rPr>
            </w:pPr>
            <w:r w:rsidRPr="00244EF2">
              <w:rPr>
                <w:b/>
                <w:bCs/>
              </w:rPr>
              <w:t>(2)</w:t>
            </w:r>
          </w:p>
        </w:tc>
        <w:tc>
          <w:tcPr>
            <w:tcW w:w="892" w:type="pct"/>
            <w:tcBorders>
              <w:bottom w:val="single" w:sz="4" w:space="0" w:color="29114B" w:themeColor="text2"/>
            </w:tcBorders>
            <w:shd w:val="clear" w:color="auto" w:fill="E7DCF7" w:themeFill="text2" w:themeFillTint="1A"/>
            <w:noWrap/>
          </w:tcPr>
          <w:p w14:paraId="45E6DE69" w14:textId="77777777" w:rsidR="00AE023D" w:rsidRPr="00244EF2" w:rsidRDefault="00AE023D" w:rsidP="00630831">
            <w:pPr>
              <w:pStyle w:val="TableTextRight"/>
              <w:rPr>
                <w:b/>
                <w:bCs/>
              </w:rPr>
            </w:pPr>
            <w:r w:rsidRPr="00244EF2">
              <w:rPr>
                <w:b/>
                <w:bCs/>
              </w:rPr>
              <w:t>(405)</w:t>
            </w:r>
          </w:p>
        </w:tc>
      </w:tr>
      <w:tr w:rsidR="00AE023D" w:rsidRPr="00E27869" w14:paraId="37AF981E" w14:textId="77777777" w:rsidTr="00575CA9">
        <w:tc>
          <w:tcPr>
            <w:tcW w:w="2322" w:type="pct"/>
            <w:tcBorders>
              <w:top w:val="single" w:sz="4" w:space="0" w:color="29114B" w:themeColor="text2"/>
              <w:right w:val="single" w:sz="4" w:space="0" w:color="FFFFFF" w:themeColor="background1"/>
            </w:tcBorders>
            <w:shd w:val="clear" w:color="auto" w:fill="auto"/>
            <w:hideMark/>
          </w:tcPr>
          <w:p w14:paraId="28028E0D" w14:textId="77777777" w:rsidR="00AE023D" w:rsidRPr="00D92452" w:rsidRDefault="00AE023D" w:rsidP="00630831">
            <w:pPr>
              <w:pStyle w:val="TableSecondHeading"/>
              <w:rPr>
                <w:rStyle w:val="Strong"/>
                <w:b w:val="0"/>
              </w:rPr>
            </w:pPr>
            <w:r w:rsidRPr="00D92452">
              <w:rPr>
                <w:rStyle w:val="Strong"/>
              </w:rPr>
              <w:t>Financing activities</w:t>
            </w:r>
          </w:p>
        </w:tc>
        <w:tc>
          <w:tcPr>
            <w:tcW w:w="448" w:type="pct"/>
            <w:tcBorders>
              <w:top w:val="single" w:sz="4" w:space="0" w:color="29114B" w:themeColor="text2"/>
              <w:left w:val="single" w:sz="4" w:space="0" w:color="FFFFFF" w:themeColor="background1"/>
              <w:right w:val="single" w:sz="4" w:space="0" w:color="FFFFFF" w:themeColor="background1"/>
            </w:tcBorders>
            <w:shd w:val="clear" w:color="auto" w:fill="auto"/>
            <w:noWrap/>
            <w:hideMark/>
          </w:tcPr>
          <w:p w14:paraId="0510420C" w14:textId="77777777" w:rsidR="00AE023D" w:rsidRPr="00D92452" w:rsidRDefault="00AE023D" w:rsidP="00630831">
            <w:pPr>
              <w:pStyle w:val="TableTextCentered"/>
              <w:rPr>
                <w:rStyle w:val="Strong"/>
              </w:rPr>
            </w:pPr>
            <w:r w:rsidRPr="00D92452">
              <w:rPr>
                <w:rStyle w:val="Strong"/>
              </w:rPr>
              <w:t> </w:t>
            </w:r>
          </w:p>
        </w:tc>
        <w:tc>
          <w:tcPr>
            <w:tcW w:w="668" w:type="pct"/>
            <w:tcBorders>
              <w:top w:val="single" w:sz="4" w:space="0" w:color="29114B" w:themeColor="text2"/>
              <w:left w:val="single" w:sz="4" w:space="0" w:color="FFFFFF" w:themeColor="background1"/>
              <w:right w:val="single" w:sz="4" w:space="0" w:color="FFFFFF" w:themeColor="background1"/>
            </w:tcBorders>
            <w:shd w:val="clear" w:color="auto" w:fill="auto"/>
          </w:tcPr>
          <w:p w14:paraId="5BC2781C" w14:textId="77777777" w:rsidR="00AE023D" w:rsidRPr="00D92452" w:rsidRDefault="00AE023D" w:rsidP="00630831">
            <w:pPr>
              <w:pStyle w:val="TableTextRight"/>
              <w:rPr>
                <w:b/>
                <w:bCs/>
              </w:rPr>
            </w:pPr>
          </w:p>
        </w:tc>
        <w:tc>
          <w:tcPr>
            <w:tcW w:w="669" w:type="pct"/>
            <w:tcBorders>
              <w:top w:val="single" w:sz="4" w:space="0" w:color="29114B" w:themeColor="text2"/>
              <w:left w:val="single" w:sz="4" w:space="0" w:color="FFFFFF" w:themeColor="background1"/>
              <w:right w:val="single" w:sz="4" w:space="0" w:color="FFFFFF" w:themeColor="background1"/>
            </w:tcBorders>
            <w:shd w:val="clear" w:color="auto" w:fill="auto"/>
            <w:hideMark/>
          </w:tcPr>
          <w:p w14:paraId="4E86BB63" w14:textId="77777777" w:rsidR="00AE023D" w:rsidRPr="00D92452" w:rsidRDefault="00AE023D" w:rsidP="00630831">
            <w:pPr>
              <w:pStyle w:val="TableTextRight"/>
              <w:rPr>
                <w:b/>
                <w:bCs/>
              </w:rPr>
            </w:pPr>
            <w:r w:rsidRPr="00D92452">
              <w:rPr>
                <w:b/>
                <w:bCs/>
              </w:rPr>
              <w:t> </w:t>
            </w:r>
          </w:p>
        </w:tc>
        <w:tc>
          <w:tcPr>
            <w:tcW w:w="892" w:type="pct"/>
            <w:tcBorders>
              <w:top w:val="single" w:sz="4" w:space="0" w:color="29114B" w:themeColor="text2"/>
              <w:left w:val="single" w:sz="4" w:space="0" w:color="FFFFFF" w:themeColor="background1"/>
            </w:tcBorders>
            <w:shd w:val="clear" w:color="auto" w:fill="auto"/>
          </w:tcPr>
          <w:p w14:paraId="21CFB06A" w14:textId="77777777" w:rsidR="00AE023D" w:rsidRPr="00D92452" w:rsidRDefault="00AE023D" w:rsidP="00630831">
            <w:pPr>
              <w:pStyle w:val="TableTextRight"/>
              <w:rPr>
                <w:b/>
                <w:bCs/>
              </w:rPr>
            </w:pPr>
          </w:p>
        </w:tc>
      </w:tr>
      <w:tr w:rsidR="00AE023D" w:rsidRPr="00E27869" w14:paraId="7E5D833B" w14:textId="77777777" w:rsidTr="006A715B">
        <w:tc>
          <w:tcPr>
            <w:tcW w:w="2322" w:type="pct"/>
            <w:noWrap/>
            <w:hideMark/>
          </w:tcPr>
          <w:p w14:paraId="666B86EB" w14:textId="77777777" w:rsidR="00AE023D" w:rsidRPr="006534F5" w:rsidRDefault="00AE023D" w:rsidP="00630831">
            <w:pPr>
              <w:pStyle w:val="TableTextLeft"/>
            </w:pPr>
            <w:r>
              <w:t>Contributed equity</w:t>
            </w:r>
          </w:p>
        </w:tc>
        <w:tc>
          <w:tcPr>
            <w:tcW w:w="448" w:type="pct"/>
            <w:noWrap/>
            <w:hideMark/>
          </w:tcPr>
          <w:p w14:paraId="4623E546"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6A1F8A97" w14:textId="77777777" w:rsidR="00AE023D" w:rsidRPr="00AE665D" w:rsidRDefault="00AE023D" w:rsidP="00630831">
            <w:pPr>
              <w:pStyle w:val="TableTextRight"/>
            </w:pPr>
            <w:r>
              <w:t>318</w:t>
            </w:r>
          </w:p>
        </w:tc>
        <w:tc>
          <w:tcPr>
            <w:tcW w:w="669" w:type="pct"/>
            <w:noWrap/>
            <w:hideMark/>
          </w:tcPr>
          <w:p w14:paraId="5714ACBA" w14:textId="77777777" w:rsidR="00AE023D" w:rsidRPr="00AE665D" w:rsidRDefault="00AE023D" w:rsidP="00630831">
            <w:pPr>
              <w:pStyle w:val="TableTextRight"/>
            </w:pPr>
            <w:r>
              <w:t>2</w:t>
            </w:r>
            <w:r w:rsidRPr="00AE665D">
              <w:t xml:space="preserve"> </w:t>
            </w:r>
          </w:p>
        </w:tc>
        <w:tc>
          <w:tcPr>
            <w:tcW w:w="892" w:type="pct"/>
            <w:shd w:val="clear" w:color="auto" w:fill="E7DCF7" w:themeFill="text2" w:themeFillTint="1A"/>
            <w:noWrap/>
          </w:tcPr>
          <w:p w14:paraId="4F334EA9" w14:textId="77777777" w:rsidR="00AE023D" w:rsidRPr="00AE665D" w:rsidRDefault="00AE023D" w:rsidP="00630831">
            <w:pPr>
              <w:pStyle w:val="TableTextRight"/>
            </w:pPr>
            <w:r>
              <w:t>405</w:t>
            </w:r>
          </w:p>
        </w:tc>
      </w:tr>
      <w:tr w:rsidR="00AE023D" w:rsidRPr="00E27869" w14:paraId="090347D9" w14:textId="77777777" w:rsidTr="006A715B">
        <w:tc>
          <w:tcPr>
            <w:tcW w:w="2322" w:type="pct"/>
            <w:noWrap/>
            <w:hideMark/>
          </w:tcPr>
          <w:p w14:paraId="64806678" w14:textId="77777777" w:rsidR="00AE023D" w:rsidRPr="006534F5" w:rsidRDefault="00AE023D" w:rsidP="00630831">
            <w:pPr>
              <w:pStyle w:val="TableTextLeft"/>
            </w:pPr>
            <w:r>
              <w:t>Principal payments of lease liabilities</w:t>
            </w:r>
          </w:p>
        </w:tc>
        <w:tc>
          <w:tcPr>
            <w:tcW w:w="448" w:type="pct"/>
            <w:noWrap/>
            <w:hideMark/>
          </w:tcPr>
          <w:p w14:paraId="2CE7E322"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57016B83" w14:textId="77777777" w:rsidR="00AE023D" w:rsidRPr="00AE665D" w:rsidRDefault="00AE023D" w:rsidP="00630831">
            <w:pPr>
              <w:pStyle w:val="TableTextRight"/>
            </w:pPr>
            <w:r>
              <w:t>(265)</w:t>
            </w:r>
          </w:p>
        </w:tc>
        <w:tc>
          <w:tcPr>
            <w:tcW w:w="669" w:type="pct"/>
            <w:noWrap/>
            <w:hideMark/>
          </w:tcPr>
          <w:p w14:paraId="6C866A76" w14:textId="77777777" w:rsidR="00AE023D" w:rsidRPr="00AE665D" w:rsidRDefault="00AE023D" w:rsidP="00630831">
            <w:pPr>
              <w:pStyle w:val="TableTextRight"/>
            </w:pPr>
            <w:r w:rsidRPr="00AE665D">
              <w:t>(</w:t>
            </w:r>
            <w:r>
              <w:t>253</w:t>
            </w:r>
            <w:r w:rsidRPr="00AE665D">
              <w:t>)</w:t>
            </w:r>
          </w:p>
        </w:tc>
        <w:tc>
          <w:tcPr>
            <w:tcW w:w="892" w:type="pct"/>
            <w:shd w:val="clear" w:color="auto" w:fill="E7DCF7" w:themeFill="text2" w:themeFillTint="1A"/>
            <w:noWrap/>
          </w:tcPr>
          <w:p w14:paraId="7BAF23F4" w14:textId="77777777" w:rsidR="00AE023D" w:rsidRPr="00AE665D" w:rsidRDefault="00AE023D" w:rsidP="00630831">
            <w:pPr>
              <w:pStyle w:val="TableTextRight"/>
            </w:pPr>
            <w:r>
              <w:t>(261)</w:t>
            </w:r>
          </w:p>
        </w:tc>
      </w:tr>
      <w:tr w:rsidR="00AE023D" w:rsidRPr="00E27869" w14:paraId="7322CF51" w14:textId="77777777" w:rsidTr="006A715B">
        <w:tc>
          <w:tcPr>
            <w:tcW w:w="2322" w:type="pct"/>
            <w:hideMark/>
          </w:tcPr>
          <w:p w14:paraId="5DE7FB37" w14:textId="77777777" w:rsidR="00AE023D" w:rsidRPr="00244EF2" w:rsidRDefault="00AE023D" w:rsidP="00630831">
            <w:pPr>
              <w:pStyle w:val="TableTextLeft"/>
              <w:rPr>
                <w:b/>
                <w:bCs/>
              </w:rPr>
            </w:pPr>
            <w:r w:rsidRPr="00244EF2">
              <w:rPr>
                <w:b/>
                <w:bCs/>
              </w:rPr>
              <w:t>Net cash from</w:t>
            </w:r>
            <w:proofErr w:type="gramStart"/>
            <w:r w:rsidRPr="00244EF2">
              <w:rPr>
                <w:b/>
                <w:bCs/>
              </w:rPr>
              <w:t>/(</w:t>
            </w:r>
            <w:proofErr w:type="gramEnd"/>
            <w:r w:rsidRPr="00244EF2">
              <w:rPr>
                <w:b/>
                <w:bCs/>
              </w:rPr>
              <w:t>used by) financing activities</w:t>
            </w:r>
          </w:p>
        </w:tc>
        <w:tc>
          <w:tcPr>
            <w:tcW w:w="448" w:type="pct"/>
            <w:noWrap/>
            <w:hideMark/>
          </w:tcPr>
          <w:p w14:paraId="279D4D57"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58ACCCB5" w14:textId="77777777" w:rsidR="00AE023D" w:rsidRPr="00244EF2" w:rsidRDefault="00AE023D" w:rsidP="00630831">
            <w:pPr>
              <w:pStyle w:val="TableTextRight"/>
              <w:rPr>
                <w:b/>
                <w:bCs/>
              </w:rPr>
            </w:pPr>
            <w:r w:rsidRPr="00244EF2">
              <w:rPr>
                <w:b/>
                <w:bCs/>
              </w:rPr>
              <w:t>53</w:t>
            </w:r>
          </w:p>
        </w:tc>
        <w:tc>
          <w:tcPr>
            <w:tcW w:w="669" w:type="pct"/>
            <w:noWrap/>
            <w:hideMark/>
          </w:tcPr>
          <w:p w14:paraId="78362E3E" w14:textId="77777777" w:rsidR="00AE023D" w:rsidRPr="00244EF2" w:rsidRDefault="00AE023D" w:rsidP="00630831">
            <w:pPr>
              <w:pStyle w:val="TableTextRight"/>
              <w:rPr>
                <w:b/>
                <w:bCs/>
              </w:rPr>
            </w:pPr>
            <w:r w:rsidRPr="00244EF2">
              <w:rPr>
                <w:b/>
                <w:bCs/>
              </w:rPr>
              <w:t>(251)</w:t>
            </w:r>
          </w:p>
        </w:tc>
        <w:tc>
          <w:tcPr>
            <w:tcW w:w="892" w:type="pct"/>
            <w:shd w:val="clear" w:color="auto" w:fill="E7DCF7" w:themeFill="text2" w:themeFillTint="1A"/>
            <w:noWrap/>
          </w:tcPr>
          <w:p w14:paraId="5198EF57" w14:textId="77777777" w:rsidR="00AE023D" w:rsidRPr="00244EF2" w:rsidRDefault="00AE023D" w:rsidP="00630831">
            <w:pPr>
              <w:pStyle w:val="TableTextRight"/>
              <w:rPr>
                <w:b/>
                <w:bCs/>
              </w:rPr>
            </w:pPr>
            <w:r w:rsidRPr="00244EF2">
              <w:rPr>
                <w:b/>
                <w:bCs/>
              </w:rPr>
              <w:t>144</w:t>
            </w:r>
          </w:p>
        </w:tc>
      </w:tr>
      <w:tr w:rsidR="00AE023D" w:rsidRPr="00E27869" w14:paraId="6BD85B65" w14:textId="77777777" w:rsidTr="006A715B">
        <w:tc>
          <w:tcPr>
            <w:tcW w:w="2322" w:type="pct"/>
            <w:noWrap/>
            <w:hideMark/>
          </w:tcPr>
          <w:p w14:paraId="19785A27" w14:textId="77777777" w:rsidR="00AE023D" w:rsidRPr="00244EF2" w:rsidRDefault="00AE023D" w:rsidP="00630831">
            <w:pPr>
              <w:pStyle w:val="TableTextLeft"/>
              <w:rPr>
                <w:b/>
                <w:bCs/>
              </w:rPr>
            </w:pPr>
            <w:r w:rsidRPr="00244EF2">
              <w:rPr>
                <w:b/>
                <w:bCs/>
              </w:rPr>
              <w:t>Net increase/(decrease) in cash held</w:t>
            </w:r>
          </w:p>
        </w:tc>
        <w:tc>
          <w:tcPr>
            <w:tcW w:w="448" w:type="pct"/>
            <w:noWrap/>
            <w:hideMark/>
          </w:tcPr>
          <w:p w14:paraId="39274A3B" w14:textId="77777777" w:rsidR="00AE023D" w:rsidRPr="006534F5" w:rsidRDefault="00AE023D" w:rsidP="00630831">
            <w:pPr>
              <w:pStyle w:val="TableTextCentered"/>
            </w:pPr>
            <w:r w:rsidRPr="006534F5">
              <w:t> </w:t>
            </w:r>
          </w:p>
        </w:tc>
        <w:tc>
          <w:tcPr>
            <w:tcW w:w="668" w:type="pct"/>
            <w:shd w:val="clear" w:color="auto" w:fill="E7DCF7" w:themeFill="text2" w:themeFillTint="1A"/>
            <w:noWrap/>
          </w:tcPr>
          <w:p w14:paraId="33579EE3" w14:textId="77777777" w:rsidR="00AE023D" w:rsidRPr="00244EF2" w:rsidRDefault="00AE023D" w:rsidP="00630831">
            <w:pPr>
              <w:pStyle w:val="TableTextRight"/>
              <w:rPr>
                <w:b/>
                <w:bCs/>
              </w:rPr>
            </w:pPr>
            <w:r w:rsidRPr="00244EF2">
              <w:rPr>
                <w:b/>
                <w:bCs/>
              </w:rPr>
              <w:t>107</w:t>
            </w:r>
          </w:p>
        </w:tc>
        <w:tc>
          <w:tcPr>
            <w:tcW w:w="669" w:type="pct"/>
            <w:noWrap/>
            <w:hideMark/>
          </w:tcPr>
          <w:p w14:paraId="4377420E" w14:textId="77777777" w:rsidR="00AE023D" w:rsidRPr="00244EF2" w:rsidRDefault="00AE023D" w:rsidP="00630831">
            <w:pPr>
              <w:pStyle w:val="TableTextRight"/>
              <w:rPr>
                <w:b/>
                <w:bCs/>
              </w:rPr>
            </w:pPr>
            <w:r w:rsidRPr="00244EF2">
              <w:rPr>
                <w:b/>
                <w:bCs/>
              </w:rPr>
              <w:t xml:space="preserve">- </w:t>
            </w:r>
          </w:p>
        </w:tc>
        <w:tc>
          <w:tcPr>
            <w:tcW w:w="892" w:type="pct"/>
            <w:shd w:val="clear" w:color="auto" w:fill="E7DCF7" w:themeFill="text2" w:themeFillTint="1A"/>
            <w:noWrap/>
          </w:tcPr>
          <w:p w14:paraId="512DF9E3" w14:textId="77777777" w:rsidR="00AE023D" w:rsidRPr="00244EF2" w:rsidRDefault="00AE023D" w:rsidP="00630831">
            <w:pPr>
              <w:pStyle w:val="TableTextRight"/>
              <w:rPr>
                <w:b/>
                <w:bCs/>
              </w:rPr>
            </w:pPr>
            <w:r w:rsidRPr="00244EF2">
              <w:rPr>
                <w:b/>
                <w:bCs/>
              </w:rPr>
              <w:noBreakHyphen/>
            </w:r>
          </w:p>
        </w:tc>
      </w:tr>
      <w:tr w:rsidR="00AE023D" w:rsidRPr="00E27869" w14:paraId="3DB81E10" w14:textId="77777777" w:rsidTr="006A715B">
        <w:tc>
          <w:tcPr>
            <w:tcW w:w="2322" w:type="pct"/>
            <w:hideMark/>
          </w:tcPr>
          <w:p w14:paraId="66371B0A" w14:textId="77777777" w:rsidR="00AE023D" w:rsidRPr="00244EF2" w:rsidRDefault="00AE023D" w:rsidP="00630831">
            <w:pPr>
              <w:pStyle w:val="TableTextLeft"/>
              <w:rPr>
                <w:b/>
                <w:bCs/>
              </w:rPr>
            </w:pPr>
            <w:r w:rsidRPr="00244EF2">
              <w:rPr>
                <w:b/>
                <w:bCs/>
              </w:rPr>
              <w:t>Cash at the beginning of the reporting period</w:t>
            </w:r>
          </w:p>
        </w:tc>
        <w:tc>
          <w:tcPr>
            <w:tcW w:w="448" w:type="pct"/>
            <w:noWrap/>
            <w:hideMark/>
          </w:tcPr>
          <w:p w14:paraId="6B153775" w14:textId="77777777" w:rsidR="00AE023D" w:rsidRPr="00465984" w:rsidRDefault="00AE023D" w:rsidP="00630831">
            <w:pPr>
              <w:pStyle w:val="TableTextCentered"/>
            </w:pPr>
            <w:r w:rsidRPr="00465984">
              <w:t> </w:t>
            </w:r>
          </w:p>
        </w:tc>
        <w:tc>
          <w:tcPr>
            <w:tcW w:w="668" w:type="pct"/>
            <w:shd w:val="clear" w:color="auto" w:fill="E7DCF7" w:themeFill="text2" w:themeFillTint="1A"/>
            <w:noWrap/>
          </w:tcPr>
          <w:p w14:paraId="27FD61C4" w14:textId="77777777" w:rsidR="00AE023D" w:rsidRPr="00244EF2" w:rsidRDefault="00AE023D" w:rsidP="00630831">
            <w:pPr>
              <w:pStyle w:val="TableTextRight"/>
              <w:rPr>
                <w:b/>
                <w:bCs/>
              </w:rPr>
            </w:pPr>
            <w:r w:rsidRPr="00244EF2">
              <w:rPr>
                <w:b/>
                <w:bCs/>
              </w:rPr>
              <w:t>100</w:t>
            </w:r>
          </w:p>
        </w:tc>
        <w:tc>
          <w:tcPr>
            <w:tcW w:w="669" w:type="pct"/>
            <w:noWrap/>
            <w:hideMark/>
          </w:tcPr>
          <w:p w14:paraId="3E9C6329" w14:textId="77777777" w:rsidR="00AE023D" w:rsidRPr="00244EF2" w:rsidRDefault="00AE023D" w:rsidP="00630831">
            <w:pPr>
              <w:pStyle w:val="TableTextRight"/>
              <w:rPr>
                <w:b/>
                <w:bCs/>
              </w:rPr>
            </w:pPr>
            <w:r w:rsidRPr="00244EF2">
              <w:rPr>
                <w:b/>
                <w:bCs/>
              </w:rPr>
              <w:t xml:space="preserve">100 </w:t>
            </w:r>
          </w:p>
        </w:tc>
        <w:tc>
          <w:tcPr>
            <w:tcW w:w="892" w:type="pct"/>
            <w:shd w:val="clear" w:color="auto" w:fill="E7DCF7" w:themeFill="text2" w:themeFillTint="1A"/>
            <w:noWrap/>
          </w:tcPr>
          <w:p w14:paraId="1094F643" w14:textId="77777777" w:rsidR="00AE023D" w:rsidRPr="00244EF2" w:rsidRDefault="00AE023D" w:rsidP="00630831">
            <w:pPr>
              <w:pStyle w:val="TableTextRight"/>
              <w:rPr>
                <w:b/>
                <w:bCs/>
              </w:rPr>
            </w:pPr>
            <w:r w:rsidRPr="00244EF2">
              <w:rPr>
                <w:b/>
                <w:bCs/>
              </w:rPr>
              <w:t>100</w:t>
            </w:r>
          </w:p>
        </w:tc>
      </w:tr>
      <w:tr w:rsidR="00AE023D" w:rsidRPr="00E27869" w14:paraId="11FAC7F2" w14:textId="77777777" w:rsidTr="006A715B">
        <w:tc>
          <w:tcPr>
            <w:tcW w:w="2322" w:type="pct"/>
            <w:hideMark/>
          </w:tcPr>
          <w:p w14:paraId="5B662EB7" w14:textId="77777777" w:rsidR="00AE023D" w:rsidRPr="00244EF2" w:rsidRDefault="00AE023D" w:rsidP="00630831">
            <w:pPr>
              <w:pStyle w:val="TableTextLeft"/>
              <w:rPr>
                <w:b/>
                <w:bCs/>
              </w:rPr>
            </w:pPr>
            <w:r w:rsidRPr="00244EF2">
              <w:rPr>
                <w:b/>
                <w:bCs/>
              </w:rPr>
              <w:t>Cash at the end of the reporting period</w:t>
            </w:r>
          </w:p>
        </w:tc>
        <w:tc>
          <w:tcPr>
            <w:tcW w:w="448" w:type="pct"/>
            <w:noWrap/>
            <w:hideMark/>
          </w:tcPr>
          <w:p w14:paraId="7A1B19B0" w14:textId="77777777" w:rsidR="00AE023D" w:rsidRPr="00C42227" w:rsidRDefault="00AE023D" w:rsidP="00630831">
            <w:pPr>
              <w:pStyle w:val="TableTextCentered"/>
              <w:rPr>
                <w:rStyle w:val="Strong"/>
              </w:rPr>
            </w:pPr>
            <w:r w:rsidRPr="00C42227">
              <w:rPr>
                <w:rStyle w:val="Strong"/>
              </w:rPr>
              <w:t> </w:t>
            </w:r>
          </w:p>
        </w:tc>
        <w:tc>
          <w:tcPr>
            <w:tcW w:w="668" w:type="pct"/>
            <w:shd w:val="clear" w:color="auto" w:fill="E7DCF7" w:themeFill="text2" w:themeFillTint="1A"/>
            <w:noWrap/>
          </w:tcPr>
          <w:p w14:paraId="7CB574C3" w14:textId="77777777" w:rsidR="00AE023D" w:rsidRPr="00244EF2" w:rsidRDefault="00AE023D" w:rsidP="00630831">
            <w:pPr>
              <w:pStyle w:val="TableTextRight"/>
              <w:rPr>
                <w:b/>
                <w:bCs/>
              </w:rPr>
            </w:pPr>
            <w:r w:rsidRPr="00244EF2">
              <w:rPr>
                <w:b/>
                <w:bCs/>
              </w:rPr>
              <w:t>207</w:t>
            </w:r>
          </w:p>
        </w:tc>
        <w:tc>
          <w:tcPr>
            <w:tcW w:w="669" w:type="pct"/>
            <w:noWrap/>
            <w:hideMark/>
          </w:tcPr>
          <w:p w14:paraId="584D588C" w14:textId="77777777" w:rsidR="00AE023D" w:rsidRPr="00244EF2" w:rsidRDefault="00AE023D" w:rsidP="00630831">
            <w:pPr>
              <w:pStyle w:val="TableTextRight"/>
              <w:rPr>
                <w:b/>
                <w:bCs/>
              </w:rPr>
            </w:pPr>
            <w:r w:rsidRPr="00244EF2">
              <w:rPr>
                <w:b/>
                <w:bCs/>
              </w:rPr>
              <w:t xml:space="preserve"> 100 </w:t>
            </w:r>
          </w:p>
        </w:tc>
        <w:tc>
          <w:tcPr>
            <w:tcW w:w="892" w:type="pct"/>
            <w:shd w:val="clear" w:color="auto" w:fill="E7DCF7" w:themeFill="text2" w:themeFillTint="1A"/>
            <w:noWrap/>
          </w:tcPr>
          <w:p w14:paraId="2A4AC881" w14:textId="77777777" w:rsidR="00AE023D" w:rsidRPr="00244EF2" w:rsidRDefault="00AE023D" w:rsidP="00630831">
            <w:pPr>
              <w:pStyle w:val="TableTextRight"/>
              <w:rPr>
                <w:b/>
                <w:bCs/>
              </w:rPr>
            </w:pPr>
            <w:r w:rsidRPr="00244EF2">
              <w:rPr>
                <w:b/>
                <w:bCs/>
              </w:rPr>
              <w:t>100</w:t>
            </w:r>
          </w:p>
        </w:tc>
      </w:tr>
    </w:tbl>
    <w:p w14:paraId="5CD5428A" w14:textId="77777777" w:rsidR="00AE023D" w:rsidRPr="00A5461E" w:rsidRDefault="00AE023D" w:rsidP="00AE023D">
      <w:pPr>
        <w:pStyle w:val="ChartorTableNote"/>
      </w:pPr>
      <w:r w:rsidRPr="00A5461E">
        <w:t>The above statement should be read in conjunction with the accompanying notes.</w:t>
      </w:r>
    </w:p>
    <w:p w14:paraId="7C6687BD" w14:textId="77777777" w:rsidR="00AE023D" w:rsidRPr="005574B7" w:rsidRDefault="00AE023D" w:rsidP="00AE023D">
      <w:pPr>
        <w:pStyle w:val="Chartnotenotab"/>
      </w:pPr>
      <w:r w:rsidRPr="005574B7">
        <w:t>Note</w:t>
      </w:r>
      <w:r>
        <w:t xml:space="preserve"> </w:t>
      </w:r>
      <w:r w:rsidRPr="005574B7">
        <w:t>I</w:t>
      </w:r>
      <w:r>
        <w:t xml:space="preserve"> </w:t>
      </w:r>
      <w:r w:rsidRPr="005574B7">
        <w:t>explains significant variances between actuals and the original budget as presented in the 2024</w:t>
      </w:r>
      <w:r w:rsidRPr="00B235A9">
        <w:t>–</w:t>
      </w:r>
      <w:r w:rsidRPr="005574B7">
        <w:t>25 Portfolio Budget Statements.</w:t>
      </w:r>
    </w:p>
    <w:p w14:paraId="6C148BE5" w14:textId="77777777" w:rsidR="00AE023D" w:rsidRDefault="005B5350" w:rsidP="00AE023D">
      <w:pPr>
        <w:pStyle w:val="Heading1"/>
      </w:pPr>
      <w:r>
        <w:br w:type="page"/>
      </w:r>
      <w:bookmarkStart w:id="1828" w:name="_Toc204874168"/>
      <w:bookmarkStart w:id="1829" w:name="_Toc207792948"/>
      <w:bookmarkStart w:id="1830" w:name="_Toc207793988"/>
      <w:bookmarkStart w:id="1831" w:name="_Toc207796157"/>
      <w:bookmarkStart w:id="1832" w:name="_Toc207796992"/>
      <w:bookmarkStart w:id="1833" w:name="_Toc207797313"/>
      <w:bookmarkStart w:id="1834" w:name="_Toc207800295"/>
      <w:bookmarkStart w:id="1835" w:name="_Toc207810873"/>
      <w:bookmarkStart w:id="1836" w:name="_Toc208913988"/>
      <w:bookmarkStart w:id="1837" w:name="_Toc208914153"/>
      <w:bookmarkStart w:id="1838" w:name="_Toc209424550"/>
      <w:bookmarkStart w:id="1839" w:name="_Toc209424606"/>
      <w:r w:rsidR="00AE023D">
        <w:lastRenderedPageBreak/>
        <w:t>Financial performance</w:t>
      </w:r>
      <w:bookmarkEnd w:id="1828"/>
      <w:bookmarkEnd w:id="1829"/>
      <w:bookmarkEnd w:id="1830"/>
      <w:bookmarkEnd w:id="1831"/>
      <w:bookmarkEnd w:id="1832"/>
      <w:bookmarkEnd w:id="1833"/>
      <w:bookmarkEnd w:id="1834"/>
      <w:bookmarkEnd w:id="1835"/>
      <w:bookmarkEnd w:id="1836"/>
      <w:bookmarkEnd w:id="1837"/>
      <w:bookmarkEnd w:id="1838"/>
      <w:bookmarkEnd w:id="1839"/>
    </w:p>
    <w:p w14:paraId="6B47BBC9" w14:textId="77777777" w:rsidR="00AE023D" w:rsidRPr="006534F5" w:rsidRDefault="00AE023D" w:rsidP="00AE023D">
      <w:pPr>
        <w:pStyle w:val="Heading2"/>
        <w:rPr>
          <w:lang w:eastAsia="en-AU"/>
        </w:rPr>
      </w:pPr>
      <w:bookmarkStart w:id="1840" w:name="_Toc207792949"/>
      <w:bookmarkStart w:id="1841" w:name="_Toc207793989"/>
      <w:bookmarkStart w:id="1842" w:name="_Toc207796158"/>
      <w:bookmarkStart w:id="1843" w:name="_Toc207796993"/>
      <w:bookmarkStart w:id="1844" w:name="_Toc207800296"/>
      <w:bookmarkStart w:id="1845" w:name="_Toc207810874"/>
      <w:bookmarkStart w:id="1846" w:name="_Toc208914154"/>
      <w:bookmarkStart w:id="1847" w:name="_Toc209424551"/>
      <w:r w:rsidRPr="006534F5">
        <w:t>Note A: Expenses</w:t>
      </w:r>
      <w:bookmarkEnd w:id="1840"/>
      <w:bookmarkEnd w:id="1841"/>
      <w:bookmarkEnd w:id="1842"/>
      <w:bookmarkEnd w:id="1843"/>
      <w:bookmarkEnd w:id="1844"/>
      <w:bookmarkEnd w:id="1845"/>
      <w:bookmarkEnd w:id="1846"/>
      <w:bookmarkEnd w:id="1847"/>
    </w:p>
    <w:p w14:paraId="39FC07EE" w14:textId="77777777" w:rsidR="00AE023D" w:rsidRPr="006534F5" w:rsidRDefault="00AE023D" w:rsidP="00AE023D">
      <w:pPr>
        <w:pStyle w:val="TableMainHeading"/>
        <w:keepLines/>
        <w:rPr>
          <w:rFonts w:asciiTheme="minorHAnsi" w:hAnsiTheme="minorHAnsi" w:cstheme="minorBidi"/>
          <w:lang w:eastAsia="en-US"/>
        </w:rPr>
      </w:pPr>
      <w:r w:rsidRPr="006534F5">
        <w:t xml:space="preserve">Employee benefits </w:t>
      </w:r>
    </w:p>
    <w:tbl>
      <w:tblPr>
        <w:tblStyle w:val="AOFMTablemain"/>
        <w:tblW w:w="5000" w:type="pct"/>
        <w:tblLook w:val="06A0" w:firstRow="1" w:lastRow="0" w:firstColumn="1" w:lastColumn="0" w:noHBand="1" w:noVBand="1"/>
      </w:tblPr>
      <w:tblGrid>
        <w:gridCol w:w="4957"/>
        <w:gridCol w:w="1377"/>
        <w:gridCol w:w="1377"/>
      </w:tblGrid>
      <w:tr w:rsidR="0048600D" w:rsidRPr="006534F5" w14:paraId="44795BA2" w14:textId="77777777" w:rsidTr="00575CA9">
        <w:trPr>
          <w:cnfStyle w:val="100000000000" w:firstRow="1" w:lastRow="0" w:firstColumn="0" w:lastColumn="0" w:oddVBand="0" w:evenVBand="0" w:oddHBand="0" w:evenHBand="0" w:firstRowFirstColumn="0" w:firstRowLastColumn="0" w:lastRowFirstColumn="0" w:lastRowLastColumn="0"/>
        </w:trPr>
        <w:tc>
          <w:tcPr>
            <w:tcW w:w="3214" w:type="pct"/>
            <w:noWrap/>
            <w:tcMar>
              <w:top w:w="34" w:type="dxa"/>
              <w:bottom w:w="34" w:type="dxa"/>
            </w:tcMar>
            <w:hideMark/>
          </w:tcPr>
          <w:p w14:paraId="14C8FD52" w14:textId="77777777" w:rsidR="00AE023D" w:rsidRPr="00077DB0" w:rsidRDefault="00AE023D" w:rsidP="00630831">
            <w:pPr>
              <w:pStyle w:val="TableColumnHeadingRight"/>
            </w:pPr>
            <w:r w:rsidRPr="00077DB0">
              <w:t> </w:t>
            </w:r>
          </w:p>
        </w:tc>
        <w:tc>
          <w:tcPr>
            <w:tcW w:w="893" w:type="pct"/>
            <w:noWrap/>
            <w:tcMar>
              <w:top w:w="34" w:type="dxa"/>
              <w:bottom w:w="34" w:type="dxa"/>
            </w:tcMar>
            <w:hideMark/>
          </w:tcPr>
          <w:p w14:paraId="7DAAEDAE" w14:textId="77777777" w:rsidR="00AE023D" w:rsidRDefault="00AE023D" w:rsidP="00630831">
            <w:pPr>
              <w:pStyle w:val="TableColumnHeadingRight"/>
              <w:rPr>
                <w:bCs/>
              </w:rPr>
            </w:pPr>
            <w:r w:rsidRPr="00077DB0">
              <w:rPr>
                <w:bCs/>
              </w:rPr>
              <w:t>202</w:t>
            </w:r>
            <w:r>
              <w:rPr>
                <w:bCs/>
              </w:rPr>
              <w:t>5</w:t>
            </w:r>
          </w:p>
          <w:p w14:paraId="216D2393" w14:textId="77777777" w:rsidR="00AE023D" w:rsidRPr="00077DB0" w:rsidRDefault="00AE023D" w:rsidP="00630831">
            <w:pPr>
              <w:pStyle w:val="TableColumnHeadingRight"/>
              <w:rPr>
                <w:bCs/>
              </w:rPr>
            </w:pPr>
            <w:r>
              <w:rPr>
                <w:bCs/>
              </w:rPr>
              <w:t>$’000</w:t>
            </w:r>
          </w:p>
        </w:tc>
        <w:tc>
          <w:tcPr>
            <w:tcW w:w="893" w:type="pct"/>
            <w:noWrap/>
            <w:tcMar>
              <w:top w:w="34" w:type="dxa"/>
              <w:bottom w:w="34" w:type="dxa"/>
            </w:tcMar>
            <w:hideMark/>
          </w:tcPr>
          <w:p w14:paraId="72FA7F83" w14:textId="77777777" w:rsidR="00AE023D" w:rsidRDefault="00AE023D" w:rsidP="00630831">
            <w:pPr>
              <w:pStyle w:val="TableColumnHeadingRight"/>
            </w:pPr>
            <w:r w:rsidRPr="00077DB0">
              <w:t>202</w:t>
            </w:r>
            <w:r>
              <w:t xml:space="preserve">4 </w:t>
            </w:r>
          </w:p>
          <w:p w14:paraId="0EFABEE0" w14:textId="77777777" w:rsidR="00AE023D" w:rsidRPr="00077DB0" w:rsidRDefault="00AE023D" w:rsidP="00630831">
            <w:pPr>
              <w:pStyle w:val="TableColumnHeadingRight"/>
            </w:pPr>
            <w:r>
              <w:t>$’000</w:t>
            </w:r>
            <w:r w:rsidRPr="00077DB0">
              <w:t xml:space="preserve"> </w:t>
            </w:r>
          </w:p>
        </w:tc>
      </w:tr>
      <w:tr w:rsidR="00AE023D" w:rsidRPr="006534F5" w14:paraId="59777333" w14:textId="77777777" w:rsidTr="00575CA9">
        <w:tc>
          <w:tcPr>
            <w:tcW w:w="3214" w:type="pct"/>
            <w:noWrap/>
            <w:tcMar>
              <w:top w:w="34" w:type="dxa"/>
              <w:bottom w:w="34" w:type="dxa"/>
            </w:tcMar>
            <w:hideMark/>
          </w:tcPr>
          <w:p w14:paraId="7EBD41E5" w14:textId="77777777" w:rsidR="00AE023D" w:rsidRPr="006534F5" w:rsidRDefault="00AE023D" w:rsidP="00630831">
            <w:pPr>
              <w:pStyle w:val="TableTextLeft"/>
            </w:pPr>
            <w:r w:rsidRPr="006534F5">
              <w:t>Wages and salaries</w:t>
            </w:r>
          </w:p>
        </w:tc>
        <w:tc>
          <w:tcPr>
            <w:tcW w:w="893" w:type="pct"/>
            <w:shd w:val="clear" w:color="auto" w:fill="E7DCF7" w:themeFill="text2" w:themeFillTint="1A"/>
            <w:noWrap/>
            <w:tcMar>
              <w:top w:w="34" w:type="dxa"/>
              <w:bottom w:w="34" w:type="dxa"/>
            </w:tcMar>
          </w:tcPr>
          <w:p w14:paraId="3D95EB8C" w14:textId="77777777" w:rsidR="00AE023D" w:rsidRPr="00D531EE" w:rsidRDefault="00AE023D" w:rsidP="00630831">
            <w:pPr>
              <w:pStyle w:val="TableTextRight"/>
            </w:pPr>
            <w:r w:rsidRPr="00D531EE">
              <w:t>7,494</w:t>
            </w:r>
          </w:p>
        </w:tc>
        <w:tc>
          <w:tcPr>
            <w:tcW w:w="893" w:type="pct"/>
            <w:noWrap/>
            <w:tcMar>
              <w:top w:w="34" w:type="dxa"/>
              <w:bottom w:w="34" w:type="dxa"/>
            </w:tcMar>
            <w:hideMark/>
          </w:tcPr>
          <w:p w14:paraId="3B7A2F5A" w14:textId="77777777" w:rsidR="00AE023D" w:rsidRPr="00D531EE" w:rsidRDefault="00AE023D" w:rsidP="00630831">
            <w:pPr>
              <w:pStyle w:val="TableTextRight"/>
            </w:pPr>
            <w:r w:rsidRPr="00D531EE">
              <w:t xml:space="preserve">7,683 </w:t>
            </w:r>
          </w:p>
        </w:tc>
      </w:tr>
      <w:tr w:rsidR="00AE023D" w:rsidRPr="006534F5" w14:paraId="5AF41D25" w14:textId="77777777" w:rsidTr="00575CA9">
        <w:tc>
          <w:tcPr>
            <w:tcW w:w="3214" w:type="pct"/>
            <w:noWrap/>
            <w:tcMar>
              <w:top w:w="34" w:type="dxa"/>
              <w:bottom w:w="34" w:type="dxa"/>
            </w:tcMar>
            <w:hideMark/>
          </w:tcPr>
          <w:p w14:paraId="568B4DC2" w14:textId="77777777" w:rsidR="00AE023D" w:rsidRPr="006534F5" w:rsidRDefault="00AE023D" w:rsidP="00630831">
            <w:pPr>
              <w:pStyle w:val="TableTextLeft"/>
            </w:pPr>
            <w:r w:rsidRPr="006534F5">
              <w:t>Superannuation</w:t>
            </w:r>
          </w:p>
        </w:tc>
        <w:tc>
          <w:tcPr>
            <w:tcW w:w="893" w:type="pct"/>
            <w:shd w:val="clear" w:color="auto" w:fill="E7DCF7" w:themeFill="text2" w:themeFillTint="1A"/>
            <w:noWrap/>
            <w:tcMar>
              <w:top w:w="34" w:type="dxa"/>
              <w:bottom w:w="34" w:type="dxa"/>
            </w:tcMar>
          </w:tcPr>
          <w:p w14:paraId="3932EA56" w14:textId="77777777" w:rsidR="00AE023D" w:rsidRPr="00D531EE" w:rsidRDefault="00AE023D" w:rsidP="00630831">
            <w:pPr>
              <w:pStyle w:val="TableTextRight"/>
            </w:pPr>
            <w:r w:rsidRPr="00D531EE">
              <w:t>1,339</w:t>
            </w:r>
          </w:p>
        </w:tc>
        <w:tc>
          <w:tcPr>
            <w:tcW w:w="893" w:type="pct"/>
            <w:noWrap/>
            <w:tcMar>
              <w:top w:w="34" w:type="dxa"/>
              <w:bottom w:w="34" w:type="dxa"/>
            </w:tcMar>
            <w:hideMark/>
          </w:tcPr>
          <w:p w14:paraId="7154BD6E" w14:textId="77777777" w:rsidR="00AE023D" w:rsidRPr="00D531EE" w:rsidRDefault="00AE023D" w:rsidP="00630831">
            <w:pPr>
              <w:pStyle w:val="TableTextRight"/>
            </w:pPr>
            <w:r w:rsidRPr="00D531EE">
              <w:t xml:space="preserve">1,294 </w:t>
            </w:r>
          </w:p>
        </w:tc>
      </w:tr>
      <w:tr w:rsidR="00AE023D" w:rsidRPr="006534F5" w14:paraId="01A08795" w14:textId="77777777" w:rsidTr="00575CA9">
        <w:tc>
          <w:tcPr>
            <w:tcW w:w="3214" w:type="pct"/>
            <w:noWrap/>
            <w:tcMar>
              <w:top w:w="34" w:type="dxa"/>
              <w:bottom w:w="34" w:type="dxa"/>
            </w:tcMar>
            <w:hideMark/>
          </w:tcPr>
          <w:p w14:paraId="620EFBC4" w14:textId="77777777" w:rsidR="00AE023D" w:rsidRPr="006534F5" w:rsidRDefault="00AE023D" w:rsidP="00630831">
            <w:pPr>
              <w:pStyle w:val="TableTextLeft"/>
            </w:pPr>
            <w:r w:rsidRPr="006534F5">
              <w:t xml:space="preserve">Leave </w:t>
            </w:r>
          </w:p>
        </w:tc>
        <w:tc>
          <w:tcPr>
            <w:tcW w:w="893" w:type="pct"/>
            <w:shd w:val="clear" w:color="auto" w:fill="E7DCF7" w:themeFill="text2" w:themeFillTint="1A"/>
            <w:noWrap/>
            <w:tcMar>
              <w:top w:w="34" w:type="dxa"/>
              <w:bottom w:w="34" w:type="dxa"/>
            </w:tcMar>
          </w:tcPr>
          <w:p w14:paraId="73DD7A8C" w14:textId="77777777" w:rsidR="00AE023D" w:rsidRPr="00D531EE" w:rsidRDefault="00AE023D" w:rsidP="00630831">
            <w:pPr>
              <w:pStyle w:val="TableTextRight"/>
            </w:pPr>
            <w:r w:rsidRPr="00D531EE">
              <w:t>886</w:t>
            </w:r>
          </w:p>
        </w:tc>
        <w:tc>
          <w:tcPr>
            <w:tcW w:w="893" w:type="pct"/>
            <w:noWrap/>
            <w:tcMar>
              <w:top w:w="34" w:type="dxa"/>
              <w:bottom w:w="34" w:type="dxa"/>
            </w:tcMar>
            <w:hideMark/>
          </w:tcPr>
          <w:p w14:paraId="12B33FBA" w14:textId="77777777" w:rsidR="00AE023D" w:rsidRPr="00D531EE" w:rsidRDefault="00AE023D" w:rsidP="00630831">
            <w:pPr>
              <w:pStyle w:val="TableTextRight"/>
            </w:pPr>
            <w:r w:rsidRPr="00D531EE">
              <w:t xml:space="preserve">198 </w:t>
            </w:r>
          </w:p>
        </w:tc>
      </w:tr>
      <w:tr w:rsidR="00AE023D" w:rsidRPr="006534F5" w14:paraId="7C116CFB" w14:textId="77777777" w:rsidTr="00575CA9">
        <w:tc>
          <w:tcPr>
            <w:tcW w:w="3214" w:type="pct"/>
            <w:noWrap/>
            <w:tcMar>
              <w:top w:w="34" w:type="dxa"/>
              <w:bottom w:w="34" w:type="dxa"/>
            </w:tcMar>
            <w:hideMark/>
          </w:tcPr>
          <w:p w14:paraId="067E1DC6" w14:textId="77777777" w:rsidR="00AE023D" w:rsidRPr="006534F5" w:rsidRDefault="00AE023D" w:rsidP="00630831">
            <w:pPr>
              <w:pStyle w:val="TableTextLeft"/>
            </w:pPr>
            <w:r>
              <w:t>Separation and redundancies</w:t>
            </w:r>
          </w:p>
        </w:tc>
        <w:tc>
          <w:tcPr>
            <w:tcW w:w="893" w:type="pct"/>
            <w:shd w:val="clear" w:color="auto" w:fill="E7DCF7" w:themeFill="text2" w:themeFillTint="1A"/>
            <w:noWrap/>
            <w:tcMar>
              <w:top w:w="34" w:type="dxa"/>
              <w:bottom w:w="34" w:type="dxa"/>
            </w:tcMar>
          </w:tcPr>
          <w:p w14:paraId="2F48E2B7" w14:textId="77777777" w:rsidR="00AE023D" w:rsidRPr="00D531EE" w:rsidRDefault="00AE023D" w:rsidP="00630831">
            <w:pPr>
              <w:pStyle w:val="TableTextRight"/>
            </w:pPr>
            <w:r w:rsidRPr="00D531EE">
              <w:t>764</w:t>
            </w:r>
          </w:p>
        </w:tc>
        <w:tc>
          <w:tcPr>
            <w:tcW w:w="893" w:type="pct"/>
            <w:noWrap/>
            <w:tcMar>
              <w:top w:w="34" w:type="dxa"/>
              <w:bottom w:w="34" w:type="dxa"/>
            </w:tcMar>
            <w:hideMark/>
          </w:tcPr>
          <w:p w14:paraId="1A2E44C8" w14:textId="77777777" w:rsidR="00AE023D" w:rsidRPr="00D531EE" w:rsidRDefault="00AE023D" w:rsidP="00630831">
            <w:pPr>
              <w:pStyle w:val="TableTextRight"/>
            </w:pPr>
            <w:r w:rsidRPr="00D531EE">
              <w:noBreakHyphen/>
            </w:r>
          </w:p>
        </w:tc>
      </w:tr>
      <w:tr w:rsidR="00AE023D" w:rsidRPr="006534F5" w14:paraId="5554F52F" w14:textId="77777777" w:rsidTr="00575CA9">
        <w:tc>
          <w:tcPr>
            <w:tcW w:w="3214" w:type="pct"/>
            <w:noWrap/>
            <w:tcMar>
              <w:top w:w="34" w:type="dxa"/>
              <w:bottom w:w="34" w:type="dxa"/>
            </w:tcMar>
          </w:tcPr>
          <w:p w14:paraId="438EC3D8" w14:textId="77777777" w:rsidR="00AE023D" w:rsidRDefault="00AE023D" w:rsidP="00630831">
            <w:pPr>
              <w:pStyle w:val="TableTextLeft"/>
            </w:pPr>
            <w:r>
              <w:t>Other</w:t>
            </w:r>
          </w:p>
        </w:tc>
        <w:tc>
          <w:tcPr>
            <w:tcW w:w="893" w:type="pct"/>
            <w:shd w:val="clear" w:color="auto" w:fill="E7DCF7" w:themeFill="text2" w:themeFillTint="1A"/>
            <w:noWrap/>
            <w:tcMar>
              <w:top w:w="34" w:type="dxa"/>
              <w:bottom w:w="34" w:type="dxa"/>
            </w:tcMar>
          </w:tcPr>
          <w:p w14:paraId="56FC11DB" w14:textId="77777777" w:rsidR="00AE023D" w:rsidRPr="00D531EE" w:rsidRDefault="00AE023D" w:rsidP="00630831">
            <w:pPr>
              <w:pStyle w:val="TableTextRight"/>
            </w:pPr>
            <w:r w:rsidRPr="00D531EE">
              <w:t>325</w:t>
            </w:r>
          </w:p>
        </w:tc>
        <w:tc>
          <w:tcPr>
            <w:tcW w:w="893" w:type="pct"/>
            <w:noWrap/>
            <w:tcMar>
              <w:top w:w="34" w:type="dxa"/>
              <w:bottom w:w="34" w:type="dxa"/>
            </w:tcMar>
          </w:tcPr>
          <w:p w14:paraId="1F45D6FA" w14:textId="77777777" w:rsidR="00AE023D" w:rsidRPr="00D531EE" w:rsidRDefault="00AE023D" w:rsidP="00630831">
            <w:pPr>
              <w:pStyle w:val="TableTextRight"/>
            </w:pPr>
            <w:r w:rsidRPr="00D531EE">
              <w:t>81</w:t>
            </w:r>
          </w:p>
        </w:tc>
      </w:tr>
      <w:tr w:rsidR="00AE023D" w:rsidRPr="006534F5" w14:paraId="37AD3C36" w14:textId="77777777" w:rsidTr="00575CA9">
        <w:tc>
          <w:tcPr>
            <w:tcW w:w="3214" w:type="pct"/>
            <w:noWrap/>
            <w:tcMar>
              <w:top w:w="34" w:type="dxa"/>
              <w:bottom w:w="34" w:type="dxa"/>
            </w:tcMar>
            <w:hideMark/>
          </w:tcPr>
          <w:p w14:paraId="374EE70A" w14:textId="77777777" w:rsidR="00AE023D" w:rsidRPr="006534F5" w:rsidRDefault="00AE023D" w:rsidP="00630831">
            <w:pPr>
              <w:pStyle w:val="TableTextLeft"/>
              <w:rPr>
                <w:b/>
                <w:bCs/>
              </w:rPr>
            </w:pPr>
            <w:r w:rsidRPr="006534F5">
              <w:rPr>
                <w:b/>
                <w:bCs/>
              </w:rPr>
              <w:t>Total</w:t>
            </w:r>
          </w:p>
        </w:tc>
        <w:tc>
          <w:tcPr>
            <w:tcW w:w="893" w:type="pct"/>
            <w:shd w:val="clear" w:color="auto" w:fill="E7DCF7" w:themeFill="text2" w:themeFillTint="1A"/>
            <w:noWrap/>
            <w:tcMar>
              <w:top w:w="34" w:type="dxa"/>
              <w:bottom w:w="34" w:type="dxa"/>
            </w:tcMar>
          </w:tcPr>
          <w:p w14:paraId="690231BD" w14:textId="77777777" w:rsidR="00AE023D" w:rsidRPr="00191B2C" w:rsidRDefault="00AE023D" w:rsidP="00630831">
            <w:pPr>
              <w:pStyle w:val="TableTextRight"/>
              <w:rPr>
                <w:b/>
                <w:bCs/>
              </w:rPr>
            </w:pPr>
            <w:r w:rsidRPr="00191B2C">
              <w:rPr>
                <w:b/>
                <w:bCs/>
              </w:rPr>
              <w:t>10,808</w:t>
            </w:r>
          </w:p>
        </w:tc>
        <w:tc>
          <w:tcPr>
            <w:tcW w:w="893" w:type="pct"/>
            <w:noWrap/>
            <w:tcMar>
              <w:top w:w="34" w:type="dxa"/>
              <w:bottom w:w="34" w:type="dxa"/>
            </w:tcMar>
            <w:hideMark/>
          </w:tcPr>
          <w:p w14:paraId="143B07F7" w14:textId="77777777" w:rsidR="00AE023D" w:rsidRPr="006534F5" w:rsidRDefault="00AE023D" w:rsidP="00630831">
            <w:pPr>
              <w:pStyle w:val="TableTextRight"/>
              <w:rPr>
                <w:b/>
                <w:bCs/>
                <w:lang w:eastAsia="zh-CN"/>
              </w:rPr>
            </w:pPr>
            <w:r>
              <w:rPr>
                <w:b/>
                <w:bCs/>
              </w:rPr>
              <w:t xml:space="preserve">9,256 </w:t>
            </w:r>
          </w:p>
        </w:tc>
      </w:tr>
    </w:tbl>
    <w:p w14:paraId="0BEBC746" w14:textId="77777777" w:rsidR="00AE023D" w:rsidRDefault="00AE023D" w:rsidP="00AE023D">
      <w:pPr>
        <w:pStyle w:val="NoSpacing"/>
      </w:pP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AE023D" w14:paraId="11476173" w14:textId="77777777" w:rsidTr="00630831">
        <w:tc>
          <w:tcPr>
            <w:tcW w:w="7700" w:type="dxa"/>
            <w:tcBorders>
              <w:bottom w:val="single" w:sz="24" w:space="0" w:color="472978" w:themeColor="accent1"/>
            </w:tcBorders>
            <w:shd w:val="clear" w:color="auto" w:fill="E7DCF7" w:themeFill="text2" w:themeFillTint="1A"/>
          </w:tcPr>
          <w:p w14:paraId="6F48923B" w14:textId="77777777" w:rsidR="00AE023D" w:rsidRDefault="00AE023D" w:rsidP="00630831">
            <w:pPr>
              <w:pStyle w:val="Boxheading"/>
            </w:pPr>
            <w:r>
              <w:t>Accounting Policy</w:t>
            </w:r>
          </w:p>
          <w:p w14:paraId="4E1EDE6A" w14:textId="77777777" w:rsidR="00AE023D" w:rsidRPr="006574CB" w:rsidRDefault="00AE023D" w:rsidP="00630831">
            <w:pPr>
              <w:pStyle w:val="BoxText"/>
            </w:pPr>
            <w:r>
              <w:t>Accounting policies for employee related expenses are at Note D Employee Provisions.</w:t>
            </w:r>
          </w:p>
        </w:tc>
      </w:tr>
    </w:tbl>
    <w:p w14:paraId="7A72438D" w14:textId="4DA152F5" w:rsidR="00AE023D" w:rsidRPr="006534F5" w:rsidRDefault="00AE023D" w:rsidP="00AE023D">
      <w:pPr>
        <w:pStyle w:val="TableMainHeading"/>
        <w:keepLines/>
        <w:rPr>
          <w:rFonts w:asciiTheme="minorHAnsi" w:hAnsiTheme="minorHAnsi" w:cstheme="minorBidi"/>
          <w:lang w:eastAsia="en-US"/>
        </w:rPr>
      </w:pPr>
      <w:r w:rsidRPr="006534F5">
        <w:t xml:space="preserve">Supplier expenses </w:t>
      </w:r>
    </w:p>
    <w:tbl>
      <w:tblPr>
        <w:tblStyle w:val="AOFMTablemain"/>
        <w:tblW w:w="5000" w:type="pct"/>
        <w:tblLook w:val="06A0" w:firstRow="1" w:lastRow="0" w:firstColumn="1" w:lastColumn="0" w:noHBand="1" w:noVBand="1"/>
      </w:tblPr>
      <w:tblGrid>
        <w:gridCol w:w="4648"/>
        <w:gridCol w:w="1550"/>
        <w:gridCol w:w="1513"/>
      </w:tblGrid>
      <w:tr w:rsidR="0048600D" w:rsidRPr="006534F5" w14:paraId="3B8C51DF" w14:textId="77777777" w:rsidTr="00575CA9">
        <w:trPr>
          <w:cnfStyle w:val="100000000000" w:firstRow="1" w:lastRow="0" w:firstColumn="0" w:lastColumn="0" w:oddVBand="0" w:evenVBand="0" w:oddHBand="0" w:evenHBand="0" w:firstRowFirstColumn="0" w:firstRowLastColumn="0" w:lastRowFirstColumn="0" w:lastRowLastColumn="0"/>
        </w:trPr>
        <w:tc>
          <w:tcPr>
            <w:tcW w:w="3014" w:type="pct"/>
            <w:noWrap/>
            <w:tcMar>
              <w:top w:w="28" w:type="dxa"/>
              <w:bottom w:w="28" w:type="dxa"/>
            </w:tcMar>
            <w:hideMark/>
          </w:tcPr>
          <w:p w14:paraId="0C968311" w14:textId="77777777" w:rsidR="00AE023D" w:rsidRPr="00077DB0" w:rsidRDefault="00AE023D" w:rsidP="00630831">
            <w:pPr>
              <w:pStyle w:val="TableColumnHeadingRight"/>
            </w:pPr>
            <w:r w:rsidRPr="00077DB0">
              <w:t> </w:t>
            </w:r>
          </w:p>
        </w:tc>
        <w:tc>
          <w:tcPr>
            <w:tcW w:w="1005" w:type="pct"/>
            <w:noWrap/>
            <w:tcMar>
              <w:top w:w="28" w:type="dxa"/>
              <w:bottom w:w="28" w:type="dxa"/>
            </w:tcMar>
            <w:hideMark/>
          </w:tcPr>
          <w:p w14:paraId="052EECFC" w14:textId="77777777" w:rsidR="00AE023D" w:rsidRDefault="00AE023D" w:rsidP="00630831">
            <w:pPr>
              <w:pStyle w:val="TableColumnHeadingRight"/>
              <w:rPr>
                <w:bCs/>
              </w:rPr>
            </w:pPr>
            <w:r w:rsidRPr="00077DB0">
              <w:rPr>
                <w:bCs/>
              </w:rPr>
              <w:t>202</w:t>
            </w:r>
            <w:r>
              <w:rPr>
                <w:bCs/>
              </w:rPr>
              <w:t>5</w:t>
            </w:r>
          </w:p>
          <w:p w14:paraId="74462FCC" w14:textId="77777777" w:rsidR="00AE023D" w:rsidRPr="00077DB0" w:rsidRDefault="00AE023D" w:rsidP="00630831">
            <w:pPr>
              <w:pStyle w:val="TableColumnHeadingRight"/>
              <w:rPr>
                <w:bCs/>
              </w:rPr>
            </w:pPr>
            <w:r>
              <w:rPr>
                <w:bCs/>
              </w:rPr>
              <w:t>$’000</w:t>
            </w:r>
          </w:p>
        </w:tc>
        <w:tc>
          <w:tcPr>
            <w:tcW w:w="981" w:type="pct"/>
            <w:noWrap/>
            <w:tcMar>
              <w:top w:w="28" w:type="dxa"/>
              <w:bottom w:w="28" w:type="dxa"/>
            </w:tcMar>
            <w:hideMark/>
          </w:tcPr>
          <w:p w14:paraId="43A4A46A" w14:textId="77777777" w:rsidR="00AE023D" w:rsidRDefault="00AE023D" w:rsidP="00630831">
            <w:pPr>
              <w:pStyle w:val="TableColumnHeadingRight"/>
            </w:pPr>
            <w:r w:rsidRPr="00077DB0">
              <w:t>202</w:t>
            </w:r>
            <w:r>
              <w:t xml:space="preserve">4 </w:t>
            </w:r>
          </w:p>
          <w:p w14:paraId="1E44415D" w14:textId="77777777" w:rsidR="00AE023D" w:rsidRPr="00077DB0" w:rsidRDefault="00AE023D" w:rsidP="00630831">
            <w:pPr>
              <w:pStyle w:val="TableColumnHeadingRight"/>
            </w:pPr>
            <w:r>
              <w:t>$</w:t>
            </w:r>
            <w:r w:rsidRPr="00871EC7">
              <w:rPr>
                <w:bCs/>
              </w:rPr>
              <w:t xml:space="preserve">’000 </w:t>
            </w:r>
          </w:p>
        </w:tc>
      </w:tr>
      <w:tr w:rsidR="00AE023D" w:rsidRPr="00EB7D82" w14:paraId="33356E1D" w14:textId="77777777" w:rsidTr="00575CA9">
        <w:tc>
          <w:tcPr>
            <w:tcW w:w="3014" w:type="pct"/>
            <w:noWrap/>
            <w:tcMar>
              <w:top w:w="34" w:type="dxa"/>
              <w:bottom w:w="34" w:type="dxa"/>
            </w:tcMar>
            <w:hideMark/>
          </w:tcPr>
          <w:p w14:paraId="112D9DA0" w14:textId="77777777" w:rsidR="00AE023D" w:rsidRPr="00AE665D" w:rsidRDefault="00AE023D" w:rsidP="00630831">
            <w:pPr>
              <w:pStyle w:val="TableTextLeft"/>
            </w:pPr>
            <w:r w:rsidRPr="00AE665D">
              <w:t>Corporate support services</w:t>
            </w:r>
          </w:p>
        </w:tc>
        <w:tc>
          <w:tcPr>
            <w:tcW w:w="1005" w:type="pct"/>
            <w:shd w:val="clear" w:color="auto" w:fill="E7DCF7" w:themeFill="text2" w:themeFillTint="1A"/>
            <w:noWrap/>
            <w:tcMar>
              <w:top w:w="34" w:type="dxa"/>
              <w:bottom w:w="34" w:type="dxa"/>
            </w:tcMar>
          </w:tcPr>
          <w:p w14:paraId="1E04ACCA" w14:textId="77777777" w:rsidR="00AE023D" w:rsidRPr="00AE665D" w:rsidRDefault="00AE023D" w:rsidP="00630831">
            <w:pPr>
              <w:pStyle w:val="TableTextRight"/>
            </w:pPr>
            <w:r>
              <w:t>1,352</w:t>
            </w:r>
          </w:p>
        </w:tc>
        <w:tc>
          <w:tcPr>
            <w:tcW w:w="981" w:type="pct"/>
            <w:noWrap/>
            <w:tcMar>
              <w:top w:w="34" w:type="dxa"/>
              <w:bottom w:w="34" w:type="dxa"/>
            </w:tcMar>
            <w:hideMark/>
          </w:tcPr>
          <w:p w14:paraId="3465748F" w14:textId="77777777" w:rsidR="00AE023D" w:rsidRPr="00AE665D" w:rsidRDefault="00AE023D" w:rsidP="00630831">
            <w:pPr>
              <w:pStyle w:val="TableTextRight"/>
            </w:pPr>
            <w:r>
              <w:t>1,268</w:t>
            </w:r>
            <w:r w:rsidRPr="00AE665D">
              <w:t xml:space="preserve"> </w:t>
            </w:r>
          </w:p>
        </w:tc>
      </w:tr>
      <w:tr w:rsidR="00AE023D" w:rsidRPr="00EB7D82" w14:paraId="0909A90E" w14:textId="77777777" w:rsidTr="00575CA9">
        <w:tc>
          <w:tcPr>
            <w:tcW w:w="3014" w:type="pct"/>
            <w:noWrap/>
            <w:tcMar>
              <w:top w:w="34" w:type="dxa"/>
              <w:bottom w:w="34" w:type="dxa"/>
            </w:tcMar>
            <w:hideMark/>
          </w:tcPr>
          <w:p w14:paraId="23CE120C" w14:textId="77777777" w:rsidR="00AE023D" w:rsidRPr="00AE665D" w:rsidRDefault="00AE023D" w:rsidP="00630831">
            <w:pPr>
              <w:pStyle w:val="TableTextLeft"/>
            </w:pPr>
            <w:r w:rsidRPr="00AE665D">
              <w:t>Internal and external audit services</w:t>
            </w:r>
            <w:r>
              <w:t xml:space="preserve"> </w:t>
            </w:r>
          </w:p>
        </w:tc>
        <w:tc>
          <w:tcPr>
            <w:tcW w:w="1005" w:type="pct"/>
            <w:shd w:val="clear" w:color="auto" w:fill="E7DCF7" w:themeFill="text2" w:themeFillTint="1A"/>
            <w:noWrap/>
            <w:tcMar>
              <w:top w:w="34" w:type="dxa"/>
              <w:bottom w:w="34" w:type="dxa"/>
            </w:tcMar>
          </w:tcPr>
          <w:p w14:paraId="33972316" w14:textId="77777777" w:rsidR="00AE023D" w:rsidRPr="00AE665D" w:rsidRDefault="00AE023D" w:rsidP="00630831">
            <w:pPr>
              <w:pStyle w:val="TableTextRight"/>
            </w:pPr>
            <w:r>
              <w:t>440</w:t>
            </w:r>
          </w:p>
        </w:tc>
        <w:tc>
          <w:tcPr>
            <w:tcW w:w="981" w:type="pct"/>
            <w:noWrap/>
            <w:tcMar>
              <w:top w:w="34" w:type="dxa"/>
              <w:bottom w:w="34" w:type="dxa"/>
            </w:tcMar>
            <w:hideMark/>
          </w:tcPr>
          <w:p w14:paraId="4829DCD5" w14:textId="77777777" w:rsidR="00AE023D" w:rsidRPr="00AE665D" w:rsidRDefault="00AE023D" w:rsidP="00630831">
            <w:pPr>
              <w:pStyle w:val="TableTextRight"/>
            </w:pPr>
            <w:r>
              <w:t>286</w:t>
            </w:r>
            <w:r w:rsidRPr="00AE665D">
              <w:t xml:space="preserve"> </w:t>
            </w:r>
          </w:p>
        </w:tc>
      </w:tr>
      <w:tr w:rsidR="00AE023D" w:rsidRPr="00EB7D82" w14:paraId="180FD246" w14:textId="77777777" w:rsidTr="00575CA9">
        <w:tc>
          <w:tcPr>
            <w:tcW w:w="3014" w:type="pct"/>
            <w:noWrap/>
            <w:tcMar>
              <w:top w:w="34" w:type="dxa"/>
              <w:bottom w:w="34" w:type="dxa"/>
            </w:tcMar>
            <w:hideMark/>
          </w:tcPr>
          <w:p w14:paraId="52A7311C" w14:textId="77777777" w:rsidR="00AE023D" w:rsidRPr="00AE665D" w:rsidRDefault="00AE023D" w:rsidP="00630831">
            <w:pPr>
              <w:pStyle w:val="TableTextLeft"/>
            </w:pPr>
            <w:r w:rsidRPr="00AE665D">
              <w:t>Investment management services for ABSF and SFSF</w:t>
            </w:r>
          </w:p>
        </w:tc>
        <w:tc>
          <w:tcPr>
            <w:tcW w:w="1005" w:type="pct"/>
            <w:shd w:val="clear" w:color="auto" w:fill="E7DCF7" w:themeFill="text2" w:themeFillTint="1A"/>
            <w:noWrap/>
            <w:tcMar>
              <w:top w:w="34" w:type="dxa"/>
              <w:bottom w:w="34" w:type="dxa"/>
            </w:tcMar>
          </w:tcPr>
          <w:p w14:paraId="7313F3C2" w14:textId="77777777" w:rsidR="00AE023D" w:rsidRPr="00AE665D" w:rsidRDefault="00AE023D" w:rsidP="00630831">
            <w:pPr>
              <w:pStyle w:val="TableTextRight"/>
            </w:pPr>
            <w:r>
              <w:noBreakHyphen/>
            </w:r>
          </w:p>
        </w:tc>
        <w:tc>
          <w:tcPr>
            <w:tcW w:w="981" w:type="pct"/>
            <w:noWrap/>
            <w:tcMar>
              <w:top w:w="34" w:type="dxa"/>
              <w:bottom w:w="34" w:type="dxa"/>
            </w:tcMar>
            <w:hideMark/>
          </w:tcPr>
          <w:p w14:paraId="5F7B4B97" w14:textId="77777777" w:rsidR="00AE023D" w:rsidRPr="00AE665D" w:rsidRDefault="00AE023D" w:rsidP="00630831">
            <w:pPr>
              <w:pStyle w:val="TableTextRight"/>
            </w:pPr>
            <w:r>
              <w:t>621</w:t>
            </w:r>
            <w:r w:rsidRPr="00AE665D">
              <w:t xml:space="preserve"> </w:t>
            </w:r>
          </w:p>
        </w:tc>
      </w:tr>
      <w:tr w:rsidR="00AE023D" w:rsidRPr="00EB7D82" w14:paraId="5635780C" w14:textId="77777777" w:rsidTr="00575CA9">
        <w:tc>
          <w:tcPr>
            <w:tcW w:w="3014" w:type="pct"/>
            <w:noWrap/>
            <w:tcMar>
              <w:top w:w="34" w:type="dxa"/>
              <w:bottom w:w="34" w:type="dxa"/>
            </w:tcMar>
            <w:hideMark/>
          </w:tcPr>
          <w:p w14:paraId="320288EB" w14:textId="77777777" w:rsidR="00AE023D" w:rsidRPr="00AE665D" w:rsidRDefault="00AE023D" w:rsidP="00630831">
            <w:pPr>
              <w:pStyle w:val="TableTextLeft"/>
            </w:pPr>
            <w:r w:rsidRPr="00AE665D">
              <w:t>Legal</w:t>
            </w:r>
          </w:p>
        </w:tc>
        <w:tc>
          <w:tcPr>
            <w:tcW w:w="1005" w:type="pct"/>
            <w:shd w:val="clear" w:color="auto" w:fill="E7DCF7" w:themeFill="text2" w:themeFillTint="1A"/>
            <w:noWrap/>
            <w:tcMar>
              <w:top w:w="34" w:type="dxa"/>
              <w:bottom w:w="34" w:type="dxa"/>
            </w:tcMar>
          </w:tcPr>
          <w:p w14:paraId="264B6FC5" w14:textId="77777777" w:rsidR="00AE023D" w:rsidRPr="00AE665D" w:rsidRDefault="00AE023D" w:rsidP="00630831">
            <w:pPr>
              <w:pStyle w:val="TableTextRight"/>
            </w:pPr>
            <w:r>
              <w:t>112</w:t>
            </w:r>
          </w:p>
        </w:tc>
        <w:tc>
          <w:tcPr>
            <w:tcW w:w="981" w:type="pct"/>
            <w:noWrap/>
            <w:tcMar>
              <w:top w:w="34" w:type="dxa"/>
              <w:bottom w:w="34" w:type="dxa"/>
            </w:tcMar>
            <w:hideMark/>
          </w:tcPr>
          <w:p w14:paraId="370BAE96" w14:textId="77777777" w:rsidR="00AE023D" w:rsidRPr="00AE665D" w:rsidRDefault="00AE023D" w:rsidP="00630831">
            <w:pPr>
              <w:pStyle w:val="TableTextRight"/>
            </w:pPr>
            <w:r>
              <w:t>135</w:t>
            </w:r>
            <w:r w:rsidRPr="00AE665D">
              <w:t xml:space="preserve"> </w:t>
            </w:r>
          </w:p>
        </w:tc>
      </w:tr>
      <w:tr w:rsidR="00AE023D" w:rsidRPr="00EB7D82" w14:paraId="28852B0F" w14:textId="77777777" w:rsidTr="00575CA9">
        <w:tc>
          <w:tcPr>
            <w:tcW w:w="3014" w:type="pct"/>
            <w:noWrap/>
            <w:tcMar>
              <w:top w:w="34" w:type="dxa"/>
              <w:bottom w:w="34" w:type="dxa"/>
            </w:tcMar>
            <w:hideMark/>
          </w:tcPr>
          <w:p w14:paraId="5C4B501B" w14:textId="77777777" w:rsidR="00AE023D" w:rsidRPr="00AE665D" w:rsidRDefault="00AE023D" w:rsidP="00630831">
            <w:pPr>
              <w:pStyle w:val="TableTextLeft"/>
            </w:pPr>
            <w:r w:rsidRPr="00AE665D">
              <w:t>Market data services</w:t>
            </w:r>
          </w:p>
        </w:tc>
        <w:tc>
          <w:tcPr>
            <w:tcW w:w="1005" w:type="pct"/>
            <w:shd w:val="clear" w:color="auto" w:fill="E7DCF7" w:themeFill="text2" w:themeFillTint="1A"/>
            <w:noWrap/>
            <w:tcMar>
              <w:top w:w="34" w:type="dxa"/>
              <w:bottom w:w="34" w:type="dxa"/>
            </w:tcMar>
          </w:tcPr>
          <w:p w14:paraId="504CFD4A" w14:textId="77777777" w:rsidR="00AE023D" w:rsidRPr="00AE665D" w:rsidRDefault="00AE023D" w:rsidP="00630831">
            <w:pPr>
              <w:pStyle w:val="TableTextRight"/>
            </w:pPr>
            <w:r>
              <w:t>707</w:t>
            </w:r>
          </w:p>
        </w:tc>
        <w:tc>
          <w:tcPr>
            <w:tcW w:w="981" w:type="pct"/>
            <w:noWrap/>
            <w:tcMar>
              <w:top w:w="34" w:type="dxa"/>
              <w:bottom w:w="34" w:type="dxa"/>
            </w:tcMar>
            <w:hideMark/>
          </w:tcPr>
          <w:p w14:paraId="349DE5C9" w14:textId="77777777" w:rsidR="00AE023D" w:rsidRPr="00AE665D" w:rsidRDefault="00AE023D" w:rsidP="00630831">
            <w:pPr>
              <w:pStyle w:val="TableTextRight"/>
            </w:pPr>
            <w:r>
              <w:t>674</w:t>
            </w:r>
            <w:r w:rsidRPr="00AE665D">
              <w:t xml:space="preserve"> </w:t>
            </w:r>
          </w:p>
        </w:tc>
      </w:tr>
      <w:tr w:rsidR="00AE023D" w:rsidRPr="00EB7D82" w14:paraId="7C707535" w14:textId="77777777" w:rsidTr="00575CA9">
        <w:tc>
          <w:tcPr>
            <w:tcW w:w="3014" w:type="pct"/>
            <w:noWrap/>
            <w:tcMar>
              <w:top w:w="34" w:type="dxa"/>
              <w:bottom w:w="34" w:type="dxa"/>
            </w:tcMar>
            <w:hideMark/>
          </w:tcPr>
          <w:p w14:paraId="17D1AC87" w14:textId="77777777" w:rsidR="00AE023D" w:rsidRPr="00AE665D" w:rsidRDefault="00AE023D" w:rsidP="00630831">
            <w:pPr>
              <w:pStyle w:val="TableTextLeft"/>
            </w:pPr>
            <w:r w:rsidRPr="00AE665D">
              <w:t>Travel</w:t>
            </w:r>
          </w:p>
        </w:tc>
        <w:tc>
          <w:tcPr>
            <w:tcW w:w="1005" w:type="pct"/>
            <w:shd w:val="clear" w:color="auto" w:fill="E7DCF7" w:themeFill="text2" w:themeFillTint="1A"/>
            <w:noWrap/>
            <w:tcMar>
              <w:top w:w="34" w:type="dxa"/>
              <w:bottom w:w="34" w:type="dxa"/>
            </w:tcMar>
          </w:tcPr>
          <w:p w14:paraId="61D474DB" w14:textId="77777777" w:rsidR="00AE023D" w:rsidRPr="00AE665D" w:rsidRDefault="00AE023D" w:rsidP="00630831">
            <w:pPr>
              <w:pStyle w:val="TableTextRight"/>
            </w:pPr>
            <w:r>
              <w:t>509</w:t>
            </w:r>
          </w:p>
        </w:tc>
        <w:tc>
          <w:tcPr>
            <w:tcW w:w="981" w:type="pct"/>
            <w:noWrap/>
            <w:tcMar>
              <w:top w:w="34" w:type="dxa"/>
              <w:bottom w:w="34" w:type="dxa"/>
            </w:tcMar>
            <w:hideMark/>
          </w:tcPr>
          <w:p w14:paraId="2E93F025" w14:textId="77777777" w:rsidR="00AE023D" w:rsidRPr="00AE665D" w:rsidRDefault="00AE023D" w:rsidP="00630831">
            <w:pPr>
              <w:pStyle w:val="TableTextRight"/>
            </w:pPr>
            <w:r>
              <w:t>501</w:t>
            </w:r>
            <w:r w:rsidRPr="00AE665D">
              <w:t xml:space="preserve"> </w:t>
            </w:r>
          </w:p>
        </w:tc>
      </w:tr>
      <w:tr w:rsidR="00AE023D" w:rsidRPr="00EB7D82" w14:paraId="58F2F3D5" w14:textId="77777777" w:rsidTr="00575CA9">
        <w:tc>
          <w:tcPr>
            <w:tcW w:w="3014" w:type="pct"/>
            <w:noWrap/>
            <w:tcMar>
              <w:top w:w="34" w:type="dxa"/>
              <w:bottom w:w="34" w:type="dxa"/>
            </w:tcMar>
            <w:hideMark/>
          </w:tcPr>
          <w:p w14:paraId="014D742F" w14:textId="77777777" w:rsidR="00AE023D" w:rsidRPr="00AE665D" w:rsidRDefault="00AE023D" w:rsidP="00630831">
            <w:pPr>
              <w:pStyle w:val="TableTextLeft"/>
            </w:pPr>
            <w:r w:rsidRPr="00AE665D">
              <w:t>Treasury management system</w:t>
            </w:r>
          </w:p>
        </w:tc>
        <w:tc>
          <w:tcPr>
            <w:tcW w:w="1005" w:type="pct"/>
            <w:shd w:val="clear" w:color="auto" w:fill="E7DCF7" w:themeFill="text2" w:themeFillTint="1A"/>
            <w:noWrap/>
            <w:tcMar>
              <w:top w:w="34" w:type="dxa"/>
              <w:bottom w:w="34" w:type="dxa"/>
            </w:tcMar>
          </w:tcPr>
          <w:p w14:paraId="136EE15B" w14:textId="77777777" w:rsidR="00AE023D" w:rsidRPr="00AE665D" w:rsidRDefault="00AE023D" w:rsidP="00630831">
            <w:pPr>
              <w:pStyle w:val="TableTextRight"/>
            </w:pPr>
            <w:r>
              <w:t>740</w:t>
            </w:r>
          </w:p>
        </w:tc>
        <w:tc>
          <w:tcPr>
            <w:tcW w:w="981" w:type="pct"/>
            <w:noWrap/>
            <w:tcMar>
              <w:top w:w="34" w:type="dxa"/>
              <w:bottom w:w="34" w:type="dxa"/>
            </w:tcMar>
            <w:hideMark/>
          </w:tcPr>
          <w:p w14:paraId="1FC80EF8" w14:textId="77777777" w:rsidR="00AE023D" w:rsidRPr="00AE665D" w:rsidRDefault="00AE023D" w:rsidP="00630831">
            <w:pPr>
              <w:pStyle w:val="TableTextRight"/>
            </w:pPr>
            <w:r>
              <w:t>636</w:t>
            </w:r>
            <w:r w:rsidRPr="00AE665D">
              <w:t xml:space="preserve"> </w:t>
            </w:r>
          </w:p>
        </w:tc>
      </w:tr>
      <w:tr w:rsidR="00AE023D" w:rsidRPr="00EB7D82" w14:paraId="49FCA3BD" w14:textId="77777777" w:rsidTr="00575CA9">
        <w:tc>
          <w:tcPr>
            <w:tcW w:w="3014" w:type="pct"/>
            <w:noWrap/>
            <w:tcMar>
              <w:top w:w="34" w:type="dxa"/>
              <w:bottom w:w="34" w:type="dxa"/>
            </w:tcMar>
          </w:tcPr>
          <w:p w14:paraId="7B810941" w14:textId="77777777" w:rsidR="00AE023D" w:rsidRPr="00AE665D" w:rsidRDefault="00AE023D" w:rsidP="00630831">
            <w:pPr>
              <w:pStyle w:val="TableTextLeft"/>
            </w:pPr>
            <w:r>
              <w:t>Website and software</w:t>
            </w:r>
          </w:p>
        </w:tc>
        <w:tc>
          <w:tcPr>
            <w:tcW w:w="1005" w:type="pct"/>
            <w:shd w:val="clear" w:color="auto" w:fill="E7DCF7" w:themeFill="text2" w:themeFillTint="1A"/>
            <w:noWrap/>
            <w:tcMar>
              <w:top w:w="34" w:type="dxa"/>
              <w:bottom w:w="34" w:type="dxa"/>
            </w:tcMar>
          </w:tcPr>
          <w:p w14:paraId="204D0717" w14:textId="77777777" w:rsidR="00AE023D" w:rsidRDefault="00AE023D" w:rsidP="00630831">
            <w:pPr>
              <w:pStyle w:val="TableTextRight"/>
            </w:pPr>
            <w:r>
              <w:t>395</w:t>
            </w:r>
          </w:p>
        </w:tc>
        <w:tc>
          <w:tcPr>
            <w:tcW w:w="981" w:type="pct"/>
            <w:noWrap/>
            <w:tcMar>
              <w:top w:w="34" w:type="dxa"/>
              <w:bottom w:w="34" w:type="dxa"/>
            </w:tcMar>
          </w:tcPr>
          <w:p w14:paraId="4615B63A" w14:textId="77777777" w:rsidR="00AE023D" w:rsidRDefault="00AE023D" w:rsidP="00630831">
            <w:pPr>
              <w:pStyle w:val="TableTextRight"/>
            </w:pPr>
            <w:r>
              <w:t>131</w:t>
            </w:r>
          </w:p>
        </w:tc>
      </w:tr>
      <w:tr w:rsidR="00AE023D" w:rsidRPr="00EB7D82" w14:paraId="4FD5E776" w14:textId="77777777" w:rsidTr="00575CA9">
        <w:tc>
          <w:tcPr>
            <w:tcW w:w="3014" w:type="pct"/>
            <w:noWrap/>
            <w:tcMar>
              <w:top w:w="34" w:type="dxa"/>
              <w:bottom w:w="34" w:type="dxa"/>
            </w:tcMar>
          </w:tcPr>
          <w:p w14:paraId="7C226D3D" w14:textId="77777777" w:rsidR="00AE023D" w:rsidRDefault="00AE023D" w:rsidP="00630831">
            <w:pPr>
              <w:pStyle w:val="TableTextLeft"/>
            </w:pPr>
            <w:r>
              <w:t>Recruitment</w:t>
            </w:r>
          </w:p>
        </w:tc>
        <w:tc>
          <w:tcPr>
            <w:tcW w:w="1005" w:type="pct"/>
            <w:shd w:val="clear" w:color="auto" w:fill="E7DCF7" w:themeFill="text2" w:themeFillTint="1A"/>
            <w:noWrap/>
            <w:tcMar>
              <w:top w:w="34" w:type="dxa"/>
              <w:bottom w:w="34" w:type="dxa"/>
            </w:tcMar>
          </w:tcPr>
          <w:p w14:paraId="4FC5A65C" w14:textId="77777777" w:rsidR="00AE023D" w:rsidRDefault="00AE023D" w:rsidP="00630831">
            <w:pPr>
              <w:pStyle w:val="TableTextRight"/>
            </w:pPr>
            <w:r>
              <w:t>237</w:t>
            </w:r>
          </w:p>
        </w:tc>
        <w:tc>
          <w:tcPr>
            <w:tcW w:w="981" w:type="pct"/>
            <w:noWrap/>
            <w:tcMar>
              <w:top w:w="34" w:type="dxa"/>
              <w:bottom w:w="34" w:type="dxa"/>
            </w:tcMar>
          </w:tcPr>
          <w:p w14:paraId="6C8BF228" w14:textId="77777777" w:rsidR="00AE023D" w:rsidRDefault="00AE023D" w:rsidP="00630831">
            <w:pPr>
              <w:pStyle w:val="TableTextRight"/>
            </w:pPr>
            <w:r>
              <w:noBreakHyphen/>
            </w:r>
          </w:p>
        </w:tc>
      </w:tr>
      <w:tr w:rsidR="00AE023D" w:rsidRPr="00EB7D82" w14:paraId="0A054765" w14:textId="77777777" w:rsidTr="00575CA9">
        <w:tc>
          <w:tcPr>
            <w:tcW w:w="3014" w:type="pct"/>
            <w:noWrap/>
            <w:tcMar>
              <w:top w:w="34" w:type="dxa"/>
              <w:bottom w:w="34" w:type="dxa"/>
            </w:tcMar>
            <w:hideMark/>
          </w:tcPr>
          <w:p w14:paraId="5C1D6851" w14:textId="77777777" w:rsidR="00AE023D" w:rsidRPr="00AE665D" w:rsidRDefault="00AE023D" w:rsidP="00630831">
            <w:pPr>
              <w:pStyle w:val="TableTextLeft"/>
            </w:pPr>
            <w:r w:rsidRPr="00AE665D">
              <w:t>Trust management expenses</w:t>
            </w:r>
            <w:r>
              <w:rPr>
                <w:vertAlign w:val="superscript"/>
              </w:rPr>
              <w:t>1</w:t>
            </w:r>
          </w:p>
        </w:tc>
        <w:tc>
          <w:tcPr>
            <w:tcW w:w="1005" w:type="pct"/>
            <w:shd w:val="clear" w:color="auto" w:fill="E7DCF7" w:themeFill="text2" w:themeFillTint="1A"/>
            <w:noWrap/>
            <w:tcMar>
              <w:top w:w="34" w:type="dxa"/>
              <w:bottom w:w="34" w:type="dxa"/>
            </w:tcMar>
          </w:tcPr>
          <w:p w14:paraId="6F37CC15" w14:textId="77777777" w:rsidR="00AE023D" w:rsidRPr="00AE665D" w:rsidRDefault="00AE023D" w:rsidP="00630831">
            <w:pPr>
              <w:pStyle w:val="TableTextRight"/>
            </w:pPr>
            <w:r>
              <w:t>66</w:t>
            </w:r>
          </w:p>
        </w:tc>
        <w:tc>
          <w:tcPr>
            <w:tcW w:w="981" w:type="pct"/>
            <w:noWrap/>
            <w:tcMar>
              <w:top w:w="34" w:type="dxa"/>
              <w:bottom w:w="34" w:type="dxa"/>
            </w:tcMar>
            <w:hideMark/>
          </w:tcPr>
          <w:p w14:paraId="4A9D279B" w14:textId="77777777" w:rsidR="00AE023D" w:rsidRPr="00AE665D" w:rsidRDefault="00AE023D" w:rsidP="00630831">
            <w:pPr>
              <w:pStyle w:val="TableTextRight"/>
            </w:pPr>
            <w:r>
              <w:t>91</w:t>
            </w:r>
          </w:p>
        </w:tc>
      </w:tr>
      <w:tr w:rsidR="00AE023D" w:rsidRPr="00EB7D82" w14:paraId="4BE1B14F" w14:textId="77777777" w:rsidTr="00575CA9">
        <w:tc>
          <w:tcPr>
            <w:tcW w:w="3014" w:type="pct"/>
            <w:noWrap/>
            <w:tcMar>
              <w:top w:w="34" w:type="dxa"/>
              <w:bottom w:w="34" w:type="dxa"/>
            </w:tcMar>
          </w:tcPr>
          <w:p w14:paraId="07909841" w14:textId="77777777" w:rsidR="00AE023D" w:rsidRPr="00AE665D" w:rsidRDefault="00AE023D" w:rsidP="00630831">
            <w:pPr>
              <w:pStyle w:val="TableTextLeft"/>
            </w:pPr>
            <w:r w:rsidRPr="00AE665D">
              <w:t>Other</w:t>
            </w:r>
          </w:p>
        </w:tc>
        <w:tc>
          <w:tcPr>
            <w:tcW w:w="1005" w:type="pct"/>
            <w:shd w:val="clear" w:color="auto" w:fill="E7DCF7" w:themeFill="text2" w:themeFillTint="1A"/>
            <w:noWrap/>
            <w:tcMar>
              <w:top w:w="34" w:type="dxa"/>
              <w:bottom w:w="34" w:type="dxa"/>
            </w:tcMar>
          </w:tcPr>
          <w:p w14:paraId="512DAFAF" w14:textId="77777777" w:rsidR="00AE023D" w:rsidRPr="00AE665D" w:rsidRDefault="00AE023D" w:rsidP="00630831">
            <w:pPr>
              <w:pStyle w:val="TableTextRight"/>
            </w:pPr>
            <w:r>
              <w:t>1,092</w:t>
            </w:r>
          </w:p>
        </w:tc>
        <w:tc>
          <w:tcPr>
            <w:tcW w:w="981" w:type="pct"/>
            <w:noWrap/>
            <w:tcMar>
              <w:top w:w="34" w:type="dxa"/>
              <w:bottom w:w="34" w:type="dxa"/>
            </w:tcMar>
          </w:tcPr>
          <w:p w14:paraId="60B99DA5" w14:textId="77777777" w:rsidR="00AE023D" w:rsidRPr="00AE665D" w:rsidRDefault="00AE023D" w:rsidP="00630831">
            <w:pPr>
              <w:pStyle w:val="TableTextRight"/>
            </w:pPr>
            <w:r w:rsidRPr="00AE665D">
              <w:t>1,</w:t>
            </w:r>
            <w:r>
              <w:t>190</w:t>
            </w:r>
          </w:p>
        </w:tc>
      </w:tr>
      <w:tr w:rsidR="00AE023D" w:rsidRPr="00EB7D82" w14:paraId="2EC04916" w14:textId="77777777" w:rsidTr="00575CA9">
        <w:tc>
          <w:tcPr>
            <w:tcW w:w="3014" w:type="pct"/>
            <w:noWrap/>
            <w:tcMar>
              <w:top w:w="34" w:type="dxa"/>
              <w:bottom w:w="34" w:type="dxa"/>
            </w:tcMar>
            <w:hideMark/>
          </w:tcPr>
          <w:p w14:paraId="2C5C12E5" w14:textId="77777777" w:rsidR="00AE023D" w:rsidRPr="00AE665D" w:rsidRDefault="00AE023D" w:rsidP="00630831">
            <w:pPr>
              <w:pStyle w:val="TableTextLeft"/>
              <w:rPr>
                <w:b/>
                <w:bCs/>
              </w:rPr>
            </w:pPr>
            <w:r w:rsidRPr="00AE665D">
              <w:rPr>
                <w:b/>
                <w:bCs/>
              </w:rPr>
              <w:t xml:space="preserve">Total </w:t>
            </w:r>
          </w:p>
        </w:tc>
        <w:tc>
          <w:tcPr>
            <w:tcW w:w="1005" w:type="pct"/>
            <w:shd w:val="clear" w:color="auto" w:fill="E7DCF7" w:themeFill="text2" w:themeFillTint="1A"/>
            <w:noWrap/>
            <w:tcMar>
              <w:top w:w="34" w:type="dxa"/>
              <w:bottom w:w="34" w:type="dxa"/>
            </w:tcMar>
          </w:tcPr>
          <w:p w14:paraId="634DA3F2" w14:textId="77777777" w:rsidR="00AE023D" w:rsidRPr="00AE665D" w:rsidRDefault="00AE023D" w:rsidP="00630831">
            <w:pPr>
              <w:pStyle w:val="TableTextRight"/>
              <w:rPr>
                <w:b/>
                <w:bCs/>
              </w:rPr>
            </w:pPr>
            <w:r>
              <w:rPr>
                <w:b/>
                <w:bCs/>
              </w:rPr>
              <w:t>5,650</w:t>
            </w:r>
          </w:p>
        </w:tc>
        <w:tc>
          <w:tcPr>
            <w:tcW w:w="981" w:type="pct"/>
            <w:noWrap/>
            <w:tcMar>
              <w:top w:w="34" w:type="dxa"/>
              <w:bottom w:w="34" w:type="dxa"/>
            </w:tcMar>
            <w:hideMark/>
          </w:tcPr>
          <w:p w14:paraId="34976311" w14:textId="77777777" w:rsidR="00AE023D" w:rsidRPr="00AE665D" w:rsidRDefault="00AE023D" w:rsidP="00630831">
            <w:pPr>
              <w:pStyle w:val="TableTextRight"/>
              <w:rPr>
                <w:b/>
                <w:bCs/>
              </w:rPr>
            </w:pPr>
            <w:r w:rsidRPr="00AE665D">
              <w:rPr>
                <w:b/>
                <w:bCs/>
              </w:rPr>
              <w:t>5,</w:t>
            </w:r>
            <w:r>
              <w:rPr>
                <w:b/>
                <w:bCs/>
              </w:rPr>
              <w:t>533</w:t>
            </w:r>
          </w:p>
        </w:tc>
      </w:tr>
    </w:tbl>
    <w:p w14:paraId="21C09687" w14:textId="77777777" w:rsidR="00AE023D" w:rsidRPr="000A0B4F" w:rsidRDefault="00AE023D" w:rsidP="00AE023D">
      <w:pPr>
        <w:pStyle w:val="ChartandTableFootnoteAlpha"/>
      </w:pPr>
      <w:r w:rsidRPr="000C21C0">
        <w:t>1</w:t>
      </w:r>
      <w:r w:rsidRPr="000C21C0">
        <w:tab/>
      </w:r>
      <w:r w:rsidRPr="00EA3C79">
        <w:t>These expenses are wholly attributable to the operation of the Forbearance SPV.</w:t>
      </w:r>
    </w:p>
    <w:p w14:paraId="745B8218" w14:textId="77777777" w:rsidR="00AE023D" w:rsidRPr="00EA3C79" w:rsidRDefault="00AE023D" w:rsidP="00AE023D">
      <w:pPr>
        <w:pStyle w:val="ChartorTableNote"/>
      </w:pPr>
      <w:r>
        <w:t xml:space="preserve">The </w:t>
      </w:r>
      <w:r w:rsidRPr="00EA3C79">
        <w:t>AOFM has no short</w:t>
      </w:r>
      <w:r>
        <w:noBreakHyphen/>
      </w:r>
      <w:r w:rsidRPr="00EA3C79">
        <w:t xml:space="preserve">term lease commitments as </w:t>
      </w:r>
      <w:proofErr w:type="gramStart"/>
      <w:r w:rsidRPr="00EA3C79">
        <w:t>at</w:t>
      </w:r>
      <w:proofErr w:type="gramEnd"/>
      <w:r w:rsidRPr="00EA3C79">
        <w:t xml:space="preserve"> 30 June 2025 (2024: nil).</w:t>
      </w:r>
    </w:p>
    <w:p w14:paraId="759AD6BD" w14:textId="77777777" w:rsidR="00AE023D" w:rsidRPr="00EA3C79" w:rsidRDefault="00AE023D" w:rsidP="00AE023D">
      <w:pPr>
        <w:pStyle w:val="ChartorTableNote"/>
      </w:pPr>
      <w:r w:rsidRPr="00EA3C79">
        <w:t>Remuneration for the financial statements audit is $250,000 in 2024</w:t>
      </w:r>
      <w:r w:rsidRPr="00B235A9">
        <w:t>–</w:t>
      </w:r>
      <w:r w:rsidRPr="00EA3C79">
        <w:t xml:space="preserve">25 </w:t>
      </w:r>
      <w:r>
        <w:t>(2024: $250,000)</w:t>
      </w:r>
      <w:r w:rsidRPr="00EA3C79">
        <w:t>.</w:t>
      </w:r>
    </w:p>
    <w:p w14:paraId="657A9B2E" w14:textId="77777777" w:rsidR="00C11331" w:rsidRPr="00DC6BE1" w:rsidRDefault="00C11331" w:rsidP="00C11331">
      <w:pPr>
        <w:pStyle w:val="Heading2"/>
        <w:rPr>
          <w:rFonts w:cs="Arial"/>
        </w:rPr>
      </w:pPr>
      <w:bookmarkStart w:id="1848" w:name="_Toc146112270"/>
      <w:bookmarkStart w:id="1849" w:name="_Toc207792950"/>
      <w:bookmarkStart w:id="1850" w:name="_Toc207793990"/>
      <w:bookmarkStart w:id="1851" w:name="_Toc207796159"/>
      <w:bookmarkStart w:id="1852" w:name="_Toc207796994"/>
      <w:bookmarkStart w:id="1853" w:name="_Toc207800297"/>
      <w:bookmarkStart w:id="1854" w:name="_Toc207810875"/>
      <w:bookmarkStart w:id="1855" w:name="_Toc208914155"/>
      <w:bookmarkStart w:id="1856" w:name="_Toc209424552"/>
      <w:r w:rsidRPr="006534F5">
        <w:lastRenderedPageBreak/>
        <w:t>Note B: Receivables</w:t>
      </w:r>
      <w:bookmarkEnd w:id="1848"/>
      <w:bookmarkEnd w:id="1849"/>
      <w:bookmarkEnd w:id="1850"/>
      <w:bookmarkEnd w:id="1851"/>
      <w:bookmarkEnd w:id="1852"/>
      <w:bookmarkEnd w:id="1853"/>
      <w:bookmarkEnd w:id="1854"/>
      <w:bookmarkEnd w:id="1855"/>
      <w:bookmarkEnd w:id="1856"/>
    </w:p>
    <w:p w14:paraId="2BA0212F" w14:textId="77777777" w:rsidR="00C11331" w:rsidRPr="006534F5" w:rsidRDefault="00C11331" w:rsidP="00C11331">
      <w:pPr>
        <w:pStyle w:val="TableMainHeading"/>
        <w:keepLines/>
        <w:rPr>
          <w:rFonts w:asciiTheme="minorHAnsi" w:hAnsiTheme="minorHAnsi" w:cstheme="minorBidi"/>
          <w:lang w:eastAsia="en-US"/>
        </w:rPr>
      </w:pPr>
      <w:r w:rsidRPr="006534F5">
        <w:t xml:space="preserve">Receivables </w:t>
      </w:r>
    </w:p>
    <w:tbl>
      <w:tblPr>
        <w:tblStyle w:val="AOFMTablemain"/>
        <w:tblW w:w="5000" w:type="pct"/>
        <w:tblLook w:val="06A0" w:firstRow="1" w:lastRow="0" w:firstColumn="1" w:lastColumn="0" w:noHBand="1" w:noVBand="1"/>
      </w:tblPr>
      <w:tblGrid>
        <w:gridCol w:w="4684"/>
        <w:gridCol w:w="1514"/>
        <w:gridCol w:w="1513"/>
      </w:tblGrid>
      <w:tr w:rsidR="004676A8" w:rsidRPr="006534F5" w14:paraId="33816744" w14:textId="77777777" w:rsidTr="00EC03D4">
        <w:trPr>
          <w:cnfStyle w:val="100000000000" w:firstRow="1" w:lastRow="0" w:firstColumn="0" w:lastColumn="0" w:oddVBand="0" w:evenVBand="0" w:oddHBand="0" w:evenHBand="0" w:firstRowFirstColumn="0" w:firstRowLastColumn="0" w:lastRowFirstColumn="0" w:lastRowLastColumn="0"/>
        </w:trPr>
        <w:tc>
          <w:tcPr>
            <w:tcW w:w="3037" w:type="pct"/>
            <w:noWrap/>
            <w:hideMark/>
          </w:tcPr>
          <w:p w14:paraId="3925CA03" w14:textId="77777777" w:rsidR="00C11331" w:rsidRPr="00077DB0" w:rsidRDefault="00C11331" w:rsidP="00630831">
            <w:pPr>
              <w:pStyle w:val="TableColumnHeadingRight"/>
            </w:pPr>
            <w:r w:rsidRPr="00077DB0">
              <w:t> </w:t>
            </w:r>
          </w:p>
        </w:tc>
        <w:tc>
          <w:tcPr>
            <w:tcW w:w="982" w:type="pct"/>
            <w:noWrap/>
            <w:hideMark/>
          </w:tcPr>
          <w:p w14:paraId="79C3A8EE" w14:textId="77777777" w:rsidR="00C11331" w:rsidRDefault="00C11331" w:rsidP="00630831">
            <w:pPr>
              <w:pStyle w:val="TableColumnHeadingRight"/>
              <w:rPr>
                <w:bCs/>
              </w:rPr>
            </w:pPr>
            <w:r w:rsidRPr="00077DB0">
              <w:rPr>
                <w:bCs/>
              </w:rPr>
              <w:t>202</w:t>
            </w:r>
            <w:r>
              <w:rPr>
                <w:bCs/>
              </w:rPr>
              <w:t>5</w:t>
            </w:r>
          </w:p>
          <w:p w14:paraId="6234BC7A" w14:textId="77777777" w:rsidR="00C11331" w:rsidRPr="00077DB0" w:rsidRDefault="00C11331" w:rsidP="00630831">
            <w:pPr>
              <w:pStyle w:val="TableColumnHeadingRight"/>
              <w:rPr>
                <w:bCs/>
              </w:rPr>
            </w:pPr>
            <w:r>
              <w:rPr>
                <w:bCs/>
              </w:rPr>
              <w:t>$’000</w:t>
            </w:r>
          </w:p>
        </w:tc>
        <w:tc>
          <w:tcPr>
            <w:tcW w:w="981" w:type="pct"/>
            <w:noWrap/>
            <w:hideMark/>
          </w:tcPr>
          <w:p w14:paraId="1C2F84A4" w14:textId="77777777" w:rsidR="00C11331" w:rsidRDefault="00C11331" w:rsidP="00630831">
            <w:pPr>
              <w:pStyle w:val="TableColumnHeadingRight"/>
            </w:pPr>
            <w:r w:rsidRPr="00077DB0">
              <w:t>202</w:t>
            </w:r>
            <w:r>
              <w:t xml:space="preserve">4 </w:t>
            </w:r>
          </w:p>
          <w:p w14:paraId="660045C4" w14:textId="77777777" w:rsidR="00C11331" w:rsidRPr="00077DB0" w:rsidRDefault="00C11331" w:rsidP="00630831">
            <w:pPr>
              <w:pStyle w:val="TableColumnHeadingRight"/>
            </w:pPr>
            <w:r>
              <w:t>$’000</w:t>
            </w:r>
            <w:r w:rsidRPr="00077DB0">
              <w:t xml:space="preserve"> </w:t>
            </w:r>
          </w:p>
        </w:tc>
      </w:tr>
      <w:tr w:rsidR="00C11331" w:rsidRPr="00EC2D82" w14:paraId="19944897" w14:textId="77777777" w:rsidTr="006A715B">
        <w:tc>
          <w:tcPr>
            <w:tcW w:w="3037" w:type="pct"/>
            <w:noWrap/>
            <w:hideMark/>
          </w:tcPr>
          <w:p w14:paraId="0663673C" w14:textId="77777777" w:rsidR="00C11331" w:rsidRPr="006534F5" w:rsidRDefault="00C11331" w:rsidP="00630831">
            <w:pPr>
              <w:pStyle w:val="TableTextLeft"/>
            </w:pPr>
            <w:r w:rsidRPr="006534F5">
              <w:t xml:space="preserve">Goods and services </w:t>
            </w:r>
          </w:p>
        </w:tc>
        <w:tc>
          <w:tcPr>
            <w:tcW w:w="982" w:type="pct"/>
            <w:shd w:val="clear" w:color="auto" w:fill="E7DCF7" w:themeFill="text2" w:themeFillTint="1A"/>
            <w:noWrap/>
          </w:tcPr>
          <w:p w14:paraId="2E7C1FDF" w14:textId="77777777" w:rsidR="00C11331" w:rsidRPr="00AE665D" w:rsidRDefault="00C11331" w:rsidP="00630831">
            <w:pPr>
              <w:pStyle w:val="TableTextRight"/>
            </w:pPr>
            <w:r>
              <w:t>15</w:t>
            </w:r>
          </w:p>
        </w:tc>
        <w:tc>
          <w:tcPr>
            <w:tcW w:w="981" w:type="pct"/>
            <w:noWrap/>
            <w:hideMark/>
          </w:tcPr>
          <w:p w14:paraId="6ADF74E4" w14:textId="77777777" w:rsidR="00C11331" w:rsidRPr="00AE665D" w:rsidRDefault="00C11331" w:rsidP="00630831">
            <w:pPr>
              <w:pStyle w:val="TableTextRight"/>
            </w:pPr>
            <w:r w:rsidRPr="00AE665D">
              <w:t xml:space="preserve"> </w:t>
            </w:r>
            <w:r>
              <w:t>27</w:t>
            </w:r>
            <w:r w:rsidRPr="00AE665D">
              <w:t xml:space="preserve"> </w:t>
            </w:r>
          </w:p>
        </w:tc>
      </w:tr>
      <w:tr w:rsidR="00C11331" w:rsidRPr="00EC2D82" w14:paraId="1C7902C7" w14:textId="77777777" w:rsidTr="006A715B">
        <w:tc>
          <w:tcPr>
            <w:tcW w:w="3037" w:type="pct"/>
            <w:noWrap/>
            <w:hideMark/>
          </w:tcPr>
          <w:p w14:paraId="68B182C6" w14:textId="77777777" w:rsidR="00C11331" w:rsidRPr="006534F5" w:rsidRDefault="00C11331" w:rsidP="00630831">
            <w:pPr>
              <w:pStyle w:val="TableTextLeft"/>
            </w:pPr>
            <w:r w:rsidRPr="006534F5">
              <w:t>Appropriations receivable</w:t>
            </w:r>
            <w:r>
              <w:t>s</w:t>
            </w:r>
          </w:p>
        </w:tc>
        <w:tc>
          <w:tcPr>
            <w:tcW w:w="982" w:type="pct"/>
            <w:shd w:val="clear" w:color="auto" w:fill="E7DCF7" w:themeFill="text2" w:themeFillTint="1A"/>
            <w:noWrap/>
          </w:tcPr>
          <w:p w14:paraId="7CF2CF6D" w14:textId="77777777" w:rsidR="00C11331" w:rsidRPr="00AE665D" w:rsidRDefault="00C11331" w:rsidP="00630831">
            <w:pPr>
              <w:pStyle w:val="TableTextRight"/>
            </w:pPr>
            <w:r>
              <w:t>36,240</w:t>
            </w:r>
          </w:p>
        </w:tc>
        <w:tc>
          <w:tcPr>
            <w:tcW w:w="981" w:type="pct"/>
            <w:noWrap/>
            <w:hideMark/>
          </w:tcPr>
          <w:p w14:paraId="0A0C7F36" w14:textId="77777777" w:rsidR="00C11331" w:rsidRPr="00AE665D" w:rsidRDefault="00C11331" w:rsidP="00630831">
            <w:pPr>
              <w:pStyle w:val="TableTextRight"/>
            </w:pPr>
            <w:r>
              <w:t>36,550</w:t>
            </w:r>
            <w:r w:rsidRPr="00AE665D">
              <w:t xml:space="preserve"> </w:t>
            </w:r>
          </w:p>
        </w:tc>
      </w:tr>
      <w:tr w:rsidR="00C11331" w:rsidRPr="00EC2D82" w14:paraId="3B428A23" w14:textId="77777777" w:rsidTr="006A715B">
        <w:tc>
          <w:tcPr>
            <w:tcW w:w="3037" w:type="pct"/>
            <w:noWrap/>
            <w:hideMark/>
          </w:tcPr>
          <w:p w14:paraId="696C3CB2" w14:textId="77777777" w:rsidR="00C11331" w:rsidRPr="006534F5" w:rsidRDefault="00C11331" w:rsidP="00630831">
            <w:pPr>
              <w:pStyle w:val="TableTextLeft"/>
            </w:pPr>
            <w:r>
              <w:t>Other</w:t>
            </w:r>
          </w:p>
        </w:tc>
        <w:tc>
          <w:tcPr>
            <w:tcW w:w="982" w:type="pct"/>
            <w:shd w:val="clear" w:color="auto" w:fill="E7DCF7" w:themeFill="text2" w:themeFillTint="1A"/>
            <w:noWrap/>
          </w:tcPr>
          <w:p w14:paraId="78615F8A" w14:textId="77777777" w:rsidR="00C11331" w:rsidRPr="00AE665D" w:rsidRDefault="00C11331" w:rsidP="00630831">
            <w:pPr>
              <w:pStyle w:val="TableTextRight"/>
            </w:pPr>
            <w:r>
              <w:t>1</w:t>
            </w:r>
          </w:p>
        </w:tc>
        <w:tc>
          <w:tcPr>
            <w:tcW w:w="981" w:type="pct"/>
            <w:noWrap/>
            <w:hideMark/>
          </w:tcPr>
          <w:p w14:paraId="4A9B1A08" w14:textId="77777777" w:rsidR="00C11331" w:rsidRPr="00AE665D" w:rsidRDefault="00C11331" w:rsidP="00630831">
            <w:pPr>
              <w:pStyle w:val="TableTextRight"/>
            </w:pPr>
            <w:r w:rsidRPr="00AE665D">
              <w:t xml:space="preserve"> </w:t>
            </w:r>
            <w:r>
              <w:t>1</w:t>
            </w:r>
            <w:r w:rsidRPr="00AE665D">
              <w:t xml:space="preserve"> </w:t>
            </w:r>
          </w:p>
        </w:tc>
      </w:tr>
      <w:tr w:rsidR="00C11331" w:rsidRPr="00EC2D82" w14:paraId="517C98B9" w14:textId="77777777" w:rsidTr="006A715B">
        <w:tc>
          <w:tcPr>
            <w:tcW w:w="3037" w:type="pct"/>
            <w:noWrap/>
            <w:hideMark/>
          </w:tcPr>
          <w:p w14:paraId="02BA2368" w14:textId="77777777" w:rsidR="00C11331" w:rsidRPr="00D531EE" w:rsidRDefault="00C11331" w:rsidP="00630831">
            <w:pPr>
              <w:pStyle w:val="TableTextLeft"/>
              <w:rPr>
                <w:b/>
                <w:bCs/>
              </w:rPr>
            </w:pPr>
            <w:r w:rsidRPr="00D531EE">
              <w:rPr>
                <w:b/>
                <w:bCs/>
              </w:rPr>
              <w:t>Total</w:t>
            </w:r>
          </w:p>
        </w:tc>
        <w:tc>
          <w:tcPr>
            <w:tcW w:w="982" w:type="pct"/>
            <w:shd w:val="clear" w:color="auto" w:fill="E7DCF7" w:themeFill="text2" w:themeFillTint="1A"/>
            <w:noWrap/>
          </w:tcPr>
          <w:p w14:paraId="39ECF338" w14:textId="77777777" w:rsidR="00C11331" w:rsidRPr="00D531EE" w:rsidRDefault="00C11331" w:rsidP="00630831">
            <w:pPr>
              <w:pStyle w:val="TableTextRight"/>
              <w:rPr>
                <w:b/>
                <w:bCs/>
              </w:rPr>
            </w:pPr>
            <w:r w:rsidRPr="00D531EE">
              <w:rPr>
                <w:b/>
                <w:bCs/>
              </w:rPr>
              <w:t>36,256</w:t>
            </w:r>
          </w:p>
        </w:tc>
        <w:tc>
          <w:tcPr>
            <w:tcW w:w="981" w:type="pct"/>
            <w:noWrap/>
            <w:hideMark/>
          </w:tcPr>
          <w:p w14:paraId="523B8C27" w14:textId="77777777" w:rsidR="00C11331" w:rsidRPr="00D531EE" w:rsidRDefault="00C11331" w:rsidP="00630831">
            <w:pPr>
              <w:pStyle w:val="TableTextRight"/>
              <w:rPr>
                <w:b/>
                <w:bCs/>
              </w:rPr>
            </w:pPr>
            <w:r w:rsidRPr="00D531EE">
              <w:rPr>
                <w:b/>
                <w:bCs/>
              </w:rPr>
              <w:t xml:space="preserve">36,578 </w:t>
            </w:r>
          </w:p>
        </w:tc>
      </w:tr>
    </w:tbl>
    <w:p w14:paraId="33FBC1E8" w14:textId="77777777" w:rsidR="00C11331" w:rsidRDefault="00C11331" w:rsidP="00C11331">
      <w:pPr>
        <w:pStyle w:val="ChartorTableNote"/>
      </w:pPr>
      <w:r w:rsidRPr="00EA3C79">
        <w:t>Credit terms for goods and services were within 28 days (2024: 28 days)</w:t>
      </w:r>
    </w:p>
    <w:p w14:paraId="5C4AACCF" w14:textId="77777777" w:rsidR="00C11331" w:rsidRDefault="00C11331" w:rsidP="00C11331">
      <w:pPr>
        <w:spacing w:after="0"/>
        <w:rPr>
          <w:sz w:val="16"/>
          <w:szCs w:val="16"/>
        </w:rPr>
      </w:pP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C11331" w14:paraId="73FFDC87" w14:textId="77777777" w:rsidTr="00630831">
        <w:tc>
          <w:tcPr>
            <w:tcW w:w="7700" w:type="dxa"/>
            <w:tcBorders>
              <w:bottom w:val="single" w:sz="24" w:space="0" w:color="472978" w:themeColor="accent1"/>
            </w:tcBorders>
            <w:shd w:val="clear" w:color="auto" w:fill="E7DCF7" w:themeFill="text2" w:themeFillTint="1A"/>
          </w:tcPr>
          <w:p w14:paraId="37D45EA3" w14:textId="77777777" w:rsidR="00C11331" w:rsidRDefault="00C11331" w:rsidP="0076143F">
            <w:pPr>
              <w:pStyle w:val="Boxheading"/>
            </w:pPr>
            <w:r w:rsidRPr="0076143F">
              <w:t>Accounting</w:t>
            </w:r>
            <w:r>
              <w:t xml:space="preserve"> policy</w:t>
            </w:r>
          </w:p>
          <w:p w14:paraId="693F5A18" w14:textId="77777777" w:rsidR="00C11331" w:rsidRDefault="00C11331" w:rsidP="00630831">
            <w:pPr>
              <w:pStyle w:val="BoxText"/>
            </w:pPr>
            <w:r>
              <w:t>Receivables are measured at fair value on initial recognition and at amortised cost on subsequent measurement.</w:t>
            </w:r>
          </w:p>
          <w:p w14:paraId="3E70447A" w14:textId="77777777" w:rsidR="00C11331" w:rsidRPr="006574CB" w:rsidRDefault="00C11331" w:rsidP="00630831">
            <w:pPr>
              <w:pStyle w:val="BoxText"/>
            </w:pPr>
            <w:r>
              <w:t>Appropriation receivables are recognised at their nominal amounts. Appropriation receivables are appropriations controlled by the AOFM but held in the OPA under the Government’s ‘just in time’ drawdown arrangements.</w:t>
            </w:r>
          </w:p>
        </w:tc>
      </w:tr>
    </w:tbl>
    <w:p w14:paraId="70CABB80" w14:textId="77777777" w:rsidR="00365E03" w:rsidRDefault="00365E03" w:rsidP="00C11331">
      <w:pPr>
        <w:sectPr w:rsidR="00365E03" w:rsidSect="001E2AEB">
          <w:type w:val="oddPage"/>
          <w:pgSz w:w="11907" w:h="16840" w:code="9"/>
          <w:pgMar w:top="2835" w:right="2098" w:bottom="2466" w:left="2098" w:header="1814" w:footer="1814" w:gutter="0"/>
          <w:cols w:space="708"/>
          <w:docGrid w:linePitch="360"/>
        </w:sectPr>
      </w:pPr>
    </w:p>
    <w:p w14:paraId="4E5F13B2" w14:textId="77777777" w:rsidR="00C11331" w:rsidRDefault="00C11331" w:rsidP="00C11331">
      <w:pPr>
        <w:pStyle w:val="Heading2"/>
      </w:pPr>
      <w:bookmarkStart w:id="1857" w:name="_Toc207792951"/>
      <w:bookmarkStart w:id="1858" w:name="_Toc207793991"/>
      <w:bookmarkStart w:id="1859" w:name="_Toc207796160"/>
      <w:bookmarkStart w:id="1860" w:name="_Toc207796995"/>
      <w:bookmarkStart w:id="1861" w:name="_Toc207800298"/>
      <w:bookmarkStart w:id="1862" w:name="_Toc207810876"/>
      <w:bookmarkStart w:id="1863" w:name="_Toc208914156"/>
      <w:bookmarkStart w:id="1864" w:name="_Toc209424553"/>
      <w:r w:rsidRPr="006534F5">
        <w:lastRenderedPageBreak/>
        <w:t>Note C: Property, plant, and equipment</w:t>
      </w:r>
      <w:bookmarkEnd w:id="1857"/>
      <w:bookmarkEnd w:id="1858"/>
      <w:bookmarkEnd w:id="1859"/>
      <w:bookmarkEnd w:id="1860"/>
      <w:bookmarkEnd w:id="1861"/>
      <w:bookmarkEnd w:id="1862"/>
      <w:bookmarkEnd w:id="1863"/>
      <w:bookmarkEnd w:id="1864"/>
    </w:p>
    <w:p w14:paraId="308370A7" w14:textId="77777777" w:rsidR="00C11331" w:rsidRPr="00B06162" w:rsidRDefault="00C11331" w:rsidP="00C11331">
      <w:pPr>
        <w:pStyle w:val="TableMainHeading"/>
      </w:pPr>
      <w:r w:rsidRPr="00317C88">
        <w:t>Reconciliation of the opening balances of property, plant and equipment for 2025</w:t>
      </w:r>
    </w:p>
    <w:tbl>
      <w:tblPr>
        <w:tblStyle w:val="AOFMTablemain"/>
        <w:tblW w:w="0" w:type="auto"/>
        <w:tblLook w:val="06A0" w:firstRow="1" w:lastRow="0" w:firstColumn="1" w:lastColumn="0" w:noHBand="1" w:noVBand="1"/>
      </w:tblPr>
      <w:tblGrid>
        <w:gridCol w:w="3835"/>
        <w:gridCol w:w="1118"/>
        <w:gridCol w:w="2157"/>
        <w:gridCol w:w="1739"/>
        <w:gridCol w:w="1245"/>
        <w:gridCol w:w="1445"/>
      </w:tblGrid>
      <w:tr w:rsidR="006C235E" w:rsidRPr="00317C88" w14:paraId="1D9556C3" w14:textId="77777777" w:rsidTr="00EC03D4">
        <w:trPr>
          <w:cnfStyle w:val="100000000000" w:firstRow="1" w:lastRow="0" w:firstColumn="0" w:lastColumn="0" w:oddVBand="0" w:evenVBand="0" w:oddHBand="0" w:evenHBand="0" w:firstRowFirstColumn="0" w:firstRowLastColumn="0" w:lastRowFirstColumn="0" w:lastRowLastColumn="0"/>
          <w:trHeight w:val="57"/>
        </w:trPr>
        <w:tc>
          <w:tcPr>
            <w:tcW w:w="4253" w:type="dxa"/>
            <w:tcMar>
              <w:top w:w="57" w:type="dxa"/>
              <w:bottom w:w="57" w:type="dxa"/>
            </w:tcMar>
          </w:tcPr>
          <w:p w14:paraId="3D857A1B" w14:textId="77777777" w:rsidR="00C11331" w:rsidRPr="00317C88" w:rsidRDefault="00C11331" w:rsidP="00630831">
            <w:pPr>
              <w:pStyle w:val="TableColumnHeadingRight"/>
            </w:pPr>
          </w:p>
        </w:tc>
        <w:tc>
          <w:tcPr>
            <w:tcW w:w="1134" w:type="dxa"/>
            <w:tcMar>
              <w:top w:w="57" w:type="dxa"/>
              <w:bottom w:w="57" w:type="dxa"/>
            </w:tcMar>
          </w:tcPr>
          <w:p w14:paraId="44AA2391" w14:textId="77777777" w:rsidR="00C11331" w:rsidRPr="00EE0E60" w:rsidRDefault="00C11331" w:rsidP="00630831">
            <w:pPr>
              <w:pStyle w:val="TableColumnHeadingRight"/>
              <w:rPr>
                <w:bCs/>
              </w:rPr>
            </w:pPr>
            <w:r w:rsidRPr="00EE0E60">
              <w:rPr>
                <w:bCs/>
              </w:rPr>
              <w:t>Buildings</w:t>
            </w:r>
          </w:p>
        </w:tc>
        <w:tc>
          <w:tcPr>
            <w:tcW w:w="2268" w:type="dxa"/>
            <w:tcMar>
              <w:top w:w="57" w:type="dxa"/>
              <w:bottom w:w="57" w:type="dxa"/>
            </w:tcMar>
          </w:tcPr>
          <w:p w14:paraId="4E234FA3" w14:textId="77777777" w:rsidR="00C11331" w:rsidRPr="00EE0E60" w:rsidRDefault="00C11331" w:rsidP="00630831">
            <w:pPr>
              <w:pStyle w:val="TableColumnHeadingRight"/>
              <w:rPr>
                <w:bCs/>
              </w:rPr>
            </w:pPr>
            <w:r w:rsidRPr="00EE0E60">
              <w:rPr>
                <w:bCs/>
              </w:rPr>
              <w:t>Leasehold improvements</w:t>
            </w:r>
          </w:p>
        </w:tc>
        <w:tc>
          <w:tcPr>
            <w:tcW w:w="1834" w:type="dxa"/>
            <w:tcMar>
              <w:top w:w="57" w:type="dxa"/>
              <w:bottom w:w="57" w:type="dxa"/>
            </w:tcMar>
          </w:tcPr>
          <w:p w14:paraId="3BB2F183" w14:textId="77777777" w:rsidR="00C11331" w:rsidRPr="00EE0E60" w:rsidRDefault="00C11331" w:rsidP="00630831">
            <w:pPr>
              <w:pStyle w:val="TableColumnHeadingRight"/>
              <w:rPr>
                <w:bCs/>
              </w:rPr>
            </w:pPr>
            <w:r w:rsidRPr="00EE0E60">
              <w:rPr>
                <w:bCs/>
              </w:rPr>
              <w:t>Plant and equipment</w:t>
            </w:r>
          </w:p>
        </w:tc>
        <w:tc>
          <w:tcPr>
            <w:tcW w:w="1286" w:type="dxa"/>
            <w:tcMar>
              <w:top w:w="57" w:type="dxa"/>
              <w:bottom w:w="57" w:type="dxa"/>
            </w:tcMar>
          </w:tcPr>
          <w:p w14:paraId="5AE80B80" w14:textId="77777777" w:rsidR="00C11331" w:rsidRPr="00EE0E60" w:rsidRDefault="00C11331" w:rsidP="00630831">
            <w:pPr>
              <w:pStyle w:val="TableColumnHeadingRight"/>
              <w:rPr>
                <w:bCs/>
              </w:rPr>
            </w:pPr>
            <w:r w:rsidRPr="00EE0E60">
              <w:rPr>
                <w:bCs/>
              </w:rPr>
              <w:t>Software</w:t>
            </w:r>
          </w:p>
        </w:tc>
        <w:tc>
          <w:tcPr>
            <w:tcW w:w="1558" w:type="dxa"/>
            <w:tcMar>
              <w:top w:w="57" w:type="dxa"/>
              <w:bottom w:w="57" w:type="dxa"/>
            </w:tcMar>
          </w:tcPr>
          <w:p w14:paraId="130E1055" w14:textId="77777777" w:rsidR="00C11331" w:rsidRPr="00EE0E60" w:rsidRDefault="00C11331" w:rsidP="00630831">
            <w:pPr>
              <w:pStyle w:val="TableColumnHeadingRight"/>
              <w:rPr>
                <w:bCs/>
              </w:rPr>
            </w:pPr>
            <w:r w:rsidRPr="00EE0E60">
              <w:rPr>
                <w:bCs/>
              </w:rPr>
              <w:t>Total</w:t>
            </w:r>
          </w:p>
        </w:tc>
      </w:tr>
      <w:tr w:rsidR="00C11331" w:rsidRPr="00317C88" w14:paraId="41D981E1" w14:textId="77777777" w:rsidTr="00D36BD5">
        <w:trPr>
          <w:trHeight w:val="159"/>
        </w:trPr>
        <w:tc>
          <w:tcPr>
            <w:tcW w:w="4253" w:type="dxa"/>
            <w:tcMar>
              <w:top w:w="28" w:type="dxa"/>
              <w:bottom w:w="28" w:type="dxa"/>
            </w:tcMar>
          </w:tcPr>
          <w:p w14:paraId="052E2E11" w14:textId="77777777" w:rsidR="00C11331" w:rsidRPr="00317C88" w:rsidRDefault="00C11331" w:rsidP="00630831">
            <w:pPr>
              <w:spacing w:after="0"/>
              <w:rPr>
                <w:szCs w:val="16"/>
              </w:rPr>
            </w:pPr>
          </w:p>
        </w:tc>
        <w:tc>
          <w:tcPr>
            <w:tcW w:w="1134" w:type="dxa"/>
            <w:tcMar>
              <w:top w:w="28" w:type="dxa"/>
              <w:bottom w:w="28" w:type="dxa"/>
            </w:tcMar>
          </w:tcPr>
          <w:p w14:paraId="57A9F0A1" w14:textId="77777777" w:rsidR="00C11331" w:rsidRPr="00EE0E60" w:rsidRDefault="00C11331" w:rsidP="00630831">
            <w:pPr>
              <w:pStyle w:val="TableTextRight"/>
              <w:rPr>
                <w:b/>
                <w:bCs/>
              </w:rPr>
            </w:pPr>
            <w:r w:rsidRPr="00EE0E60">
              <w:rPr>
                <w:b/>
                <w:bCs/>
              </w:rPr>
              <w:t>$’000</w:t>
            </w:r>
          </w:p>
        </w:tc>
        <w:tc>
          <w:tcPr>
            <w:tcW w:w="2268" w:type="dxa"/>
            <w:tcMar>
              <w:top w:w="28" w:type="dxa"/>
              <w:bottom w:w="28" w:type="dxa"/>
            </w:tcMar>
          </w:tcPr>
          <w:p w14:paraId="2D814202" w14:textId="77777777" w:rsidR="00C11331" w:rsidRPr="00EE0E60" w:rsidRDefault="00C11331" w:rsidP="00630831">
            <w:pPr>
              <w:pStyle w:val="TableTextRight"/>
              <w:rPr>
                <w:b/>
                <w:bCs/>
              </w:rPr>
            </w:pPr>
            <w:r w:rsidRPr="00EE0E60">
              <w:rPr>
                <w:b/>
                <w:bCs/>
              </w:rPr>
              <w:t>$’000</w:t>
            </w:r>
          </w:p>
        </w:tc>
        <w:tc>
          <w:tcPr>
            <w:tcW w:w="1834" w:type="dxa"/>
            <w:tcMar>
              <w:top w:w="28" w:type="dxa"/>
              <w:bottom w:w="28" w:type="dxa"/>
            </w:tcMar>
          </w:tcPr>
          <w:p w14:paraId="52CE0152" w14:textId="77777777" w:rsidR="00C11331" w:rsidRPr="00EE0E60" w:rsidRDefault="00C11331" w:rsidP="00630831">
            <w:pPr>
              <w:pStyle w:val="TableTextRight"/>
              <w:rPr>
                <w:b/>
                <w:bCs/>
              </w:rPr>
            </w:pPr>
            <w:r w:rsidRPr="00EE0E60">
              <w:rPr>
                <w:b/>
                <w:bCs/>
              </w:rPr>
              <w:t>$’000</w:t>
            </w:r>
          </w:p>
        </w:tc>
        <w:tc>
          <w:tcPr>
            <w:tcW w:w="1286" w:type="dxa"/>
            <w:tcMar>
              <w:top w:w="28" w:type="dxa"/>
              <w:bottom w:w="28" w:type="dxa"/>
            </w:tcMar>
          </w:tcPr>
          <w:p w14:paraId="44158247" w14:textId="77777777" w:rsidR="00C11331" w:rsidRPr="00EE0E60" w:rsidRDefault="00C11331" w:rsidP="00630831">
            <w:pPr>
              <w:pStyle w:val="TableTextRight"/>
              <w:rPr>
                <w:b/>
                <w:bCs/>
              </w:rPr>
            </w:pPr>
            <w:r w:rsidRPr="00EE0E60">
              <w:rPr>
                <w:b/>
                <w:bCs/>
              </w:rPr>
              <w:t>$’000</w:t>
            </w:r>
          </w:p>
        </w:tc>
        <w:tc>
          <w:tcPr>
            <w:tcW w:w="1558" w:type="dxa"/>
            <w:tcMar>
              <w:top w:w="28" w:type="dxa"/>
              <w:bottom w:w="28" w:type="dxa"/>
            </w:tcMar>
          </w:tcPr>
          <w:p w14:paraId="0833AF52" w14:textId="77777777" w:rsidR="00C11331" w:rsidRPr="00EE0E60" w:rsidRDefault="00C11331" w:rsidP="00630831">
            <w:pPr>
              <w:pStyle w:val="TableTextRight"/>
              <w:rPr>
                <w:b/>
                <w:bCs/>
              </w:rPr>
            </w:pPr>
            <w:r w:rsidRPr="00EE0E60">
              <w:rPr>
                <w:b/>
                <w:bCs/>
              </w:rPr>
              <w:t>$’000</w:t>
            </w:r>
          </w:p>
        </w:tc>
      </w:tr>
      <w:tr w:rsidR="00C11331" w:rsidRPr="00317C88" w14:paraId="1E920D7E" w14:textId="77777777" w:rsidTr="00D36BD5">
        <w:trPr>
          <w:trHeight w:val="178"/>
        </w:trPr>
        <w:tc>
          <w:tcPr>
            <w:tcW w:w="4253" w:type="dxa"/>
            <w:tcMar>
              <w:top w:w="28" w:type="dxa"/>
              <w:bottom w:w="28" w:type="dxa"/>
            </w:tcMar>
          </w:tcPr>
          <w:p w14:paraId="50586B34" w14:textId="77777777" w:rsidR="00C11331" w:rsidRPr="00EE0E60" w:rsidRDefault="00C11331" w:rsidP="00630831">
            <w:pPr>
              <w:pStyle w:val="TableTextLeft"/>
              <w:rPr>
                <w:b/>
                <w:bCs/>
              </w:rPr>
            </w:pPr>
            <w:r w:rsidRPr="00EE0E60">
              <w:rPr>
                <w:b/>
                <w:bCs/>
              </w:rPr>
              <w:t xml:space="preserve">As </w:t>
            </w:r>
            <w:proofErr w:type="gramStart"/>
            <w:r w:rsidRPr="00EE0E60">
              <w:rPr>
                <w:b/>
                <w:bCs/>
              </w:rPr>
              <w:t>at</w:t>
            </w:r>
            <w:proofErr w:type="gramEnd"/>
            <w:r w:rsidRPr="00EE0E60">
              <w:rPr>
                <w:b/>
                <w:bCs/>
              </w:rPr>
              <w:t xml:space="preserve"> 1 July 2024</w:t>
            </w:r>
          </w:p>
        </w:tc>
        <w:tc>
          <w:tcPr>
            <w:tcW w:w="1134" w:type="dxa"/>
            <w:tcMar>
              <w:top w:w="28" w:type="dxa"/>
              <w:bottom w:w="28" w:type="dxa"/>
            </w:tcMar>
          </w:tcPr>
          <w:p w14:paraId="6B159B41" w14:textId="77777777" w:rsidR="00C11331" w:rsidRPr="00317C88" w:rsidRDefault="00C11331" w:rsidP="00630831">
            <w:pPr>
              <w:pStyle w:val="TableTextRight"/>
            </w:pPr>
          </w:p>
        </w:tc>
        <w:tc>
          <w:tcPr>
            <w:tcW w:w="2268" w:type="dxa"/>
            <w:tcMar>
              <w:top w:w="28" w:type="dxa"/>
              <w:bottom w:w="28" w:type="dxa"/>
            </w:tcMar>
          </w:tcPr>
          <w:p w14:paraId="36F205FF" w14:textId="77777777" w:rsidR="00C11331" w:rsidRPr="00317C88" w:rsidRDefault="00C11331" w:rsidP="00630831">
            <w:pPr>
              <w:pStyle w:val="TableTextRight"/>
            </w:pPr>
          </w:p>
        </w:tc>
        <w:tc>
          <w:tcPr>
            <w:tcW w:w="1834" w:type="dxa"/>
            <w:tcMar>
              <w:top w:w="28" w:type="dxa"/>
              <w:bottom w:w="28" w:type="dxa"/>
            </w:tcMar>
          </w:tcPr>
          <w:p w14:paraId="7DDCEB5D" w14:textId="77777777" w:rsidR="00C11331" w:rsidRPr="00317C88" w:rsidRDefault="00C11331" w:rsidP="00630831">
            <w:pPr>
              <w:pStyle w:val="TableTextRight"/>
            </w:pPr>
          </w:p>
        </w:tc>
        <w:tc>
          <w:tcPr>
            <w:tcW w:w="1286" w:type="dxa"/>
            <w:tcMar>
              <w:top w:w="28" w:type="dxa"/>
              <w:bottom w:w="28" w:type="dxa"/>
            </w:tcMar>
          </w:tcPr>
          <w:p w14:paraId="1F3E45EC" w14:textId="77777777" w:rsidR="00C11331" w:rsidRPr="00317C88" w:rsidRDefault="00C11331" w:rsidP="00630831">
            <w:pPr>
              <w:pStyle w:val="TableTextRight"/>
            </w:pPr>
          </w:p>
        </w:tc>
        <w:tc>
          <w:tcPr>
            <w:tcW w:w="1558" w:type="dxa"/>
            <w:tcMar>
              <w:top w:w="28" w:type="dxa"/>
              <w:bottom w:w="28" w:type="dxa"/>
            </w:tcMar>
          </w:tcPr>
          <w:p w14:paraId="330D4162" w14:textId="77777777" w:rsidR="00C11331" w:rsidRPr="00317C88" w:rsidRDefault="00C11331" w:rsidP="00630831">
            <w:pPr>
              <w:pStyle w:val="TableTextRight"/>
            </w:pPr>
          </w:p>
        </w:tc>
      </w:tr>
      <w:tr w:rsidR="00C11331" w:rsidRPr="00317C88" w14:paraId="23E64449" w14:textId="77777777" w:rsidTr="00D36BD5">
        <w:trPr>
          <w:trHeight w:val="56"/>
        </w:trPr>
        <w:tc>
          <w:tcPr>
            <w:tcW w:w="4253" w:type="dxa"/>
            <w:tcMar>
              <w:top w:w="28" w:type="dxa"/>
              <w:bottom w:w="28" w:type="dxa"/>
            </w:tcMar>
          </w:tcPr>
          <w:p w14:paraId="641C59C9" w14:textId="77777777" w:rsidR="00C11331" w:rsidRPr="00317C88" w:rsidRDefault="00C11331" w:rsidP="00630831">
            <w:pPr>
              <w:pStyle w:val="TableTextLeft"/>
            </w:pPr>
            <w:r w:rsidRPr="00317C88">
              <w:t>Gross book value</w:t>
            </w:r>
          </w:p>
        </w:tc>
        <w:tc>
          <w:tcPr>
            <w:tcW w:w="1134" w:type="dxa"/>
            <w:tcMar>
              <w:top w:w="28" w:type="dxa"/>
              <w:bottom w:w="28" w:type="dxa"/>
            </w:tcMar>
          </w:tcPr>
          <w:p w14:paraId="2EAD6B02" w14:textId="77777777" w:rsidR="00C11331" w:rsidRPr="00317C88" w:rsidRDefault="00C11331" w:rsidP="00630831">
            <w:pPr>
              <w:pStyle w:val="TableTextRight"/>
            </w:pPr>
            <w:r w:rsidRPr="00317C88">
              <w:t>4,820</w:t>
            </w:r>
          </w:p>
        </w:tc>
        <w:tc>
          <w:tcPr>
            <w:tcW w:w="2268" w:type="dxa"/>
            <w:tcMar>
              <w:top w:w="28" w:type="dxa"/>
              <w:bottom w:w="28" w:type="dxa"/>
            </w:tcMar>
          </w:tcPr>
          <w:p w14:paraId="4DEEF049" w14:textId="77777777" w:rsidR="00C11331" w:rsidRPr="00317C88" w:rsidRDefault="00C11331" w:rsidP="00630831">
            <w:pPr>
              <w:pStyle w:val="TableTextRight"/>
            </w:pPr>
            <w:r w:rsidRPr="00317C88">
              <w:t>2,582</w:t>
            </w:r>
          </w:p>
        </w:tc>
        <w:tc>
          <w:tcPr>
            <w:tcW w:w="1834" w:type="dxa"/>
            <w:tcMar>
              <w:top w:w="28" w:type="dxa"/>
              <w:bottom w:w="28" w:type="dxa"/>
            </w:tcMar>
          </w:tcPr>
          <w:p w14:paraId="62850213" w14:textId="77777777" w:rsidR="00C11331" w:rsidRPr="00317C88" w:rsidRDefault="00C11331" w:rsidP="00630831">
            <w:pPr>
              <w:pStyle w:val="TableTextRight"/>
            </w:pPr>
            <w:r w:rsidRPr="00317C88">
              <w:t>264</w:t>
            </w:r>
          </w:p>
        </w:tc>
        <w:tc>
          <w:tcPr>
            <w:tcW w:w="1286" w:type="dxa"/>
            <w:tcMar>
              <w:top w:w="28" w:type="dxa"/>
              <w:bottom w:w="28" w:type="dxa"/>
            </w:tcMar>
          </w:tcPr>
          <w:p w14:paraId="23AD7FC6" w14:textId="77777777" w:rsidR="00C11331" w:rsidRPr="00317C88" w:rsidRDefault="00C11331" w:rsidP="00630831">
            <w:pPr>
              <w:pStyle w:val="TableTextRight"/>
            </w:pPr>
            <w:r w:rsidRPr="00317C88">
              <w:t>1,696</w:t>
            </w:r>
          </w:p>
        </w:tc>
        <w:tc>
          <w:tcPr>
            <w:tcW w:w="1558" w:type="dxa"/>
            <w:tcMar>
              <w:top w:w="28" w:type="dxa"/>
              <w:bottom w:w="28" w:type="dxa"/>
            </w:tcMar>
          </w:tcPr>
          <w:p w14:paraId="520BA5D9" w14:textId="77777777" w:rsidR="00C11331" w:rsidRPr="00317C88" w:rsidRDefault="00C11331" w:rsidP="00630831">
            <w:pPr>
              <w:pStyle w:val="TableTextRight"/>
            </w:pPr>
            <w:r w:rsidRPr="00317C88">
              <w:t>9,362</w:t>
            </w:r>
          </w:p>
        </w:tc>
      </w:tr>
      <w:tr w:rsidR="00C11331" w:rsidRPr="00317C88" w14:paraId="2F1C1E34" w14:textId="77777777" w:rsidTr="00D36BD5">
        <w:trPr>
          <w:trHeight w:val="62"/>
        </w:trPr>
        <w:tc>
          <w:tcPr>
            <w:tcW w:w="4253" w:type="dxa"/>
            <w:tcMar>
              <w:top w:w="28" w:type="dxa"/>
              <w:bottom w:w="28" w:type="dxa"/>
            </w:tcMar>
          </w:tcPr>
          <w:p w14:paraId="53D65ED0" w14:textId="77777777" w:rsidR="00C11331" w:rsidRPr="00317C88" w:rsidRDefault="00C11331" w:rsidP="00630831">
            <w:pPr>
              <w:pStyle w:val="TableTextLeft"/>
            </w:pPr>
            <w:r w:rsidRPr="00317C88">
              <w:t>Accumulated depreciation, amortisation and impairment</w:t>
            </w:r>
          </w:p>
        </w:tc>
        <w:tc>
          <w:tcPr>
            <w:tcW w:w="1134" w:type="dxa"/>
            <w:tcMar>
              <w:top w:w="28" w:type="dxa"/>
              <w:bottom w:w="28" w:type="dxa"/>
            </w:tcMar>
          </w:tcPr>
          <w:p w14:paraId="6200378A" w14:textId="77777777" w:rsidR="00C11331" w:rsidRPr="00317C88" w:rsidRDefault="00C11331" w:rsidP="00630831">
            <w:pPr>
              <w:pStyle w:val="TableTextRight"/>
            </w:pPr>
            <w:r w:rsidRPr="00317C88">
              <w:t>(1,462)</w:t>
            </w:r>
          </w:p>
        </w:tc>
        <w:tc>
          <w:tcPr>
            <w:tcW w:w="2268" w:type="dxa"/>
            <w:tcMar>
              <w:top w:w="28" w:type="dxa"/>
              <w:bottom w:w="28" w:type="dxa"/>
            </w:tcMar>
          </w:tcPr>
          <w:p w14:paraId="3D5F8B24" w14:textId="77777777" w:rsidR="00C11331" w:rsidRPr="00317C88" w:rsidRDefault="00C11331" w:rsidP="00630831">
            <w:pPr>
              <w:pStyle w:val="TableTextRight"/>
            </w:pPr>
            <w:r w:rsidRPr="00317C88">
              <w:t>(826)</w:t>
            </w:r>
          </w:p>
        </w:tc>
        <w:tc>
          <w:tcPr>
            <w:tcW w:w="1834" w:type="dxa"/>
            <w:tcMar>
              <w:top w:w="28" w:type="dxa"/>
              <w:bottom w:w="28" w:type="dxa"/>
            </w:tcMar>
          </w:tcPr>
          <w:p w14:paraId="1569AE09" w14:textId="77777777" w:rsidR="00C11331" w:rsidRPr="00317C88" w:rsidRDefault="00C11331" w:rsidP="00630831">
            <w:pPr>
              <w:pStyle w:val="TableTextRight"/>
            </w:pPr>
            <w:r w:rsidRPr="00317C88">
              <w:t>(33)</w:t>
            </w:r>
          </w:p>
        </w:tc>
        <w:tc>
          <w:tcPr>
            <w:tcW w:w="1286" w:type="dxa"/>
            <w:tcMar>
              <w:top w:w="28" w:type="dxa"/>
              <w:bottom w:w="28" w:type="dxa"/>
            </w:tcMar>
          </w:tcPr>
          <w:p w14:paraId="12464D77" w14:textId="77777777" w:rsidR="00C11331" w:rsidRPr="00317C88" w:rsidRDefault="00C11331" w:rsidP="00630831">
            <w:pPr>
              <w:pStyle w:val="TableTextRight"/>
            </w:pPr>
            <w:r w:rsidRPr="00317C88">
              <w:t>(1,624)</w:t>
            </w:r>
          </w:p>
        </w:tc>
        <w:tc>
          <w:tcPr>
            <w:tcW w:w="1558" w:type="dxa"/>
            <w:tcMar>
              <w:top w:w="28" w:type="dxa"/>
              <w:bottom w:w="28" w:type="dxa"/>
            </w:tcMar>
          </w:tcPr>
          <w:p w14:paraId="2E167891" w14:textId="77777777" w:rsidR="00C11331" w:rsidRPr="00317C88" w:rsidRDefault="00C11331" w:rsidP="00630831">
            <w:pPr>
              <w:pStyle w:val="TableTextRight"/>
            </w:pPr>
            <w:r w:rsidRPr="00317C88">
              <w:t>(3,945)</w:t>
            </w:r>
          </w:p>
        </w:tc>
      </w:tr>
      <w:tr w:rsidR="00C11331" w:rsidRPr="00317C88" w14:paraId="4E4A8C12" w14:textId="77777777" w:rsidTr="00D36BD5">
        <w:trPr>
          <w:trHeight w:val="22"/>
        </w:trPr>
        <w:tc>
          <w:tcPr>
            <w:tcW w:w="4253" w:type="dxa"/>
            <w:tcMar>
              <w:top w:w="28" w:type="dxa"/>
              <w:bottom w:w="28" w:type="dxa"/>
            </w:tcMar>
          </w:tcPr>
          <w:p w14:paraId="64BF8E53"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1 July 2024</w:t>
            </w:r>
          </w:p>
        </w:tc>
        <w:tc>
          <w:tcPr>
            <w:tcW w:w="1134" w:type="dxa"/>
            <w:tcMar>
              <w:top w:w="28" w:type="dxa"/>
              <w:bottom w:w="28" w:type="dxa"/>
            </w:tcMar>
          </w:tcPr>
          <w:p w14:paraId="23C3F366" w14:textId="77777777" w:rsidR="00C11331" w:rsidRPr="00EE0E60" w:rsidRDefault="00C11331" w:rsidP="00630831">
            <w:pPr>
              <w:pStyle w:val="TableTextRight"/>
              <w:rPr>
                <w:b/>
                <w:bCs/>
              </w:rPr>
            </w:pPr>
            <w:r w:rsidRPr="00EE0E60">
              <w:rPr>
                <w:b/>
                <w:bCs/>
              </w:rPr>
              <w:t>3,358</w:t>
            </w:r>
          </w:p>
        </w:tc>
        <w:tc>
          <w:tcPr>
            <w:tcW w:w="2268" w:type="dxa"/>
            <w:tcMar>
              <w:top w:w="28" w:type="dxa"/>
              <w:bottom w:w="28" w:type="dxa"/>
            </w:tcMar>
          </w:tcPr>
          <w:p w14:paraId="2F5D6374" w14:textId="77777777" w:rsidR="00C11331" w:rsidRPr="00EE0E60" w:rsidRDefault="00C11331" w:rsidP="00630831">
            <w:pPr>
              <w:pStyle w:val="TableTextRight"/>
              <w:rPr>
                <w:b/>
                <w:bCs/>
              </w:rPr>
            </w:pPr>
            <w:r w:rsidRPr="00EE0E60">
              <w:rPr>
                <w:b/>
                <w:bCs/>
              </w:rPr>
              <w:t>1,756</w:t>
            </w:r>
          </w:p>
        </w:tc>
        <w:tc>
          <w:tcPr>
            <w:tcW w:w="1834" w:type="dxa"/>
            <w:tcMar>
              <w:top w:w="28" w:type="dxa"/>
              <w:bottom w:w="28" w:type="dxa"/>
            </w:tcMar>
          </w:tcPr>
          <w:p w14:paraId="2CBD12FD" w14:textId="77777777" w:rsidR="00C11331" w:rsidRPr="00EE0E60" w:rsidRDefault="00C11331" w:rsidP="00630831">
            <w:pPr>
              <w:pStyle w:val="TableTextRight"/>
              <w:rPr>
                <w:b/>
                <w:bCs/>
              </w:rPr>
            </w:pPr>
            <w:r w:rsidRPr="00EE0E60">
              <w:rPr>
                <w:b/>
                <w:bCs/>
              </w:rPr>
              <w:t>231</w:t>
            </w:r>
          </w:p>
        </w:tc>
        <w:tc>
          <w:tcPr>
            <w:tcW w:w="1286" w:type="dxa"/>
            <w:tcMar>
              <w:top w:w="28" w:type="dxa"/>
              <w:bottom w:w="28" w:type="dxa"/>
            </w:tcMar>
          </w:tcPr>
          <w:p w14:paraId="6C8E3013" w14:textId="77777777" w:rsidR="00C11331" w:rsidRPr="00EE0E60" w:rsidRDefault="00C11331" w:rsidP="00630831">
            <w:pPr>
              <w:pStyle w:val="TableTextRight"/>
              <w:rPr>
                <w:b/>
                <w:bCs/>
              </w:rPr>
            </w:pPr>
            <w:r w:rsidRPr="00EE0E60">
              <w:rPr>
                <w:b/>
                <w:bCs/>
              </w:rPr>
              <w:t>72</w:t>
            </w:r>
          </w:p>
        </w:tc>
        <w:tc>
          <w:tcPr>
            <w:tcW w:w="1558" w:type="dxa"/>
            <w:tcMar>
              <w:top w:w="28" w:type="dxa"/>
              <w:bottom w:w="28" w:type="dxa"/>
            </w:tcMar>
          </w:tcPr>
          <w:p w14:paraId="25D743A3" w14:textId="77777777" w:rsidR="00C11331" w:rsidRPr="00EE0E60" w:rsidRDefault="00C11331" w:rsidP="00630831">
            <w:pPr>
              <w:pStyle w:val="TableTextRight"/>
              <w:rPr>
                <w:b/>
                <w:bCs/>
              </w:rPr>
            </w:pPr>
            <w:r w:rsidRPr="00EE0E60">
              <w:rPr>
                <w:b/>
                <w:bCs/>
              </w:rPr>
              <w:t>5,417</w:t>
            </w:r>
          </w:p>
        </w:tc>
      </w:tr>
      <w:tr w:rsidR="00C11331" w:rsidRPr="00317C88" w14:paraId="216CA2C6" w14:textId="77777777" w:rsidTr="00D36BD5">
        <w:tc>
          <w:tcPr>
            <w:tcW w:w="4253" w:type="dxa"/>
            <w:tcMar>
              <w:top w:w="28" w:type="dxa"/>
              <w:bottom w:w="28" w:type="dxa"/>
            </w:tcMar>
          </w:tcPr>
          <w:p w14:paraId="1CEC6FCC" w14:textId="77777777" w:rsidR="00C11331" w:rsidRPr="00317C88" w:rsidRDefault="00C11331" w:rsidP="00630831">
            <w:pPr>
              <w:pStyle w:val="TableTextLeft"/>
            </w:pPr>
            <w:r w:rsidRPr="00317C88">
              <w:t>Additions</w:t>
            </w:r>
          </w:p>
        </w:tc>
        <w:tc>
          <w:tcPr>
            <w:tcW w:w="1134" w:type="dxa"/>
            <w:tcMar>
              <w:top w:w="28" w:type="dxa"/>
              <w:bottom w:w="28" w:type="dxa"/>
            </w:tcMar>
          </w:tcPr>
          <w:p w14:paraId="3589B61C" w14:textId="77777777" w:rsidR="00C11331" w:rsidRPr="00317C88" w:rsidRDefault="00C11331" w:rsidP="00630831">
            <w:pPr>
              <w:pStyle w:val="TableTextRight"/>
            </w:pPr>
          </w:p>
        </w:tc>
        <w:tc>
          <w:tcPr>
            <w:tcW w:w="2268" w:type="dxa"/>
            <w:tcMar>
              <w:top w:w="28" w:type="dxa"/>
              <w:bottom w:w="28" w:type="dxa"/>
            </w:tcMar>
          </w:tcPr>
          <w:p w14:paraId="7F1C1135" w14:textId="77777777" w:rsidR="00C11331" w:rsidRPr="00317C88" w:rsidRDefault="00C11331" w:rsidP="00630831">
            <w:pPr>
              <w:pStyle w:val="TableTextRight"/>
            </w:pPr>
          </w:p>
        </w:tc>
        <w:tc>
          <w:tcPr>
            <w:tcW w:w="1834" w:type="dxa"/>
            <w:tcMar>
              <w:top w:w="28" w:type="dxa"/>
              <w:bottom w:w="28" w:type="dxa"/>
            </w:tcMar>
          </w:tcPr>
          <w:p w14:paraId="72CD1191" w14:textId="77777777" w:rsidR="00C11331" w:rsidRPr="00317C88" w:rsidRDefault="00C11331" w:rsidP="00630831">
            <w:pPr>
              <w:pStyle w:val="TableTextRight"/>
            </w:pPr>
          </w:p>
        </w:tc>
        <w:tc>
          <w:tcPr>
            <w:tcW w:w="1286" w:type="dxa"/>
            <w:tcMar>
              <w:top w:w="28" w:type="dxa"/>
              <w:bottom w:w="28" w:type="dxa"/>
            </w:tcMar>
          </w:tcPr>
          <w:p w14:paraId="4027D67F" w14:textId="77777777" w:rsidR="00C11331" w:rsidRPr="00317C88" w:rsidRDefault="00C11331" w:rsidP="00630831">
            <w:pPr>
              <w:pStyle w:val="TableTextRight"/>
            </w:pPr>
          </w:p>
        </w:tc>
        <w:tc>
          <w:tcPr>
            <w:tcW w:w="1558" w:type="dxa"/>
            <w:tcMar>
              <w:top w:w="28" w:type="dxa"/>
              <w:bottom w:w="28" w:type="dxa"/>
            </w:tcMar>
          </w:tcPr>
          <w:p w14:paraId="535C927D" w14:textId="77777777" w:rsidR="00C11331" w:rsidRPr="00317C88" w:rsidRDefault="00C11331" w:rsidP="00630831">
            <w:pPr>
              <w:pStyle w:val="TableTextRight"/>
            </w:pPr>
          </w:p>
        </w:tc>
      </w:tr>
      <w:tr w:rsidR="00C11331" w:rsidRPr="00317C88" w14:paraId="44DEBD0B" w14:textId="77777777" w:rsidTr="00D36BD5">
        <w:tc>
          <w:tcPr>
            <w:tcW w:w="4253" w:type="dxa"/>
            <w:tcMar>
              <w:top w:w="28" w:type="dxa"/>
              <w:bottom w:w="28" w:type="dxa"/>
            </w:tcMar>
          </w:tcPr>
          <w:p w14:paraId="5FAD45D8" w14:textId="77777777" w:rsidR="00C11331" w:rsidRPr="00317C88" w:rsidRDefault="00C11331" w:rsidP="00630831">
            <w:pPr>
              <w:pStyle w:val="TableTextLeft"/>
            </w:pPr>
            <w:r w:rsidRPr="00317C88">
              <w:t>Purchase</w:t>
            </w:r>
          </w:p>
        </w:tc>
        <w:tc>
          <w:tcPr>
            <w:tcW w:w="1134" w:type="dxa"/>
            <w:tcMar>
              <w:top w:w="28" w:type="dxa"/>
              <w:bottom w:w="28" w:type="dxa"/>
            </w:tcMar>
          </w:tcPr>
          <w:p w14:paraId="155D46FD" w14:textId="77777777" w:rsidR="00C11331" w:rsidRPr="00317C88" w:rsidRDefault="00C11331" w:rsidP="00630831">
            <w:pPr>
              <w:pStyle w:val="TableTextRight"/>
            </w:pPr>
            <w:r>
              <w:noBreakHyphen/>
            </w:r>
          </w:p>
        </w:tc>
        <w:tc>
          <w:tcPr>
            <w:tcW w:w="2268" w:type="dxa"/>
            <w:tcMar>
              <w:top w:w="28" w:type="dxa"/>
              <w:bottom w:w="28" w:type="dxa"/>
            </w:tcMar>
          </w:tcPr>
          <w:p w14:paraId="36791162" w14:textId="77777777" w:rsidR="00C11331" w:rsidRPr="00317C88" w:rsidRDefault="00C11331" w:rsidP="00630831">
            <w:pPr>
              <w:pStyle w:val="TableTextRight"/>
            </w:pPr>
            <w:r>
              <w:noBreakHyphen/>
            </w:r>
          </w:p>
        </w:tc>
        <w:tc>
          <w:tcPr>
            <w:tcW w:w="1834" w:type="dxa"/>
            <w:tcMar>
              <w:top w:w="28" w:type="dxa"/>
              <w:bottom w:w="28" w:type="dxa"/>
            </w:tcMar>
          </w:tcPr>
          <w:p w14:paraId="5D9C9C4A" w14:textId="77777777" w:rsidR="00C11331" w:rsidRPr="00317C88" w:rsidRDefault="00C11331" w:rsidP="00630831">
            <w:pPr>
              <w:pStyle w:val="TableTextRight"/>
            </w:pPr>
            <w:r w:rsidRPr="00317C88">
              <w:t>46</w:t>
            </w:r>
          </w:p>
        </w:tc>
        <w:tc>
          <w:tcPr>
            <w:tcW w:w="1286" w:type="dxa"/>
            <w:tcMar>
              <w:top w:w="28" w:type="dxa"/>
              <w:bottom w:w="28" w:type="dxa"/>
            </w:tcMar>
          </w:tcPr>
          <w:p w14:paraId="5C24ABDB" w14:textId="77777777" w:rsidR="00C11331" w:rsidRPr="00317C88" w:rsidRDefault="00C11331" w:rsidP="00630831">
            <w:pPr>
              <w:pStyle w:val="TableTextRight"/>
            </w:pPr>
            <w:r w:rsidRPr="00317C88">
              <w:t>272</w:t>
            </w:r>
          </w:p>
        </w:tc>
        <w:tc>
          <w:tcPr>
            <w:tcW w:w="1558" w:type="dxa"/>
            <w:tcMar>
              <w:top w:w="28" w:type="dxa"/>
              <w:bottom w:w="28" w:type="dxa"/>
            </w:tcMar>
          </w:tcPr>
          <w:p w14:paraId="05E1DCC2" w14:textId="77777777" w:rsidR="00C11331" w:rsidRPr="00317C88" w:rsidRDefault="00C11331" w:rsidP="00630831">
            <w:pPr>
              <w:pStyle w:val="TableTextRight"/>
            </w:pPr>
            <w:r w:rsidRPr="00317C88">
              <w:t>318</w:t>
            </w:r>
          </w:p>
        </w:tc>
      </w:tr>
      <w:tr w:rsidR="00C11331" w:rsidRPr="00317C88" w14:paraId="2C2F0B1E" w14:textId="77777777" w:rsidTr="00D36BD5">
        <w:tc>
          <w:tcPr>
            <w:tcW w:w="4253" w:type="dxa"/>
            <w:tcMar>
              <w:top w:w="28" w:type="dxa"/>
              <w:bottom w:w="28" w:type="dxa"/>
            </w:tcMar>
          </w:tcPr>
          <w:p w14:paraId="30071C2C" w14:textId="77777777" w:rsidR="00C11331" w:rsidRPr="00317C88" w:rsidRDefault="00C11331" w:rsidP="00630831">
            <w:pPr>
              <w:pStyle w:val="TableTextLeft"/>
            </w:pPr>
            <w:r w:rsidRPr="00317C88">
              <w:t>Depreciation and amortisation</w:t>
            </w:r>
          </w:p>
        </w:tc>
        <w:tc>
          <w:tcPr>
            <w:tcW w:w="1134" w:type="dxa"/>
            <w:tcMar>
              <w:top w:w="28" w:type="dxa"/>
              <w:bottom w:w="28" w:type="dxa"/>
            </w:tcMar>
          </w:tcPr>
          <w:p w14:paraId="1BD0A146" w14:textId="77777777" w:rsidR="00C11331" w:rsidRPr="00317C88" w:rsidRDefault="00C11331" w:rsidP="00630831">
            <w:pPr>
              <w:pStyle w:val="TableTextRight"/>
            </w:pPr>
            <w:r w:rsidRPr="00317C88">
              <w:t>(299)</w:t>
            </w:r>
          </w:p>
        </w:tc>
        <w:tc>
          <w:tcPr>
            <w:tcW w:w="2268" w:type="dxa"/>
            <w:tcMar>
              <w:top w:w="28" w:type="dxa"/>
              <w:bottom w:w="28" w:type="dxa"/>
            </w:tcMar>
          </w:tcPr>
          <w:p w14:paraId="2DC7B360" w14:textId="77777777" w:rsidR="00C11331" w:rsidRPr="00317C88" w:rsidRDefault="00C11331" w:rsidP="00630831">
            <w:pPr>
              <w:pStyle w:val="TableTextRight"/>
            </w:pPr>
            <w:r w:rsidRPr="00317C88">
              <w:t>(152)</w:t>
            </w:r>
          </w:p>
        </w:tc>
        <w:tc>
          <w:tcPr>
            <w:tcW w:w="1834" w:type="dxa"/>
            <w:tcMar>
              <w:top w:w="28" w:type="dxa"/>
              <w:bottom w:w="28" w:type="dxa"/>
            </w:tcMar>
          </w:tcPr>
          <w:p w14:paraId="61394583" w14:textId="77777777" w:rsidR="00C11331" w:rsidRPr="00317C88" w:rsidRDefault="00C11331" w:rsidP="00630831">
            <w:pPr>
              <w:pStyle w:val="TableTextRight"/>
            </w:pPr>
            <w:r w:rsidRPr="00317C88">
              <w:t>(26)</w:t>
            </w:r>
          </w:p>
        </w:tc>
        <w:tc>
          <w:tcPr>
            <w:tcW w:w="1286" w:type="dxa"/>
            <w:tcMar>
              <w:top w:w="28" w:type="dxa"/>
              <w:bottom w:w="28" w:type="dxa"/>
            </w:tcMar>
          </w:tcPr>
          <w:p w14:paraId="6D2C920C" w14:textId="77777777" w:rsidR="00C11331" w:rsidRPr="00317C88" w:rsidRDefault="00C11331" w:rsidP="00630831">
            <w:pPr>
              <w:pStyle w:val="TableTextRight"/>
            </w:pPr>
            <w:r w:rsidRPr="00317C88">
              <w:t>(109)</w:t>
            </w:r>
          </w:p>
        </w:tc>
        <w:tc>
          <w:tcPr>
            <w:tcW w:w="1558" w:type="dxa"/>
            <w:tcMar>
              <w:top w:w="28" w:type="dxa"/>
              <w:bottom w:w="28" w:type="dxa"/>
            </w:tcMar>
          </w:tcPr>
          <w:p w14:paraId="61EBBFEE" w14:textId="77777777" w:rsidR="00C11331" w:rsidRPr="00317C88" w:rsidRDefault="00C11331" w:rsidP="00630831">
            <w:pPr>
              <w:pStyle w:val="TableTextRight"/>
            </w:pPr>
            <w:r w:rsidRPr="00317C88">
              <w:t>(586)</w:t>
            </w:r>
          </w:p>
        </w:tc>
      </w:tr>
      <w:tr w:rsidR="00C11331" w:rsidRPr="00317C88" w14:paraId="15EECAF8" w14:textId="77777777" w:rsidTr="00D36BD5">
        <w:tc>
          <w:tcPr>
            <w:tcW w:w="4253" w:type="dxa"/>
            <w:tcMar>
              <w:top w:w="28" w:type="dxa"/>
              <w:bottom w:w="28" w:type="dxa"/>
            </w:tcMar>
          </w:tcPr>
          <w:p w14:paraId="23CA48D4" w14:textId="77777777" w:rsidR="00C11331" w:rsidRPr="00317C88" w:rsidRDefault="00C11331" w:rsidP="00630831">
            <w:pPr>
              <w:pStyle w:val="TableTextLeft"/>
            </w:pPr>
            <w:r w:rsidRPr="00317C88">
              <w:t>Revaluation of right</w:t>
            </w:r>
            <w:r>
              <w:noBreakHyphen/>
            </w:r>
            <w:r w:rsidRPr="00317C88">
              <w:t>of</w:t>
            </w:r>
            <w:r>
              <w:noBreakHyphen/>
            </w:r>
            <w:r w:rsidRPr="00317C88">
              <w:t>use asset due to rent review</w:t>
            </w:r>
          </w:p>
        </w:tc>
        <w:tc>
          <w:tcPr>
            <w:tcW w:w="1134" w:type="dxa"/>
            <w:tcMar>
              <w:top w:w="28" w:type="dxa"/>
              <w:bottom w:w="28" w:type="dxa"/>
            </w:tcMar>
          </w:tcPr>
          <w:p w14:paraId="2258B912" w14:textId="77777777" w:rsidR="00C11331" w:rsidRPr="00317C88" w:rsidRDefault="00C11331" w:rsidP="00630831">
            <w:pPr>
              <w:pStyle w:val="TableTextRight"/>
            </w:pPr>
            <w:r w:rsidRPr="00317C88">
              <w:t>132</w:t>
            </w:r>
          </w:p>
        </w:tc>
        <w:tc>
          <w:tcPr>
            <w:tcW w:w="2268" w:type="dxa"/>
            <w:tcMar>
              <w:top w:w="28" w:type="dxa"/>
              <w:bottom w:w="28" w:type="dxa"/>
            </w:tcMar>
          </w:tcPr>
          <w:p w14:paraId="40C0A907" w14:textId="77777777" w:rsidR="00C11331" w:rsidRPr="00317C88" w:rsidRDefault="00C11331" w:rsidP="00630831">
            <w:pPr>
              <w:pStyle w:val="TableTextRight"/>
            </w:pPr>
            <w:r>
              <w:noBreakHyphen/>
            </w:r>
          </w:p>
        </w:tc>
        <w:tc>
          <w:tcPr>
            <w:tcW w:w="1834" w:type="dxa"/>
            <w:tcMar>
              <w:top w:w="28" w:type="dxa"/>
              <w:bottom w:w="28" w:type="dxa"/>
            </w:tcMar>
          </w:tcPr>
          <w:p w14:paraId="3A2141F1" w14:textId="77777777" w:rsidR="00C11331" w:rsidRPr="00317C88" w:rsidRDefault="00C11331" w:rsidP="00630831">
            <w:pPr>
              <w:pStyle w:val="TableTextRight"/>
            </w:pPr>
            <w:r>
              <w:noBreakHyphen/>
            </w:r>
          </w:p>
        </w:tc>
        <w:tc>
          <w:tcPr>
            <w:tcW w:w="1286" w:type="dxa"/>
            <w:tcMar>
              <w:top w:w="28" w:type="dxa"/>
              <w:bottom w:w="28" w:type="dxa"/>
            </w:tcMar>
          </w:tcPr>
          <w:p w14:paraId="28EB9092" w14:textId="77777777" w:rsidR="00C11331" w:rsidRPr="00317C88" w:rsidRDefault="00C11331" w:rsidP="00630831">
            <w:pPr>
              <w:pStyle w:val="TableTextRight"/>
            </w:pPr>
            <w:r>
              <w:noBreakHyphen/>
            </w:r>
          </w:p>
        </w:tc>
        <w:tc>
          <w:tcPr>
            <w:tcW w:w="1558" w:type="dxa"/>
            <w:tcMar>
              <w:top w:w="28" w:type="dxa"/>
              <w:bottom w:w="28" w:type="dxa"/>
            </w:tcMar>
          </w:tcPr>
          <w:p w14:paraId="7015F898" w14:textId="77777777" w:rsidR="00C11331" w:rsidRPr="00317C88" w:rsidRDefault="00C11331" w:rsidP="00630831">
            <w:pPr>
              <w:pStyle w:val="TableTextRight"/>
            </w:pPr>
            <w:r w:rsidRPr="00317C88">
              <w:t>132</w:t>
            </w:r>
          </w:p>
        </w:tc>
      </w:tr>
      <w:tr w:rsidR="00C11331" w:rsidRPr="00317C88" w14:paraId="49ECED91" w14:textId="77777777" w:rsidTr="00D36BD5">
        <w:tc>
          <w:tcPr>
            <w:tcW w:w="4253" w:type="dxa"/>
            <w:tcMar>
              <w:top w:w="28" w:type="dxa"/>
              <w:bottom w:w="28" w:type="dxa"/>
            </w:tcMar>
          </w:tcPr>
          <w:p w14:paraId="04ED475E"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1 July 2025</w:t>
            </w:r>
          </w:p>
        </w:tc>
        <w:tc>
          <w:tcPr>
            <w:tcW w:w="1134" w:type="dxa"/>
            <w:tcMar>
              <w:top w:w="28" w:type="dxa"/>
              <w:bottom w:w="28" w:type="dxa"/>
            </w:tcMar>
          </w:tcPr>
          <w:p w14:paraId="1DD78843" w14:textId="77777777" w:rsidR="00C11331" w:rsidRPr="000C21C0" w:rsidRDefault="00C11331" w:rsidP="00630831">
            <w:pPr>
              <w:pStyle w:val="TableTextRight"/>
              <w:rPr>
                <w:b/>
                <w:bCs/>
              </w:rPr>
            </w:pPr>
            <w:r w:rsidRPr="000C21C0">
              <w:rPr>
                <w:b/>
                <w:bCs/>
              </w:rPr>
              <w:t>3,191</w:t>
            </w:r>
          </w:p>
        </w:tc>
        <w:tc>
          <w:tcPr>
            <w:tcW w:w="2268" w:type="dxa"/>
            <w:tcMar>
              <w:top w:w="28" w:type="dxa"/>
              <w:bottom w:w="28" w:type="dxa"/>
            </w:tcMar>
          </w:tcPr>
          <w:p w14:paraId="70934522" w14:textId="77777777" w:rsidR="00C11331" w:rsidRPr="000C21C0" w:rsidRDefault="00C11331" w:rsidP="00630831">
            <w:pPr>
              <w:pStyle w:val="TableTextRight"/>
              <w:rPr>
                <w:b/>
                <w:bCs/>
              </w:rPr>
            </w:pPr>
            <w:r w:rsidRPr="000C21C0">
              <w:rPr>
                <w:b/>
                <w:bCs/>
              </w:rPr>
              <w:t>1,604</w:t>
            </w:r>
          </w:p>
        </w:tc>
        <w:tc>
          <w:tcPr>
            <w:tcW w:w="1834" w:type="dxa"/>
            <w:tcMar>
              <w:top w:w="28" w:type="dxa"/>
              <w:bottom w:w="28" w:type="dxa"/>
            </w:tcMar>
          </w:tcPr>
          <w:p w14:paraId="5CD01E8A" w14:textId="77777777" w:rsidR="00C11331" w:rsidRPr="000C21C0" w:rsidRDefault="00C11331" w:rsidP="00630831">
            <w:pPr>
              <w:pStyle w:val="TableTextRight"/>
              <w:rPr>
                <w:b/>
                <w:bCs/>
              </w:rPr>
            </w:pPr>
            <w:r w:rsidRPr="000C21C0">
              <w:rPr>
                <w:b/>
                <w:bCs/>
              </w:rPr>
              <w:t>251</w:t>
            </w:r>
          </w:p>
        </w:tc>
        <w:tc>
          <w:tcPr>
            <w:tcW w:w="1286" w:type="dxa"/>
            <w:tcMar>
              <w:top w:w="28" w:type="dxa"/>
              <w:bottom w:w="28" w:type="dxa"/>
            </w:tcMar>
          </w:tcPr>
          <w:p w14:paraId="37307145" w14:textId="77777777" w:rsidR="00C11331" w:rsidRPr="000C21C0" w:rsidRDefault="00C11331" w:rsidP="00630831">
            <w:pPr>
              <w:pStyle w:val="TableTextRight"/>
              <w:rPr>
                <w:b/>
                <w:bCs/>
              </w:rPr>
            </w:pPr>
            <w:r w:rsidRPr="000C21C0">
              <w:rPr>
                <w:b/>
                <w:bCs/>
              </w:rPr>
              <w:t>235</w:t>
            </w:r>
          </w:p>
        </w:tc>
        <w:tc>
          <w:tcPr>
            <w:tcW w:w="1558" w:type="dxa"/>
            <w:tcMar>
              <w:top w:w="28" w:type="dxa"/>
              <w:bottom w:w="28" w:type="dxa"/>
            </w:tcMar>
          </w:tcPr>
          <w:p w14:paraId="58763570" w14:textId="77777777" w:rsidR="00C11331" w:rsidRPr="000C21C0" w:rsidRDefault="00C11331" w:rsidP="00630831">
            <w:pPr>
              <w:pStyle w:val="TableTextRight"/>
              <w:rPr>
                <w:b/>
                <w:bCs/>
              </w:rPr>
            </w:pPr>
            <w:r w:rsidRPr="000C21C0">
              <w:rPr>
                <w:b/>
                <w:bCs/>
              </w:rPr>
              <w:t>5,281</w:t>
            </w:r>
          </w:p>
        </w:tc>
      </w:tr>
      <w:tr w:rsidR="00C11331" w:rsidRPr="00317C88" w14:paraId="1F906E12" w14:textId="77777777" w:rsidTr="00D36BD5">
        <w:tc>
          <w:tcPr>
            <w:tcW w:w="4253" w:type="dxa"/>
            <w:tcMar>
              <w:top w:w="28" w:type="dxa"/>
              <w:bottom w:w="28" w:type="dxa"/>
            </w:tcMar>
          </w:tcPr>
          <w:p w14:paraId="2162B263"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30 June 2025 represented by</w:t>
            </w:r>
          </w:p>
        </w:tc>
        <w:tc>
          <w:tcPr>
            <w:tcW w:w="1134" w:type="dxa"/>
            <w:tcMar>
              <w:top w:w="28" w:type="dxa"/>
              <w:bottom w:w="28" w:type="dxa"/>
            </w:tcMar>
          </w:tcPr>
          <w:p w14:paraId="62624A38" w14:textId="77777777" w:rsidR="00C11331" w:rsidRPr="00317C88" w:rsidRDefault="00C11331" w:rsidP="00630831">
            <w:pPr>
              <w:pStyle w:val="TableTextRight"/>
            </w:pPr>
          </w:p>
        </w:tc>
        <w:tc>
          <w:tcPr>
            <w:tcW w:w="2268" w:type="dxa"/>
            <w:tcMar>
              <w:top w:w="28" w:type="dxa"/>
              <w:bottom w:w="28" w:type="dxa"/>
            </w:tcMar>
          </w:tcPr>
          <w:p w14:paraId="6FC62068" w14:textId="77777777" w:rsidR="00C11331" w:rsidRPr="00317C88" w:rsidRDefault="00C11331" w:rsidP="00630831">
            <w:pPr>
              <w:pStyle w:val="TableTextRight"/>
            </w:pPr>
          </w:p>
        </w:tc>
        <w:tc>
          <w:tcPr>
            <w:tcW w:w="1834" w:type="dxa"/>
            <w:tcMar>
              <w:top w:w="28" w:type="dxa"/>
              <w:bottom w:w="28" w:type="dxa"/>
            </w:tcMar>
          </w:tcPr>
          <w:p w14:paraId="1ED61C5C" w14:textId="77777777" w:rsidR="00C11331" w:rsidRPr="00317C88" w:rsidRDefault="00C11331" w:rsidP="00630831">
            <w:pPr>
              <w:pStyle w:val="TableTextRight"/>
            </w:pPr>
          </w:p>
        </w:tc>
        <w:tc>
          <w:tcPr>
            <w:tcW w:w="1286" w:type="dxa"/>
            <w:tcMar>
              <w:top w:w="28" w:type="dxa"/>
              <w:bottom w:w="28" w:type="dxa"/>
            </w:tcMar>
          </w:tcPr>
          <w:p w14:paraId="170AC287" w14:textId="77777777" w:rsidR="00C11331" w:rsidRPr="00317C88" w:rsidRDefault="00C11331" w:rsidP="00630831">
            <w:pPr>
              <w:pStyle w:val="TableTextRight"/>
            </w:pPr>
          </w:p>
        </w:tc>
        <w:tc>
          <w:tcPr>
            <w:tcW w:w="1558" w:type="dxa"/>
            <w:tcMar>
              <w:top w:w="28" w:type="dxa"/>
              <w:bottom w:w="28" w:type="dxa"/>
            </w:tcMar>
          </w:tcPr>
          <w:p w14:paraId="12D56500" w14:textId="77777777" w:rsidR="00C11331" w:rsidRPr="00317C88" w:rsidRDefault="00C11331" w:rsidP="00630831">
            <w:pPr>
              <w:pStyle w:val="TableTextRight"/>
            </w:pPr>
          </w:p>
        </w:tc>
      </w:tr>
      <w:tr w:rsidR="00C11331" w:rsidRPr="00317C88" w14:paraId="1FB1899B" w14:textId="77777777" w:rsidTr="00D36BD5">
        <w:tc>
          <w:tcPr>
            <w:tcW w:w="4253" w:type="dxa"/>
            <w:tcMar>
              <w:top w:w="28" w:type="dxa"/>
              <w:bottom w:w="28" w:type="dxa"/>
            </w:tcMar>
          </w:tcPr>
          <w:p w14:paraId="02DB5D71" w14:textId="77777777" w:rsidR="00C11331" w:rsidRPr="00317C88" w:rsidRDefault="00C11331" w:rsidP="00630831">
            <w:pPr>
              <w:pStyle w:val="TableTextLeft"/>
            </w:pPr>
            <w:r w:rsidRPr="00317C88">
              <w:t>Gross book value</w:t>
            </w:r>
          </w:p>
        </w:tc>
        <w:tc>
          <w:tcPr>
            <w:tcW w:w="1134" w:type="dxa"/>
            <w:tcMar>
              <w:top w:w="28" w:type="dxa"/>
              <w:bottom w:w="28" w:type="dxa"/>
            </w:tcMar>
          </w:tcPr>
          <w:p w14:paraId="349C74AB" w14:textId="77777777" w:rsidR="00C11331" w:rsidRPr="00317C88" w:rsidRDefault="00C11331" w:rsidP="00630831">
            <w:pPr>
              <w:pStyle w:val="TableTextRight"/>
            </w:pPr>
            <w:r w:rsidRPr="00317C88">
              <w:t>4,952</w:t>
            </w:r>
          </w:p>
        </w:tc>
        <w:tc>
          <w:tcPr>
            <w:tcW w:w="2268" w:type="dxa"/>
            <w:tcMar>
              <w:top w:w="28" w:type="dxa"/>
              <w:bottom w:w="28" w:type="dxa"/>
            </w:tcMar>
          </w:tcPr>
          <w:p w14:paraId="71349BF0" w14:textId="77777777" w:rsidR="00C11331" w:rsidRPr="00317C88" w:rsidRDefault="00C11331" w:rsidP="00630831">
            <w:pPr>
              <w:pStyle w:val="TableTextRight"/>
            </w:pPr>
            <w:r w:rsidRPr="00317C88">
              <w:t>2,582</w:t>
            </w:r>
          </w:p>
        </w:tc>
        <w:tc>
          <w:tcPr>
            <w:tcW w:w="1834" w:type="dxa"/>
            <w:tcMar>
              <w:top w:w="28" w:type="dxa"/>
              <w:bottom w:w="28" w:type="dxa"/>
            </w:tcMar>
          </w:tcPr>
          <w:p w14:paraId="0A4F328A" w14:textId="77777777" w:rsidR="00C11331" w:rsidRPr="00317C88" w:rsidRDefault="00C11331" w:rsidP="00630831">
            <w:pPr>
              <w:pStyle w:val="TableTextRight"/>
            </w:pPr>
            <w:r w:rsidRPr="00317C88">
              <w:t>310</w:t>
            </w:r>
          </w:p>
        </w:tc>
        <w:tc>
          <w:tcPr>
            <w:tcW w:w="1286" w:type="dxa"/>
            <w:tcMar>
              <w:top w:w="28" w:type="dxa"/>
              <w:bottom w:w="28" w:type="dxa"/>
            </w:tcMar>
          </w:tcPr>
          <w:p w14:paraId="1B527E6C" w14:textId="77777777" w:rsidR="00C11331" w:rsidRPr="00317C88" w:rsidRDefault="00C11331" w:rsidP="00630831">
            <w:pPr>
              <w:pStyle w:val="TableTextRight"/>
            </w:pPr>
            <w:r w:rsidRPr="00317C88">
              <w:t>1,968</w:t>
            </w:r>
          </w:p>
        </w:tc>
        <w:tc>
          <w:tcPr>
            <w:tcW w:w="1558" w:type="dxa"/>
            <w:tcMar>
              <w:top w:w="28" w:type="dxa"/>
              <w:bottom w:w="28" w:type="dxa"/>
            </w:tcMar>
          </w:tcPr>
          <w:p w14:paraId="46C8C81B" w14:textId="77777777" w:rsidR="00C11331" w:rsidRPr="00317C88" w:rsidRDefault="00C11331" w:rsidP="00630831">
            <w:pPr>
              <w:pStyle w:val="TableTextRight"/>
            </w:pPr>
            <w:r w:rsidRPr="00317C88">
              <w:t>9,813</w:t>
            </w:r>
          </w:p>
        </w:tc>
      </w:tr>
      <w:tr w:rsidR="00C11331" w:rsidRPr="00317C88" w14:paraId="5D8EEFE5" w14:textId="77777777" w:rsidTr="00D36BD5">
        <w:tc>
          <w:tcPr>
            <w:tcW w:w="4253" w:type="dxa"/>
            <w:tcMar>
              <w:top w:w="28" w:type="dxa"/>
              <w:bottom w:w="28" w:type="dxa"/>
            </w:tcMar>
          </w:tcPr>
          <w:p w14:paraId="78F8B1F5" w14:textId="77777777" w:rsidR="00C11331" w:rsidRPr="00317C88" w:rsidRDefault="00C11331" w:rsidP="00630831">
            <w:pPr>
              <w:pStyle w:val="TableTextLeft"/>
            </w:pPr>
            <w:r w:rsidRPr="00317C88">
              <w:t>Accumulated depreciation, amortisation and impairment</w:t>
            </w:r>
          </w:p>
        </w:tc>
        <w:tc>
          <w:tcPr>
            <w:tcW w:w="1134" w:type="dxa"/>
            <w:tcMar>
              <w:top w:w="28" w:type="dxa"/>
              <w:bottom w:w="28" w:type="dxa"/>
            </w:tcMar>
          </w:tcPr>
          <w:p w14:paraId="77CFFC1C" w14:textId="77777777" w:rsidR="00C11331" w:rsidRPr="00317C88" w:rsidRDefault="00C11331" w:rsidP="00630831">
            <w:pPr>
              <w:pStyle w:val="TableTextRight"/>
            </w:pPr>
            <w:r w:rsidRPr="00317C88">
              <w:t>(1,761)</w:t>
            </w:r>
          </w:p>
        </w:tc>
        <w:tc>
          <w:tcPr>
            <w:tcW w:w="2268" w:type="dxa"/>
            <w:tcMar>
              <w:top w:w="28" w:type="dxa"/>
              <w:bottom w:w="28" w:type="dxa"/>
            </w:tcMar>
          </w:tcPr>
          <w:p w14:paraId="0107C4F9" w14:textId="77777777" w:rsidR="00C11331" w:rsidRPr="00317C88" w:rsidRDefault="00C11331" w:rsidP="00630831">
            <w:pPr>
              <w:pStyle w:val="TableTextRight"/>
            </w:pPr>
            <w:r w:rsidRPr="00317C88">
              <w:t>(978)</w:t>
            </w:r>
          </w:p>
        </w:tc>
        <w:tc>
          <w:tcPr>
            <w:tcW w:w="1834" w:type="dxa"/>
            <w:tcMar>
              <w:top w:w="28" w:type="dxa"/>
              <w:bottom w:w="28" w:type="dxa"/>
            </w:tcMar>
          </w:tcPr>
          <w:p w14:paraId="221C2F3E" w14:textId="77777777" w:rsidR="00C11331" w:rsidRPr="00317C88" w:rsidRDefault="00C11331" w:rsidP="00630831">
            <w:pPr>
              <w:pStyle w:val="TableTextRight"/>
            </w:pPr>
            <w:r w:rsidRPr="00317C88">
              <w:t>(59)</w:t>
            </w:r>
          </w:p>
        </w:tc>
        <w:tc>
          <w:tcPr>
            <w:tcW w:w="1286" w:type="dxa"/>
            <w:tcMar>
              <w:top w:w="28" w:type="dxa"/>
              <w:bottom w:w="28" w:type="dxa"/>
            </w:tcMar>
          </w:tcPr>
          <w:p w14:paraId="2E4D2C80" w14:textId="77777777" w:rsidR="00C11331" w:rsidRPr="00317C88" w:rsidRDefault="00C11331" w:rsidP="00630831">
            <w:pPr>
              <w:pStyle w:val="TableTextRight"/>
            </w:pPr>
            <w:r w:rsidRPr="00317C88">
              <w:t>(1,733)</w:t>
            </w:r>
          </w:p>
        </w:tc>
        <w:tc>
          <w:tcPr>
            <w:tcW w:w="1558" w:type="dxa"/>
            <w:tcMar>
              <w:top w:w="28" w:type="dxa"/>
              <w:bottom w:w="28" w:type="dxa"/>
            </w:tcMar>
          </w:tcPr>
          <w:p w14:paraId="61B0FAB6" w14:textId="77777777" w:rsidR="00C11331" w:rsidRPr="00317C88" w:rsidRDefault="00C11331" w:rsidP="00630831">
            <w:pPr>
              <w:pStyle w:val="TableTextRight"/>
            </w:pPr>
            <w:r w:rsidRPr="00317C88">
              <w:t>(4,531)</w:t>
            </w:r>
          </w:p>
        </w:tc>
      </w:tr>
      <w:tr w:rsidR="00C11331" w:rsidRPr="00317C88" w14:paraId="3B6197EF" w14:textId="77777777" w:rsidTr="00D36BD5">
        <w:tc>
          <w:tcPr>
            <w:tcW w:w="4253" w:type="dxa"/>
            <w:tcMar>
              <w:top w:w="28" w:type="dxa"/>
              <w:bottom w:w="28" w:type="dxa"/>
            </w:tcMar>
          </w:tcPr>
          <w:p w14:paraId="4F960932"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30 June 2025</w:t>
            </w:r>
          </w:p>
        </w:tc>
        <w:tc>
          <w:tcPr>
            <w:tcW w:w="1134" w:type="dxa"/>
            <w:tcMar>
              <w:top w:w="28" w:type="dxa"/>
              <w:bottom w:w="28" w:type="dxa"/>
            </w:tcMar>
          </w:tcPr>
          <w:p w14:paraId="49EB974F" w14:textId="77777777" w:rsidR="00C11331" w:rsidRPr="000C21C0" w:rsidRDefault="00C11331" w:rsidP="00630831">
            <w:pPr>
              <w:pStyle w:val="TableTextRight"/>
              <w:rPr>
                <w:b/>
                <w:bCs/>
              </w:rPr>
            </w:pPr>
            <w:r w:rsidRPr="000C21C0">
              <w:rPr>
                <w:b/>
                <w:bCs/>
              </w:rPr>
              <w:t>3,191</w:t>
            </w:r>
          </w:p>
        </w:tc>
        <w:tc>
          <w:tcPr>
            <w:tcW w:w="2268" w:type="dxa"/>
            <w:tcMar>
              <w:top w:w="28" w:type="dxa"/>
              <w:bottom w:w="28" w:type="dxa"/>
            </w:tcMar>
          </w:tcPr>
          <w:p w14:paraId="6E188ADD" w14:textId="77777777" w:rsidR="00C11331" w:rsidRPr="000C21C0" w:rsidRDefault="00C11331" w:rsidP="00630831">
            <w:pPr>
              <w:pStyle w:val="TableTextRight"/>
              <w:rPr>
                <w:b/>
                <w:bCs/>
              </w:rPr>
            </w:pPr>
            <w:r w:rsidRPr="000C21C0">
              <w:rPr>
                <w:b/>
                <w:bCs/>
              </w:rPr>
              <w:t>1,604</w:t>
            </w:r>
          </w:p>
        </w:tc>
        <w:tc>
          <w:tcPr>
            <w:tcW w:w="1834" w:type="dxa"/>
            <w:tcMar>
              <w:top w:w="28" w:type="dxa"/>
              <w:bottom w:w="28" w:type="dxa"/>
            </w:tcMar>
          </w:tcPr>
          <w:p w14:paraId="3E941FF8" w14:textId="77777777" w:rsidR="00C11331" w:rsidRPr="000C21C0" w:rsidRDefault="00C11331" w:rsidP="00630831">
            <w:pPr>
              <w:pStyle w:val="TableTextRight"/>
              <w:rPr>
                <w:b/>
                <w:bCs/>
              </w:rPr>
            </w:pPr>
            <w:r w:rsidRPr="000C21C0">
              <w:rPr>
                <w:b/>
                <w:bCs/>
              </w:rPr>
              <w:t>251</w:t>
            </w:r>
          </w:p>
        </w:tc>
        <w:tc>
          <w:tcPr>
            <w:tcW w:w="1286" w:type="dxa"/>
            <w:tcMar>
              <w:top w:w="28" w:type="dxa"/>
              <w:bottom w:w="28" w:type="dxa"/>
            </w:tcMar>
          </w:tcPr>
          <w:p w14:paraId="539B4549" w14:textId="77777777" w:rsidR="00C11331" w:rsidRPr="000C21C0" w:rsidRDefault="00C11331" w:rsidP="00630831">
            <w:pPr>
              <w:pStyle w:val="TableTextRight"/>
              <w:rPr>
                <w:b/>
                <w:bCs/>
              </w:rPr>
            </w:pPr>
            <w:r w:rsidRPr="000C21C0">
              <w:rPr>
                <w:b/>
                <w:bCs/>
              </w:rPr>
              <w:t>235</w:t>
            </w:r>
          </w:p>
        </w:tc>
        <w:tc>
          <w:tcPr>
            <w:tcW w:w="1558" w:type="dxa"/>
            <w:tcMar>
              <w:top w:w="28" w:type="dxa"/>
              <w:bottom w:w="28" w:type="dxa"/>
            </w:tcMar>
          </w:tcPr>
          <w:p w14:paraId="06BDD358" w14:textId="77777777" w:rsidR="00C11331" w:rsidRPr="000C21C0" w:rsidRDefault="00C11331" w:rsidP="00630831">
            <w:pPr>
              <w:pStyle w:val="TableTextRight"/>
              <w:rPr>
                <w:b/>
                <w:bCs/>
              </w:rPr>
            </w:pPr>
            <w:r w:rsidRPr="000C21C0">
              <w:rPr>
                <w:b/>
                <w:bCs/>
              </w:rPr>
              <w:t>5,281</w:t>
            </w:r>
          </w:p>
        </w:tc>
      </w:tr>
      <w:tr w:rsidR="00C11331" w:rsidRPr="00317C88" w14:paraId="02F5B6F6" w14:textId="77777777" w:rsidTr="00630831">
        <w:tc>
          <w:tcPr>
            <w:tcW w:w="4253" w:type="dxa"/>
          </w:tcPr>
          <w:p w14:paraId="2A0E71CF" w14:textId="77777777" w:rsidR="00C11331" w:rsidRPr="00EE0E60" w:rsidRDefault="00C11331" w:rsidP="00630831">
            <w:pPr>
              <w:pStyle w:val="TableTextLeft"/>
              <w:rPr>
                <w:b/>
                <w:bCs/>
              </w:rPr>
            </w:pPr>
            <w:r w:rsidRPr="00EE0E60">
              <w:rPr>
                <w:b/>
                <w:bCs/>
              </w:rPr>
              <w:t>Carrying amount of right of use assets</w:t>
            </w:r>
          </w:p>
        </w:tc>
        <w:tc>
          <w:tcPr>
            <w:tcW w:w="1134" w:type="dxa"/>
          </w:tcPr>
          <w:p w14:paraId="0730DEB4" w14:textId="77777777" w:rsidR="00C11331" w:rsidRPr="000C21C0" w:rsidRDefault="00C11331" w:rsidP="00630831">
            <w:pPr>
              <w:pStyle w:val="TableTextRight"/>
              <w:rPr>
                <w:b/>
                <w:bCs/>
              </w:rPr>
            </w:pPr>
            <w:r w:rsidRPr="000C21C0">
              <w:rPr>
                <w:b/>
                <w:bCs/>
              </w:rPr>
              <w:t>3,191</w:t>
            </w:r>
          </w:p>
        </w:tc>
        <w:tc>
          <w:tcPr>
            <w:tcW w:w="2268" w:type="dxa"/>
          </w:tcPr>
          <w:p w14:paraId="78DC6452" w14:textId="77777777" w:rsidR="00C11331" w:rsidRPr="000C21C0" w:rsidRDefault="00C11331" w:rsidP="00630831">
            <w:pPr>
              <w:pStyle w:val="TableTextRight"/>
              <w:rPr>
                <w:b/>
                <w:bCs/>
              </w:rPr>
            </w:pPr>
            <w:r w:rsidRPr="000C21C0">
              <w:rPr>
                <w:b/>
                <w:bCs/>
              </w:rPr>
              <w:noBreakHyphen/>
            </w:r>
          </w:p>
        </w:tc>
        <w:tc>
          <w:tcPr>
            <w:tcW w:w="1834" w:type="dxa"/>
          </w:tcPr>
          <w:p w14:paraId="3A01A230" w14:textId="77777777" w:rsidR="00C11331" w:rsidRPr="000C21C0" w:rsidRDefault="00C11331" w:rsidP="00630831">
            <w:pPr>
              <w:pStyle w:val="TableTextRight"/>
              <w:rPr>
                <w:b/>
                <w:bCs/>
              </w:rPr>
            </w:pPr>
            <w:r w:rsidRPr="000C21C0">
              <w:rPr>
                <w:b/>
                <w:bCs/>
              </w:rPr>
              <w:noBreakHyphen/>
            </w:r>
          </w:p>
        </w:tc>
        <w:tc>
          <w:tcPr>
            <w:tcW w:w="1286" w:type="dxa"/>
          </w:tcPr>
          <w:p w14:paraId="6BB7E3C7" w14:textId="77777777" w:rsidR="00C11331" w:rsidRPr="000C21C0" w:rsidRDefault="00C11331" w:rsidP="00630831">
            <w:pPr>
              <w:pStyle w:val="TableTextRight"/>
              <w:rPr>
                <w:b/>
                <w:bCs/>
              </w:rPr>
            </w:pPr>
            <w:r w:rsidRPr="000C21C0">
              <w:rPr>
                <w:b/>
                <w:bCs/>
              </w:rPr>
              <w:noBreakHyphen/>
            </w:r>
          </w:p>
        </w:tc>
        <w:tc>
          <w:tcPr>
            <w:tcW w:w="1558" w:type="dxa"/>
          </w:tcPr>
          <w:p w14:paraId="08AA290E" w14:textId="77777777" w:rsidR="00C11331" w:rsidRPr="000C21C0" w:rsidRDefault="00C11331" w:rsidP="00630831">
            <w:pPr>
              <w:pStyle w:val="TableTextRight"/>
              <w:rPr>
                <w:b/>
                <w:bCs/>
              </w:rPr>
            </w:pPr>
            <w:r w:rsidRPr="000C21C0">
              <w:rPr>
                <w:b/>
                <w:bCs/>
              </w:rPr>
              <w:t>3,191</w:t>
            </w:r>
          </w:p>
        </w:tc>
      </w:tr>
    </w:tbl>
    <w:p w14:paraId="56EFDB8F" w14:textId="77777777" w:rsidR="00C11331" w:rsidRDefault="00C11331">
      <w:pPr>
        <w:spacing w:after="0" w:line="240" w:lineRule="auto"/>
        <w:sectPr w:rsidR="00C11331" w:rsidSect="004B423B">
          <w:headerReference w:type="default" r:id="rId138"/>
          <w:footerReference w:type="default" r:id="rId139"/>
          <w:headerReference w:type="first" r:id="rId140"/>
          <w:footerReference w:type="first" r:id="rId141"/>
          <w:type w:val="oddPage"/>
          <w:pgSz w:w="16840" w:h="11907" w:code="9"/>
          <w:pgMar w:top="2098" w:right="2835" w:bottom="2098" w:left="2466" w:header="1531" w:footer="1531" w:gutter="0"/>
          <w:cols w:space="708"/>
          <w:docGrid w:linePitch="360"/>
        </w:sectPr>
      </w:pPr>
    </w:p>
    <w:p w14:paraId="18F2E3C5" w14:textId="77777777" w:rsidR="00C11331" w:rsidRPr="00B06162" w:rsidRDefault="00C11331" w:rsidP="00C11331">
      <w:pPr>
        <w:pStyle w:val="TableMainHeading"/>
      </w:pPr>
      <w:r w:rsidRPr="00317C88">
        <w:lastRenderedPageBreak/>
        <w:t>Reconciliation of the opening balances of property, plant and equipment for 2025</w:t>
      </w:r>
    </w:p>
    <w:tbl>
      <w:tblPr>
        <w:tblStyle w:val="AOFMTablemain"/>
        <w:tblW w:w="0" w:type="auto"/>
        <w:tblLook w:val="06A0" w:firstRow="1" w:lastRow="0" w:firstColumn="1" w:lastColumn="0" w:noHBand="1" w:noVBand="1"/>
      </w:tblPr>
      <w:tblGrid>
        <w:gridCol w:w="3863"/>
        <w:gridCol w:w="1232"/>
        <w:gridCol w:w="2023"/>
        <w:gridCol w:w="1732"/>
        <w:gridCol w:w="1237"/>
        <w:gridCol w:w="1452"/>
      </w:tblGrid>
      <w:tr w:rsidR="0076143F" w:rsidRPr="00317C88" w14:paraId="4962405A" w14:textId="77777777" w:rsidTr="00EC03D4">
        <w:trPr>
          <w:cnfStyle w:val="100000000000" w:firstRow="1" w:lastRow="0" w:firstColumn="0" w:lastColumn="0" w:oddVBand="0" w:evenVBand="0" w:oddHBand="0" w:evenHBand="0" w:firstRowFirstColumn="0" w:firstRowLastColumn="0" w:lastRowFirstColumn="0" w:lastRowLastColumn="0"/>
          <w:trHeight w:val="283"/>
        </w:trPr>
        <w:tc>
          <w:tcPr>
            <w:tcW w:w="12333" w:type="dxa"/>
            <w:gridSpan w:val="6"/>
          </w:tcPr>
          <w:p w14:paraId="07119A89" w14:textId="77777777" w:rsidR="0076143F" w:rsidRPr="00317C88" w:rsidRDefault="0076143F" w:rsidP="00630831">
            <w:pPr>
              <w:pStyle w:val="TableColumnHeadingLeft"/>
            </w:pPr>
            <w:r w:rsidRPr="00317C88">
              <w:t> Reconciliation of the opening balances of property, plant and equipment for 202</w:t>
            </w:r>
            <w:r>
              <w:t>4</w:t>
            </w:r>
          </w:p>
        </w:tc>
      </w:tr>
      <w:tr w:rsidR="00C11331" w:rsidRPr="00EE0E60" w14:paraId="28397B23" w14:textId="77777777" w:rsidTr="00221139">
        <w:trPr>
          <w:trHeight w:val="57"/>
        </w:trPr>
        <w:tc>
          <w:tcPr>
            <w:tcW w:w="4253" w:type="dxa"/>
            <w:tcMar>
              <w:top w:w="57" w:type="dxa"/>
              <w:bottom w:w="57" w:type="dxa"/>
            </w:tcMar>
          </w:tcPr>
          <w:p w14:paraId="594B9A94" w14:textId="77777777" w:rsidR="00C11331" w:rsidRPr="00317C88" w:rsidRDefault="00C11331" w:rsidP="00630831">
            <w:pPr>
              <w:spacing w:after="0"/>
              <w:rPr>
                <w:szCs w:val="16"/>
              </w:rPr>
            </w:pPr>
          </w:p>
        </w:tc>
        <w:tc>
          <w:tcPr>
            <w:tcW w:w="1276" w:type="dxa"/>
            <w:tcMar>
              <w:top w:w="57" w:type="dxa"/>
              <w:bottom w:w="57" w:type="dxa"/>
            </w:tcMar>
          </w:tcPr>
          <w:p w14:paraId="44761075" w14:textId="77777777" w:rsidR="00C11331" w:rsidRPr="00EE0E60" w:rsidRDefault="00C11331" w:rsidP="00630831">
            <w:pPr>
              <w:pStyle w:val="TableTextRight"/>
              <w:rPr>
                <w:b/>
                <w:bCs/>
              </w:rPr>
            </w:pPr>
            <w:r w:rsidRPr="00EE0E60">
              <w:rPr>
                <w:b/>
                <w:bCs/>
              </w:rPr>
              <w:t>Buildings</w:t>
            </w:r>
          </w:p>
        </w:tc>
        <w:tc>
          <w:tcPr>
            <w:tcW w:w="2126" w:type="dxa"/>
            <w:tcMar>
              <w:top w:w="57" w:type="dxa"/>
              <w:bottom w:w="57" w:type="dxa"/>
            </w:tcMar>
          </w:tcPr>
          <w:p w14:paraId="0062398A" w14:textId="77777777" w:rsidR="00C11331" w:rsidRPr="00EE0E60" w:rsidRDefault="00C11331" w:rsidP="00630831">
            <w:pPr>
              <w:pStyle w:val="TableTextRight"/>
              <w:rPr>
                <w:b/>
                <w:bCs/>
              </w:rPr>
            </w:pPr>
            <w:r w:rsidRPr="00EE0E60">
              <w:rPr>
                <w:b/>
                <w:bCs/>
              </w:rPr>
              <w:t>Leasehold improvements</w:t>
            </w:r>
          </w:p>
        </w:tc>
        <w:tc>
          <w:tcPr>
            <w:tcW w:w="1834" w:type="dxa"/>
            <w:tcMar>
              <w:top w:w="57" w:type="dxa"/>
              <w:bottom w:w="57" w:type="dxa"/>
            </w:tcMar>
          </w:tcPr>
          <w:p w14:paraId="53461F39" w14:textId="77777777" w:rsidR="00C11331" w:rsidRPr="00EE0E60" w:rsidRDefault="00C11331" w:rsidP="00630831">
            <w:pPr>
              <w:pStyle w:val="TableTextRight"/>
              <w:rPr>
                <w:b/>
                <w:bCs/>
              </w:rPr>
            </w:pPr>
            <w:r w:rsidRPr="00EE0E60">
              <w:rPr>
                <w:b/>
                <w:bCs/>
              </w:rPr>
              <w:t>Plant and equipment</w:t>
            </w:r>
          </w:p>
        </w:tc>
        <w:tc>
          <w:tcPr>
            <w:tcW w:w="1286" w:type="dxa"/>
            <w:tcMar>
              <w:top w:w="57" w:type="dxa"/>
              <w:bottom w:w="57" w:type="dxa"/>
            </w:tcMar>
          </w:tcPr>
          <w:p w14:paraId="4428C179" w14:textId="77777777" w:rsidR="00C11331" w:rsidRPr="00EE0E60" w:rsidRDefault="00C11331" w:rsidP="00630831">
            <w:pPr>
              <w:pStyle w:val="TableTextRight"/>
              <w:rPr>
                <w:b/>
                <w:bCs/>
              </w:rPr>
            </w:pPr>
            <w:r w:rsidRPr="00EE0E60">
              <w:rPr>
                <w:b/>
                <w:bCs/>
              </w:rPr>
              <w:t>Software</w:t>
            </w:r>
          </w:p>
        </w:tc>
        <w:tc>
          <w:tcPr>
            <w:tcW w:w="1558" w:type="dxa"/>
            <w:tcMar>
              <w:top w:w="57" w:type="dxa"/>
              <w:bottom w:w="57" w:type="dxa"/>
            </w:tcMar>
          </w:tcPr>
          <w:p w14:paraId="6A93192B" w14:textId="77777777" w:rsidR="00C11331" w:rsidRPr="00EE0E60" w:rsidRDefault="00C11331" w:rsidP="00630831">
            <w:pPr>
              <w:pStyle w:val="TableTextRight"/>
              <w:rPr>
                <w:b/>
                <w:bCs/>
              </w:rPr>
            </w:pPr>
            <w:r w:rsidRPr="00EE0E60">
              <w:rPr>
                <w:b/>
                <w:bCs/>
              </w:rPr>
              <w:t>Total</w:t>
            </w:r>
          </w:p>
        </w:tc>
      </w:tr>
      <w:tr w:rsidR="00C11331" w:rsidRPr="00EE0E60" w14:paraId="5E35F9C9" w14:textId="77777777" w:rsidTr="00221139">
        <w:trPr>
          <w:trHeight w:val="159"/>
        </w:trPr>
        <w:tc>
          <w:tcPr>
            <w:tcW w:w="4253" w:type="dxa"/>
            <w:tcMar>
              <w:top w:w="57" w:type="dxa"/>
              <w:bottom w:w="57" w:type="dxa"/>
            </w:tcMar>
          </w:tcPr>
          <w:p w14:paraId="4035B280" w14:textId="77777777" w:rsidR="00C11331" w:rsidRPr="00317C88" w:rsidRDefault="00C11331" w:rsidP="00630831">
            <w:pPr>
              <w:spacing w:after="0"/>
              <w:rPr>
                <w:szCs w:val="16"/>
              </w:rPr>
            </w:pPr>
          </w:p>
        </w:tc>
        <w:tc>
          <w:tcPr>
            <w:tcW w:w="1276" w:type="dxa"/>
            <w:tcMar>
              <w:top w:w="57" w:type="dxa"/>
              <w:bottom w:w="57" w:type="dxa"/>
            </w:tcMar>
          </w:tcPr>
          <w:p w14:paraId="670DA899" w14:textId="77777777" w:rsidR="00C11331" w:rsidRPr="00EE0E60" w:rsidRDefault="00C11331" w:rsidP="00630831">
            <w:pPr>
              <w:pStyle w:val="TableTextRight"/>
              <w:rPr>
                <w:b/>
                <w:bCs/>
              </w:rPr>
            </w:pPr>
            <w:r w:rsidRPr="00EE0E60">
              <w:rPr>
                <w:b/>
                <w:bCs/>
              </w:rPr>
              <w:t>$’000</w:t>
            </w:r>
          </w:p>
        </w:tc>
        <w:tc>
          <w:tcPr>
            <w:tcW w:w="2126" w:type="dxa"/>
            <w:tcMar>
              <w:top w:w="57" w:type="dxa"/>
              <w:bottom w:w="57" w:type="dxa"/>
            </w:tcMar>
          </w:tcPr>
          <w:p w14:paraId="1209D618" w14:textId="77777777" w:rsidR="00C11331" w:rsidRPr="00EE0E60" w:rsidRDefault="00C11331" w:rsidP="00630831">
            <w:pPr>
              <w:pStyle w:val="TableTextRight"/>
              <w:rPr>
                <w:b/>
                <w:bCs/>
              </w:rPr>
            </w:pPr>
            <w:r w:rsidRPr="00EE0E60">
              <w:rPr>
                <w:b/>
                <w:bCs/>
              </w:rPr>
              <w:t>$’000</w:t>
            </w:r>
          </w:p>
        </w:tc>
        <w:tc>
          <w:tcPr>
            <w:tcW w:w="1834" w:type="dxa"/>
            <w:tcMar>
              <w:top w:w="57" w:type="dxa"/>
              <w:bottom w:w="57" w:type="dxa"/>
            </w:tcMar>
          </w:tcPr>
          <w:p w14:paraId="1E670866" w14:textId="77777777" w:rsidR="00C11331" w:rsidRPr="00EE0E60" w:rsidRDefault="00C11331" w:rsidP="00630831">
            <w:pPr>
              <w:pStyle w:val="TableTextRight"/>
              <w:rPr>
                <w:b/>
                <w:bCs/>
              </w:rPr>
            </w:pPr>
            <w:r w:rsidRPr="00EE0E60">
              <w:rPr>
                <w:b/>
                <w:bCs/>
              </w:rPr>
              <w:t>$’000</w:t>
            </w:r>
          </w:p>
        </w:tc>
        <w:tc>
          <w:tcPr>
            <w:tcW w:w="1286" w:type="dxa"/>
            <w:tcMar>
              <w:top w:w="57" w:type="dxa"/>
              <w:bottom w:w="57" w:type="dxa"/>
            </w:tcMar>
          </w:tcPr>
          <w:p w14:paraId="71B9F4F0" w14:textId="77777777" w:rsidR="00C11331" w:rsidRPr="00EE0E60" w:rsidRDefault="00C11331" w:rsidP="00630831">
            <w:pPr>
              <w:pStyle w:val="TableTextRight"/>
              <w:rPr>
                <w:b/>
                <w:bCs/>
              </w:rPr>
            </w:pPr>
            <w:r w:rsidRPr="00EE0E60">
              <w:rPr>
                <w:b/>
                <w:bCs/>
              </w:rPr>
              <w:t>$’000</w:t>
            </w:r>
          </w:p>
        </w:tc>
        <w:tc>
          <w:tcPr>
            <w:tcW w:w="1558" w:type="dxa"/>
            <w:tcMar>
              <w:top w:w="57" w:type="dxa"/>
              <w:bottom w:w="57" w:type="dxa"/>
            </w:tcMar>
          </w:tcPr>
          <w:p w14:paraId="05F68AC2" w14:textId="77777777" w:rsidR="00C11331" w:rsidRPr="00EE0E60" w:rsidRDefault="00C11331" w:rsidP="00630831">
            <w:pPr>
              <w:pStyle w:val="TableTextRight"/>
              <w:rPr>
                <w:b/>
                <w:bCs/>
              </w:rPr>
            </w:pPr>
            <w:r w:rsidRPr="00EE0E60">
              <w:rPr>
                <w:b/>
                <w:bCs/>
              </w:rPr>
              <w:t>$’000</w:t>
            </w:r>
          </w:p>
        </w:tc>
      </w:tr>
      <w:tr w:rsidR="00C11331" w:rsidRPr="00317C88" w14:paraId="02624E6C" w14:textId="77777777" w:rsidTr="00221139">
        <w:trPr>
          <w:trHeight w:val="178"/>
        </w:trPr>
        <w:tc>
          <w:tcPr>
            <w:tcW w:w="4253" w:type="dxa"/>
            <w:tcMar>
              <w:top w:w="57" w:type="dxa"/>
              <w:bottom w:w="57" w:type="dxa"/>
            </w:tcMar>
          </w:tcPr>
          <w:p w14:paraId="57BC6E88" w14:textId="77777777" w:rsidR="00C11331" w:rsidRPr="00EE0E60" w:rsidRDefault="00C11331" w:rsidP="00630831">
            <w:pPr>
              <w:pStyle w:val="TableTextLeft"/>
              <w:rPr>
                <w:b/>
                <w:bCs/>
              </w:rPr>
            </w:pPr>
            <w:r w:rsidRPr="00EE0E60">
              <w:rPr>
                <w:b/>
                <w:bCs/>
              </w:rPr>
              <w:t xml:space="preserve">As </w:t>
            </w:r>
            <w:proofErr w:type="gramStart"/>
            <w:r w:rsidRPr="00EE0E60">
              <w:rPr>
                <w:b/>
                <w:bCs/>
              </w:rPr>
              <w:t>at</w:t>
            </w:r>
            <w:proofErr w:type="gramEnd"/>
            <w:r w:rsidRPr="00EE0E60">
              <w:rPr>
                <w:b/>
                <w:bCs/>
              </w:rPr>
              <w:t xml:space="preserve"> 1 July 202</w:t>
            </w:r>
            <w:r>
              <w:rPr>
                <w:b/>
                <w:bCs/>
              </w:rPr>
              <w:t>3</w:t>
            </w:r>
          </w:p>
        </w:tc>
        <w:tc>
          <w:tcPr>
            <w:tcW w:w="1276" w:type="dxa"/>
            <w:tcMar>
              <w:top w:w="57" w:type="dxa"/>
              <w:bottom w:w="57" w:type="dxa"/>
            </w:tcMar>
          </w:tcPr>
          <w:p w14:paraId="72E9416D" w14:textId="77777777" w:rsidR="00C11331" w:rsidRPr="00317C88" w:rsidRDefault="00C11331" w:rsidP="00630831">
            <w:pPr>
              <w:pStyle w:val="TableTextRight"/>
            </w:pPr>
          </w:p>
        </w:tc>
        <w:tc>
          <w:tcPr>
            <w:tcW w:w="2126" w:type="dxa"/>
            <w:tcMar>
              <w:top w:w="57" w:type="dxa"/>
              <w:bottom w:w="57" w:type="dxa"/>
            </w:tcMar>
          </w:tcPr>
          <w:p w14:paraId="797FF39F" w14:textId="77777777" w:rsidR="00C11331" w:rsidRPr="00317C88" w:rsidRDefault="00C11331" w:rsidP="00630831">
            <w:pPr>
              <w:pStyle w:val="TableTextRight"/>
            </w:pPr>
          </w:p>
        </w:tc>
        <w:tc>
          <w:tcPr>
            <w:tcW w:w="1834" w:type="dxa"/>
            <w:tcMar>
              <w:top w:w="57" w:type="dxa"/>
              <w:bottom w:w="57" w:type="dxa"/>
            </w:tcMar>
          </w:tcPr>
          <w:p w14:paraId="3CB212DF" w14:textId="77777777" w:rsidR="00C11331" w:rsidRPr="00317C88" w:rsidRDefault="00C11331" w:rsidP="00630831">
            <w:pPr>
              <w:pStyle w:val="TableTextRight"/>
            </w:pPr>
          </w:p>
        </w:tc>
        <w:tc>
          <w:tcPr>
            <w:tcW w:w="1286" w:type="dxa"/>
            <w:tcMar>
              <w:top w:w="57" w:type="dxa"/>
              <w:bottom w:w="57" w:type="dxa"/>
            </w:tcMar>
          </w:tcPr>
          <w:p w14:paraId="168AD573" w14:textId="77777777" w:rsidR="00C11331" w:rsidRPr="00317C88" w:rsidRDefault="00C11331" w:rsidP="00630831">
            <w:pPr>
              <w:pStyle w:val="TableTextRight"/>
            </w:pPr>
          </w:p>
        </w:tc>
        <w:tc>
          <w:tcPr>
            <w:tcW w:w="1558" w:type="dxa"/>
            <w:tcMar>
              <w:top w:w="57" w:type="dxa"/>
              <w:bottom w:w="57" w:type="dxa"/>
            </w:tcMar>
          </w:tcPr>
          <w:p w14:paraId="672B477C" w14:textId="77777777" w:rsidR="00C11331" w:rsidRPr="00317C88" w:rsidRDefault="00C11331" w:rsidP="00630831">
            <w:pPr>
              <w:pStyle w:val="TableTextRight"/>
            </w:pPr>
          </w:p>
        </w:tc>
      </w:tr>
      <w:tr w:rsidR="00C11331" w:rsidRPr="00317C88" w14:paraId="73BE916C" w14:textId="77777777" w:rsidTr="00221139">
        <w:trPr>
          <w:trHeight w:val="56"/>
        </w:trPr>
        <w:tc>
          <w:tcPr>
            <w:tcW w:w="4253" w:type="dxa"/>
            <w:tcMar>
              <w:top w:w="57" w:type="dxa"/>
              <w:bottom w:w="57" w:type="dxa"/>
            </w:tcMar>
          </w:tcPr>
          <w:p w14:paraId="106727B4" w14:textId="77777777" w:rsidR="00C11331" w:rsidRPr="00317C88" w:rsidRDefault="00C11331" w:rsidP="00630831">
            <w:pPr>
              <w:pStyle w:val="TableTextLeft"/>
            </w:pPr>
            <w:r w:rsidRPr="00317C88">
              <w:t>Gross book value</w:t>
            </w:r>
          </w:p>
        </w:tc>
        <w:tc>
          <w:tcPr>
            <w:tcW w:w="1276" w:type="dxa"/>
            <w:tcMar>
              <w:top w:w="57" w:type="dxa"/>
              <w:bottom w:w="57" w:type="dxa"/>
            </w:tcMar>
          </w:tcPr>
          <w:p w14:paraId="606AED26" w14:textId="77777777" w:rsidR="00C11331" w:rsidRPr="00317C88" w:rsidRDefault="00C11331" w:rsidP="00630831">
            <w:pPr>
              <w:pStyle w:val="TableTextRight"/>
            </w:pPr>
            <w:r w:rsidRPr="00317C88">
              <w:t>4,820</w:t>
            </w:r>
          </w:p>
        </w:tc>
        <w:tc>
          <w:tcPr>
            <w:tcW w:w="2126" w:type="dxa"/>
            <w:tcMar>
              <w:top w:w="57" w:type="dxa"/>
              <w:bottom w:w="57" w:type="dxa"/>
            </w:tcMar>
          </w:tcPr>
          <w:p w14:paraId="0118A399" w14:textId="77777777" w:rsidR="00C11331" w:rsidRPr="00317C88" w:rsidRDefault="00C11331" w:rsidP="00630831">
            <w:pPr>
              <w:pStyle w:val="TableTextRight"/>
            </w:pPr>
            <w:r w:rsidRPr="00317C88">
              <w:t>2,582</w:t>
            </w:r>
          </w:p>
        </w:tc>
        <w:tc>
          <w:tcPr>
            <w:tcW w:w="1834" w:type="dxa"/>
            <w:tcMar>
              <w:top w:w="57" w:type="dxa"/>
              <w:bottom w:w="57" w:type="dxa"/>
            </w:tcMar>
          </w:tcPr>
          <w:p w14:paraId="2948E16D" w14:textId="77777777" w:rsidR="00C11331" w:rsidRPr="00317C88" w:rsidRDefault="00C11331" w:rsidP="00630831">
            <w:pPr>
              <w:pStyle w:val="TableTextRight"/>
            </w:pPr>
            <w:r>
              <w:t>273</w:t>
            </w:r>
          </w:p>
        </w:tc>
        <w:tc>
          <w:tcPr>
            <w:tcW w:w="1286" w:type="dxa"/>
            <w:tcMar>
              <w:top w:w="57" w:type="dxa"/>
              <w:bottom w:w="57" w:type="dxa"/>
            </w:tcMar>
          </w:tcPr>
          <w:p w14:paraId="6BFCD8F4" w14:textId="77777777" w:rsidR="00C11331" w:rsidRPr="00317C88" w:rsidRDefault="00C11331" w:rsidP="00630831">
            <w:pPr>
              <w:pStyle w:val="TableTextRight"/>
            </w:pPr>
            <w:r w:rsidRPr="00317C88">
              <w:t>1,696</w:t>
            </w:r>
          </w:p>
        </w:tc>
        <w:tc>
          <w:tcPr>
            <w:tcW w:w="1558" w:type="dxa"/>
            <w:tcMar>
              <w:top w:w="57" w:type="dxa"/>
              <w:bottom w:w="57" w:type="dxa"/>
            </w:tcMar>
          </w:tcPr>
          <w:p w14:paraId="5E1C037C" w14:textId="77777777" w:rsidR="00C11331" w:rsidRPr="00317C88" w:rsidRDefault="00C11331" w:rsidP="00630831">
            <w:pPr>
              <w:pStyle w:val="TableTextRight"/>
            </w:pPr>
            <w:r w:rsidRPr="00317C88">
              <w:t>9,3</w:t>
            </w:r>
            <w:r>
              <w:t>71</w:t>
            </w:r>
          </w:p>
        </w:tc>
      </w:tr>
      <w:tr w:rsidR="00C11331" w:rsidRPr="00317C88" w14:paraId="7AFDE755" w14:textId="77777777" w:rsidTr="00221139">
        <w:trPr>
          <w:trHeight w:val="62"/>
        </w:trPr>
        <w:tc>
          <w:tcPr>
            <w:tcW w:w="4253" w:type="dxa"/>
            <w:tcMar>
              <w:top w:w="57" w:type="dxa"/>
              <w:bottom w:w="57" w:type="dxa"/>
            </w:tcMar>
          </w:tcPr>
          <w:p w14:paraId="70DDD338" w14:textId="77777777" w:rsidR="00C11331" w:rsidRPr="00317C88" w:rsidRDefault="00C11331" w:rsidP="00630831">
            <w:pPr>
              <w:pStyle w:val="TableTextLeft"/>
            </w:pPr>
            <w:r w:rsidRPr="00317C88">
              <w:t>Accumulated depreciation, amortisation and impairment</w:t>
            </w:r>
          </w:p>
        </w:tc>
        <w:tc>
          <w:tcPr>
            <w:tcW w:w="1276" w:type="dxa"/>
            <w:tcMar>
              <w:top w:w="57" w:type="dxa"/>
              <w:bottom w:w="57" w:type="dxa"/>
            </w:tcMar>
          </w:tcPr>
          <w:p w14:paraId="08FCF645" w14:textId="77777777" w:rsidR="00C11331" w:rsidRPr="00317C88" w:rsidRDefault="00C11331" w:rsidP="00630831">
            <w:pPr>
              <w:pStyle w:val="TableTextRight"/>
            </w:pPr>
            <w:r w:rsidRPr="00317C88">
              <w:t>(1,</w:t>
            </w:r>
            <w:r>
              <w:t>170</w:t>
            </w:r>
            <w:r w:rsidRPr="00317C88">
              <w:t>)</w:t>
            </w:r>
          </w:p>
        </w:tc>
        <w:tc>
          <w:tcPr>
            <w:tcW w:w="2126" w:type="dxa"/>
            <w:tcMar>
              <w:top w:w="57" w:type="dxa"/>
              <w:bottom w:w="57" w:type="dxa"/>
            </w:tcMar>
          </w:tcPr>
          <w:p w14:paraId="6B807055" w14:textId="77777777" w:rsidR="00C11331" w:rsidRPr="00317C88" w:rsidRDefault="00C11331" w:rsidP="00630831">
            <w:pPr>
              <w:pStyle w:val="TableTextRight"/>
            </w:pPr>
            <w:r w:rsidRPr="00317C88">
              <w:t>(</w:t>
            </w:r>
            <w:r>
              <w:t>673</w:t>
            </w:r>
            <w:r w:rsidRPr="00317C88">
              <w:t>)</w:t>
            </w:r>
          </w:p>
        </w:tc>
        <w:tc>
          <w:tcPr>
            <w:tcW w:w="1834" w:type="dxa"/>
            <w:tcMar>
              <w:top w:w="57" w:type="dxa"/>
              <w:bottom w:w="57" w:type="dxa"/>
            </w:tcMar>
          </w:tcPr>
          <w:p w14:paraId="396260B8" w14:textId="77777777" w:rsidR="00C11331" w:rsidRPr="00317C88" w:rsidRDefault="00C11331" w:rsidP="00630831">
            <w:pPr>
              <w:pStyle w:val="TableTextRight"/>
            </w:pPr>
            <w:r w:rsidRPr="00317C88">
              <w:t>(</w:t>
            </w:r>
            <w:r>
              <w:t>11</w:t>
            </w:r>
            <w:r w:rsidRPr="00317C88">
              <w:t>)</w:t>
            </w:r>
          </w:p>
        </w:tc>
        <w:tc>
          <w:tcPr>
            <w:tcW w:w="1286" w:type="dxa"/>
            <w:tcMar>
              <w:top w:w="57" w:type="dxa"/>
              <w:bottom w:w="57" w:type="dxa"/>
            </w:tcMar>
          </w:tcPr>
          <w:p w14:paraId="0E2545CB" w14:textId="77777777" w:rsidR="00C11331" w:rsidRPr="00317C88" w:rsidRDefault="00C11331" w:rsidP="00630831">
            <w:pPr>
              <w:pStyle w:val="TableTextRight"/>
            </w:pPr>
            <w:r w:rsidRPr="00317C88">
              <w:t>(1,</w:t>
            </w:r>
            <w:r>
              <w:t>444</w:t>
            </w:r>
            <w:r w:rsidRPr="00317C88">
              <w:t>)</w:t>
            </w:r>
          </w:p>
        </w:tc>
        <w:tc>
          <w:tcPr>
            <w:tcW w:w="1558" w:type="dxa"/>
            <w:tcMar>
              <w:top w:w="57" w:type="dxa"/>
              <w:bottom w:w="57" w:type="dxa"/>
            </w:tcMar>
          </w:tcPr>
          <w:p w14:paraId="46F33325" w14:textId="77777777" w:rsidR="00C11331" w:rsidRPr="00317C88" w:rsidRDefault="00C11331" w:rsidP="00630831">
            <w:pPr>
              <w:pStyle w:val="TableTextRight"/>
            </w:pPr>
            <w:r w:rsidRPr="00317C88">
              <w:t>(3,</w:t>
            </w:r>
            <w:r>
              <w:t>298</w:t>
            </w:r>
            <w:r w:rsidRPr="00317C88">
              <w:t>)</w:t>
            </w:r>
          </w:p>
        </w:tc>
      </w:tr>
      <w:tr w:rsidR="00C11331" w:rsidRPr="00EE0E60" w14:paraId="2547E9A1" w14:textId="77777777" w:rsidTr="00221139">
        <w:trPr>
          <w:trHeight w:val="22"/>
        </w:trPr>
        <w:tc>
          <w:tcPr>
            <w:tcW w:w="4253" w:type="dxa"/>
            <w:tcMar>
              <w:top w:w="57" w:type="dxa"/>
              <w:bottom w:w="57" w:type="dxa"/>
            </w:tcMar>
          </w:tcPr>
          <w:p w14:paraId="79A0A05C"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1 July 202</w:t>
            </w:r>
            <w:r>
              <w:rPr>
                <w:b/>
                <w:bCs/>
              </w:rPr>
              <w:t>3</w:t>
            </w:r>
          </w:p>
        </w:tc>
        <w:tc>
          <w:tcPr>
            <w:tcW w:w="1276" w:type="dxa"/>
            <w:tcMar>
              <w:top w:w="57" w:type="dxa"/>
              <w:bottom w:w="57" w:type="dxa"/>
            </w:tcMar>
          </w:tcPr>
          <w:p w14:paraId="2234ECA0" w14:textId="77777777" w:rsidR="00C11331" w:rsidRPr="00EE0E60" w:rsidRDefault="00C11331" w:rsidP="00630831">
            <w:pPr>
              <w:pStyle w:val="TableTextRight"/>
              <w:rPr>
                <w:b/>
                <w:bCs/>
              </w:rPr>
            </w:pPr>
            <w:r w:rsidRPr="00EE0E60">
              <w:rPr>
                <w:b/>
                <w:bCs/>
              </w:rPr>
              <w:t>3,</w:t>
            </w:r>
            <w:r>
              <w:rPr>
                <w:b/>
                <w:bCs/>
              </w:rPr>
              <w:t>650</w:t>
            </w:r>
          </w:p>
        </w:tc>
        <w:tc>
          <w:tcPr>
            <w:tcW w:w="2126" w:type="dxa"/>
            <w:tcMar>
              <w:top w:w="57" w:type="dxa"/>
              <w:bottom w:w="57" w:type="dxa"/>
            </w:tcMar>
          </w:tcPr>
          <w:p w14:paraId="63666BB2" w14:textId="77777777" w:rsidR="00C11331" w:rsidRPr="00EE0E60" w:rsidRDefault="00C11331" w:rsidP="00630831">
            <w:pPr>
              <w:pStyle w:val="TableTextRight"/>
              <w:rPr>
                <w:b/>
                <w:bCs/>
              </w:rPr>
            </w:pPr>
            <w:r w:rsidRPr="00EE0E60">
              <w:rPr>
                <w:b/>
                <w:bCs/>
              </w:rPr>
              <w:t>1,</w:t>
            </w:r>
            <w:r>
              <w:rPr>
                <w:b/>
                <w:bCs/>
              </w:rPr>
              <w:t>909</w:t>
            </w:r>
          </w:p>
        </w:tc>
        <w:tc>
          <w:tcPr>
            <w:tcW w:w="1834" w:type="dxa"/>
            <w:tcMar>
              <w:top w:w="57" w:type="dxa"/>
              <w:bottom w:w="57" w:type="dxa"/>
            </w:tcMar>
          </w:tcPr>
          <w:p w14:paraId="6B3E86FE" w14:textId="77777777" w:rsidR="00C11331" w:rsidRPr="00EE0E60" w:rsidRDefault="00C11331" w:rsidP="00630831">
            <w:pPr>
              <w:pStyle w:val="TableTextRight"/>
              <w:rPr>
                <w:b/>
                <w:bCs/>
              </w:rPr>
            </w:pPr>
            <w:r w:rsidRPr="00EE0E60">
              <w:rPr>
                <w:b/>
                <w:bCs/>
              </w:rPr>
              <w:t>2</w:t>
            </w:r>
            <w:r>
              <w:rPr>
                <w:b/>
                <w:bCs/>
              </w:rPr>
              <w:t>62</w:t>
            </w:r>
          </w:p>
        </w:tc>
        <w:tc>
          <w:tcPr>
            <w:tcW w:w="1286" w:type="dxa"/>
            <w:tcMar>
              <w:top w:w="57" w:type="dxa"/>
              <w:bottom w:w="57" w:type="dxa"/>
            </w:tcMar>
          </w:tcPr>
          <w:p w14:paraId="58CDBDBA" w14:textId="77777777" w:rsidR="00C11331" w:rsidRPr="00EE0E60" w:rsidRDefault="00C11331" w:rsidP="00630831">
            <w:pPr>
              <w:pStyle w:val="TableTextRight"/>
              <w:rPr>
                <w:b/>
                <w:bCs/>
              </w:rPr>
            </w:pPr>
            <w:r>
              <w:rPr>
                <w:b/>
                <w:bCs/>
              </w:rPr>
              <w:t>252</w:t>
            </w:r>
          </w:p>
        </w:tc>
        <w:tc>
          <w:tcPr>
            <w:tcW w:w="1558" w:type="dxa"/>
            <w:tcMar>
              <w:top w:w="57" w:type="dxa"/>
              <w:bottom w:w="57" w:type="dxa"/>
            </w:tcMar>
          </w:tcPr>
          <w:p w14:paraId="67F4615C" w14:textId="77777777" w:rsidR="00C11331" w:rsidRPr="00EE0E60" w:rsidRDefault="00C11331" w:rsidP="00630831">
            <w:pPr>
              <w:pStyle w:val="TableTextRight"/>
              <w:rPr>
                <w:b/>
                <w:bCs/>
              </w:rPr>
            </w:pPr>
            <w:r>
              <w:rPr>
                <w:b/>
                <w:bCs/>
              </w:rPr>
              <w:t>6,073</w:t>
            </w:r>
          </w:p>
        </w:tc>
      </w:tr>
      <w:tr w:rsidR="00C11331" w:rsidRPr="00317C88" w14:paraId="1A31AF71" w14:textId="77777777" w:rsidTr="00221139">
        <w:tc>
          <w:tcPr>
            <w:tcW w:w="4253" w:type="dxa"/>
            <w:tcMar>
              <w:top w:w="57" w:type="dxa"/>
              <w:bottom w:w="57" w:type="dxa"/>
            </w:tcMar>
          </w:tcPr>
          <w:p w14:paraId="52DA8BD8" w14:textId="77777777" w:rsidR="00C11331" w:rsidRPr="00317C88" w:rsidRDefault="00C11331" w:rsidP="00630831">
            <w:pPr>
              <w:pStyle w:val="TableTextLeft"/>
            </w:pPr>
            <w:r w:rsidRPr="00317C88">
              <w:t>Additions</w:t>
            </w:r>
          </w:p>
        </w:tc>
        <w:tc>
          <w:tcPr>
            <w:tcW w:w="1276" w:type="dxa"/>
            <w:tcMar>
              <w:top w:w="57" w:type="dxa"/>
              <w:bottom w:w="57" w:type="dxa"/>
            </w:tcMar>
          </w:tcPr>
          <w:p w14:paraId="2533CCD0" w14:textId="77777777" w:rsidR="00C11331" w:rsidRPr="00317C88" w:rsidRDefault="00C11331" w:rsidP="00630831">
            <w:pPr>
              <w:pStyle w:val="TableTextRight"/>
            </w:pPr>
          </w:p>
        </w:tc>
        <w:tc>
          <w:tcPr>
            <w:tcW w:w="2126" w:type="dxa"/>
            <w:tcMar>
              <w:top w:w="57" w:type="dxa"/>
              <w:bottom w:w="57" w:type="dxa"/>
            </w:tcMar>
          </w:tcPr>
          <w:p w14:paraId="4F451E41" w14:textId="77777777" w:rsidR="00C11331" w:rsidRPr="00317C88" w:rsidRDefault="00C11331" w:rsidP="00630831">
            <w:pPr>
              <w:pStyle w:val="TableTextRight"/>
            </w:pPr>
          </w:p>
        </w:tc>
        <w:tc>
          <w:tcPr>
            <w:tcW w:w="1834" w:type="dxa"/>
            <w:tcMar>
              <w:top w:w="57" w:type="dxa"/>
              <w:bottom w:w="57" w:type="dxa"/>
            </w:tcMar>
          </w:tcPr>
          <w:p w14:paraId="29A68386" w14:textId="77777777" w:rsidR="00C11331" w:rsidRPr="00317C88" w:rsidRDefault="00C11331" w:rsidP="00630831">
            <w:pPr>
              <w:pStyle w:val="TableTextRight"/>
            </w:pPr>
          </w:p>
        </w:tc>
        <w:tc>
          <w:tcPr>
            <w:tcW w:w="1286" w:type="dxa"/>
            <w:tcMar>
              <w:top w:w="57" w:type="dxa"/>
              <w:bottom w:w="57" w:type="dxa"/>
            </w:tcMar>
          </w:tcPr>
          <w:p w14:paraId="74107256" w14:textId="77777777" w:rsidR="00C11331" w:rsidRPr="00317C88" w:rsidRDefault="00C11331" w:rsidP="00630831">
            <w:pPr>
              <w:pStyle w:val="TableTextRight"/>
            </w:pPr>
          </w:p>
        </w:tc>
        <w:tc>
          <w:tcPr>
            <w:tcW w:w="1558" w:type="dxa"/>
            <w:tcMar>
              <w:top w:w="57" w:type="dxa"/>
              <w:bottom w:w="57" w:type="dxa"/>
            </w:tcMar>
          </w:tcPr>
          <w:p w14:paraId="35FF3219" w14:textId="77777777" w:rsidR="00C11331" w:rsidRPr="00317C88" w:rsidRDefault="00C11331" w:rsidP="00630831">
            <w:pPr>
              <w:pStyle w:val="TableTextRight"/>
            </w:pPr>
          </w:p>
        </w:tc>
      </w:tr>
      <w:tr w:rsidR="00C11331" w:rsidRPr="00317C88" w14:paraId="67E13646" w14:textId="77777777" w:rsidTr="00221139">
        <w:tc>
          <w:tcPr>
            <w:tcW w:w="4253" w:type="dxa"/>
            <w:tcMar>
              <w:top w:w="57" w:type="dxa"/>
              <w:bottom w:w="57" w:type="dxa"/>
            </w:tcMar>
          </w:tcPr>
          <w:p w14:paraId="7F244B07" w14:textId="77777777" w:rsidR="00C11331" w:rsidRPr="00317C88" w:rsidRDefault="00C11331" w:rsidP="00630831">
            <w:pPr>
              <w:pStyle w:val="TableTextLeft"/>
            </w:pPr>
            <w:r w:rsidRPr="00317C88">
              <w:t>Purchase</w:t>
            </w:r>
          </w:p>
        </w:tc>
        <w:tc>
          <w:tcPr>
            <w:tcW w:w="1276" w:type="dxa"/>
            <w:tcMar>
              <w:top w:w="57" w:type="dxa"/>
              <w:bottom w:w="57" w:type="dxa"/>
            </w:tcMar>
          </w:tcPr>
          <w:p w14:paraId="2E5F489A" w14:textId="77777777" w:rsidR="00C11331" w:rsidRPr="00317C88" w:rsidRDefault="00C11331" w:rsidP="00630831">
            <w:pPr>
              <w:pStyle w:val="TableTextRight"/>
            </w:pPr>
            <w:r>
              <w:noBreakHyphen/>
            </w:r>
          </w:p>
        </w:tc>
        <w:tc>
          <w:tcPr>
            <w:tcW w:w="2126" w:type="dxa"/>
            <w:tcMar>
              <w:top w:w="57" w:type="dxa"/>
              <w:bottom w:w="57" w:type="dxa"/>
            </w:tcMar>
          </w:tcPr>
          <w:p w14:paraId="1870F591" w14:textId="77777777" w:rsidR="00C11331" w:rsidRPr="00317C88" w:rsidRDefault="00C11331" w:rsidP="00630831">
            <w:pPr>
              <w:pStyle w:val="TableTextRight"/>
            </w:pPr>
            <w:r>
              <w:t>2</w:t>
            </w:r>
          </w:p>
        </w:tc>
        <w:tc>
          <w:tcPr>
            <w:tcW w:w="1834" w:type="dxa"/>
            <w:tcMar>
              <w:top w:w="57" w:type="dxa"/>
              <w:bottom w:w="57" w:type="dxa"/>
            </w:tcMar>
          </w:tcPr>
          <w:p w14:paraId="4089894D" w14:textId="77777777" w:rsidR="00C11331" w:rsidRPr="00317C88" w:rsidRDefault="00C11331" w:rsidP="00630831">
            <w:pPr>
              <w:pStyle w:val="TableTextRight"/>
            </w:pPr>
            <w:r>
              <w:t>-</w:t>
            </w:r>
          </w:p>
        </w:tc>
        <w:tc>
          <w:tcPr>
            <w:tcW w:w="1286" w:type="dxa"/>
            <w:tcMar>
              <w:top w:w="57" w:type="dxa"/>
              <w:bottom w:w="57" w:type="dxa"/>
            </w:tcMar>
          </w:tcPr>
          <w:p w14:paraId="77652FB4" w14:textId="77777777" w:rsidR="00C11331" w:rsidRPr="00317C88" w:rsidRDefault="00C11331" w:rsidP="00630831">
            <w:pPr>
              <w:pStyle w:val="TableTextRight"/>
            </w:pPr>
            <w:r>
              <w:t>-</w:t>
            </w:r>
          </w:p>
        </w:tc>
        <w:tc>
          <w:tcPr>
            <w:tcW w:w="1558" w:type="dxa"/>
            <w:tcMar>
              <w:top w:w="57" w:type="dxa"/>
              <w:bottom w:w="57" w:type="dxa"/>
            </w:tcMar>
          </w:tcPr>
          <w:p w14:paraId="7FE3F955" w14:textId="77777777" w:rsidR="00C11331" w:rsidRPr="00317C88" w:rsidRDefault="00C11331" w:rsidP="00630831">
            <w:pPr>
              <w:pStyle w:val="TableTextRight"/>
            </w:pPr>
            <w:r>
              <w:t>2</w:t>
            </w:r>
          </w:p>
        </w:tc>
      </w:tr>
      <w:tr w:rsidR="00C11331" w:rsidRPr="00317C88" w14:paraId="2BE057FA" w14:textId="77777777" w:rsidTr="00221139">
        <w:tc>
          <w:tcPr>
            <w:tcW w:w="4253" w:type="dxa"/>
            <w:tcMar>
              <w:top w:w="57" w:type="dxa"/>
              <w:bottom w:w="57" w:type="dxa"/>
            </w:tcMar>
          </w:tcPr>
          <w:p w14:paraId="45EC1A22" w14:textId="77777777" w:rsidR="00C11331" w:rsidRPr="00317C88" w:rsidRDefault="00C11331" w:rsidP="00630831">
            <w:pPr>
              <w:pStyle w:val="TableTextLeft"/>
            </w:pPr>
            <w:r w:rsidRPr="00317C88">
              <w:t>Depreciation and amortisation</w:t>
            </w:r>
          </w:p>
        </w:tc>
        <w:tc>
          <w:tcPr>
            <w:tcW w:w="1276" w:type="dxa"/>
            <w:tcMar>
              <w:top w:w="57" w:type="dxa"/>
              <w:bottom w:w="57" w:type="dxa"/>
            </w:tcMar>
          </w:tcPr>
          <w:p w14:paraId="0DB36A1D" w14:textId="77777777" w:rsidR="00C11331" w:rsidRPr="00317C88" w:rsidRDefault="00C11331" w:rsidP="00630831">
            <w:pPr>
              <w:pStyle w:val="TableTextRight"/>
            </w:pPr>
            <w:r w:rsidRPr="00317C88">
              <w:t>(29</w:t>
            </w:r>
            <w:r>
              <w:t>2</w:t>
            </w:r>
            <w:r w:rsidRPr="00317C88">
              <w:t>)</w:t>
            </w:r>
          </w:p>
        </w:tc>
        <w:tc>
          <w:tcPr>
            <w:tcW w:w="2126" w:type="dxa"/>
            <w:tcMar>
              <w:top w:w="57" w:type="dxa"/>
              <w:bottom w:w="57" w:type="dxa"/>
            </w:tcMar>
          </w:tcPr>
          <w:p w14:paraId="36FA9342" w14:textId="77777777" w:rsidR="00C11331" w:rsidRPr="00317C88" w:rsidRDefault="00C11331" w:rsidP="00630831">
            <w:pPr>
              <w:pStyle w:val="TableTextRight"/>
            </w:pPr>
            <w:r w:rsidRPr="00317C88">
              <w:t>(15</w:t>
            </w:r>
            <w:r>
              <w:t>3</w:t>
            </w:r>
            <w:r w:rsidRPr="00317C88">
              <w:t>)</w:t>
            </w:r>
          </w:p>
        </w:tc>
        <w:tc>
          <w:tcPr>
            <w:tcW w:w="1834" w:type="dxa"/>
            <w:tcMar>
              <w:top w:w="57" w:type="dxa"/>
              <w:bottom w:w="57" w:type="dxa"/>
            </w:tcMar>
          </w:tcPr>
          <w:p w14:paraId="45F011B5" w14:textId="77777777" w:rsidR="00C11331" w:rsidRPr="00317C88" w:rsidRDefault="00C11331" w:rsidP="00630831">
            <w:pPr>
              <w:pStyle w:val="TableTextRight"/>
            </w:pPr>
            <w:r w:rsidRPr="00317C88">
              <w:t>(2</w:t>
            </w:r>
            <w:r>
              <w:t>5</w:t>
            </w:r>
            <w:r w:rsidRPr="00317C88">
              <w:t>)</w:t>
            </w:r>
          </w:p>
        </w:tc>
        <w:tc>
          <w:tcPr>
            <w:tcW w:w="1286" w:type="dxa"/>
            <w:tcMar>
              <w:top w:w="57" w:type="dxa"/>
              <w:bottom w:w="57" w:type="dxa"/>
            </w:tcMar>
          </w:tcPr>
          <w:p w14:paraId="25E43894" w14:textId="77777777" w:rsidR="00C11331" w:rsidRPr="00317C88" w:rsidRDefault="00C11331" w:rsidP="00630831">
            <w:pPr>
              <w:pStyle w:val="TableTextRight"/>
            </w:pPr>
            <w:r w:rsidRPr="00317C88">
              <w:t>(</w:t>
            </w:r>
            <w:r>
              <w:t>180</w:t>
            </w:r>
            <w:r w:rsidRPr="00317C88">
              <w:t>)</w:t>
            </w:r>
          </w:p>
        </w:tc>
        <w:tc>
          <w:tcPr>
            <w:tcW w:w="1558" w:type="dxa"/>
            <w:tcMar>
              <w:top w:w="57" w:type="dxa"/>
              <w:bottom w:w="57" w:type="dxa"/>
            </w:tcMar>
          </w:tcPr>
          <w:p w14:paraId="3F5B47DA" w14:textId="77777777" w:rsidR="00C11331" w:rsidRPr="00317C88" w:rsidRDefault="00C11331" w:rsidP="00630831">
            <w:pPr>
              <w:pStyle w:val="TableTextRight"/>
            </w:pPr>
            <w:r w:rsidRPr="00317C88">
              <w:t>(</w:t>
            </w:r>
            <w:r>
              <w:t>650</w:t>
            </w:r>
            <w:r w:rsidRPr="00317C88">
              <w:t>)</w:t>
            </w:r>
          </w:p>
        </w:tc>
      </w:tr>
      <w:tr w:rsidR="00C11331" w:rsidRPr="00317C88" w14:paraId="3C9FBF66" w14:textId="77777777" w:rsidTr="00221139">
        <w:tc>
          <w:tcPr>
            <w:tcW w:w="4253" w:type="dxa"/>
            <w:tcMar>
              <w:top w:w="57" w:type="dxa"/>
              <w:bottom w:w="57" w:type="dxa"/>
            </w:tcMar>
          </w:tcPr>
          <w:p w14:paraId="589BED3B" w14:textId="77777777" w:rsidR="00C11331" w:rsidRPr="00317C88" w:rsidRDefault="00C11331" w:rsidP="00630831">
            <w:pPr>
              <w:pStyle w:val="TableTextLeft"/>
            </w:pPr>
            <w:r>
              <w:t>Disposals</w:t>
            </w:r>
          </w:p>
        </w:tc>
        <w:tc>
          <w:tcPr>
            <w:tcW w:w="1276" w:type="dxa"/>
            <w:tcMar>
              <w:top w:w="57" w:type="dxa"/>
              <w:bottom w:w="57" w:type="dxa"/>
            </w:tcMar>
          </w:tcPr>
          <w:p w14:paraId="70E8E159" w14:textId="77777777" w:rsidR="00C11331" w:rsidRPr="00317C88" w:rsidRDefault="00C11331" w:rsidP="00630831">
            <w:pPr>
              <w:pStyle w:val="TableTextRight"/>
            </w:pPr>
            <w:r>
              <w:t>-</w:t>
            </w:r>
          </w:p>
        </w:tc>
        <w:tc>
          <w:tcPr>
            <w:tcW w:w="2126" w:type="dxa"/>
            <w:tcMar>
              <w:top w:w="57" w:type="dxa"/>
              <w:bottom w:w="57" w:type="dxa"/>
            </w:tcMar>
          </w:tcPr>
          <w:p w14:paraId="311A0945" w14:textId="77777777" w:rsidR="00C11331" w:rsidRPr="00317C88" w:rsidRDefault="00C11331" w:rsidP="00630831">
            <w:pPr>
              <w:pStyle w:val="TableTextRight"/>
            </w:pPr>
            <w:r>
              <w:t>(2)</w:t>
            </w:r>
          </w:p>
        </w:tc>
        <w:tc>
          <w:tcPr>
            <w:tcW w:w="1834" w:type="dxa"/>
            <w:tcMar>
              <w:top w:w="57" w:type="dxa"/>
              <w:bottom w:w="57" w:type="dxa"/>
            </w:tcMar>
          </w:tcPr>
          <w:p w14:paraId="4EE2724F" w14:textId="77777777" w:rsidR="00C11331" w:rsidRPr="00317C88" w:rsidRDefault="00C11331" w:rsidP="00630831">
            <w:pPr>
              <w:pStyle w:val="TableTextRight"/>
            </w:pPr>
            <w:r>
              <w:t>(6)</w:t>
            </w:r>
          </w:p>
        </w:tc>
        <w:tc>
          <w:tcPr>
            <w:tcW w:w="1286" w:type="dxa"/>
            <w:tcMar>
              <w:top w:w="57" w:type="dxa"/>
              <w:bottom w:w="57" w:type="dxa"/>
            </w:tcMar>
          </w:tcPr>
          <w:p w14:paraId="60481D29" w14:textId="77777777" w:rsidR="00C11331" w:rsidRPr="00317C88" w:rsidRDefault="00C11331" w:rsidP="00630831">
            <w:pPr>
              <w:pStyle w:val="TableTextRight"/>
            </w:pPr>
            <w:r>
              <w:noBreakHyphen/>
            </w:r>
          </w:p>
        </w:tc>
        <w:tc>
          <w:tcPr>
            <w:tcW w:w="1558" w:type="dxa"/>
            <w:tcMar>
              <w:top w:w="57" w:type="dxa"/>
              <w:bottom w:w="57" w:type="dxa"/>
            </w:tcMar>
          </w:tcPr>
          <w:p w14:paraId="49938D47" w14:textId="77777777" w:rsidR="00C11331" w:rsidRPr="00317C88" w:rsidRDefault="00C11331" w:rsidP="00630831">
            <w:pPr>
              <w:pStyle w:val="TableTextRight"/>
            </w:pPr>
            <w:r>
              <w:t>(8)</w:t>
            </w:r>
          </w:p>
        </w:tc>
      </w:tr>
      <w:tr w:rsidR="00C11331" w:rsidRPr="000C21C0" w14:paraId="2D902EB3" w14:textId="77777777" w:rsidTr="00221139">
        <w:tc>
          <w:tcPr>
            <w:tcW w:w="4253" w:type="dxa"/>
            <w:tcMar>
              <w:top w:w="57" w:type="dxa"/>
              <w:bottom w:w="57" w:type="dxa"/>
            </w:tcMar>
          </w:tcPr>
          <w:p w14:paraId="577E8764"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1 July 202</w:t>
            </w:r>
            <w:r>
              <w:rPr>
                <w:b/>
                <w:bCs/>
              </w:rPr>
              <w:t>4</w:t>
            </w:r>
          </w:p>
        </w:tc>
        <w:tc>
          <w:tcPr>
            <w:tcW w:w="1276" w:type="dxa"/>
            <w:tcMar>
              <w:top w:w="57" w:type="dxa"/>
              <w:bottom w:w="57" w:type="dxa"/>
            </w:tcMar>
          </w:tcPr>
          <w:p w14:paraId="2C1CF147" w14:textId="77777777" w:rsidR="00C11331" w:rsidRPr="000C21C0" w:rsidRDefault="00C11331" w:rsidP="00630831">
            <w:pPr>
              <w:pStyle w:val="TableTextRight"/>
              <w:rPr>
                <w:b/>
                <w:bCs/>
              </w:rPr>
            </w:pPr>
            <w:r>
              <w:rPr>
                <w:b/>
                <w:bCs/>
              </w:rPr>
              <w:t>3,358</w:t>
            </w:r>
          </w:p>
        </w:tc>
        <w:tc>
          <w:tcPr>
            <w:tcW w:w="2126" w:type="dxa"/>
            <w:tcMar>
              <w:top w:w="57" w:type="dxa"/>
              <w:bottom w:w="57" w:type="dxa"/>
            </w:tcMar>
          </w:tcPr>
          <w:p w14:paraId="6D61047C" w14:textId="77777777" w:rsidR="00C11331" w:rsidRPr="000C21C0" w:rsidRDefault="00C11331" w:rsidP="00630831">
            <w:pPr>
              <w:pStyle w:val="TableTextRight"/>
              <w:rPr>
                <w:b/>
                <w:bCs/>
              </w:rPr>
            </w:pPr>
            <w:r>
              <w:rPr>
                <w:b/>
                <w:bCs/>
              </w:rPr>
              <w:t>1,756</w:t>
            </w:r>
          </w:p>
        </w:tc>
        <w:tc>
          <w:tcPr>
            <w:tcW w:w="1834" w:type="dxa"/>
            <w:tcMar>
              <w:top w:w="57" w:type="dxa"/>
              <w:bottom w:w="57" w:type="dxa"/>
            </w:tcMar>
          </w:tcPr>
          <w:p w14:paraId="3DF60521" w14:textId="77777777" w:rsidR="00C11331" w:rsidRPr="000C21C0" w:rsidRDefault="00C11331" w:rsidP="00630831">
            <w:pPr>
              <w:pStyle w:val="TableTextRight"/>
              <w:rPr>
                <w:b/>
                <w:bCs/>
              </w:rPr>
            </w:pPr>
            <w:r>
              <w:rPr>
                <w:b/>
                <w:bCs/>
              </w:rPr>
              <w:t>231</w:t>
            </w:r>
          </w:p>
        </w:tc>
        <w:tc>
          <w:tcPr>
            <w:tcW w:w="1286" w:type="dxa"/>
            <w:tcMar>
              <w:top w:w="57" w:type="dxa"/>
              <w:bottom w:w="57" w:type="dxa"/>
            </w:tcMar>
          </w:tcPr>
          <w:p w14:paraId="222F9509" w14:textId="77777777" w:rsidR="00C11331" w:rsidRPr="000C21C0" w:rsidRDefault="00C11331" w:rsidP="00630831">
            <w:pPr>
              <w:pStyle w:val="TableTextRight"/>
              <w:rPr>
                <w:b/>
                <w:bCs/>
              </w:rPr>
            </w:pPr>
            <w:r>
              <w:rPr>
                <w:b/>
                <w:bCs/>
              </w:rPr>
              <w:t>72</w:t>
            </w:r>
          </w:p>
        </w:tc>
        <w:tc>
          <w:tcPr>
            <w:tcW w:w="1558" w:type="dxa"/>
            <w:tcMar>
              <w:top w:w="57" w:type="dxa"/>
              <w:bottom w:w="57" w:type="dxa"/>
            </w:tcMar>
          </w:tcPr>
          <w:p w14:paraId="16755024" w14:textId="77777777" w:rsidR="00C11331" w:rsidRPr="000C21C0" w:rsidRDefault="00C11331" w:rsidP="00630831">
            <w:pPr>
              <w:pStyle w:val="TableTextRight"/>
              <w:rPr>
                <w:b/>
                <w:bCs/>
              </w:rPr>
            </w:pPr>
            <w:r w:rsidRPr="000C21C0">
              <w:rPr>
                <w:b/>
                <w:bCs/>
              </w:rPr>
              <w:t>5,</w:t>
            </w:r>
            <w:r>
              <w:rPr>
                <w:b/>
                <w:bCs/>
              </w:rPr>
              <w:t>417</w:t>
            </w:r>
          </w:p>
        </w:tc>
      </w:tr>
      <w:tr w:rsidR="00C11331" w:rsidRPr="00317C88" w14:paraId="119320A4" w14:textId="77777777" w:rsidTr="00221139">
        <w:tc>
          <w:tcPr>
            <w:tcW w:w="4253" w:type="dxa"/>
            <w:tcMar>
              <w:top w:w="57" w:type="dxa"/>
              <w:bottom w:w="57" w:type="dxa"/>
            </w:tcMar>
          </w:tcPr>
          <w:p w14:paraId="0F5C56A8"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30 June 202</w:t>
            </w:r>
            <w:r>
              <w:rPr>
                <w:b/>
                <w:bCs/>
              </w:rPr>
              <w:t>4</w:t>
            </w:r>
            <w:r w:rsidRPr="00EE0E60">
              <w:rPr>
                <w:b/>
                <w:bCs/>
              </w:rPr>
              <w:t xml:space="preserve"> represented by</w:t>
            </w:r>
          </w:p>
        </w:tc>
        <w:tc>
          <w:tcPr>
            <w:tcW w:w="1276" w:type="dxa"/>
            <w:tcMar>
              <w:top w:w="57" w:type="dxa"/>
              <w:bottom w:w="57" w:type="dxa"/>
            </w:tcMar>
          </w:tcPr>
          <w:p w14:paraId="64752566" w14:textId="77777777" w:rsidR="00C11331" w:rsidRPr="00317C88" w:rsidRDefault="00C11331" w:rsidP="00630831">
            <w:pPr>
              <w:pStyle w:val="TableTextRight"/>
            </w:pPr>
          </w:p>
        </w:tc>
        <w:tc>
          <w:tcPr>
            <w:tcW w:w="2126" w:type="dxa"/>
            <w:tcMar>
              <w:top w:w="57" w:type="dxa"/>
              <w:bottom w:w="57" w:type="dxa"/>
            </w:tcMar>
          </w:tcPr>
          <w:p w14:paraId="7D28A6FF" w14:textId="77777777" w:rsidR="00C11331" w:rsidRPr="00317C88" w:rsidRDefault="00C11331" w:rsidP="00630831">
            <w:pPr>
              <w:pStyle w:val="TableTextRight"/>
            </w:pPr>
          </w:p>
        </w:tc>
        <w:tc>
          <w:tcPr>
            <w:tcW w:w="1834" w:type="dxa"/>
            <w:tcMar>
              <w:top w:w="57" w:type="dxa"/>
              <w:bottom w:w="57" w:type="dxa"/>
            </w:tcMar>
          </w:tcPr>
          <w:p w14:paraId="1B9B88E3" w14:textId="77777777" w:rsidR="00C11331" w:rsidRPr="00317C88" w:rsidRDefault="00C11331" w:rsidP="00630831">
            <w:pPr>
              <w:pStyle w:val="TableTextRight"/>
            </w:pPr>
          </w:p>
        </w:tc>
        <w:tc>
          <w:tcPr>
            <w:tcW w:w="1286" w:type="dxa"/>
            <w:tcMar>
              <w:top w:w="57" w:type="dxa"/>
              <w:bottom w:w="57" w:type="dxa"/>
            </w:tcMar>
          </w:tcPr>
          <w:p w14:paraId="38DF36DF" w14:textId="77777777" w:rsidR="00C11331" w:rsidRPr="00317C88" w:rsidRDefault="00C11331" w:rsidP="00630831">
            <w:pPr>
              <w:pStyle w:val="TableTextRight"/>
            </w:pPr>
          </w:p>
        </w:tc>
        <w:tc>
          <w:tcPr>
            <w:tcW w:w="1558" w:type="dxa"/>
            <w:tcMar>
              <w:top w:w="57" w:type="dxa"/>
              <w:bottom w:w="57" w:type="dxa"/>
            </w:tcMar>
          </w:tcPr>
          <w:p w14:paraId="6648CAA6" w14:textId="77777777" w:rsidR="00C11331" w:rsidRPr="00317C88" w:rsidRDefault="00C11331" w:rsidP="00630831">
            <w:pPr>
              <w:pStyle w:val="TableTextRight"/>
            </w:pPr>
          </w:p>
        </w:tc>
      </w:tr>
      <w:tr w:rsidR="00C11331" w:rsidRPr="00317C88" w14:paraId="47DD6ED4" w14:textId="77777777" w:rsidTr="00221139">
        <w:tc>
          <w:tcPr>
            <w:tcW w:w="4253" w:type="dxa"/>
            <w:tcMar>
              <w:top w:w="57" w:type="dxa"/>
              <w:bottom w:w="57" w:type="dxa"/>
            </w:tcMar>
          </w:tcPr>
          <w:p w14:paraId="5458015A" w14:textId="77777777" w:rsidR="00C11331" w:rsidRPr="00317C88" w:rsidRDefault="00C11331" w:rsidP="00630831">
            <w:pPr>
              <w:pStyle w:val="TableTextLeft"/>
            </w:pPr>
            <w:r w:rsidRPr="00317C88">
              <w:t>Gross book value</w:t>
            </w:r>
          </w:p>
        </w:tc>
        <w:tc>
          <w:tcPr>
            <w:tcW w:w="1276" w:type="dxa"/>
            <w:tcMar>
              <w:top w:w="57" w:type="dxa"/>
              <w:bottom w:w="57" w:type="dxa"/>
            </w:tcMar>
          </w:tcPr>
          <w:p w14:paraId="4F38C85D" w14:textId="77777777" w:rsidR="00C11331" w:rsidRPr="00317C88" w:rsidRDefault="00C11331" w:rsidP="00630831">
            <w:pPr>
              <w:pStyle w:val="TableTextRight"/>
            </w:pPr>
            <w:r w:rsidRPr="00317C88">
              <w:t>4,</w:t>
            </w:r>
            <w:r>
              <w:t>820</w:t>
            </w:r>
          </w:p>
        </w:tc>
        <w:tc>
          <w:tcPr>
            <w:tcW w:w="2126" w:type="dxa"/>
            <w:tcMar>
              <w:top w:w="57" w:type="dxa"/>
              <w:bottom w:w="57" w:type="dxa"/>
            </w:tcMar>
          </w:tcPr>
          <w:p w14:paraId="506B7C7D" w14:textId="77777777" w:rsidR="00C11331" w:rsidRPr="00317C88" w:rsidRDefault="00C11331" w:rsidP="00630831">
            <w:pPr>
              <w:pStyle w:val="TableTextRight"/>
            </w:pPr>
            <w:r w:rsidRPr="00317C88">
              <w:t>2,582</w:t>
            </w:r>
          </w:p>
        </w:tc>
        <w:tc>
          <w:tcPr>
            <w:tcW w:w="1834" w:type="dxa"/>
            <w:tcMar>
              <w:top w:w="57" w:type="dxa"/>
              <w:bottom w:w="57" w:type="dxa"/>
            </w:tcMar>
          </w:tcPr>
          <w:p w14:paraId="4693A60B" w14:textId="77777777" w:rsidR="00C11331" w:rsidRPr="00317C88" w:rsidRDefault="00C11331" w:rsidP="00630831">
            <w:pPr>
              <w:pStyle w:val="TableTextRight"/>
            </w:pPr>
            <w:r>
              <w:t>264</w:t>
            </w:r>
          </w:p>
        </w:tc>
        <w:tc>
          <w:tcPr>
            <w:tcW w:w="1286" w:type="dxa"/>
            <w:tcMar>
              <w:top w:w="57" w:type="dxa"/>
              <w:bottom w:w="57" w:type="dxa"/>
            </w:tcMar>
          </w:tcPr>
          <w:p w14:paraId="2955DDA6" w14:textId="77777777" w:rsidR="00C11331" w:rsidRPr="00317C88" w:rsidRDefault="00C11331" w:rsidP="00630831">
            <w:pPr>
              <w:pStyle w:val="TableTextRight"/>
            </w:pPr>
            <w:r w:rsidRPr="00317C88">
              <w:t>1,</w:t>
            </w:r>
            <w:r>
              <w:t>696</w:t>
            </w:r>
          </w:p>
        </w:tc>
        <w:tc>
          <w:tcPr>
            <w:tcW w:w="1558" w:type="dxa"/>
            <w:tcMar>
              <w:top w:w="57" w:type="dxa"/>
              <w:bottom w:w="57" w:type="dxa"/>
            </w:tcMar>
          </w:tcPr>
          <w:p w14:paraId="5E24E120" w14:textId="77777777" w:rsidR="00C11331" w:rsidRPr="00317C88" w:rsidRDefault="00C11331" w:rsidP="00630831">
            <w:pPr>
              <w:pStyle w:val="TableTextRight"/>
            </w:pPr>
            <w:r w:rsidRPr="00317C88">
              <w:t>9,</w:t>
            </w:r>
            <w:r>
              <w:t>362</w:t>
            </w:r>
          </w:p>
        </w:tc>
      </w:tr>
      <w:tr w:rsidR="00C11331" w:rsidRPr="00317C88" w14:paraId="3C166E7B" w14:textId="77777777" w:rsidTr="00221139">
        <w:tc>
          <w:tcPr>
            <w:tcW w:w="4253" w:type="dxa"/>
            <w:tcMar>
              <w:top w:w="57" w:type="dxa"/>
              <w:bottom w:w="57" w:type="dxa"/>
            </w:tcMar>
          </w:tcPr>
          <w:p w14:paraId="14F18B91" w14:textId="77777777" w:rsidR="00C11331" w:rsidRPr="00317C88" w:rsidRDefault="00C11331" w:rsidP="00630831">
            <w:pPr>
              <w:pStyle w:val="TableTextLeft"/>
            </w:pPr>
            <w:r w:rsidRPr="00317C88">
              <w:t>Accumulated depreciation, amortisation and impairment</w:t>
            </w:r>
          </w:p>
        </w:tc>
        <w:tc>
          <w:tcPr>
            <w:tcW w:w="1276" w:type="dxa"/>
            <w:tcMar>
              <w:top w:w="57" w:type="dxa"/>
              <w:bottom w:w="57" w:type="dxa"/>
            </w:tcMar>
          </w:tcPr>
          <w:p w14:paraId="1183F745" w14:textId="77777777" w:rsidR="00C11331" w:rsidRPr="00317C88" w:rsidRDefault="00C11331" w:rsidP="00630831">
            <w:pPr>
              <w:pStyle w:val="TableTextRight"/>
            </w:pPr>
            <w:r w:rsidRPr="00317C88">
              <w:t>(1,</w:t>
            </w:r>
            <w:r>
              <w:t>462</w:t>
            </w:r>
            <w:r w:rsidRPr="00317C88">
              <w:t>)</w:t>
            </w:r>
          </w:p>
        </w:tc>
        <w:tc>
          <w:tcPr>
            <w:tcW w:w="2126" w:type="dxa"/>
            <w:tcMar>
              <w:top w:w="57" w:type="dxa"/>
              <w:bottom w:w="57" w:type="dxa"/>
            </w:tcMar>
          </w:tcPr>
          <w:p w14:paraId="0EB1D162" w14:textId="77777777" w:rsidR="00C11331" w:rsidRPr="00317C88" w:rsidRDefault="00C11331" w:rsidP="00630831">
            <w:pPr>
              <w:pStyle w:val="TableTextRight"/>
            </w:pPr>
            <w:r w:rsidRPr="00317C88">
              <w:t>(</w:t>
            </w:r>
            <w:r>
              <w:t>826</w:t>
            </w:r>
            <w:r w:rsidRPr="00317C88">
              <w:t>)</w:t>
            </w:r>
          </w:p>
        </w:tc>
        <w:tc>
          <w:tcPr>
            <w:tcW w:w="1834" w:type="dxa"/>
            <w:tcMar>
              <w:top w:w="57" w:type="dxa"/>
              <w:bottom w:w="57" w:type="dxa"/>
            </w:tcMar>
          </w:tcPr>
          <w:p w14:paraId="56BA62BC" w14:textId="77777777" w:rsidR="00C11331" w:rsidRPr="00317C88" w:rsidRDefault="00C11331" w:rsidP="00630831">
            <w:pPr>
              <w:pStyle w:val="TableTextRight"/>
            </w:pPr>
            <w:r w:rsidRPr="00317C88">
              <w:t>(</w:t>
            </w:r>
            <w:r>
              <w:t>33)</w:t>
            </w:r>
          </w:p>
        </w:tc>
        <w:tc>
          <w:tcPr>
            <w:tcW w:w="1286" w:type="dxa"/>
            <w:tcMar>
              <w:top w:w="57" w:type="dxa"/>
              <w:bottom w:w="57" w:type="dxa"/>
            </w:tcMar>
          </w:tcPr>
          <w:p w14:paraId="476AA0BC" w14:textId="77777777" w:rsidR="00C11331" w:rsidRPr="00317C88" w:rsidRDefault="00C11331" w:rsidP="00630831">
            <w:pPr>
              <w:pStyle w:val="TableTextRight"/>
            </w:pPr>
            <w:r w:rsidRPr="00317C88">
              <w:t>(1,</w:t>
            </w:r>
            <w:r>
              <w:t>624</w:t>
            </w:r>
            <w:r w:rsidRPr="00317C88">
              <w:t>)</w:t>
            </w:r>
          </w:p>
        </w:tc>
        <w:tc>
          <w:tcPr>
            <w:tcW w:w="1558" w:type="dxa"/>
            <w:tcMar>
              <w:top w:w="57" w:type="dxa"/>
              <w:bottom w:w="57" w:type="dxa"/>
            </w:tcMar>
          </w:tcPr>
          <w:p w14:paraId="60A52F5A" w14:textId="77777777" w:rsidR="00C11331" w:rsidRPr="00317C88" w:rsidRDefault="00C11331" w:rsidP="00630831">
            <w:pPr>
              <w:pStyle w:val="TableTextRight"/>
            </w:pPr>
            <w:r w:rsidRPr="00317C88">
              <w:t>(</w:t>
            </w:r>
            <w:r>
              <w:t>3,945</w:t>
            </w:r>
            <w:r w:rsidRPr="00317C88">
              <w:t>)</w:t>
            </w:r>
          </w:p>
        </w:tc>
      </w:tr>
      <w:tr w:rsidR="00C11331" w:rsidRPr="000C21C0" w14:paraId="41E2B192" w14:textId="77777777" w:rsidTr="00221139">
        <w:tc>
          <w:tcPr>
            <w:tcW w:w="4253" w:type="dxa"/>
            <w:tcMar>
              <w:top w:w="57" w:type="dxa"/>
              <w:bottom w:w="57" w:type="dxa"/>
            </w:tcMar>
          </w:tcPr>
          <w:p w14:paraId="439935E8" w14:textId="77777777" w:rsidR="00C11331" w:rsidRPr="00EE0E60" w:rsidRDefault="00C11331" w:rsidP="00630831">
            <w:pPr>
              <w:pStyle w:val="TableTextLeft"/>
              <w:rPr>
                <w:b/>
                <w:bCs/>
              </w:rPr>
            </w:pPr>
            <w:r w:rsidRPr="00EE0E60">
              <w:rPr>
                <w:b/>
                <w:bCs/>
              </w:rPr>
              <w:t xml:space="preserve">Total as </w:t>
            </w:r>
            <w:proofErr w:type="gramStart"/>
            <w:r w:rsidRPr="00EE0E60">
              <w:rPr>
                <w:b/>
                <w:bCs/>
              </w:rPr>
              <w:t>at</w:t>
            </w:r>
            <w:proofErr w:type="gramEnd"/>
            <w:r w:rsidRPr="00EE0E60">
              <w:rPr>
                <w:b/>
                <w:bCs/>
              </w:rPr>
              <w:t xml:space="preserve"> 30 June 202</w:t>
            </w:r>
            <w:r>
              <w:rPr>
                <w:b/>
                <w:bCs/>
              </w:rPr>
              <w:t>4</w:t>
            </w:r>
          </w:p>
        </w:tc>
        <w:tc>
          <w:tcPr>
            <w:tcW w:w="1276" w:type="dxa"/>
            <w:tcMar>
              <w:top w:w="57" w:type="dxa"/>
              <w:bottom w:w="57" w:type="dxa"/>
            </w:tcMar>
          </w:tcPr>
          <w:p w14:paraId="67B5DB39" w14:textId="77777777" w:rsidR="00C11331" w:rsidRPr="000C21C0" w:rsidRDefault="00C11331" w:rsidP="00630831">
            <w:pPr>
              <w:pStyle w:val="TableTextRight"/>
              <w:rPr>
                <w:b/>
                <w:bCs/>
              </w:rPr>
            </w:pPr>
            <w:r>
              <w:rPr>
                <w:b/>
                <w:bCs/>
              </w:rPr>
              <w:t>3,358</w:t>
            </w:r>
          </w:p>
        </w:tc>
        <w:tc>
          <w:tcPr>
            <w:tcW w:w="2126" w:type="dxa"/>
            <w:tcMar>
              <w:top w:w="57" w:type="dxa"/>
              <w:bottom w:w="57" w:type="dxa"/>
            </w:tcMar>
          </w:tcPr>
          <w:p w14:paraId="46A800A9" w14:textId="77777777" w:rsidR="00C11331" w:rsidRPr="000C21C0" w:rsidRDefault="00C11331" w:rsidP="00630831">
            <w:pPr>
              <w:pStyle w:val="TableTextRight"/>
              <w:rPr>
                <w:b/>
                <w:bCs/>
              </w:rPr>
            </w:pPr>
            <w:r w:rsidRPr="000C21C0">
              <w:rPr>
                <w:b/>
                <w:bCs/>
              </w:rPr>
              <w:t>1,</w:t>
            </w:r>
            <w:r>
              <w:rPr>
                <w:b/>
                <w:bCs/>
              </w:rPr>
              <w:t>756</w:t>
            </w:r>
          </w:p>
        </w:tc>
        <w:tc>
          <w:tcPr>
            <w:tcW w:w="1834" w:type="dxa"/>
            <w:tcMar>
              <w:top w:w="57" w:type="dxa"/>
              <w:bottom w:w="57" w:type="dxa"/>
            </w:tcMar>
          </w:tcPr>
          <w:p w14:paraId="362E1CE6" w14:textId="77777777" w:rsidR="00C11331" w:rsidRPr="000C21C0" w:rsidRDefault="00C11331" w:rsidP="00630831">
            <w:pPr>
              <w:pStyle w:val="TableTextRight"/>
              <w:rPr>
                <w:b/>
                <w:bCs/>
              </w:rPr>
            </w:pPr>
            <w:r w:rsidRPr="000C21C0">
              <w:rPr>
                <w:b/>
                <w:bCs/>
              </w:rPr>
              <w:t>2</w:t>
            </w:r>
            <w:r>
              <w:rPr>
                <w:b/>
                <w:bCs/>
              </w:rPr>
              <w:t>3</w:t>
            </w:r>
            <w:r w:rsidRPr="000C21C0">
              <w:rPr>
                <w:b/>
                <w:bCs/>
              </w:rPr>
              <w:t>1</w:t>
            </w:r>
          </w:p>
        </w:tc>
        <w:tc>
          <w:tcPr>
            <w:tcW w:w="1286" w:type="dxa"/>
            <w:tcMar>
              <w:top w:w="57" w:type="dxa"/>
              <w:bottom w:w="57" w:type="dxa"/>
            </w:tcMar>
          </w:tcPr>
          <w:p w14:paraId="221784AA" w14:textId="77777777" w:rsidR="00C11331" w:rsidRPr="000C21C0" w:rsidRDefault="00C11331" w:rsidP="00630831">
            <w:pPr>
              <w:pStyle w:val="TableTextRight"/>
              <w:rPr>
                <w:b/>
                <w:bCs/>
              </w:rPr>
            </w:pPr>
            <w:r>
              <w:rPr>
                <w:b/>
                <w:bCs/>
              </w:rPr>
              <w:t>72</w:t>
            </w:r>
          </w:p>
        </w:tc>
        <w:tc>
          <w:tcPr>
            <w:tcW w:w="1558" w:type="dxa"/>
            <w:tcMar>
              <w:top w:w="57" w:type="dxa"/>
              <w:bottom w:w="57" w:type="dxa"/>
            </w:tcMar>
          </w:tcPr>
          <w:p w14:paraId="7B4930D1" w14:textId="77777777" w:rsidR="00C11331" w:rsidRPr="000C21C0" w:rsidRDefault="00C11331" w:rsidP="00630831">
            <w:pPr>
              <w:pStyle w:val="TableTextRight"/>
              <w:rPr>
                <w:b/>
                <w:bCs/>
              </w:rPr>
            </w:pPr>
            <w:r w:rsidRPr="000C21C0">
              <w:rPr>
                <w:b/>
                <w:bCs/>
              </w:rPr>
              <w:t>5,</w:t>
            </w:r>
            <w:r>
              <w:rPr>
                <w:b/>
                <w:bCs/>
              </w:rPr>
              <w:t>417</w:t>
            </w:r>
          </w:p>
        </w:tc>
      </w:tr>
      <w:tr w:rsidR="00C11331" w:rsidRPr="000C21C0" w14:paraId="3E93816B" w14:textId="77777777" w:rsidTr="00221139">
        <w:tc>
          <w:tcPr>
            <w:tcW w:w="4253" w:type="dxa"/>
            <w:tcMar>
              <w:top w:w="57" w:type="dxa"/>
              <w:bottom w:w="57" w:type="dxa"/>
            </w:tcMar>
          </w:tcPr>
          <w:p w14:paraId="30C2FA64" w14:textId="77777777" w:rsidR="00C11331" w:rsidRPr="00EE0E60" w:rsidRDefault="00C11331" w:rsidP="00630831">
            <w:pPr>
              <w:pStyle w:val="TableTextLeft"/>
              <w:rPr>
                <w:b/>
                <w:bCs/>
              </w:rPr>
            </w:pPr>
            <w:r w:rsidRPr="00EE0E60">
              <w:rPr>
                <w:b/>
                <w:bCs/>
              </w:rPr>
              <w:t>Carrying amount of right of use assets</w:t>
            </w:r>
          </w:p>
        </w:tc>
        <w:tc>
          <w:tcPr>
            <w:tcW w:w="1276" w:type="dxa"/>
            <w:tcMar>
              <w:top w:w="57" w:type="dxa"/>
              <w:bottom w:w="57" w:type="dxa"/>
            </w:tcMar>
          </w:tcPr>
          <w:p w14:paraId="430CABB0" w14:textId="77777777" w:rsidR="00C11331" w:rsidRPr="000C21C0" w:rsidRDefault="00C11331" w:rsidP="00630831">
            <w:pPr>
              <w:pStyle w:val="TableTextRight"/>
              <w:rPr>
                <w:b/>
                <w:bCs/>
              </w:rPr>
            </w:pPr>
            <w:r>
              <w:rPr>
                <w:b/>
                <w:bCs/>
              </w:rPr>
              <w:t>3,358</w:t>
            </w:r>
          </w:p>
        </w:tc>
        <w:tc>
          <w:tcPr>
            <w:tcW w:w="2126" w:type="dxa"/>
            <w:tcMar>
              <w:top w:w="57" w:type="dxa"/>
              <w:bottom w:w="57" w:type="dxa"/>
            </w:tcMar>
          </w:tcPr>
          <w:p w14:paraId="58236537" w14:textId="77777777" w:rsidR="00C11331" w:rsidRPr="000C21C0" w:rsidRDefault="00C11331" w:rsidP="00630831">
            <w:pPr>
              <w:pStyle w:val="TableTextRight"/>
              <w:rPr>
                <w:b/>
                <w:bCs/>
              </w:rPr>
            </w:pPr>
            <w:r w:rsidRPr="000C21C0">
              <w:rPr>
                <w:b/>
                <w:bCs/>
              </w:rPr>
              <w:noBreakHyphen/>
            </w:r>
          </w:p>
        </w:tc>
        <w:tc>
          <w:tcPr>
            <w:tcW w:w="1834" w:type="dxa"/>
            <w:tcMar>
              <w:top w:w="57" w:type="dxa"/>
              <w:bottom w:w="57" w:type="dxa"/>
            </w:tcMar>
          </w:tcPr>
          <w:p w14:paraId="60EEC67F" w14:textId="77777777" w:rsidR="00C11331" w:rsidRPr="000C21C0" w:rsidRDefault="00C11331" w:rsidP="00630831">
            <w:pPr>
              <w:pStyle w:val="TableTextRight"/>
              <w:rPr>
                <w:b/>
                <w:bCs/>
              </w:rPr>
            </w:pPr>
            <w:r w:rsidRPr="000C21C0">
              <w:rPr>
                <w:b/>
                <w:bCs/>
              </w:rPr>
              <w:noBreakHyphen/>
            </w:r>
          </w:p>
        </w:tc>
        <w:tc>
          <w:tcPr>
            <w:tcW w:w="1286" w:type="dxa"/>
            <w:tcMar>
              <w:top w:w="57" w:type="dxa"/>
              <w:bottom w:w="57" w:type="dxa"/>
            </w:tcMar>
          </w:tcPr>
          <w:p w14:paraId="4341D5F8" w14:textId="77777777" w:rsidR="00C11331" w:rsidRPr="000C21C0" w:rsidRDefault="00C11331" w:rsidP="00630831">
            <w:pPr>
              <w:pStyle w:val="TableTextRight"/>
              <w:rPr>
                <w:b/>
                <w:bCs/>
              </w:rPr>
            </w:pPr>
            <w:r w:rsidRPr="000C21C0">
              <w:rPr>
                <w:b/>
                <w:bCs/>
              </w:rPr>
              <w:noBreakHyphen/>
            </w:r>
          </w:p>
        </w:tc>
        <w:tc>
          <w:tcPr>
            <w:tcW w:w="1558" w:type="dxa"/>
            <w:tcMar>
              <w:top w:w="57" w:type="dxa"/>
              <w:bottom w:w="57" w:type="dxa"/>
            </w:tcMar>
          </w:tcPr>
          <w:p w14:paraId="4FBA7125" w14:textId="77777777" w:rsidR="00C11331" w:rsidRPr="000C21C0" w:rsidRDefault="00C11331" w:rsidP="00630831">
            <w:pPr>
              <w:pStyle w:val="TableTextRight"/>
              <w:rPr>
                <w:b/>
                <w:bCs/>
              </w:rPr>
            </w:pPr>
            <w:r w:rsidRPr="000C21C0">
              <w:rPr>
                <w:b/>
                <w:bCs/>
              </w:rPr>
              <w:t>3,</w:t>
            </w:r>
            <w:r>
              <w:rPr>
                <w:b/>
                <w:bCs/>
              </w:rPr>
              <w:t>358</w:t>
            </w:r>
          </w:p>
        </w:tc>
      </w:tr>
    </w:tbl>
    <w:p w14:paraId="2752C308" w14:textId="5F22BFCC" w:rsidR="00C11331" w:rsidRDefault="00C11331" w:rsidP="00C11331">
      <w:pPr>
        <w:spacing w:after="0" w:line="240" w:lineRule="auto"/>
        <w:rPr>
          <w:rFonts w:eastAsiaTheme="majorEastAsia"/>
        </w:rPr>
        <w:sectPr w:rsidR="00C11331" w:rsidSect="005A2702">
          <w:headerReference w:type="even" r:id="rId142"/>
          <w:footerReference w:type="even" r:id="rId143"/>
          <w:pgSz w:w="16840" w:h="11907" w:code="9"/>
          <w:pgMar w:top="2098" w:right="2835" w:bottom="2098" w:left="2466" w:header="1531" w:footer="1531" w:gutter="0"/>
          <w:cols w:space="708"/>
          <w:docGrid w:linePitch="360"/>
        </w:sectPr>
      </w:pP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C11331" w14:paraId="1C94228A" w14:textId="77777777" w:rsidTr="00630831">
        <w:tc>
          <w:tcPr>
            <w:tcW w:w="7700" w:type="dxa"/>
            <w:tcBorders>
              <w:bottom w:val="single" w:sz="24" w:space="0" w:color="472978" w:themeColor="accent1"/>
            </w:tcBorders>
            <w:shd w:val="clear" w:color="auto" w:fill="E7DCF7" w:themeFill="text2" w:themeFillTint="1A"/>
          </w:tcPr>
          <w:p w14:paraId="38460DF4" w14:textId="77777777" w:rsidR="00C11331" w:rsidRDefault="00C11331" w:rsidP="0002069B">
            <w:pPr>
              <w:pStyle w:val="Boxheading"/>
            </w:pPr>
            <w:r w:rsidRPr="00752FFA">
              <w:lastRenderedPageBreak/>
              <w:t>Accounting policy</w:t>
            </w:r>
          </w:p>
          <w:p w14:paraId="72921923" w14:textId="77777777" w:rsidR="00C11331" w:rsidRPr="00752FFA" w:rsidRDefault="00C11331" w:rsidP="00630831">
            <w:pPr>
              <w:pStyle w:val="BoxText"/>
            </w:pPr>
            <w:r w:rsidRPr="00752FFA">
              <w:t>Assets are recorded at cost on acquisition except as stated below. The cost of acquisition includes the fair value of assets transferred in exchange and liabilities undertaken. Assets are initially measured at their fair value plus transaction costs where appropriate.</w:t>
            </w:r>
          </w:p>
          <w:p w14:paraId="598F8C73" w14:textId="77777777" w:rsidR="00C11331" w:rsidRDefault="00C11331" w:rsidP="00630831">
            <w:pPr>
              <w:pStyle w:val="BoxText"/>
            </w:pPr>
            <w:r w:rsidRPr="00752FFA">
              <w:t xml:space="preserve">Assets acquired at no cost, or for nominal consideration, are initially recognised as assets and income at their fair value at the date of acquisition, unless acquired </w:t>
            </w:r>
            <w:proofErr w:type="gramStart"/>
            <w:r w:rsidRPr="00752FFA">
              <w:t>as a consequence of</w:t>
            </w:r>
            <w:proofErr w:type="gramEnd"/>
            <w:r w:rsidRPr="00752FFA">
              <w:t xml:space="preserve"> restructuring of administrative arrangements. In the latter case, assets are initially recognised as contributions by owners at the amounts at which they are recognised in the transferor’s accounts immediately prior to the restructuring.</w:t>
            </w:r>
          </w:p>
          <w:p w14:paraId="555722D8" w14:textId="77777777" w:rsidR="0002069B" w:rsidRPr="008B66E5" w:rsidRDefault="0002069B" w:rsidP="008B66E5">
            <w:pPr>
              <w:pStyle w:val="BoxSecondHeading"/>
            </w:pPr>
            <w:r w:rsidRPr="008B66E5">
              <w:t xml:space="preserve">Asset recognition threshold </w:t>
            </w:r>
          </w:p>
          <w:p w14:paraId="0AE09037" w14:textId="77777777" w:rsidR="0002069B" w:rsidRDefault="0002069B" w:rsidP="0002069B">
            <w:pPr>
              <w:pStyle w:val="BoxText"/>
            </w:pPr>
            <w:r>
              <w:t xml:space="preserve">Purchases of property, plant and equipment are recognised initially in the statement of financial position, </w:t>
            </w:r>
            <w:r w:rsidRPr="00C36875">
              <w:t>except</w:t>
            </w:r>
            <w:r>
              <w:t xml:space="preserve"> for purchases costing less than the threshold which are expensed in the year of acquisition (other than where they form part of a group of similar items which are significant in total).</w:t>
            </w:r>
          </w:p>
          <w:p w14:paraId="640935FE" w14:textId="77777777" w:rsidR="0002069B" w:rsidRPr="0002069B" w:rsidRDefault="0002069B" w:rsidP="0002069B">
            <w:pPr>
              <w:pStyle w:val="BoxText"/>
            </w:pPr>
            <w:r w:rsidRPr="0002069B">
              <w:t>The asset thresholds are listed under ‘Depreciation’.</w:t>
            </w:r>
          </w:p>
          <w:p w14:paraId="5F5D9319" w14:textId="77777777" w:rsidR="0002069B" w:rsidRDefault="0002069B" w:rsidP="0002069B">
            <w:pPr>
              <w:pStyle w:val="BoxText"/>
            </w:pPr>
            <w:r>
              <w:t xml:space="preserve">The initial cost of an asset includes an estimate of the cost of dismantling and removing the item and </w:t>
            </w:r>
            <w:r w:rsidRPr="00C36875">
              <w:t>restoring</w:t>
            </w:r>
            <w:r>
              <w:t xml:space="preserve"> the site on which it is located. This is particularly relevant to ‘make good’ provisions in leasehold improvements taken up by the AOFM where there exists an obligation to make good. These costs are included in the value of the AOFM’s leasehold improvements with a corresponding provision for the ‘make good’ recognised.</w:t>
            </w:r>
          </w:p>
          <w:p w14:paraId="69CB67B5" w14:textId="77777777" w:rsidR="0002069B" w:rsidRPr="0002069B" w:rsidRDefault="0002069B" w:rsidP="008B66E5">
            <w:pPr>
              <w:pStyle w:val="BoxSecondHeading"/>
            </w:pPr>
            <w:r w:rsidRPr="0002069B">
              <w:t>Leased Right of Use (ROU) Assets</w:t>
            </w:r>
          </w:p>
          <w:p w14:paraId="3B566F3C" w14:textId="77777777" w:rsidR="0002069B" w:rsidRDefault="0002069B" w:rsidP="0002069B">
            <w:pPr>
              <w:pStyle w:val="BoxText"/>
            </w:pPr>
            <w:r>
              <w:t xml:space="preserve">Leased ROU assets are capitalised at the commencement date of the lease and comprise of the initial lease liability amount, initial direct costs incurred when </w:t>
            </w:r>
            <w:proofErr w:type="gramStart"/>
            <w:r>
              <w:t>entering into</w:t>
            </w:r>
            <w:proofErr w:type="gramEnd"/>
            <w:r>
              <w:t xml:space="preserve"> the lease less any lease incentives received. These assets are accounted for as separate asset classes to corresponding assets owned outright but included in the same column where the corresponding assets would be presented if they were owned.</w:t>
            </w:r>
          </w:p>
          <w:p w14:paraId="69DB4933" w14:textId="7DF625FD" w:rsidR="0002069B" w:rsidRPr="006574CB" w:rsidRDefault="0002069B" w:rsidP="0002069B">
            <w:pPr>
              <w:pStyle w:val="BoxText"/>
            </w:pPr>
            <w:r>
              <w:t xml:space="preserve">On initial adoption of AASB 16 the AOFM adjusted the ROU assets at the date of initial application by the amount of any provision for onerous leases recognised immediately before the date of initial application. Following initial application, an impairment review is undertaken for any right of use lease asset that shows indicators of </w:t>
            </w:r>
            <w:proofErr w:type="gramStart"/>
            <w:r>
              <w:t>impairment</w:t>
            </w:r>
            <w:proofErr w:type="gramEnd"/>
            <w:r>
              <w:t xml:space="preserve"> and an impairment loss is recognised against any right of use lease asset that is impaired. Leased ROU assets continue to be measured at cost after initial recognition.</w:t>
            </w:r>
          </w:p>
        </w:tc>
      </w:tr>
    </w:tbl>
    <w:p w14:paraId="79FDC904" w14:textId="77777777" w:rsidR="00C11331" w:rsidRDefault="00C11331" w:rsidP="00C11331"/>
    <w:p w14:paraId="1C384D80" w14:textId="77777777" w:rsidR="00C11331" w:rsidRDefault="00C11331" w:rsidP="00C11331"/>
    <w:p w14:paraId="3701E158" w14:textId="77777777" w:rsidR="00C11331" w:rsidRDefault="00C11331" w:rsidP="00C11331">
      <w:pPr>
        <w:spacing w:after="0" w:line="240" w:lineRule="auto"/>
      </w:pPr>
      <w:r>
        <w:br w:type="page"/>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C11331" w14:paraId="34DCB132" w14:textId="77777777" w:rsidTr="00630831">
        <w:tc>
          <w:tcPr>
            <w:tcW w:w="7700" w:type="dxa"/>
            <w:tcBorders>
              <w:bottom w:val="single" w:sz="24" w:space="0" w:color="472978" w:themeColor="accent1"/>
            </w:tcBorders>
            <w:shd w:val="clear" w:color="auto" w:fill="E7DCF7" w:themeFill="text2" w:themeFillTint="1A"/>
          </w:tcPr>
          <w:p w14:paraId="4CCED853" w14:textId="77777777" w:rsidR="00C11331" w:rsidRPr="0002069B" w:rsidRDefault="00C11331" w:rsidP="008B66E5">
            <w:pPr>
              <w:pStyle w:val="BoxSecondHeading"/>
            </w:pPr>
            <w:r w:rsidRPr="0002069B">
              <w:lastRenderedPageBreak/>
              <w:t>Revaluations</w:t>
            </w:r>
          </w:p>
          <w:p w14:paraId="364DD313" w14:textId="77777777" w:rsidR="00C11331" w:rsidRDefault="00C11331" w:rsidP="00630831">
            <w:pPr>
              <w:pStyle w:val="BoxText"/>
            </w:pPr>
            <w:r>
              <w:t>Following initial recognition at cost, property, plant, and equipment (excluding ROU assets) are carried at fair value (or an amount not materially different from fair value) less subsequent depreciation and accumulated impairment losses. Valuations are conducted with sufficient frequency to ensure that the carrying amounts of assets do not materially differ from the assets’ fair value as at the reporting date. The regularity of independent valuations depended upon the volatility of movements in market values for the relevant assets.</w:t>
            </w:r>
          </w:p>
          <w:p w14:paraId="62A76175" w14:textId="77777777" w:rsidR="00C11331" w:rsidRDefault="00C11331" w:rsidP="00630831">
            <w:pPr>
              <w:pStyle w:val="BoxText"/>
            </w:pPr>
            <w:r>
              <w:t>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w:t>
            </w:r>
          </w:p>
          <w:p w14:paraId="4A52B260" w14:textId="77777777" w:rsidR="00C11331" w:rsidRDefault="00C11331" w:rsidP="00630831">
            <w:pPr>
              <w:pStyle w:val="BoxText"/>
            </w:pPr>
            <w:r>
              <w:t>Revaluation decrements for an asset class are recognised directly in the surplus/deficit except to the extent that they reversed a previous revaluation increment for that class.</w:t>
            </w:r>
          </w:p>
          <w:p w14:paraId="6D2141D6" w14:textId="77777777" w:rsidR="00C11331" w:rsidRDefault="00C11331" w:rsidP="00630831">
            <w:pPr>
              <w:pStyle w:val="BoxText"/>
            </w:pPr>
            <w:r>
              <w:t>Any accumulated depreciation as at the revaluation date is eliminated against the gross carrying amount of the asset and the asset restated to the revalued amount.</w:t>
            </w:r>
          </w:p>
          <w:p w14:paraId="2FE7A0BF" w14:textId="77777777" w:rsidR="0002069B" w:rsidRPr="007D6D82" w:rsidRDefault="0002069B" w:rsidP="008B66E5">
            <w:pPr>
              <w:pStyle w:val="BoxSecondHeading"/>
            </w:pPr>
            <w:r w:rsidRPr="007D6D82">
              <w:t>Intangibles</w:t>
            </w:r>
          </w:p>
          <w:p w14:paraId="11610D57" w14:textId="77777777" w:rsidR="0002069B" w:rsidRDefault="0002069B" w:rsidP="0002069B">
            <w:pPr>
              <w:pStyle w:val="BoxText"/>
            </w:pPr>
            <w:r>
              <w:t xml:space="preserve">Intangible assets comprise of software. Software assets are carried at cost less accumulated amortisation and accumulated impairment losses, except for assets costing less than the relevant asset recognition threshold. All software assets were assessed for indicators of impairment </w:t>
            </w:r>
            <w:proofErr w:type="gramStart"/>
            <w:r>
              <w:t>at</w:t>
            </w:r>
            <w:proofErr w:type="gramEnd"/>
            <w:r>
              <w:t xml:space="preserve"> 30 June 2025.</w:t>
            </w:r>
          </w:p>
          <w:p w14:paraId="3B689E80" w14:textId="77777777" w:rsidR="008B66E5" w:rsidRPr="007D6D82" w:rsidRDefault="008B66E5" w:rsidP="008B66E5">
            <w:pPr>
              <w:pStyle w:val="BoxSecondHeading"/>
            </w:pPr>
            <w:r w:rsidRPr="007D6D82">
              <w:t>Depreciation</w:t>
            </w:r>
          </w:p>
          <w:p w14:paraId="379569D8" w14:textId="77777777" w:rsidR="008B66E5" w:rsidRDefault="008B66E5" w:rsidP="008B66E5">
            <w:pPr>
              <w:pStyle w:val="BoxText"/>
            </w:pPr>
            <w:r>
              <w:t>Depreciable property, plant and equipment assets are written</w:t>
            </w:r>
            <w:r>
              <w:noBreakHyphen/>
              <w:t>off to their estimated useful lives to the AOFM using, in all cases, the straight</w:t>
            </w:r>
            <w:r>
              <w:noBreakHyphen/>
              <w:t>line method of depreciation. Leasehold improvements are amortised on a straight</w:t>
            </w:r>
            <w:r>
              <w:noBreakHyphen/>
              <w:t>line basis over the lesser of the estimated useful life of the improvements and the unexpired period of the lease.</w:t>
            </w:r>
          </w:p>
          <w:p w14:paraId="6191E3CA" w14:textId="75B5232F" w:rsidR="008B66E5" w:rsidRPr="006574CB" w:rsidRDefault="008B66E5" w:rsidP="0002069B">
            <w:pPr>
              <w:pStyle w:val="BoxText"/>
            </w:pPr>
            <w:r>
              <w:t>Depreciation rates (useful lives), residual values and methods are reviewed at each reporting date and necessary adjustments are recognised in the current, or current and future reporting periods, as appropriate. The depreciation rates for ROU assets are based on the commencement date to the earlier of the end of the useful life of the ROU asset or the end of the lease term.</w:t>
            </w:r>
          </w:p>
        </w:tc>
      </w:tr>
    </w:tbl>
    <w:p w14:paraId="1186ABD3" w14:textId="0D5B13AA" w:rsidR="008B66E5" w:rsidRDefault="008B66E5" w:rsidP="00C11331"/>
    <w:p w14:paraId="7A0E25B0" w14:textId="77777777" w:rsidR="008B66E5" w:rsidRDefault="008B66E5">
      <w:pPr>
        <w:spacing w:after="0" w:line="240" w:lineRule="auto"/>
      </w:pPr>
      <w:r>
        <w:br w:type="page"/>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8B66E5" w14:paraId="3F01DE57" w14:textId="77777777" w:rsidTr="004348DF">
        <w:tc>
          <w:tcPr>
            <w:tcW w:w="7700" w:type="dxa"/>
            <w:tcBorders>
              <w:bottom w:val="single" w:sz="24" w:space="0" w:color="472978" w:themeColor="accent1"/>
            </w:tcBorders>
            <w:shd w:val="clear" w:color="auto" w:fill="E7DCF7" w:themeFill="text2" w:themeFillTint="1A"/>
          </w:tcPr>
          <w:p w14:paraId="55032C45" w14:textId="77777777" w:rsidR="008B66E5" w:rsidRDefault="008B66E5" w:rsidP="008B66E5">
            <w:pPr>
              <w:pStyle w:val="BoxText"/>
            </w:pPr>
            <w:r>
              <w:lastRenderedPageBreak/>
              <w:t>Depreciation rates applying to each class of depreciable asset are based on the following useful lives and methods:</w:t>
            </w:r>
          </w:p>
          <w:tbl>
            <w:tblPr>
              <w:tblStyle w:val="AOFMTablemain"/>
              <w:tblW w:w="5000" w:type="pct"/>
              <w:tblLook w:val="06A0" w:firstRow="1" w:lastRow="0" w:firstColumn="1" w:lastColumn="0" w:noHBand="1" w:noVBand="1"/>
            </w:tblPr>
            <w:tblGrid>
              <w:gridCol w:w="1916"/>
              <w:gridCol w:w="1298"/>
              <w:gridCol w:w="1364"/>
              <w:gridCol w:w="1263"/>
              <w:gridCol w:w="1291"/>
            </w:tblGrid>
            <w:tr w:rsidR="008B66E5" w14:paraId="1049A4C4" w14:textId="77777777" w:rsidTr="008B66E5">
              <w:trPr>
                <w:cnfStyle w:val="100000000000" w:firstRow="1" w:lastRow="0" w:firstColumn="0" w:lastColumn="0" w:oddVBand="0" w:evenVBand="0" w:oddHBand="0" w:evenHBand="0" w:firstRowFirstColumn="0" w:firstRowLastColumn="0" w:lastRowFirstColumn="0" w:lastRowLastColumn="0"/>
                <w:cantSplit/>
                <w:trHeight w:val="227"/>
              </w:trPr>
              <w:tc>
                <w:tcPr>
                  <w:tcW w:w="1916" w:type="dxa"/>
                </w:tcPr>
                <w:p w14:paraId="4F8488A4" w14:textId="77777777" w:rsidR="008B66E5" w:rsidRDefault="008B66E5" w:rsidP="008B66E5">
                  <w:pPr>
                    <w:pStyle w:val="TableColumnHeadingRight"/>
                  </w:pPr>
                </w:p>
              </w:tc>
              <w:tc>
                <w:tcPr>
                  <w:tcW w:w="1298" w:type="dxa"/>
                </w:tcPr>
                <w:p w14:paraId="2A7ADF4F" w14:textId="77777777" w:rsidR="008B66E5" w:rsidRPr="00F874BF" w:rsidRDefault="008B66E5" w:rsidP="008B66E5">
                  <w:pPr>
                    <w:pStyle w:val="TableColumnHeadingRight"/>
                    <w:rPr>
                      <w:bCs/>
                    </w:rPr>
                  </w:pPr>
                </w:p>
              </w:tc>
              <w:tc>
                <w:tcPr>
                  <w:tcW w:w="1364" w:type="dxa"/>
                </w:tcPr>
                <w:p w14:paraId="46D5AA79" w14:textId="77777777" w:rsidR="008B66E5" w:rsidRPr="00F874BF" w:rsidRDefault="008B66E5" w:rsidP="008B66E5">
                  <w:pPr>
                    <w:pStyle w:val="TableColumnHeadingRight"/>
                    <w:rPr>
                      <w:bCs/>
                    </w:rPr>
                  </w:pPr>
                  <w:r>
                    <w:rPr>
                      <w:bCs/>
                    </w:rPr>
                    <w:t>Threshold</w:t>
                  </w:r>
                </w:p>
              </w:tc>
              <w:tc>
                <w:tcPr>
                  <w:tcW w:w="1263" w:type="dxa"/>
                </w:tcPr>
                <w:p w14:paraId="0DF9B675" w14:textId="77777777" w:rsidR="008B66E5" w:rsidRPr="00F874BF" w:rsidRDefault="008B66E5" w:rsidP="008B66E5">
                  <w:pPr>
                    <w:pStyle w:val="TableColumnHeadingRight"/>
                    <w:rPr>
                      <w:bCs/>
                    </w:rPr>
                  </w:pPr>
                </w:p>
              </w:tc>
              <w:tc>
                <w:tcPr>
                  <w:tcW w:w="1291" w:type="dxa"/>
                </w:tcPr>
                <w:p w14:paraId="3FD95975" w14:textId="77777777" w:rsidR="008B66E5" w:rsidRPr="00F874BF" w:rsidRDefault="008B66E5" w:rsidP="008B66E5">
                  <w:pPr>
                    <w:pStyle w:val="TableColumnHeadingRight"/>
                    <w:rPr>
                      <w:bCs/>
                    </w:rPr>
                  </w:pPr>
                  <w:r>
                    <w:rPr>
                      <w:bCs/>
                    </w:rPr>
                    <w:t>Useful lives</w:t>
                  </w:r>
                </w:p>
              </w:tc>
            </w:tr>
            <w:tr w:rsidR="008B66E5" w14:paraId="4FE799BD" w14:textId="77777777" w:rsidTr="008B66E5">
              <w:trPr>
                <w:cantSplit/>
                <w:trHeight w:val="227"/>
              </w:trPr>
              <w:tc>
                <w:tcPr>
                  <w:tcW w:w="1916" w:type="dxa"/>
                  <w:shd w:val="clear" w:color="auto" w:fill="FFFFFF" w:themeFill="background1"/>
                </w:tcPr>
                <w:p w14:paraId="74429CB6" w14:textId="77777777" w:rsidR="008B66E5" w:rsidRDefault="008B66E5" w:rsidP="008B66E5">
                  <w:pPr>
                    <w:pStyle w:val="TableTextLeft"/>
                  </w:pPr>
                </w:p>
              </w:tc>
              <w:tc>
                <w:tcPr>
                  <w:tcW w:w="1298" w:type="dxa"/>
                  <w:shd w:val="clear" w:color="auto" w:fill="FFFFFF" w:themeFill="background1"/>
                </w:tcPr>
                <w:p w14:paraId="3A82E415" w14:textId="77777777" w:rsidR="008B66E5" w:rsidRPr="00512DCA" w:rsidRDefault="008B66E5" w:rsidP="008B66E5">
                  <w:pPr>
                    <w:pStyle w:val="TableTextRight"/>
                    <w:rPr>
                      <w:b/>
                      <w:bCs/>
                    </w:rPr>
                  </w:pPr>
                  <w:r w:rsidRPr="00512DCA">
                    <w:rPr>
                      <w:b/>
                      <w:bCs/>
                    </w:rPr>
                    <w:t>2025</w:t>
                  </w:r>
                </w:p>
              </w:tc>
              <w:tc>
                <w:tcPr>
                  <w:tcW w:w="1364" w:type="dxa"/>
                  <w:shd w:val="clear" w:color="auto" w:fill="FFFFFF" w:themeFill="background1"/>
                </w:tcPr>
                <w:p w14:paraId="4A74DE1C" w14:textId="77777777" w:rsidR="008B66E5" w:rsidRPr="00512DCA" w:rsidRDefault="008B66E5" w:rsidP="008B66E5">
                  <w:pPr>
                    <w:pStyle w:val="TableTextRight"/>
                    <w:rPr>
                      <w:b/>
                      <w:bCs/>
                    </w:rPr>
                  </w:pPr>
                  <w:r w:rsidRPr="00512DCA">
                    <w:rPr>
                      <w:b/>
                      <w:bCs/>
                    </w:rPr>
                    <w:t>2024</w:t>
                  </w:r>
                </w:p>
              </w:tc>
              <w:tc>
                <w:tcPr>
                  <w:tcW w:w="1263" w:type="dxa"/>
                  <w:shd w:val="clear" w:color="auto" w:fill="FFFFFF" w:themeFill="background1"/>
                </w:tcPr>
                <w:p w14:paraId="0079A1E8" w14:textId="77777777" w:rsidR="008B66E5" w:rsidRPr="00512DCA" w:rsidRDefault="008B66E5" w:rsidP="008B66E5">
                  <w:pPr>
                    <w:pStyle w:val="TableTextRight"/>
                    <w:rPr>
                      <w:b/>
                      <w:bCs/>
                    </w:rPr>
                  </w:pPr>
                  <w:r w:rsidRPr="00512DCA">
                    <w:rPr>
                      <w:b/>
                      <w:bCs/>
                    </w:rPr>
                    <w:t>2025</w:t>
                  </w:r>
                </w:p>
              </w:tc>
              <w:tc>
                <w:tcPr>
                  <w:tcW w:w="1291" w:type="dxa"/>
                  <w:shd w:val="clear" w:color="auto" w:fill="FFFFFF" w:themeFill="background1"/>
                </w:tcPr>
                <w:p w14:paraId="5544EA91" w14:textId="77777777" w:rsidR="008B66E5" w:rsidRPr="00512DCA" w:rsidRDefault="008B66E5" w:rsidP="008B66E5">
                  <w:pPr>
                    <w:pStyle w:val="TableTextRight"/>
                    <w:rPr>
                      <w:b/>
                      <w:bCs/>
                    </w:rPr>
                  </w:pPr>
                  <w:r w:rsidRPr="00512DCA">
                    <w:rPr>
                      <w:b/>
                      <w:bCs/>
                    </w:rPr>
                    <w:t>2024</w:t>
                  </w:r>
                </w:p>
              </w:tc>
            </w:tr>
            <w:tr w:rsidR="008B66E5" w14:paraId="24A1A4CA" w14:textId="77777777" w:rsidTr="008B66E5">
              <w:trPr>
                <w:cantSplit/>
                <w:trHeight w:val="227"/>
              </w:trPr>
              <w:tc>
                <w:tcPr>
                  <w:tcW w:w="1916" w:type="dxa"/>
                  <w:shd w:val="clear" w:color="auto" w:fill="FFFFFF" w:themeFill="background1"/>
                </w:tcPr>
                <w:p w14:paraId="0301BD88" w14:textId="77777777" w:rsidR="008B66E5" w:rsidRPr="00EC7C71" w:rsidRDefault="008B66E5" w:rsidP="008B66E5">
                  <w:pPr>
                    <w:pStyle w:val="TableTextLeft"/>
                    <w:rPr>
                      <w:bCs/>
                      <w:szCs w:val="16"/>
                    </w:rPr>
                  </w:pPr>
                  <w:r w:rsidRPr="00EC7C71">
                    <w:rPr>
                      <w:bCs/>
                      <w:szCs w:val="16"/>
                    </w:rPr>
                    <w:t>Leasehold improvements</w:t>
                  </w:r>
                </w:p>
              </w:tc>
              <w:tc>
                <w:tcPr>
                  <w:tcW w:w="1298" w:type="dxa"/>
                  <w:shd w:val="clear" w:color="auto" w:fill="FFFFFF" w:themeFill="background1"/>
                </w:tcPr>
                <w:p w14:paraId="74D0C406" w14:textId="77777777" w:rsidR="008B66E5" w:rsidRPr="00411DE3" w:rsidRDefault="008B66E5" w:rsidP="008B66E5">
                  <w:pPr>
                    <w:pStyle w:val="TableTextRight"/>
                    <w:rPr>
                      <w:bCs/>
                    </w:rPr>
                  </w:pPr>
                  <w:r w:rsidRPr="00411DE3">
                    <w:rPr>
                      <w:bCs/>
                    </w:rPr>
                    <w:t>$10,000</w:t>
                  </w:r>
                </w:p>
              </w:tc>
              <w:tc>
                <w:tcPr>
                  <w:tcW w:w="1364" w:type="dxa"/>
                  <w:shd w:val="clear" w:color="auto" w:fill="FFFFFF" w:themeFill="background1"/>
                </w:tcPr>
                <w:p w14:paraId="07FD0E2D" w14:textId="77777777" w:rsidR="008B66E5" w:rsidRPr="006C7FB8" w:rsidRDefault="008B66E5" w:rsidP="008B66E5">
                  <w:pPr>
                    <w:pStyle w:val="TableTextRight"/>
                    <w:rPr>
                      <w:bCs/>
                    </w:rPr>
                  </w:pPr>
                  <w:r w:rsidRPr="00411DE3">
                    <w:rPr>
                      <w:bCs/>
                    </w:rPr>
                    <w:t>$10,000</w:t>
                  </w:r>
                </w:p>
              </w:tc>
              <w:tc>
                <w:tcPr>
                  <w:tcW w:w="1263" w:type="dxa"/>
                  <w:shd w:val="clear" w:color="auto" w:fill="FFFFFF" w:themeFill="background1"/>
                </w:tcPr>
                <w:p w14:paraId="12157F6F" w14:textId="77777777" w:rsidR="008B66E5" w:rsidRPr="00916BFD" w:rsidRDefault="008B66E5" w:rsidP="008B66E5">
                  <w:pPr>
                    <w:pStyle w:val="TableTextRight"/>
                    <w:rPr>
                      <w:bCs/>
                    </w:rPr>
                  </w:pPr>
                  <w:r w:rsidRPr="00916BFD">
                    <w:rPr>
                      <w:bCs/>
                    </w:rPr>
                    <w:t>Lease term</w:t>
                  </w:r>
                </w:p>
              </w:tc>
              <w:tc>
                <w:tcPr>
                  <w:tcW w:w="1291" w:type="dxa"/>
                  <w:shd w:val="clear" w:color="auto" w:fill="FFFFFF" w:themeFill="background1"/>
                </w:tcPr>
                <w:p w14:paraId="5DC689CF" w14:textId="77777777" w:rsidR="008B66E5" w:rsidRPr="006C7FB8" w:rsidRDefault="008B66E5" w:rsidP="008B66E5">
                  <w:pPr>
                    <w:pStyle w:val="TableTextRight"/>
                    <w:rPr>
                      <w:bCs/>
                    </w:rPr>
                  </w:pPr>
                  <w:r w:rsidRPr="00916BFD">
                    <w:rPr>
                      <w:bCs/>
                    </w:rPr>
                    <w:t>Lease term</w:t>
                  </w:r>
                </w:p>
              </w:tc>
            </w:tr>
            <w:tr w:rsidR="008B66E5" w14:paraId="14E5AEC5" w14:textId="77777777" w:rsidTr="008B66E5">
              <w:trPr>
                <w:cantSplit/>
                <w:trHeight w:val="227"/>
              </w:trPr>
              <w:tc>
                <w:tcPr>
                  <w:tcW w:w="1916" w:type="dxa"/>
                  <w:shd w:val="clear" w:color="auto" w:fill="FFFFFF" w:themeFill="background1"/>
                </w:tcPr>
                <w:p w14:paraId="683BA402" w14:textId="77777777" w:rsidR="008B66E5" w:rsidRPr="00EC7C71" w:rsidRDefault="008B66E5" w:rsidP="008B66E5">
                  <w:pPr>
                    <w:pStyle w:val="TableTextLeft"/>
                    <w:rPr>
                      <w:bCs/>
                      <w:szCs w:val="16"/>
                    </w:rPr>
                  </w:pPr>
                  <w:r w:rsidRPr="00EC7C71">
                    <w:rPr>
                      <w:bCs/>
                      <w:szCs w:val="16"/>
                    </w:rPr>
                    <w:t>Furniture and fittings</w:t>
                  </w:r>
                </w:p>
              </w:tc>
              <w:tc>
                <w:tcPr>
                  <w:tcW w:w="1298" w:type="dxa"/>
                  <w:shd w:val="clear" w:color="auto" w:fill="FFFFFF" w:themeFill="background1"/>
                </w:tcPr>
                <w:p w14:paraId="530FDDA2" w14:textId="77777777" w:rsidR="008B66E5" w:rsidRPr="00411DE3" w:rsidRDefault="008B66E5" w:rsidP="008B66E5">
                  <w:pPr>
                    <w:pStyle w:val="TableTextRight"/>
                    <w:rPr>
                      <w:bCs/>
                    </w:rPr>
                  </w:pPr>
                  <w:r w:rsidRPr="00411DE3">
                    <w:rPr>
                      <w:bCs/>
                    </w:rPr>
                    <w:t>$1,000</w:t>
                  </w:r>
                </w:p>
              </w:tc>
              <w:tc>
                <w:tcPr>
                  <w:tcW w:w="1364" w:type="dxa"/>
                  <w:shd w:val="clear" w:color="auto" w:fill="FFFFFF" w:themeFill="background1"/>
                </w:tcPr>
                <w:p w14:paraId="22B661D3" w14:textId="77777777" w:rsidR="008B66E5" w:rsidRPr="006C7FB8" w:rsidRDefault="008B66E5" w:rsidP="008B66E5">
                  <w:pPr>
                    <w:pStyle w:val="TableTextRight"/>
                    <w:rPr>
                      <w:bCs/>
                    </w:rPr>
                  </w:pPr>
                  <w:r w:rsidRPr="00411DE3">
                    <w:rPr>
                      <w:bCs/>
                    </w:rPr>
                    <w:t>$1,000</w:t>
                  </w:r>
                </w:p>
              </w:tc>
              <w:tc>
                <w:tcPr>
                  <w:tcW w:w="1263" w:type="dxa"/>
                  <w:shd w:val="clear" w:color="auto" w:fill="FFFFFF" w:themeFill="background1"/>
                </w:tcPr>
                <w:p w14:paraId="49D3AA8D" w14:textId="77777777" w:rsidR="008B66E5" w:rsidRPr="00916BFD" w:rsidRDefault="008B66E5" w:rsidP="008B66E5">
                  <w:pPr>
                    <w:pStyle w:val="TableTextRight"/>
                    <w:rPr>
                      <w:bCs/>
                    </w:rPr>
                  </w:pPr>
                  <w:r w:rsidRPr="00916BFD">
                    <w:rPr>
                      <w:bCs/>
                    </w:rPr>
                    <w:t>Lease term</w:t>
                  </w:r>
                </w:p>
              </w:tc>
              <w:tc>
                <w:tcPr>
                  <w:tcW w:w="1291" w:type="dxa"/>
                  <w:shd w:val="clear" w:color="auto" w:fill="FFFFFF" w:themeFill="background1"/>
                </w:tcPr>
                <w:p w14:paraId="5842C753" w14:textId="77777777" w:rsidR="008B66E5" w:rsidRPr="006C7FB8" w:rsidRDefault="008B66E5" w:rsidP="008B66E5">
                  <w:pPr>
                    <w:pStyle w:val="TableTextRight"/>
                    <w:rPr>
                      <w:bCs/>
                    </w:rPr>
                  </w:pPr>
                  <w:r w:rsidRPr="00916BFD">
                    <w:rPr>
                      <w:bCs/>
                    </w:rPr>
                    <w:t>Lease term</w:t>
                  </w:r>
                </w:p>
              </w:tc>
            </w:tr>
            <w:tr w:rsidR="008B66E5" w14:paraId="73252A2E" w14:textId="77777777" w:rsidTr="008B66E5">
              <w:trPr>
                <w:cantSplit/>
                <w:trHeight w:val="227"/>
              </w:trPr>
              <w:tc>
                <w:tcPr>
                  <w:tcW w:w="1916" w:type="dxa"/>
                  <w:shd w:val="clear" w:color="auto" w:fill="FFFFFF" w:themeFill="background1"/>
                </w:tcPr>
                <w:p w14:paraId="4A6E7975" w14:textId="77777777" w:rsidR="008B66E5" w:rsidRPr="002C730D" w:rsidRDefault="008B66E5" w:rsidP="008B66E5">
                  <w:pPr>
                    <w:pStyle w:val="TableTextLeft"/>
                    <w:rPr>
                      <w:bCs/>
                      <w:szCs w:val="16"/>
                    </w:rPr>
                  </w:pPr>
                  <w:r w:rsidRPr="002C730D">
                    <w:rPr>
                      <w:bCs/>
                      <w:szCs w:val="16"/>
                    </w:rPr>
                    <w:t>Artwork</w:t>
                  </w:r>
                </w:p>
              </w:tc>
              <w:tc>
                <w:tcPr>
                  <w:tcW w:w="1298" w:type="dxa"/>
                  <w:shd w:val="clear" w:color="auto" w:fill="FFFFFF" w:themeFill="background1"/>
                </w:tcPr>
                <w:p w14:paraId="0B3658B2" w14:textId="77777777" w:rsidR="008B66E5" w:rsidRPr="002C730D" w:rsidRDefault="008B66E5" w:rsidP="008B66E5">
                  <w:pPr>
                    <w:pStyle w:val="TableTextRight"/>
                    <w:rPr>
                      <w:bCs/>
                    </w:rPr>
                  </w:pPr>
                  <w:r w:rsidRPr="002C730D">
                    <w:rPr>
                      <w:bCs/>
                    </w:rPr>
                    <w:t>$1,000</w:t>
                  </w:r>
                </w:p>
              </w:tc>
              <w:tc>
                <w:tcPr>
                  <w:tcW w:w="1364" w:type="dxa"/>
                  <w:shd w:val="clear" w:color="auto" w:fill="FFFFFF" w:themeFill="background1"/>
                </w:tcPr>
                <w:p w14:paraId="3EF55A50" w14:textId="77777777" w:rsidR="008B66E5" w:rsidRPr="002C730D" w:rsidRDefault="008B66E5" w:rsidP="008B66E5">
                  <w:pPr>
                    <w:pStyle w:val="TableTextRight"/>
                    <w:rPr>
                      <w:bCs/>
                    </w:rPr>
                  </w:pPr>
                  <w:r w:rsidRPr="002C730D">
                    <w:rPr>
                      <w:bCs/>
                    </w:rPr>
                    <w:t>$1,000</w:t>
                  </w:r>
                </w:p>
              </w:tc>
              <w:tc>
                <w:tcPr>
                  <w:tcW w:w="1263" w:type="dxa"/>
                  <w:shd w:val="clear" w:color="auto" w:fill="FFFFFF" w:themeFill="background1"/>
                </w:tcPr>
                <w:p w14:paraId="65968AFF" w14:textId="77777777" w:rsidR="008B66E5" w:rsidRPr="002C730D" w:rsidRDefault="008B66E5" w:rsidP="008B66E5">
                  <w:pPr>
                    <w:pStyle w:val="TableTextRight"/>
                    <w:rPr>
                      <w:bCs/>
                    </w:rPr>
                  </w:pPr>
                  <w:r w:rsidRPr="002C730D">
                    <w:rPr>
                      <w:bCs/>
                    </w:rPr>
                    <w:t>100 years</w:t>
                  </w:r>
                </w:p>
              </w:tc>
              <w:tc>
                <w:tcPr>
                  <w:tcW w:w="1291" w:type="dxa"/>
                  <w:shd w:val="clear" w:color="auto" w:fill="FFFFFF" w:themeFill="background1"/>
                </w:tcPr>
                <w:p w14:paraId="5B5F53F8" w14:textId="77777777" w:rsidR="008B66E5" w:rsidRPr="002C730D" w:rsidRDefault="008B66E5" w:rsidP="008B66E5">
                  <w:pPr>
                    <w:pStyle w:val="TableTextRight"/>
                    <w:rPr>
                      <w:bCs/>
                    </w:rPr>
                  </w:pPr>
                  <w:r w:rsidRPr="002C730D">
                    <w:rPr>
                      <w:bCs/>
                    </w:rPr>
                    <w:t>100 years</w:t>
                  </w:r>
                </w:p>
              </w:tc>
            </w:tr>
            <w:tr w:rsidR="008B66E5" w14:paraId="13FE383F" w14:textId="77777777" w:rsidTr="008B66E5">
              <w:trPr>
                <w:cantSplit/>
                <w:trHeight w:val="227"/>
              </w:trPr>
              <w:tc>
                <w:tcPr>
                  <w:tcW w:w="1916" w:type="dxa"/>
                  <w:shd w:val="clear" w:color="auto" w:fill="FFFFFF" w:themeFill="background1"/>
                </w:tcPr>
                <w:p w14:paraId="73D025C9" w14:textId="77777777" w:rsidR="008B66E5" w:rsidRPr="002C730D" w:rsidRDefault="008B66E5" w:rsidP="008B66E5">
                  <w:pPr>
                    <w:pStyle w:val="TableTextLeft"/>
                    <w:rPr>
                      <w:bCs/>
                      <w:szCs w:val="16"/>
                    </w:rPr>
                  </w:pPr>
                  <w:r w:rsidRPr="002C730D">
                    <w:rPr>
                      <w:bCs/>
                      <w:szCs w:val="16"/>
                    </w:rPr>
                    <w:t>ICT equipment</w:t>
                  </w:r>
                </w:p>
              </w:tc>
              <w:tc>
                <w:tcPr>
                  <w:tcW w:w="1298" w:type="dxa"/>
                  <w:shd w:val="clear" w:color="auto" w:fill="FFFFFF" w:themeFill="background1"/>
                </w:tcPr>
                <w:p w14:paraId="1346929F" w14:textId="77777777" w:rsidR="008B66E5" w:rsidRPr="002C730D" w:rsidRDefault="008B66E5" w:rsidP="008B66E5">
                  <w:pPr>
                    <w:pStyle w:val="TableTextRight"/>
                    <w:rPr>
                      <w:bCs/>
                    </w:rPr>
                  </w:pPr>
                  <w:r w:rsidRPr="002C730D">
                    <w:rPr>
                      <w:bCs/>
                    </w:rPr>
                    <w:t>$1,000</w:t>
                  </w:r>
                </w:p>
              </w:tc>
              <w:tc>
                <w:tcPr>
                  <w:tcW w:w="1364" w:type="dxa"/>
                  <w:shd w:val="clear" w:color="auto" w:fill="FFFFFF" w:themeFill="background1"/>
                </w:tcPr>
                <w:p w14:paraId="1573A851" w14:textId="77777777" w:rsidR="008B66E5" w:rsidRPr="002C730D" w:rsidRDefault="008B66E5" w:rsidP="008B66E5">
                  <w:pPr>
                    <w:pStyle w:val="TableTextRight"/>
                    <w:rPr>
                      <w:bCs/>
                    </w:rPr>
                  </w:pPr>
                  <w:r w:rsidRPr="002C730D">
                    <w:rPr>
                      <w:bCs/>
                    </w:rPr>
                    <w:t>$1,000</w:t>
                  </w:r>
                </w:p>
              </w:tc>
              <w:tc>
                <w:tcPr>
                  <w:tcW w:w="1263" w:type="dxa"/>
                  <w:shd w:val="clear" w:color="auto" w:fill="FFFFFF" w:themeFill="background1"/>
                </w:tcPr>
                <w:p w14:paraId="110CFB01" w14:textId="77777777" w:rsidR="008B66E5" w:rsidRPr="002C730D" w:rsidRDefault="008B66E5" w:rsidP="008B66E5">
                  <w:pPr>
                    <w:pStyle w:val="TableTextRight"/>
                    <w:rPr>
                      <w:bCs/>
                    </w:rPr>
                  </w:pPr>
                  <w:r w:rsidRPr="002C730D">
                    <w:rPr>
                      <w:bCs/>
                    </w:rPr>
                    <w:t>3-5 years</w:t>
                  </w:r>
                </w:p>
              </w:tc>
              <w:tc>
                <w:tcPr>
                  <w:tcW w:w="1291" w:type="dxa"/>
                  <w:shd w:val="clear" w:color="auto" w:fill="FFFFFF" w:themeFill="background1"/>
                </w:tcPr>
                <w:p w14:paraId="3A060518" w14:textId="77777777" w:rsidR="008B66E5" w:rsidRPr="002C730D" w:rsidRDefault="008B66E5" w:rsidP="008B66E5">
                  <w:pPr>
                    <w:pStyle w:val="TableTextRight"/>
                    <w:rPr>
                      <w:bCs/>
                    </w:rPr>
                  </w:pPr>
                  <w:r w:rsidRPr="002C730D">
                    <w:rPr>
                      <w:bCs/>
                    </w:rPr>
                    <w:t>3-5 years</w:t>
                  </w:r>
                </w:p>
              </w:tc>
            </w:tr>
            <w:tr w:rsidR="008B66E5" w14:paraId="2A9979F7" w14:textId="77777777" w:rsidTr="008B66E5">
              <w:trPr>
                <w:cantSplit/>
                <w:trHeight w:val="227"/>
              </w:trPr>
              <w:tc>
                <w:tcPr>
                  <w:tcW w:w="1916" w:type="dxa"/>
                  <w:shd w:val="clear" w:color="auto" w:fill="FFFFFF" w:themeFill="background1"/>
                </w:tcPr>
                <w:p w14:paraId="1AC08A27" w14:textId="77777777" w:rsidR="008B66E5" w:rsidRPr="002C730D" w:rsidRDefault="008B66E5" w:rsidP="008B66E5">
                  <w:pPr>
                    <w:pStyle w:val="TableTextLeft"/>
                    <w:rPr>
                      <w:bCs/>
                      <w:szCs w:val="16"/>
                    </w:rPr>
                  </w:pPr>
                  <w:r w:rsidRPr="002C730D">
                    <w:rPr>
                      <w:bCs/>
                      <w:szCs w:val="16"/>
                    </w:rPr>
                    <w:t>Software</w:t>
                  </w:r>
                </w:p>
              </w:tc>
              <w:tc>
                <w:tcPr>
                  <w:tcW w:w="1298" w:type="dxa"/>
                  <w:shd w:val="clear" w:color="auto" w:fill="FFFFFF" w:themeFill="background1"/>
                </w:tcPr>
                <w:p w14:paraId="6780B5A9" w14:textId="77777777" w:rsidR="008B66E5" w:rsidRPr="002C730D" w:rsidRDefault="008B66E5" w:rsidP="008B66E5">
                  <w:pPr>
                    <w:pStyle w:val="TableTextRight"/>
                    <w:rPr>
                      <w:bCs/>
                    </w:rPr>
                  </w:pPr>
                  <w:r w:rsidRPr="002C730D">
                    <w:rPr>
                      <w:bCs/>
                    </w:rPr>
                    <w:t>$10,000</w:t>
                  </w:r>
                </w:p>
              </w:tc>
              <w:tc>
                <w:tcPr>
                  <w:tcW w:w="1364" w:type="dxa"/>
                  <w:shd w:val="clear" w:color="auto" w:fill="FFFFFF" w:themeFill="background1"/>
                </w:tcPr>
                <w:p w14:paraId="4FC5F6C6" w14:textId="77777777" w:rsidR="008B66E5" w:rsidRPr="002C730D" w:rsidRDefault="008B66E5" w:rsidP="008B66E5">
                  <w:pPr>
                    <w:pStyle w:val="TableTextRight"/>
                    <w:rPr>
                      <w:bCs/>
                    </w:rPr>
                  </w:pPr>
                  <w:r w:rsidRPr="002C730D">
                    <w:rPr>
                      <w:bCs/>
                    </w:rPr>
                    <w:t>$10,000</w:t>
                  </w:r>
                </w:p>
              </w:tc>
              <w:tc>
                <w:tcPr>
                  <w:tcW w:w="1263" w:type="dxa"/>
                  <w:shd w:val="clear" w:color="auto" w:fill="FFFFFF" w:themeFill="background1"/>
                </w:tcPr>
                <w:p w14:paraId="7898F6B9" w14:textId="77777777" w:rsidR="008B66E5" w:rsidRPr="002C730D" w:rsidRDefault="008B66E5" w:rsidP="008B66E5">
                  <w:pPr>
                    <w:pStyle w:val="TableTextRight"/>
                    <w:rPr>
                      <w:bCs/>
                    </w:rPr>
                  </w:pPr>
                  <w:r w:rsidRPr="002C730D">
                    <w:rPr>
                      <w:bCs/>
                    </w:rPr>
                    <w:t>3-10 years</w:t>
                  </w:r>
                </w:p>
              </w:tc>
              <w:tc>
                <w:tcPr>
                  <w:tcW w:w="1291" w:type="dxa"/>
                  <w:shd w:val="clear" w:color="auto" w:fill="FFFFFF" w:themeFill="background1"/>
                </w:tcPr>
                <w:p w14:paraId="1F3E0D85" w14:textId="77777777" w:rsidR="008B66E5" w:rsidRPr="002C730D" w:rsidRDefault="008B66E5" w:rsidP="008B66E5">
                  <w:pPr>
                    <w:pStyle w:val="TableTextRight"/>
                    <w:rPr>
                      <w:bCs/>
                    </w:rPr>
                  </w:pPr>
                  <w:r w:rsidRPr="002C730D">
                    <w:rPr>
                      <w:bCs/>
                    </w:rPr>
                    <w:t>3-10 years</w:t>
                  </w:r>
                </w:p>
              </w:tc>
            </w:tr>
          </w:tbl>
          <w:p w14:paraId="5CE8B99E" w14:textId="77777777" w:rsidR="008B66E5" w:rsidRDefault="008B66E5" w:rsidP="008B66E5">
            <w:pPr>
              <w:pStyle w:val="SingleReturn"/>
            </w:pPr>
          </w:p>
          <w:p w14:paraId="6725C7C6" w14:textId="77777777" w:rsidR="008B66E5" w:rsidRPr="00D27470" w:rsidRDefault="008B66E5" w:rsidP="008B66E5">
            <w:pPr>
              <w:pStyle w:val="BoxSecondHeading"/>
            </w:pPr>
            <w:r w:rsidRPr="00D27470">
              <w:t xml:space="preserve">Impairment </w:t>
            </w:r>
          </w:p>
          <w:p w14:paraId="2F6DEDEB" w14:textId="77777777" w:rsidR="008B66E5" w:rsidRDefault="008B66E5" w:rsidP="008B66E5">
            <w:pPr>
              <w:pStyle w:val="BoxText"/>
            </w:pPr>
            <w:r>
              <w:t xml:space="preserve">All assets have been assessed for impairment </w:t>
            </w:r>
            <w:proofErr w:type="gramStart"/>
            <w:r>
              <w:t>at</w:t>
            </w:r>
            <w:proofErr w:type="gramEnd"/>
            <w:r>
              <w:t xml:space="preserve"> 30 June 2025. Where indications of impairment exist, the asset recoverable amount is estimated and an impairment adjustment made if the asset recoverable amount is less than </w:t>
            </w:r>
            <w:proofErr w:type="gramStart"/>
            <w:r>
              <w:t>its</w:t>
            </w:r>
            <w:proofErr w:type="gramEnd"/>
            <w:r>
              <w:t xml:space="preserve">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AOFM were deprived of the asset, its value in use is taken to be its depreciated replacement cost.</w:t>
            </w:r>
          </w:p>
          <w:p w14:paraId="274D14EF" w14:textId="77777777" w:rsidR="008B66E5" w:rsidRPr="00D27470" w:rsidRDefault="008B66E5" w:rsidP="008B66E5">
            <w:pPr>
              <w:pStyle w:val="BoxSecondHeading"/>
            </w:pPr>
            <w:r w:rsidRPr="00D27470">
              <w:t>Derecognition</w:t>
            </w:r>
          </w:p>
          <w:p w14:paraId="6F70372E" w14:textId="5328D004" w:rsidR="008B66E5" w:rsidRPr="006574CB" w:rsidRDefault="008B66E5" w:rsidP="008B66E5">
            <w:pPr>
              <w:pStyle w:val="BoxText"/>
            </w:pPr>
            <w:r w:rsidRPr="00E71EB0">
              <w:t>An item of property, plant and equipment is derecognised upon disposal or when no further future economic benefits are expected from its use or disposal.</w:t>
            </w:r>
          </w:p>
        </w:tc>
      </w:tr>
    </w:tbl>
    <w:p w14:paraId="00C19FD9" w14:textId="77777777" w:rsidR="008B66E5" w:rsidRDefault="008B66E5" w:rsidP="00C11331"/>
    <w:p w14:paraId="767A7D43" w14:textId="77777777" w:rsidR="00C11331" w:rsidRDefault="00C11331" w:rsidP="00C11331">
      <w:pPr>
        <w:spacing w:after="0" w:line="240" w:lineRule="auto"/>
      </w:pPr>
      <w:r>
        <w:br w:type="page"/>
      </w:r>
    </w:p>
    <w:p w14:paraId="64EF8C3B" w14:textId="77777777" w:rsidR="00C11331" w:rsidRPr="006534F5" w:rsidRDefault="00C11331" w:rsidP="00C11331">
      <w:pPr>
        <w:pStyle w:val="Heading2"/>
        <w:rPr>
          <w:lang w:eastAsia="en-AU"/>
        </w:rPr>
      </w:pPr>
      <w:bookmarkStart w:id="1865" w:name="_Toc146112281"/>
      <w:bookmarkStart w:id="1866" w:name="_Toc207792952"/>
      <w:bookmarkStart w:id="1867" w:name="_Toc207793992"/>
      <w:bookmarkStart w:id="1868" w:name="_Toc207796161"/>
      <w:bookmarkStart w:id="1869" w:name="_Toc207796996"/>
      <w:bookmarkStart w:id="1870" w:name="_Toc207800299"/>
      <w:bookmarkStart w:id="1871" w:name="_Toc207810877"/>
      <w:bookmarkStart w:id="1872" w:name="_Toc208914157"/>
      <w:bookmarkStart w:id="1873" w:name="_Toc209424554"/>
      <w:r w:rsidRPr="006534F5">
        <w:lastRenderedPageBreak/>
        <w:t xml:space="preserve">Note </w:t>
      </w:r>
      <w:r>
        <w:t>D</w:t>
      </w:r>
      <w:r w:rsidRPr="006534F5">
        <w:t>: Employee provisions</w:t>
      </w:r>
      <w:bookmarkEnd w:id="1865"/>
      <w:bookmarkEnd w:id="1866"/>
      <w:bookmarkEnd w:id="1867"/>
      <w:bookmarkEnd w:id="1868"/>
      <w:bookmarkEnd w:id="1869"/>
      <w:bookmarkEnd w:id="1870"/>
      <w:bookmarkEnd w:id="1871"/>
      <w:bookmarkEnd w:id="1872"/>
      <w:bookmarkEnd w:id="1873"/>
    </w:p>
    <w:tbl>
      <w:tblPr>
        <w:tblStyle w:val="AOFMTablemain"/>
        <w:tblW w:w="5000" w:type="pct"/>
        <w:tblLook w:val="06A0" w:firstRow="1" w:lastRow="0" w:firstColumn="1" w:lastColumn="0" w:noHBand="1" w:noVBand="1"/>
      </w:tblPr>
      <w:tblGrid>
        <w:gridCol w:w="5057"/>
        <w:gridCol w:w="1283"/>
        <w:gridCol w:w="1371"/>
      </w:tblGrid>
      <w:tr w:rsidR="004676A8" w:rsidRPr="006534F5" w14:paraId="64231AC0" w14:textId="77777777" w:rsidTr="00115D9F">
        <w:trPr>
          <w:cnfStyle w:val="100000000000" w:firstRow="1" w:lastRow="0" w:firstColumn="0" w:lastColumn="0" w:oddVBand="0" w:evenVBand="0" w:oddHBand="0" w:evenHBand="0" w:firstRowFirstColumn="0" w:firstRowLastColumn="0" w:lastRowFirstColumn="0" w:lastRowLastColumn="0"/>
        </w:trPr>
        <w:tc>
          <w:tcPr>
            <w:tcW w:w="3279" w:type="pct"/>
            <w:noWrap/>
            <w:hideMark/>
          </w:tcPr>
          <w:p w14:paraId="54E391EB" w14:textId="77777777" w:rsidR="00C11331" w:rsidRPr="007B619E" w:rsidRDefault="00C11331" w:rsidP="00630831">
            <w:pPr>
              <w:pStyle w:val="TableColumnHeadingLeft"/>
            </w:pPr>
            <w:r w:rsidRPr="007B619E">
              <w:t> </w:t>
            </w:r>
          </w:p>
        </w:tc>
        <w:tc>
          <w:tcPr>
            <w:tcW w:w="832" w:type="pct"/>
            <w:noWrap/>
            <w:hideMark/>
          </w:tcPr>
          <w:p w14:paraId="3961C016" w14:textId="77777777" w:rsidR="00C11331" w:rsidRDefault="00C11331" w:rsidP="00630831">
            <w:pPr>
              <w:pStyle w:val="TableColumnHeadingRight"/>
              <w:rPr>
                <w:bCs/>
              </w:rPr>
            </w:pPr>
            <w:r w:rsidRPr="00077DB0">
              <w:rPr>
                <w:bCs/>
              </w:rPr>
              <w:t>202</w:t>
            </w:r>
            <w:r>
              <w:rPr>
                <w:bCs/>
              </w:rPr>
              <w:t>5</w:t>
            </w:r>
          </w:p>
          <w:p w14:paraId="7612CC0E" w14:textId="77777777" w:rsidR="00C11331" w:rsidRPr="007B619E" w:rsidRDefault="00C11331" w:rsidP="00630831">
            <w:pPr>
              <w:pStyle w:val="TableColumnHeadingRight"/>
              <w:rPr>
                <w:bCs/>
              </w:rPr>
            </w:pPr>
            <w:r>
              <w:rPr>
                <w:bCs/>
              </w:rPr>
              <w:t>$’000</w:t>
            </w:r>
          </w:p>
        </w:tc>
        <w:tc>
          <w:tcPr>
            <w:tcW w:w="889" w:type="pct"/>
            <w:noWrap/>
            <w:hideMark/>
          </w:tcPr>
          <w:p w14:paraId="4A2B1A8A" w14:textId="77777777" w:rsidR="00C11331" w:rsidRDefault="00C11331" w:rsidP="00630831">
            <w:pPr>
              <w:pStyle w:val="TableColumnHeadingRight"/>
            </w:pPr>
            <w:r w:rsidRPr="00077DB0">
              <w:t>202</w:t>
            </w:r>
            <w:r>
              <w:t xml:space="preserve">4 </w:t>
            </w:r>
          </w:p>
          <w:p w14:paraId="72A5F7DF" w14:textId="77777777" w:rsidR="00C11331" w:rsidRPr="007B619E" w:rsidRDefault="00C11331" w:rsidP="00630831">
            <w:pPr>
              <w:pStyle w:val="TableColumnHeadingRight"/>
            </w:pPr>
            <w:r>
              <w:t>$’000</w:t>
            </w:r>
            <w:r w:rsidRPr="00077DB0">
              <w:t xml:space="preserve"> </w:t>
            </w:r>
          </w:p>
        </w:tc>
      </w:tr>
      <w:tr w:rsidR="00C11331" w:rsidRPr="00AF5833" w14:paraId="203E8B8D" w14:textId="77777777" w:rsidTr="006A715B">
        <w:tc>
          <w:tcPr>
            <w:tcW w:w="3279" w:type="pct"/>
            <w:noWrap/>
            <w:hideMark/>
          </w:tcPr>
          <w:p w14:paraId="31C61197" w14:textId="77777777" w:rsidR="00C11331" w:rsidRPr="00AE665D" w:rsidRDefault="00C11331" w:rsidP="00630831">
            <w:pPr>
              <w:pStyle w:val="TableTextLeft"/>
            </w:pPr>
            <w:r>
              <w:t>Leave</w:t>
            </w:r>
          </w:p>
        </w:tc>
        <w:tc>
          <w:tcPr>
            <w:tcW w:w="832" w:type="pct"/>
            <w:shd w:val="clear" w:color="auto" w:fill="E7DCF7" w:themeFill="text2" w:themeFillTint="1A"/>
            <w:noWrap/>
          </w:tcPr>
          <w:p w14:paraId="169D9F88" w14:textId="77777777" w:rsidR="00C11331" w:rsidRPr="00AE665D" w:rsidRDefault="00C11331" w:rsidP="00630831">
            <w:pPr>
              <w:pStyle w:val="TableTextRight"/>
            </w:pPr>
            <w:r>
              <w:t>2,602</w:t>
            </w:r>
          </w:p>
        </w:tc>
        <w:tc>
          <w:tcPr>
            <w:tcW w:w="889" w:type="pct"/>
            <w:noWrap/>
            <w:hideMark/>
          </w:tcPr>
          <w:p w14:paraId="37FDD76F" w14:textId="77777777" w:rsidR="00C11331" w:rsidRPr="00AE665D" w:rsidRDefault="00C11331" w:rsidP="00630831">
            <w:pPr>
              <w:pStyle w:val="TableTextRight"/>
            </w:pPr>
            <w:r>
              <w:t>3,275</w:t>
            </w:r>
          </w:p>
        </w:tc>
      </w:tr>
      <w:tr w:rsidR="00C11331" w:rsidRPr="00AF5833" w14:paraId="091D37CC" w14:textId="77777777" w:rsidTr="006A715B">
        <w:tc>
          <w:tcPr>
            <w:tcW w:w="3279" w:type="pct"/>
            <w:noWrap/>
          </w:tcPr>
          <w:p w14:paraId="1A7C6BFA" w14:textId="77777777" w:rsidR="00C11331" w:rsidRDefault="00C11331" w:rsidP="00630831">
            <w:pPr>
              <w:pStyle w:val="TableTextLeft"/>
            </w:pPr>
            <w:r>
              <w:t>Other</w:t>
            </w:r>
          </w:p>
        </w:tc>
        <w:tc>
          <w:tcPr>
            <w:tcW w:w="832" w:type="pct"/>
            <w:shd w:val="clear" w:color="auto" w:fill="E7DCF7" w:themeFill="text2" w:themeFillTint="1A"/>
            <w:noWrap/>
          </w:tcPr>
          <w:p w14:paraId="324721CC" w14:textId="77777777" w:rsidR="00C11331" w:rsidRPr="00AE665D" w:rsidRDefault="00C11331" w:rsidP="00630831">
            <w:pPr>
              <w:pStyle w:val="TableTextRight"/>
            </w:pPr>
            <w:r>
              <w:t>65</w:t>
            </w:r>
          </w:p>
        </w:tc>
        <w:tc>
          <w:tcPr>
            <w:tcW w:w="889" w:type="pct"/>
            <w:noWrap/>
          </w:tcPr>
          <w:p w14:paraId="6DE86FFD" w14:textId="77777777" w:rsidR="00C11331" w:rsidRDefault="00C11331" w:rsidP="00630831">
            <w:pPr>
              <w:pStyle w:val="TableTextRight"/>
            </w:pPr>
            <w:r>
              <w:noBreakHyphen/>
            </w:r>
          </w:p>
        </w:tc>
      </w:tr>
      <w:tr w:rsidR="00C11331" w:rsidRPr="00AF5833" w14:paraId="684E232C" w14:textId="77777777" w:rsidTr="006A715B">
        <w:tc>
          <w:tcPr>
            <w:tcW w:w="3279" w:type="pct"/>
            <w:tcBorders>
              <w:bottom w:val="single" w:sz="4" w:space="0" w:color="29114B" w:themeColor="text2"/>
            </w:tcBorders>
            <w:noWrap/>
            <w:hideMark/>
          </w:tcPr>
          <w:p w14:paraId="40F23C64" w14:textId="77777777" w:rsidR="00C11331" w:rsidRPr="00AE665D" w:rsidRDefault="00C11331" w:rsidP="00630831">
            <w:pPr>
              <w:pStyle w:val="TableTextLeft"/>
              <w:rPr>
                <w:b/>
                <w:bCs/>
              </w:rPr>
            </w:pPr>
            <w:r w:rsidRPr="00AE665D">
              <w:rPr>
                <w:b/>
                <w:bCs/>
              </w:rPr>
              <w:t>Total</w:t>
            </w:r>
          </w:p>
        </w:tc>
        <w:tc>
          <w:tcPr>
            <w:tcW w:w="832" w:type="pct"/>
            <w:tcBorders>
              <w:bottom w:val="single" w:sz="4" w:space="0" w:color="29114B" w:themeColor="text2"/>
            </w:tcBorders>
            <w:shd w:val="clear" w:color="auto" w:fill="E7DCF7" w:themeFill="text2" w:themeFillTint="1A"/>
            <w:noWrap/>
          </w:tcPr>
          <w:p w14:paraId="28039368" w14:textId="77777777" w:rsidR="00C11331" w:rsidRPr="00A508ED" w:rsidRDefault="00C11331" w:rsidP="00630831">
            <w:pPr>
              <w:pStyle w:val="TableTextRight"/>
              <w:rPr>
                <w:b/>
                <w:bCs/>
              </w:rPr>
            </w:pPr>
            <w:r w:rsidRPr="00A508ED">
              <w:rPr>
                <w:b/>
                <w:bCs/>
              </w:rPr>
              <w:t>2,667</w:t>
            </w:r>
          </w:p>
        </w:tc>
        <w:tc>
          <w:tcPr>
            <w:tcW w:w="889" w:type="pct"/>
            <w:tcBorders>
              <w:bottom w:val="single" w:sz="4" w:space="0" w:color="29114B" w:themeColor="text2"/>
            </w:tcBorders>
            <w:noWrap/>
            <w:hideMark/>
          </w:tcPr>
          <w:p w14:paraId="2C3AD6C6" w14:textId="77777777" w:rsidR="00C11331" w:rsidRPr="00AE665D" w:rsidRDefault="00C11331" w:rsidP="00630831">
            <w:pPr>
              <w:pStyle w:val="TableTextRight"/>
              <w:rPr>
                <w:b/>
                <w:bCs/>
              </w:rPr>
            </w:pPr>
            <w:r w:rsidRPr="00AE665D">
              <w:rPr>
                <w:b/>
                <w:bCs/>
              </w:rPr>
              <w:t>3,</w:t>
            </w:r>
            <w:r>
              <w:rPr>
                <w:b/>
                <w:bCs/>
              </w:rPr>
              <w:t>275</w:t>
            </w:r>
            <w:r w:rsidRPr="00AE665D">
              <w:rPr>
                <w:b/>
                <w:bCs/>
              </w:rPr>
              <w:t xml:space="preserve"> </w:t>
            </w:r>
          </w:p>
        </w:tc>
      </w:tr>
      <w:tr w:rsidR="00C11331" w:rsidRPr="00D345A9" w14:paraId="554FF004" w14:textId="77777777" w:rsidTr="00592520">
        <w:tc>
          <w:tcPr>
            <w:tcW w:w="3279" w:type="pct"/>
            <w:tcBorders>
              <w:top w:val="single" w:sz="4" w:space="0" w:color="29114B" w:themeColor="text2"/>
              <w:right w:val="single" w:sz="4" w:space="0" w:color="FFFFFF" w:themeColor="background1"/>
            </w:tcBorders>
            <w:shd w:val="clear" w:color="auto" w:fill="auto"/>
            <w:noWrap/>
          </w:tcPr>
          <w:p w14:paraId="18A8467F" w14:textId="77777777" w:rsidR="00C11331" w:rsidRPr="00592520" w:rsidRDefault="00C11331" w:rsidP="00630831">
            <w:pPr>
              <w:pStyle w:val="TableSecondHeading"/>
              <w:rPr>
                <w:b/>
              </w:rPr>
            </w:pPr>
            <w:r w:rsidRPr="00592520">
              <w:rPr>
                <w:b/>
              </w:rPr>
              <w:t>Employee provisions expected to be settled</w:t>
            </w:r>
          </w:p>
        </w:tc>
        <w:tc>
          <w:tcPr>
            <w:tcW w:w="832"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0AA5451D" w14:textId="77777777" w:rsidR="00C11331" w:rsidRPr="00592520" w:rsidRDefault="00C11331" w:rsidP="00630831">
            <w:pPr>
              <w:pStyle w:val="TableSecondHeading"/>
              <w:rPr>
                <w:b/>
              </w:rPr>
            </w:pPr>
          </w:p>
        </w:tc>
        <w:tc>
          <w:tcPr>
            <w:tcW w:w="889" w:type="pct"/>
            <w:tcBorders>
              <w:top w:val="single" w:sz="4" w:space="0" w:color="29114B" w:themeColor="text2"/>
              <w:left w:val="single" w:sz="4" w:space="0" w:color="FFFFFF" w:themeColor="background1"/>
            </w:tcBorders>
            <w:shd w:val="clear" w:color="auto" w:fill="auto"/>
            <w:noWrap/>
          </w:tcPr>
          <w:p w14:paraId="01592E40" w14:textId="77777777" w:rsidR="00C11331" w:rsidRPr="00592520" w:rsidRDefault="00C11331" w:rsidP="00630831">
            <w:pPr>
              <w:pStyle w:val="TableSecondHeading"/>
              <w:rPr>
                <w:b/>
              </w:rPr>
            </w:pPr>
          </w:p>
        </w:tc>
      </w:tr>
      <w:tr w:rsidR="00C11331" w:rsidRPr="00AF5833" w14:paraId="7D2C4A7A" w14:textId="77777777" w:rsidTr="006A715B">
        <w:tc>
          <w:tcPr>
            <w:tcW w:w="3279" w:type="pct"/>
            <w:noWrap/>
          </w:tcPr>
          <w:p w14:paraId="76B7AE14" w14:textId="77777777" w:rsidR="00C11331" w:rsidRPr="00C55804" w:rsidRDefault="00C11331" w:rsidP="00630831">
            <w:pPr>
              <w:pStyle w:val="TableTextLeft"/>
            </w:pPr>
            <w:r w:rsidRPr="00C55804">
              <w:t>No more than 12 months</w:t>
            </w:r>
          </w:p>
        </w:tc>
        <w:tc>
          <w:tcPr>
            <w:tcW w:w="832" w:type="pct"/>
            <w:shd w:val="clear" w:color="auto" w:fill="E7DCF7" w:themeFill="text2" w:themeFillTint="1A"/>
            <w:noWrap/>
          </w:tcPr>
          <w:p w14:paraId="7F9E3EC1" w14:textId="77777777" w:rsidR="00C11331" w:rsidRPr="00A508ED" w:rsidRDefault="00C11331" w:rsidP="00630831">
            <w:pPr>
              <w:pStyle w:val="TableTextRight"/>
            </w:pPr>
            <w:r w:rsidRPr="00A508ED">
              <w:t>1,018</w:t>
            </w:r>
          </w:p>
        </w:tc>
        <w:tc>
          <w:tcPr>
            <w:tcW w:w="889" w:type="pct"/>
            <w:noWrap/>
          </w:tcPr>
          <w:p w14:paraId="74DA7E4D" w14:textId="77777777" w:rsidR="00C11331" w:rsidRPr="00BF62BA" w:rsidRDefault="00C11331" w:rsidP="00630831">
            <w:pPr>
              <w:pStyle w:val="TableTextRight"/>
            </w:pPr>
            <w:r w:rsidRPr="00BF62BA">
              <w:t>974</w:t>
            </w:r>
          </w:p>
        </w:tc>
      </w:tr>
      <w:tr w:rsidR="00C11331" w:rsidRPr="00AF5833" w14:paraId="73B6A87C" w14:textId="77777777" w:rsidTr="006A715B">
        <w:tc>
          <w:tcPr>
            <w:tcW w:w="3279" w:type="pct"/>
            <w:noWrap/>
          </w:tcPr>
          <w:p w14:paraId="273229ED" w14:textId="77777777" w:rsidR="00C11331" w:rsidRPr="00C55804" w:rsidRDefault="00C11331" w:rsidP="00630831">
            <w:pPr>
              <w:pStyle w:val="TableTextLeft"/>
            </w:pPr>
            <w:r w:rsidRPr="00C55804">
              <w:t>More than 12 months</w:t>
            </w:r>
          </w:p>
        </w:tc>
        <w:tc>
          <w:tcPr>
            <w:tcW w:w="832" w:type="pct"/>
            <w:shd w:val="clear" w:color="auto" w:fill="E7DCF7" w:themeFill="text2" w:themeFillTint="1A"/>
            <w:noWrap/>
          </w:tcPr>
          <w:p w14:paraId="4A7F2976" w14:textId="77777777" w:rsidR="00C11331" w:rsidRPr="00A508ED" w:rsidRDefault="00C11331" w:rsidP="00630831">
            <w:pPr>
              <w:pStyle w:val="TableTextRight"/>
            </w:pPr>
            <w:r w:rsidRPr="00A508ED">
              <w:t>1,649</w:t>
            </w:r>
          </w:p>
        </w:tc>
        <w:tc>
          <w:tcPr>
            <w:tcW w:w="889" w:type="pct"/>
            <w:noWrap/>
          </w:tcPr>
          <w:p w14:paraId="0B666ED5" w14:textId="77777777" w:rsidR="00C11331" w:rsidRPr="00BF62BA" w:rsidRDefault="00C11331" w:rsidP="00630831">
            <w:pPr>
              <w:pStyle w:val="TableTextRight"/>
            </w:pPr>
            <w:r w:rsidRPr="00BF62BA">
              <w:t>2,301</w:t>
            </w:r>
          </w:p>
        </w:tc>
      </w:tr>
      <w:tr w:rsidR="00C11331" w:rsidRPr="00AF5833" w14:paraId="67C45D2A" w14:textId="77777777" w:rsidTr="006A715B">
        <w:tc>
          <w:tcPr>
            <w:tcW w:w="3279" w:type="pct"/>
            <w:noWrap/>
          </w:tcPr>
          <w:p w14:paraId="416A8559" w14:textId="77777777" w:rsidR="00C11331" w:rsidRPr="00AE665D" w:rsidRDefault="00C11331" w:rsidP="00630831">
            <w:pPr>
              <w:pStyle w:val="TableTextLeft"/>
              <w:rPr>
                <w:b/>
                <w:bCs/>
              </w:rPr>
            </w:pPr>
            <w:r>
              <w:rPr>
                <w:b/>
                <w:bCs/>
              </w:rPr>
              <w:t>Total employee provisions</w:t>
            </w:r>
          </w:p>
        </w:tc>
        <w:tc>
          <w:tcPr>
            <w:tcW w:w="832" w:type="pct"/>
            <w:shd w:val="clear" w:color="auto" w:fill="E7DCF7" w:themeFill="text2" w:themeFillTint="1A"/>
            <w:noWrap/>
          </w:tcPr>
          <w:p w14:paraId="2E8A7B2E" w14:textId="77777777" w:rsidR="00C11331" w:rsidRPr="00A508ED" w:rsidRDefault="00C11331" w:rsidP="00630831">
            <w:pPr>
              <w:pStyle w:val="TableTextRight"/>
              <w:rPr>
                <w:b/>
                <w:bCs/>
              </w:rPr>
            </w:pPr>
            <w:r w:rsidRPr="00A508ED">
              <w:rPr>
                <w:b/>
                <w:bCs/>
              </w:rPr>
              <w:t>2,667</w:t>
            </w:r>
          </w:p>
        </w:tc>
        <w:tc>
          <w:tcPr>
            <w:tcW w:w="889" w:type="pct"/>
            <w:noWrap/>
          </w:tcPr>
          <w:p w14:paraId="11A45101" w14:textId="77777777" w:rsidR="00C11331" w:rsidRPr="00AE665D" w:rsidRDefault="00C11331" w:rsidP="00630831">
            <w:pPr>
              <w:pStyle w:val="TableTextRight"/>
              <w:rPr>
                <w:b/>
                <w:bCs/>
              </w:rPr>
            </w:pPr>
            <w:r>
              <w:rPr>
                <w:b/>
                <w:bCs/>
              </w:rPr>
              <w:t>3,275</w:t>
            </w:r>
          </w:p>
        </w:tc>
      </w:tr>
    </w:tbl>
    <w:p w14:paraId="7337113C" w14:textId="77777777" w:rsidR="00C11331" w:rsidRDefault="00C11331" w:rsidP="00C11331">
      <w:bookmarkStart w:id="1874" w:name="_Toc146112282"/>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C11331" w14:paraId="75B0390E" w14:textId="77777777" w:rsidTr="00115D9F">
        <w:tc>
          <w:tcPr>
            <w:tcW w:w="7700" w:type="dxa"/>
            <w:tcBorders>
              <w:bottom w:val="single" w:sz="24" w:space="0" w:color="472978" w:themeColor="accent1"/>
            </w:tcBorders>
            <w:shd w:val="clear" w:color="auto" w:fill="E7DCF7" w:themeFill="text2" w:themeFillTint="1A"/>
          </w:tcPr>
          <w:p w14:paraId="229D2A1A" w14:textId="77777777" w:rsidR="00C11331" w:rsidRDefault="00C11331" w:rsidP="00630831">
            <w:pPr>
              <w:pStyle w:val="Boxheading"/>
            </w:pPr>
            <w:r>
              <w:t>Accounting policy</w:t>
            </w:r>
          </w:p>
          <w:p w14:paraId="4E29D630" w14:textId="77777777" w:rsidR="00C11331" w:rsidRDefault="00C11331" w:rsidP="00630831">
            <w:pPr>
              <w:pStyle w:val="BoxText"/>
            </w:pPr>
            <w:r>
              <w:t>Liabilities for short</w:t>
            </w:r>
            <w:r>
              <w:noBreakHyphen/>
              <w:t>term employee benefits and termination benefits expected within twelve months of the end of reporting period are measured at their nominal amounts. Other long</w:t>
            </w:r>
            <w:r>
              <w:noBreakHyphen/>
              <w:t>term employee benefits are measured as net total of the present value of the defined benefit obligation at the end of the reporting period minus the fair value at the end of the reporting period of plan assets (if any) out of which the obligations are to be settled directly.</w:t>
            </w:r>
          </w:p>
          <w:p w14:paraId="035035B3" w14:textId="77777777" w:rsidR="008B66E5" w:rsidRPr="00EC7A1A" w:rsidRDefault="008B66E5" w:rsidP="008B66E5">
            <w:pPr>
              <w:pStyle w:val="BoxSecondHeading"/>
            </w:pPr>
            <w:r w:rsidRPr="00EC7A1A">
              <w:t>Leave</w:t>
            </w:r>
          </w:p>
          <w:p w14:paraId="3728D6B7" w14:textId="77777777" w:rsidR="008B66E5" w:rsidRDefault="008B66E5" w:rsidP="008B66E5">
            <w:pPr>
              <w:pStyle w:val="BoxText"/>
            </w:pPr>
            <w:r>
              <w:t xml:space="preserve">The liability for employee benefits includes provision for annual leave and long service leave. The leave liabilities are calculated </w:t>
            </w:r>
            <w:proofErr w:type="gramStart"/>
            <w:r>
              <w:t>on the basis of</w:t>
            </w:r>
            <w:proofErr w:type="gramEnd"/>
            <w:r>
              <w:t xml:space="preserve"> employees’ remuneration at the estimated salary rates that will be applied at the time the leave is taken, including the AOFM’s employer superannuation contribution rates to the extent that the leave is likely to be taken during service rather than paid out on termination. </w:t>
            </w:r>
          </w:p>
          <w:p w14:paraId="0264F24E" w14:textId="23BC9BAA" w:rsidR="008B66E5" w:rsidRPr="006574CB" w:rsidRDefault="008B66E5" w:rsidP="00630831">
            <w:pPr>
              <w:pStyle w:val="BoxText"/>
            </w:pPr>
            <w:r>
              <w:t xml:space="preserve">The liability for long service leave has been determined by the ‘shorthand method’ outlined in the Resource Management Guide No. 125 – Commonwealth Entities Financial Statements </w:t>
            </w:r>
            <w:proofErr w:type="gramStart"/>
            <w:r>
              <w:t>Guide</w:t>
            </w:r>
            <w:proofErr w:type="gramEnd"/>
            <w:r>
              <w:t xml:space="preserve"> and the recommended probability factors have been applied, along with a discount factor which is the combination of a salary growth rate and the Government 10-year bond rate. The estimate of the present value of the liability </w:t>
            </w:r>
            <w:proofErr w:type="gramStart"/>
            <w:r>
              <w:t>takes into account</w:t>
            </w:r>
            <w:proofErr w:type="gramEnd"/>
            <w:r>
              <w:t xml:space="preserve"> attrition rates and pay increases through promotion and inflation.</w:t>
            </w:r>
          </w:p>
        </w:tc>
      </w:tr>
    </w:tbl>
    <w:p w14:paraId="0489BA10" w14:textId="77777777" w:rsidR="00C11331" w:rsidRDefault="00C11331" w:rsidP="00C11331"/>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8B66E5" w14:paraId="398FA2E7" w14:textId="77777777" w:rsidTr="004348DF">
        <w:tc>
          <w:tcPr>
            <w:tcW w:w="7700" w:type="dxa"/>
            <w:tcBorders>
              <w:bottom w:val="single" w:sz="24" w:space="0" w:color="472978" w:themeColor="accent1"/>
            </w:tcBorders>
            <w:shd w:val="clear" w:color="auto" w:fill="E7DCF7" w:themeFill="text2" w:themeFillTint="1A"/>
          </w:tcPr>
          <w:p w14:paraId="07D107F0" w14:textId="77777777" w:rsidR="008B66E5" w:rsidRPr="00D0070D" w:rsidRDefault="008B66E5" w:rsidP="008B66E5">
            <w:pPr>
              <w:pStyle w:val="BoxSecondHeading"/>
            </w:pPr>
            <w:bookmarkStart w:id="1875" w:name="_Hlk169615970"/>
            <w:bookmarkStart w:id="1876" w:name="_Toc207796162"/>
            <w:bookmarkStart w:id="1877" w:name="_Toc146112284"/>
            <w:bookmarkEnd w:id="1874"/>
            <w:r w:rsidRPr="00D0070D">
              <w:lastRenderedPageBreak/>
              <w:t>Superannuation</w:t>
            </w:r>
          </w:p>
          <w:p w14:paraId="792A3EF4" w14:textId="77777777" w:rsidR="008B66E5" w:rsidRDefault="008B66E5" w:rsidP="008B66E5">
            <w:pPr>
              <w:pStyle w:val="BoxText"/>
            </w:pPr>
            <w:r>
              <w:t>The AOFM’s staff are members of the Commonwealth Superannuation Scheme (CSS), the Public Sector Superannuation Scheme (PSS), or the PSS accumulation plan (</w:t>
            </w:r>
            <w:proofErr w:type="spellStart"/>
            <w:r>
              <w:t>PSSap</w:t>
            </w:r>
            <w:proofErr w:type="spellEnd"/>
            <w:r>
              <w:t xml:space="preserve">), or other superannuation funds held outside the Australian Government. </w:t>
            </w:r>
          </w:p>
          <w:p w14:paraId="64BDFC64" w14:textId="77777777" w:rsidR="008B66E5" w:rsidRDefault="008B66E5" w:rsidP="008B66E5">
            <w:pPr>
              <w:pStyle w:val="BoxText"/>
            </w:pPr>
            <w:r>
              <w:t xml:space="preserve">The CSS and PSS are defined benefit schemes for the Australian Government. The </w:t>
            </w:r>
            <w:proofErr w:type="spellStart"/>
            <w:r>
              <w:t>PSSap</w:t>
            </w:r>
            <w:proofErr w:type="spellEnd"/>
            <w:r>
              <w:t xml:space="preserve"> is a defined contribution scheme.</w:t>
            </w:r>
          </w:p>
          <w:p w14:paraId="67887BF1" w14:textId="77777777" w:rsidR="008B66E5" w:rsidRPr="00115D9F" w:rsidRDefault="008B66E5" w:rsidP="008B66E5">
            <w:pPr>
              <w:pStyle w:val="BoxText"/>
              <w:rPr>
                <w:spacing w:val="-1"/>
              </w:rPr>
            </w:pPr>
            <w:r w:rsidRPr="00115D9F">
              <w:rPr>
                <w:spacing w:val="-1"/>
              </w:rPr>
              <w:t>The liability for defined benefits is recognised in the financial statements of the Australian Government and is settled by the Australian Government in due course. This liability is reported in the Department of Finance’s administered schedules and notes.</w:t>
            </w:r>
          </w:p>
          <w:p w14:paraId="7A07B0CD" w14:textId="77777777" w:rsidR="008B66E5" w:rsidRDefault="008B66E5" w:rsidP="008B66E5">
            <w:pPr>
              <w:pStyle w:val="BoxText"/>
            </w:pPr>
            <w:r>
              <w:t>The AOFM makes employer contributions to the employee’s defined benefit superannuation scheme at rates determined by an actuary to be sufficient to meet the current cost to the Government. The AOFM accounts for the contributions as if they were contributions to defined contributions plans.</w:t>
            </w:r>
          </w:p>
          <w:p w14:paraId="3A06FFC9" w14:textId="1416AA07" w:rsidR="008B66E5" w:rsidRPr="006574CB" w:rsidRDefault="008B66E5" w:rsidP="008B66E5">
            <w:pPr>
              <w:pStyle w:val="BoxText"/>
            </w:pPr>
            <w:r>
              <w:t xml:space="preserve">The liability for superannuation recognised </w:t>
            </w:r>
            <w:proofErr w:type="gramStart"/>
            <w:r>
              <w:t>at</w:t>
            </w:r>
            <w:proofErr w:type="gramEnd"/>
            <w:r>
              <w:t xml:space="preserve"> 30 June represents outstanding contributions.</w:t>
            </w:r>
          </w:p>
        </w:tc>
      </w:tr>
    </w:tbl>
    <w:bookmarkEnd w:id="1875"/>
    <w:p w14:paraId="6C28747C" w14:textId="3821EAE0" w:rsidR="00C11331" w:rsidRDefault="00C11331" w:rsidP="00C11331">
      <w:pPr>
        <w:pStyle w:val="Heading3"/>
      </w:pPr>
      <w:r>
        <w:t>Key Management Personnel Remuneration</w:t>
      </w:r>
      <w:bookmarkEnd w:id="1876"/>
    </w:p>
    <w:p w14:paraId="6709A52B" w14:textId="77777777" w:rsidR="00C11331" w:rsidRDefault="00C11331" w:rsidP="00C11331">
      <w:pPr>
        <w:rPr>
          <w:lang w:eastAsia="en-AU"/>
        </w:rPr>
      </w:pPr>
      <w:r w:rsidRPr="001157D4">
        <w:rPr>
          <w:lang w:eastAsia="en-AU"/>
        </w:rPr>
        <w:t xml:space="preserve">Key management personnel </w:t>
      </w:r>
      <w:r>
        <w:rPr>
          <w:lang w:eastAsia="en-AU"/>
        </w:rPr>
        <w:t>(KMP)</w:t>
      </w:r>
      <w:r w:rsidRPr="001157D4">
        <w:rPr>
          <w:lang w:eastAsia="en-AU"/>
        </w:rPr>
        <w:t xml:space="preserve"> are those persons having authority and responsibility for planning, directing and controlling the activities of </w:t>
      </w:r>
      <w:r>
        <w:rPr>
          <w:lang w:eastAsia="en-AU"/>
        </w:rPr>
        <w:t>the AOFM</w:t>
      </w:r>
      <w:r w:rsidRPr="001157D4">
        <w:rPr>
          <w:lang w:eastAsia="en-AU"/>
        </w:rPr>
        <w:t>, directly or indirectly</w:t>
      </w:r>
      <w:r>
        <w:rPr>
          <w:lang w:eastAsia="en-AU"/>
        </w:rPr>
        <w:t xml:space="preserve">. The Chief Executive Officer (CEO), the Secretary to the Treasury and the Treasurer have been determined to be key management personnel for the AOFM. The AOFM’s CEO is appointed by the Secretary to the Treasury. </w:t>
      </w:r>
    </w:p>
    <w:p w14:paraId="781240A7" w14:textId="77777777" w:rsidR="00C11331" w:rsidRDefault="00C11331" w:rsidP="00C11331">
      <w:pPr>
        <w:rPr>
          <w:lang w:eastAsia="en-AU"/>
        </w:rPr>
      </w:pPr>
      <w:r>
        <w:rPr>
          <w:lang w:eastAsia="en-AU"/>
        </w:rPr>
        <w:t>It is AOFM policy that employees acting in a KMP role are included if they hold the position continuously for more than three months.</w:t>
      </w:r>
    </w:p>
    <w:p w14:paraId="6F47454B" w14:textId="347AB5C0" w:rsidR="00592520" w:rsidRDefault="00C11331" w:rsidP="00C11331">
      <w:pPr>
        <w:rPr>
          <w:spacing w:val="-1"/>
          <w:lang w:eastAsia="en-AU"/>
        </w:rPr>
      </w:pPr>
      <w:r w:rsidRPr="00115D9F">
        <w:rPr>
          <w:spacing w:val="-1"/>
          <w:lang w:eastAsia="en-AU"/>
        </w:rPr>
        <w:t xml:space="preserve">In 2024–25 two new SES positions were created: Deputy CEO and Chief Operating Officer (COO). These new positions were filled from June 2025 and May 2025 respectively. Both positions have been determined as KMP however due to the positions being held for less than three months each, their remuneration has been excluded from reporting. </w:t>
      </w:r>
    </w:p>
    <w:p w14:paraId="629B62D6" w14:textId="77777777" w:rsidR="00592520" w:rsidRDefault="00592520">
      <w:pPr>
        <w:spacing w:after="0" w:line="240" w:lineRule="auto"/>
        <w:rPr>
          <w:spacing w:val="-1"/>
          <w:lang w:eastAsia="en-AU"/>
        </w:rPr>
      </w:pPr>
      <w:r>
        <w:rPr>
          <w:spacing w:val="-1"/>
          <w:lang w:eastAsia="en-AU"/>
        </w:rPr>
        <w:br w:type="page"/>
      </w:r>
    </w:p>
    <w:tbl>
      <w:tblPr>
        <w:tblStyle w:val="AOFMTablemain"/>
        <w:tblW w:w="5000" w:type="pct"/>
        <w:tblLook w:val="06A0" w:firstRow="1" w:lastRow="0" w:firstColumn="1" w:lastColumn="0" w:noHBand="1" w:noVBand="1"/>
      </w:tblPr>
      <w:tblGrid>
        <w:gridCol w:w="5057"/>
        <w:gridCol w:w="1283"/>
        <w:gridCol w:w="1371"/>
      </w:tblGrid>
      <w:tr w:rsidR="0048600D" w:rsidRPr="007B619E" w14:paraId="77F2BDF5" w14:textId="77777777" w:rsidTr="00115D9F">
        <w:trPr>
          <w:cnfStyle w:val="100000000000" w:firstRow="1" w:lastRow="0" w:firstColumn="0" w:lastColumn="0" w:oddVBand="0" w:evenVBand="0" w:oddHBand="0" w:evenHBand="0" w:firstRowFirstColumn="0" w:firstRowLastColumn="0" w:lastRowFirstColumn="0" w:lastRowLastColumn="0"/>
        </w:trPr>
        <w:tc>
          <w:tcPr>
            <w:tcW w:w="3279" w:type="pct"/>
            <w:noWrap/>
            <w:tcMar>
              <w:top w:w="28" w:type="dxa"/>
              <w:bottom w:w="28" w:type="dxa"/>
            </w:tcMar>
            <w:hideMark/>
          </w:tcPr>
          <w:p w14:paraId="1C3A4D8D" w14:textId="77777777" w:rsidR="00C11331" w:rsidRPr="007B619E" w:rsidRDefault="00C11331" w:rsidP="00630831">
            <w:pPr>
              <w:pStyle w:val="TableColumnHeadingRight"/>
            </w:pPr>
            <w:r w:rsidRPr="007B619E">
              <w:lastRenderedPageBreak/>
              <w:t> </w:t>
            </w:r>
          </w:p>
        </w:tc>
        <w:tc>
          <w:tcPr>
            <w:tcW w:w="832" w:type="pct"/>
            <w:noWrap/>
            <w:tcMar>
              <w:top w:w="28" w:type="dxa"/>
              <w:bottom w:w="28" w:type="dxa"/>
            </w:tcMar>
            <w:hideMark/>
          </w:tcPr>
          <w:p w14:paraId="03BDE514" w14:textId="77777777" w:rsidR="00C11331" w:rsidRPr="00F874BF" w:rsidRDefault="00C11331" w:rsidP="00630831">
            <w:pPr>
              <w:pStyle w:val="TableColumnHeadingRight"/>
            </w:pPr>
            <w:r w:rsidRPr="00F874BF">
              <w:t>2025</w:t>
            </w:r>
          </w:p>
          <w:p w14:paraId="2709F55A" w14:textId="77777777" w:rsidR="00C11331" w:rsidRPr="00F874BF" w:rsidRDefault="00C11331" w:rsidP="00630831">
            <w:pPr>
              <w:pStyle w:val="TableColumnHeadingRight"/>
            </w:pPr>
            <w:r w:rsidRPr="00F874BF">
              <w:t>$’000</w:t>
            </w:r>
          </w:p>
        </w:tc>
        <w:tc>
          <w:tcPr>
            <w:tcW w:w="889" w:type="pct"/>
            <w:noWrap/>
            <w:tcMar>
              <w:top w:w="28" w:type="dxa"/>
              <w:bottom w:w="28" w:type="dxa"/>
            </w:tcMar>
            <w:hideMark/>
          </w:tcPr>
          <w:p w14:paraId="4416434E" w14:textId="77777777" w:rsidR="00C11331" w:rsidRPr="00F874BF" w:rsidRDefault="00C11331" w:rsidP="00630831">
            <w:pPr>
              <w:pStyle w:val="TableColumnHeadingRight"/>
            </w:pPr>
            <w:r w:rsidRPr="00F874BF">
              <w:t xml:space="preserve">2024 </w:t>
            </w:r>
          </w:p>
          <w:p w14:paraId="2520D75C" w14:textId="77777777" w:rsidR="00C11331" w:rsidRPr="00F874BF" w:rsidRDefault="00C11331" w:rsidP="00630831">
            <w:pPr>
              <w:pStyle w:val="TableColumnHeadingRight"/>
            </w:pPr>
            <w:r w:rsidRPr="00F874BF">
              <w:t xml:space="preserve">$’000 </w:t>
            </w:r>
          </w:p>
        </w:tc>
      </w:tr>
      <w:tr w:rsidR="00C11331" w:rsidRPr="00AE665D" w14:paraId="2BF80EB4" w14:textId="77777777" w:rsidTr="00592520">
        <w:tc>
          <w:tcPr>
            <w:tcW w:w="3279" w:type="pct"/>
            <w:noWrap/>
            <w:tcMar>
              <w:top w:w="57" w:type="dxa"/>
              <w:bottom w:w="57" w:type="dxa"/>
            </w:tcMar>
            <w:hideMark/>
          </w:tcPr>
          <w:p w14:paraId="366E6288" w14:textId="77777777" w:rsidR="00C11331" w:rsidRPr="00F874BF" w:rsidRDefault="00C11331" w:rsidP="00630831">
            <w:pPr>
              <w:pStyle w:val="TableTextLeft"/>
            </w:pPr>
            <w:r w:rsidRPr="00F874BF">
              <w:t>Short</w:t>
            </w:r>
            <w:r w:rsidRPr="00F874BF">
              <w:noBreakHyphen/>
              <w:t>term employee benefits</w:t>
            </w:r>
          </w:p>
        </w:tc>
        <w:tc>
          <w:tcPr>
            <w:tcW w:w="832" w:type="pct"/>
            <w:shd w:val="clear" w:color="auto" w:fill="E7DCF7" w:themeFill="text2" w:themeFillTint="1A"/>
            <w:noWrap/>
            <w:tcMar>
              <w:top w:w="57" w:type="dxa"/>
              <w:bottom w:w="57" w:type="dxa"/>
            </w:tcMar>
          </w:tcPr>
          <w:p w14:paraId="43C6BF11" w14:textId="77777777" w:rsidR="00C11331" w:rsidRPr="00F874BF" w:rsidRDefault="00C11331" w:rsidP="00630831">
            <w:pPr>
              <w:pStyle w:val="TableTextRight"/>
            </w:pPr>
            <w:r w:rsidRPr="00F874BF">
              <w:t>326</w:t>
            </w:r>
          </w:p>
        </w:tc>
        <w:tc>
          <w:tcPr>
            <w:tcW w:w="889" w:type="pct"/>
            <w:noWrap/>
            <w:tcMar>
              <w:top w:w="57" w:type="dxa"/>
              <w:bottom w:w="57" w:type="dxa"/>
            </w:tcMar>
            <w:hideMark/>
          </w:tcPr>
          <w:p w14:paraId="3A9CC9D7" w14:textId="77777777" w:rsidR="00C11331" w:rsidRPr="00F874BF" w:rsidRDefault="00C11331" w:rsidP="00630831">
            <w:pPr>
              <w:pStyle w:val="TableTextRight"/>
            </w:pPr>
            <w:r w:rsidRPr="00F874BF">
              <w:t>371</w:t>
            </w:r>
          </w:p>
        </w:tc>
      </w:tr>
      <w:tr w:rsidR="00C11331" w:rsidRPr="00AE665D" w14:paraId="053DDDD5" w14:textId="77777777" w:rsidTr="00592520">
        <w:tc>
          <w:tcPr>
            <w:tcW w:w="3279" w:type="pct"/>
            <w:noWrap/>
            <w:tcMar>
              <w:top w:w="57" w:type="dxa"/>
              <w:bottom w:w="57" w:type="dxa"/>
            </w:tcMar>
          </w:tcPr>
          <w:p w14:paraId="6658E1CF" w14:textId="77777777" w:rsidR="00C11331" w:rsidRPr="00F874BF" w:rsidRDefault="00C11331" w:rsidP="00630831">
            <w:pPr>
              <w:pStyle w:val="TableTextLeft"/>
            </w:pPr>
            <w:r w:rsidRPr="00F874BF">
              <w:t>Post employment benefits</w:t>
            </w:r>
          </w:p>
        </w:tc>
        <w:tc>
          <w:tcPr>
            <w:tcW w:w="832" w:type="pct"/>
            <w:shd w:val="clear" w:color="auto" w:fill="E7DCF7" w:themeFill="text2" w:themeFillTint="1A"/>
            <w:noWrap/>
            <w:tcMar>
              <w:top w:w="57" w:type="dxa"/>
              <w:bottom w:w="57" w:type="dxa"/>
            </w:tcMar>
          </w:tcPr>
          <w:p w14:paraId="7ADBBAE8" w14:textId="77777777" w:rsidR="00C11331" w:rsidRPr="00F874BF" w:rsidRDefault="00C11331" w:rsidP="00630831">
            <w:pPr>
              <w:pStyle w:val="TableTextRight"/>
            </w:pPr>
            <w:r w:rsidRPr="00F874BF">
              <w:t>68</w:t>
            </w:r>
          </w:p>
        </w:tc>
        <w:tc>
          <w:tcPr>
            <w:tcW w:w="889" w:type="pct"/>
            <w:noWrap/>
            <w:tcMar>
              <w:top w:w="57" w:type="dxa"/>
              <w:bottom w:w="57" w:type="dxa"/>
            </w:tcMar>
          </w:tcPr>
          <w:p w14:paraId="5A9E4805" w14:textId="77777777" w:rsidR="00C11331" w:rsidRPr="00F874BF" w:rsidRDefault="00C11331" w:rsidP="00630831">
            <w:pPr>
              <w:pStyle w:val="TableTextRight"/>
            </w:pPr>
            <w:r w:rsidRPr="00F874BF">
              <w:t>66</w:t>
            </w:r>
          </w:p>
        </w:tc>
      </w:tr>
      <w:tr w:rsidR="00C11331" w:rsidRPr="00AE665D" w14:paraId="45E65399" w14:textId="77777777" w:rsidTr="00592520">
        <w:tc>
          <w:tcPr>
            <w:tcW w:w="3279" w:type="pct"/>
            <w:noWrap/>
            <w:tcMar>
              <w:top w:w="57" w:type="dxa"/>
              <w:bottom w:w="57" w:type="dxa"/>
            </w:tcMar>
          </w:tcPr>
          <w:p w14:paraId="3173EB14" w14:textId="77777777" w:rsidR="00C11331" w:rsidRPr="00F874BF" w:rsidRDefault="00C11331" w:rsidP="00630831">
            <w:pPr>
              <w:pStyle w:val="TableTextLeft"/>
            </w:pPr>
            <w:r w:rsidRPr="00F874BF">
              <w:t>Other long</w:t>
            </w:r>
            <w:r w:rsidRPr="00F874BF">
              <w:noBreakHyphen/>
              <w:t xml:space="preserve">term employee benefits </w:t>
            </w:r>
          </w:p>
        </w:tc>
        <w:tc>
          <w:tcPr>
            <w:tcW w:w="832" w:type="pct"/>
            <w:shd w:val="clear" w:color="auto" w:fill="E7DCF7" w:themeFill="text2" w:themeFillTint="1A"/>
            <w:noWrap/>
            <w:tcMar>
              <w:top w:w="57" w:type="dxa"/>
              <w:bottom w:w="57" w:type="dxa"/>
            </w:tcMar>
          </w:tcPr>
          <w:p w14:paraId="470E28AB" w14:textId="77777777" w:rsidR="00C11331" w:rsidRPr="00F874BF" w:rsidRDefault="00C11331" w:rsidP="00630831">
            <w:pPr>
              <w:pStyle w:val="TableTextRight"/>
            </w:pPr>
            <w:r w:rsidRPr="00F874BF">
              <w:t>9</w:t>
            </w:r>
          </w:p>
        </w:tc>
        <w:tc>
          <w:tcPr>
            <w:tcW w:w="889" w:type="pct"/>
            <w:noWrap/>
            <w:tcMar>
              <w:top w:w="57" w:type="dxa"/>
              <w:bottom w:w="57" w:type="dxa"/>
            </w:tcMar>
          </w:tcPr>
          <w:p w14:paraId="053B1020" w14:textId="77777777" w:rsidR="00C11331" w:rsidRPr="00F874BF" w:rsidRDefault="00C11331" w:rsidP="00630831">
            <w:pPr>
              <w:pStyle w:val="TableTextRight"/>
            </w:pPr>
            <w:r w:rsidRPr="00F874BF">
              <w:t>9</w:t>
            </w:r>
          </w:p>
        </w:tc>
      </w:tr>
      <w:tr w:rsidR="00C11331" w:rsidRPr="00AE665D" w14:paraId="4920D310" w14:textId="77777777" w:rsidTr="00592520">
        <w:tc>
          <w:tcPr>
            <w:tcW w:w="3279" w:type="pct"/>
            <w:noWrap/>
            <w:tcMar>
              <w:top w:w="57" w:type="dxa"/>
              <w:bottom w:w="57" w:type="dxa"/>
            </w:tcMar>
            <w:hideMark/>
          </w:tcPr>
          <w:p w14:paraId="3021E25C" w14:textId="77777777" w:rsidR="00C11331" w:rsidRPr="001D46F4" w:rsidRDefault="00C11331" w:rsidP="00630831">
            <w:pPr>
              <w:pStyle w:val="TableTextLeft"/>
              <w:rPr>
                <w:b/>
                <w:bCs/>
              </w:rPr>
            </w:pPr>
            <w:r w:rsidRPr="001D46F4">
              <w:rPr>
                <w:b/>
                <w:bCs/>
              </w:rPr>
              <w:t>Total</w:t>
            </w:r>
          </w:p>
        </w:tc>
        <w:tc>
          <w:tcPr>
            <w:tcW w:w="832" w:type="pct"/>
            <w:shd w:val="clear" w:color="auto" w:fill="E7DCF7" w:themeFill="text2" w:themeFillTint="1A"/>
            <w:noWrap/>
            <w:tcMar>
              <w:top w:w="57" w:type="dxa"/>
              <w:bottom w:w="57" w:type="dxa"/>
            </w:tcMar>
          </w:tcPr>
          <w:p w14:paraId="1EF5ABBB" w14:textId="77777777" w:rsidR="00C11331" w:rsidRPr="001D46F4" w:rsidRDefault="00C11331" w:rsidP="00630831">
            <w:pPr>
              <w:pStyle w:val="TableTextRight"/>
              <w:rPr>
                <w:b/>
                <w:bCs/>
              </w:rPr>
            </w:pPr>
            <w:r w:rsidRPr="001D46F4">
              <w:rPr>
                <w:b/>
                <w:bCs/>
              </w:rPr>
              <w:t>403</w:t>
            </w:r>
          </w:p>
        </w:tc>
        <w:tc>
          <w:tcPr>
            <w:tcW w:w="889" w:type="pct"/>
            <w:noWrap/>
            <w:tcMar>
              <w:top w:w="57" w:type="dxa"/>
              <w:bottom w:w="57" w:type="dxa"/>
            </w:tcMar>
            <w:hideMark/>
          </w:tcPr>
          <w:p w14:paraId="51C9E346" w14:textId="77777777" w:rsidR="00C11331" w:rsidRPr="001D46F4" w:rsidRDefault="00C11331" w:rsidP="00630831">
            <w:pPr>
              <w:pStyle w:val="TableTextRight"/>
              <w:rPr>
                <w:b/>
                <w:bCs/>
              </w:rPr>
            </w:pPr>
            <w:r w:rsidRPr="001D46F4">
              <w:rPr>
                <w:b/>
                <w:bCs/>
              </w:rPr>
              <w:t xml:space="preserve">446 </w:t>
            </w:r>
          </w:p>
        </w:tc>
      </w:tr>
    </w:tbl>
    <w:p w14:paraId="0B4DF677" w14:textId="77777777" w:rsidR="00C11331" w:rsidRDefault="00C11331" w:rsidP="00C11331">
      <w:pPr>
        <w:pStyle w:val="ChartorTableNote"/>
      </w:pPr>
      <w:r>
        <w:t xml:space="preserve">The total </w:t>
      </w:r>
      <w:r w:rsidRPr="001D46F4">
        <w:t>number</w:t>
      </w:r>
      <w:r>
        <w:t xml:space="preserve"> of key </w:t>
      </w:r>
      <w:r w:rsidRPr="00F874BF">
        <w:t>management</w:t>
      </w:r>
      <w:r>
        <w:t xml:space="preserve"> personnel included in the above table is 1 (2024: 1).</w:t>
      </w:r>
    </w:p>
    <w:p w14:paraId="2898E31B" w14:textId="7D8919C9" w:rsidR="00115D9F" w:rsidRPr="00667DE0" w:rsidRDefault="00115D9F" w:rsidP="00115D9F">
      <w:pPr>
        <w:pStyle w:val="Heading3"/>
      </w:pPr>
      <w:bookmarkStart w:id="1878" w:name="_Toc207796163"/>
      <w:bookmarkEnd w:id="1877"/>
      <w:r w:rsidRPr="00667DE0">
        <w:t>Related Part Disclosures</w:t>
      </w:r>
      <w:bookmarkEnd w:id="1878"/>
    </w:p>
    <w:p w14:paraId="0C4D40C7" w14:textId="77777777" w:rsidR="00115D9F" w:rsidRPr="00235666" w:rsidRDefault="00115D9F" w:rsidP="00115D9F">
      <w:pPr>
        <w:pStyle w:val="Heading4"/>
      </w:pPr>
      <w:r w:rsidRPr="00235666">
        <w:t>Related party relationships:</w:t>
      </w:r>
    </w:p>
    <w:p w14:paraId="0ABACE17" w14:textId="77777777" w:rsidR="00115D9F" w:rsidRDefault="00115D9F" w:rsidP="00115D9F">
      <w:r>
        <w:t xml:space="preserve">The AOFM </w:t>
      </w:r>
      <w:r w:rsidRPr="00235666">
        <w:t>is an Australian Government controlled entity</w:t>
      </w:r>
      <w:r>
        <w:t>. The AOFM’s r</w:t>
      </w:r>
      <w:r w:rsidRPr="00235666">
        <w:t xml:space="preserve">elated parties </w:t>
      </w:r>
      <w:r>
        <w:t xml:space="preserve">are </w:t>
      </w:r>
      <w:r w:rsidRPr="00235666">
        <w:t>Key</w:t>
      </w:r>
      <w:r>
        <w:t xml:space="preserve"> </w:t>
      </w:r>
      <w:r w:rsidRPr="00235666">
        <w:t xml:space="preserve">Management Personnel (KMP) including the </w:t>
      </w:r>
      <w:r>
        <w:t xml:space="preserve">Secretary to the Treasury, the Treasurer </w:t>
      </w:r>
      <w:r w:rsidRPr="00235666">
        <w:t>and other Australian</w:t>
      </w:r>
      <w:r>
        <w:t xml:space="preserve"> </w:t>
      </w:r>
      <w:r w:rsidRPr="00235666">
        <w:t>Government entities.</w:t>
      </w:r>
    </w:p>
    <w:p w14:paraId="3B80F9E2" w14:textId="77777777" w:rsidR="00115D9F" w:rsidRPr="00235666" w:rsidRDefault="00115D9F" w:rsidP="00115D9F">
      <w:pPr>
        <w:pStyle w:val="Heading4"/>
      </w:pPr>
      <w:r>
        <w:t>Transactions with related parties:</w:t>
      </w:r>
    </w:p>
    <w:p w14:paraId="5DFF2F69" w14:textId="77777777" w:rsidR="00115D9F" w:rsidRDefault="00115D9F" w:rsidP="00115D9F">
      <w:r w:rsidRPr="00235666">
        <w:t xml:space="preserve">Given the breadth of </w:t>
      </w:r>
      <w:r>
        <w:t xml:space="preserve">Australian </w:t>
      </w:r>
      <w:r w:rsidRPr="00235666">
        <w:t xml:space="preserve">Government activities, related parties may transact with the </w:t>
      </w:r>
      <w:r>
        <w:t>G</w:t>
      </w:r>
      <w:r w:rsidRPr="00235666">
        <w:t>overnment sector in the same capacity as</w:t>
      </w:r>
      <w:r>
        <w:t xml:space="preserve"> </w:t>
      </w:r>
      <w:r w:rsidRPr="00235666">
        <w:t>ordinary citizens. Such transactions include the payment or refund of taxes, receipt of a Medicare rebate or higher education</w:t>
      </w:r>
      <w:r>
        <w:t xml:space="preserve"> </w:t>
      </w:r>
      <w:r w:rsidRPr="00235666">
        <w:t>loans. These transactions have not been separately disclosed in this note.</w:t>
      </w:r>
    </w:p>
    <w:p w14:paraId="21CAC6F5" w14:textId="77777777" w:rsidR="00115D9F" w:rsidRPr="00D345A9" w:rsidRDefault="00115D9F" w:rsidP="00115D9F">
      <w:r>
        <w:t>There are no transactions with Key Management Personnel (KMP) besides remuneration disclosed above and travel allowances paid in the ordinary course of business.</w:t>
      </w:r>
    </w:p>
    <w:p w14:paraId="7B3F697C" w14:textId="77777777" w:rsidR="00115D9F" w:rsidRDefault="00115D9F" w:rsidP="00115D9F">
      <w:pPr>
        <w:rPr>
          <w:bCs/>
          <w:iCs/>
        </w:rPr>
      </w:pPr>
      <w:r>
        <w:t xml:space="preserve">The AOFM </w:t>
      </w:r>
      <w:r w:rsidRPr="00F749E5">
        <w:t>transacts with other Australian Government controlled entities consistent with normal day</w:t>
      </w:r>
      <w:r>
        <w:noBreakHyphen/>
      </w:r>
      <w:r w:rsidRPr="00F749E5">
        <w:t>to</w:t>
      </w:r>
      <w:r>
        <w:noBreakHyphen/>
      </w:r>
      <w:r w:rsidRPr="00F749E5">
        <w:t xml:space="preserve">day business operations provided under normal terms and conditions, including provision of advice and other services, payment of workers compensation, insurance premiums and superannuation. </w:t>
      </w:r>
      <w:proofErr w:type="gramStart"/>
      <w:r w:rsidRPr="00F749E5">
        <w:t>Giving consideration to</w:t>
      </w:r>
      <w:proofErr w:type="gramEnd"/>
      <w:r w:rsidRPr="00F749E5">
        <w:t xml:space="preserve"> relationships with related entities, and transactions entered into during the reporting period by </w:t>
      </w:r>
      <w:r>
        <w:t>the AOFM</w:t>
      </w:r>
      <w:r w:rsidRPr="00F749E5">
        <w:t xml:space="preserve">, it has been determined that there are no related party transactions to be separately disclosed. </w:t>
      </w:r>
    </w:p>
    <w:p w14:paraId="4ABEBB00" w14:textId="77777777" w:rsidR="00115D9F" w:rsidRDefault="00115D9F" w:rsidP="00115D9F">
      <w:pPr>
        <w:rPr>
          <w:bCs/>
          <w:iCs/>
        </w:rPr>
      </w:pPr>
      <w:r w:rsidRPr="00F749E5">
        <w:t xml:space="preserve">There are no related party transactions by Ministers requiring disclosure by </w:t>
      </w:r>
      <w:r>
        <w:t xml:space="preserve">the AOFM </w:t>
      </w:r>
      <w:r w:rsidRPr="00F749E5">
        <w:t>in 202</w:t>
      </w:r>
      <w:r>
        <w:t>5</w:t>
      </w:r>
      <w:r w:rsidRPr="00F749E5">
        <w:t xml:space="preserve"> (202</w:t>
      </w:r>
      <w:r>
        <w:t>4</w:t>
      </w:r>
      <w:r w:rsidRPr="00F749E5">
        <w:t>: nil)</w:t>
      </w:r>
      <w:r>
        <w:t>.</w:t>
      </w:r>
    </w:p>
    <w:p w14:paraId="574B6DB8" w14:textId="77777777" w:rsidR="00115D9F" w:rsidRDefault="00115D9F" w:rsidP="00115D9F">
      <w:pPr>
        <w:pStyle w:val="Heading2"/>
        <w:rPr>
          <w:iCs/>
        </w:rPr>
      </w:pPr>
      <w:r w:rsidRPr="006C4CBD">
        <w:br w:type="page"/>
      </w:r>
      <w:bookmarkStart w:id="1879" w:name="_Toc146112285"/>
      <w:bookmarkStart w:id="1880" w:name="_Toc207792953"/>
      <w:bookmarkStart w:id="1881" w:name="_Toc207793993"/>
      <w:bookmarkStart w:id="1882" w:name="_Toc207796164"/>
      <w:bookmarkStart w:id="1883" w:name="_Toc207796997"/>
      <w:bookmarkStart w:id="1884" w:name="_Toc207800300"/>
      <w:bookmarkStart w:id="1885" w:name="_Toc207810878"/>
      <w:bookmarkStart w:id="1886" w:name="_Toc208914158"/>
      <w:bookmarkStart w:id="1887" w:name="_Toc209424555"/>
      <w:r w:rsidRPr="00F81DB5">
        <w:lastRenderedPageBreak/>
        <w:t>Note E: Lease liabilities</w:t>
      </w:r>
      <w:bookmarkEnd w:id="1879"/>
      <w:bookmarkEnd w:id="1880"/>
      <w:bookmarkEnd w:id="1881"/>
      <w:bookmarkEnd w:id="1882"/>
      <w:bookmarkEnd w:id="1883"/>
      <w:bookmarkEnd w:id="1884"/>
      <w:bookmarkEnd w:id="1885"/>
      <w:bookmarkEnd w:id="1886"/>
      <w:bookmarkEnd w:id="1887"/>
    </w:p>
    <w:p w14:paraId="03BD217C" w14:textId="77777777" w:rsidR="00115D9F" w:rsidRPr="006534F5" w:rsidRDefault="00115D9F" w:rsidP="00115D9F">
      <w:pPr>
        <w:pStyle w:val="TableMainHeading"/>
        <w:rPr>
          <w:rFonts w:cs="Arial"/>
        </w:rPr>
      </w:pPr>
      <w:r>
        <w:t>Lease liabilities</w:t>
      </w:r>
    </w:p>
    <w:tbl>
      <w:tblPr>
        <w:tblStyle w:val="AOFMTablemain"/>
        <w:tblW w:w="5000" w:type="pct"/>
        <w:tblLook w:val="06A0" w:firstRow="1" w:lastRow="0" w:firstColumn="1" w:lastColumn="0" w:noHBand="1" w:noVBand="1"/>
      </w:tblPr>
      <w:tblGrid>
        <w:gridCol w:w="5097"/>
        <w:gridCol w:w="1241"/>
        <w:gridCol w:w="1373"/>
      </w:tblGrid>
      <w:tr w:rsidR="0048600D" w:rsidRPr="006534F5" w14:paraId="64E43FA3" w14:textId="77777777" w:rsidTr="00EC03D4">
        <w:trPr>
          <w:cnfStyle w:val="100000000000" w:firstRow="1" w:lastRow="0" w:firstColumn="0" w:lastColumn="0" w:oddVBand="0" w:evenVBand="0" w:oddHBand="0" w:evenHBand="0" w:firstRowFirstColumn="0" w:firstRowLastColumn="0" w:lastRowFirstColumn="0" w:lastRowLastColumn="0"/>
        </w:trPr>
        <w:tc>
          <w:tcPr>
            <w:tcW w:w="3305" w:type="pct"/>
            <w:noWrap/>
            <w:tcMar>
              <w:top w:w="57" w:type="dxa"/>
              <w:bottom w:w="57" w:type="dxa"/>
            </w:tcMar>
            <w:hideMark/>
          </w:tcPr>
          <w:p w14:paraId="09BA4C45" w14:textId="77777777" w:rsidR="00115D9F" w:rsidRPr="001E5178" w:rsidRDefault="00115D9F" w:rsidP="00630831">
            <w:pPr>
              <w:pStyle w:val="TableColumnHeadingLeft"/>
            </w:pPr>
            <w:r w:rsidRPr="001E5178">
              <w:t> </w:t>
            </w:r>
          </w:p>
        </w:tc>
        <w:tc>
          <w:tcPr>
            <w:tcW w:w="805" w:type="pct"/>
            <w:noWrap/>
            <w:tcMar>
              <w:top w:w="57" w:type="dxa"/>
              <w:bottom w:w="57" w:type="dxa"/>
            </w:tcMar>
            <w:hideMark/>
          </w:tcPr>
          <w:p w14:paraId="4B0CABB6" w14:textId="77777777" w:rsidR="00115D9F" w:rsidRPr="008A492C" w:rsidRDefault="00115D9F" w:rsidP="00630831">
            <w:pPr>
              <w:pStyle w:val="TableColumnHeadingRight"/>
            </w:pPr>
            <w:r w:rsidRPr="008A492C">
              <w:t>2025</w:t>
            </w:r>
          </w:p>
          <w:p w14:paraId="40244B3F" w14:textId="77777777" w:rsidR="00115D9F" w:rsidRPr="008A492C" w:rsidRDefault="00115D9F" w:rsidP="00630831">
            <w:pPr>
              <w:pStyle w:val="TableColumnHeadingRight"/>
            </w:pPr>
            <w:r w:rsidRPr="008A492C">
              <w:t>$</w:t>
            </w:r>
            <w:r>
              <w:t>’</w:t>
            </w:r>
            <w:r w:rsidRPr="008A492C">
              <w:t>000</w:t>
            </w:r>
          </w:p>
        </w:tc>
        <w:tc>
          <w:tcPr>
            <w:tcW w:w="890" w:type="pct"/>
            <w:noWrap/>
            <w:tcMar>
              <w:top w:w="57" w:type="dxa"/>
              <w:bottom w:w="57" w:type="dxa"/>
            </w:tcMar>
            <w:hideMark/>
          </w:tcPr>
          <w:p w14:paraId="4B677977" w14:textId="77777777" w:rsidR="00115D9F" w:rsidRPr="008A492C" w:rsidRDefault="00115D9F" w:rsidP="00630831">
            <w:pPr>
              <w:pStyle w:val="TableColumnHeadingRight"/>
            </w:pPr>
            <w:r w:rsidRPr="008A492C">
              <w:t xml:space="preserve">2024 </w:t>
            </w:r>
          </w:p>
          <w:p w14:paraId="5BABB24E" w14:textId="77777777" w:rsidR="00115D9F" w:rsidRPr="008A492C" w:rsidRDefault="00115D9F" w:rsidP="00630831">
            <w:pPr>
              <w:pStyle w:val="TableColumnHeadingRight"/>
            </w:pPr>
            <w:r w:rsidRPr="008A492C">
              <w:t>$</w:t>
            </w:r>
            <w:r>
              <w:t>’</w:t>
            </w:r>
            <w:r w:rsidRPr="008A492C">
              <w:t xml:space="preserve">000 </w:t>
            </w:r>
          </w:p>
        </w:tc>
      </w:tr>
      <w:tr w:rsidR="00115D9F" w:rsidRPr="006754CA" w14:paraId="19E1B9E5" w14:textId="77777777" w:rsidTr="006A715B">
        <w:tc>
          <w:tcPr>
            <w:tcW w:w="3305" w:type="pct"/>
            <w:noWrap/>
            <w:tcMar>
              <w:top w:w="57" w:type="dxa"/>
              <w:bottom w:w="57" w:type="dxa"/>
            </w:tcMar>
            <w:hideMark/>
          </w:tcPr>
          <w:p w14:paraId="236A403C" w14:textId="77777777" w:rsidR="00115D9F" w:rsidRPr="006534F5" w:rsidRDefault="00115D9F" w:rsidP="00630831">
            <w:pPr>
              <w:pStyle w:val="TableTextLeft"/>
            </w:pPr>
            <w:r>
              <w:t>Lease liabilities</w:t>
            </w:r>
          </w:p>
        </w:tc>
        <w:tc>
          <w:tcPr>
            <w:tcW w:w="805" w:type="pct"/>
            <w:shd w:val="clear" w:color="auto" w:fill="E7DCF7" w:themeFill="text2" w:themeFillTint="1A"/>
            <w:noWrap/>
            <w:tcMar>
              <w:top w:w="57" w:type="dxa"/>
              <w:bottom w:w="57" w:type="dxa"/>
            </w:tcMar>
          </w:tcPr>
          <w:p w14:paraId="3E2F067A" w14:textId="77777777" w:rsidR="00115D9F" w:rsidRPr="00AE665D" w:rsidRDefault="00115D9F" w:rsidP="00630831">
            <w:pPr>
              <w:pStyle w:val="TableTextRight"/>
            </w:pPr>
            <w:r>
              <w:t>3,519</w:t>
            </w:r>
          </w:p>
        </w:tc>
        <w:tc>
          <w:tcPr>
            <w:tcW w:w="890" w:type="pct"/>
            <w:noWrap/>
            <w:tcMar>
              <w:top w:w="57" w:type="dxa"/>
              <w:bottom w:w="57" w:type="dxa"/>
            </w:tcMar>
            <w:hideMark/>
          </w:tcPr>
          <w:p w14:paraId="2D185781" w14:textId="77777777" w:rsidR="00115D9F" w:rsidRPr="00AE665D" w:rsidRDefault="00115D9F" w:rsidP="00630831">
            <w:pPr>
              <w:pStyle w:val="TableTextRight"/>
            </w:pPr>
            <w:r w:rsidRPr="00AE665D">
              <w:t>3,</w:t>
            </w:r>
            <w:r>
              <w:t>649</w:t>
            </w:r>
            <w:r w:rsidRPr="00AE665D">
              <w:t xml:space="preserve"> </w:t>
            </w:r>
          </w:p>
        </w:tc>
      </w:tr>
      <w:tr w:rsidR="00115D9F" w:rsidRPr="00F874BF" w14:paraId="13BFE3DF" w14:textId="77777777" w:rsidTr="006A715B">
        <w:tc>
          <w:tcPr>
            <w:tcW w:w="3305" w:type="pct"/>
            <w:noWrap/>
            <w:tcMar>
              <w:top w:w="57" w:type="dxa"/>
              <w:bottom w:w="57" w:type="dxa"/>
            </w:tcMar>
            <w:hideMark/>
          </w:tcPr>
          <w:p w14:paraId="03A54B5B" w14:textId="77777777" w:rsidR="00115D9F" w:rsidRPr="00F874BF" w:rsidRDefault="00115D9F" w:rsidP="00630831">
            <w:pPr>
              <w:pStyle w:val="TableTextLeft"/>
              <w:rPr>
                <w:b/>
                <w:bCs/>
              </w:rPr>
            </w:pPr>
            <w:r w:rsidRPr="00F874BF">
              <w:rPr>
                <w:b/>
                <w:bCs/>
              </w:rPr>
              <w:t>Total</w:t>
            </w:r>
          </w:p>
        </w:tc>
        <w:tc>
          <w:tcPr>
            <w:tcW w:w="805" w:type="pct"/>
            <w:shd w:val="clear" w:color="auto" w:fill="E7DCF7" w:themeFill="text2" w:themeFillTint="1A"/>
            <w:noWrap/>
            <w:tcMar>
              <w:top w:w="57" w:type="dxa"/>
              <w:bottom w:w="57" w:type="dxa"/>
            </w:tcMar>
          </w:tcPr>
          <w:p w14:paraId="77488845" w14:textId="77777777" w:rsidR="00115D9F" w:rsidRPr="001D46F4" w:rsidRDefault="00115D9F" w:rsidP="00630831">
            <w:pPr>
              <w:pStyle w:val="TableTextRight"/>
              <w:rPr>
                <w:b/>
                <w:bCs/>
              </w:rPr>
            </w:pPr>
            <w:r w:rsidRPr="001D46F4">
              <w:rPr>
                <w:b/>
                <w:bCs/>
              </w:rPr>
              <w:t>3,519</w:t>
            </w:r>
          </w:p>
        </w:tc>
        <w:tc>
          <w:tcPr>
            <w:tcW w:w="890" w:type="pct"/>
            <w:noWrap/>
            <w:tcMar>
              <w:top w:w="57" w:type="dxa"/>
              <w:bottom w:w="57" w:type="dxa"/>
            </w:tcMar>
            <w:hideMark/>
          </w:tcPr>
          <w:p w14:paraId="34A0B155" w14:textId="77777777" w:rsidR="00115D9F" w:rsidRPr="001D46F4" w:rsidRDefault="00115D9F" w:rsidP="00630831">
            <w:pPr>
              <w:pStyle w:val="TableTextRight"/>
              <w:rPr>
                <w:b/>
                <w:bCs/>
              </w:rPr>
            </w:pPr>
            <w:r w:rsidRPr="001D46F4">
              <w:rPr>
                <w:b/>
                <w:bCs/>
              </w:rPr>
              <w:t xml:space="preserve">3,649 </w:t>
            </w:r>
          </w:p>
        </w:tc>
      </w:tr>
    </w:tbl>
    <w:p w14:paraId="43959B42" w14:textId="77777777" w:rsidR="00115D9F" w:rsidRDefault="00115D9F" w:rsidP="00115D9F">
      <w:pPr>
        <w:pStyle w:val="NoSpacing"/>
      </w:pPr>
    </w:p>
    <w:p w14:paraId="5D72041F" w14:textId="77777777" w:rsidR="00115D9F" w:rsidRPr="006534F5" w:rsidRDefault="00115D9F" w:rsidP="00115D9F">
      <w:pPr>
        <w:pStyle w:val="TableMainHeading"/>
        <w:keepLines/>
        <w:rPr>
          <w:rFonts w:asciiTheme="minorHAnsi" w:hAnsiTheme="minorHAnsi" w:cstheme="minorBidi"/>
          <w:color w:val="auto"/>
        </w:rPr>
      </w:pPr>
      <w:r>
        <w:t>Maturity analysis – contractual undiscounted cash flows</w:t>
      </w:r>
      <w:r w:rsidRPr="006534F5">
        <w:t xml:space="preserve"> </w:t>
      </w:r>
    </w:p>
    <w:tbl>
      <w:tblPr>
        <w:tblStyle w:val="AOFMTablemain"/>
        <w:tblW w:w="5000" w:type="pct"/>
        <w:tblLook w:val="06A0" w:firstRow="1" w:lastRow="0" w:firstColumn="1" w:lastColumn="0" w:noHBand="1" w:noVBand="1"/>
      </w:tblPr>
      <w:tblGrid>
        <w:gridCol w:w="5097"/>
        <w:gridCol w:w="1241"/>
        <w:gridCol w:w="1373"/>
      </w:tblGrid>
      <w:tr w:rsidR="0048600D" w:rsidRPr="006534F5" w14:paraId="68DA56F0" w14:textId="77777777" w:rsidTr="00115D9F">
        <w:trPr>
          <w:cnfStyle w:val="100000000000" w:firstRow="1" w:lastRow="0" w:firstColumn="0" w:lastColumn="0" w:oddVBand="0" w:evenVBand="0" w:oddHBand="0" w:evenHBand="0" w:firstRowFirstColumn="0" w:firstRowLastColumn="0" w:lastRowFirstColumn="0" w:lastRowLastColumn="0"/>
        </w:trPr>
        <w:tc>
          <w:tcPr>
            <w:tcW w:w="3305" w:type="pct"/>
            <w:noWrap/>
            <w:tcMar>
              <w:top w:w="57" w:type="dxa"/>
              <w:bottom w:w="57" w:type="dxa"/>
            </w:tcMar>
            <w:hideMark/>
          </w:tcPr>
          <w:p w14:paraId="7A150E99" w14:textId="77777777" w:rsidR="00115D9F" w:rsidRPr="00713B13" w:rsidRDefault="00115D9F" w:rsidP="00630831">
            <w:pPr>
              <w:pStyle w:val="TableColumnHeadingLeft"/>
            </w:pPr>
            <w:r w:rsidRPr="00713B13">
              <w:t> </w:t>
            </w:r>
          </w:p>
        </w:tc>
        <w:tc>
          <w:tcPr>
            <w:tcW w:w="805" w:type="pct"/>
            <w:noWrap/>
            <w:tcMar>
              <w:top w:w="57" w:type="dxa"/>
              <w:bottom w:w="57" w:type="dxa"/>
            </w:tcMar>
            <w:hideMark/>
          </w:tcPr>
          <w:p w14:paraId="14DDEEA8" w14:textId="77777777" w:rsidR="00115D9F" w:rsidRDefault="00115D9F" w:rsidP="00630831">
            <w:pPr>
              <w:pStyle w:val="TableColumnHeadingRight"/>
              <w:rPr>
                <w:bCs/>
              </w:rPr>
            </w:pPr>
            <w:r w:rsidRPr="00077DB0">
              <w:rPr>
                <w:bCs/>
              </w:rPr>
              <w:t>202</w:t>
            </w:r>
            <w:r>
              <w:rPr>
                <w:bCs/>
              </w:rPr>
              <w:t>5</w:t>
            </w:r>
          </w:p>
          <w:p w14:paraId="21196C3D" w14:textId="77777777" w:rsidR="00115D9F" w:rsidRPr="00713B13" w:rsidRDefault="00115D9F" w:rsidP="00630831">
            <w:pPr>
              <w:pStyle w:val="TableColumnHeadingRight"/>
              <w:rPr>
                <w:bCs/>
              </w:rPr>
            </w:pPr>
            <w:r>
              <w:rPr>
                <w:bCs/>
              </w:rPr>
              <w:t>$’000</w:t>
            </w:r>
          </w:p>
        </w:tc>
        <w:tc>
          <w:tcPr>
            <w:tcW w:w="890" w:type="pct"/>
            <w:noWrap/>
            <w:tcMar>
              <w:top w:w="57" w:type="dxa"/>
              <w:bottom w:w="57" w:type="dxa"/>
            </w:tcMar>
            <w:hideMark/>
          </w:tcPr>
          <w:p w14:paraId="675A2564" w14:textId="77777777" w:rsidR="00115D9F" w:rsidRDefault="00115D9F" w:rsidP="00630831">
            <w:pPr>
              <w:pStyle w:val="TableColumnHeadingRight"/>
            </w:pPr>
            <w:r w:rsidRPr="00077DB0">
              <w:t>202</w:t>
            </w:r>
            <w:r>
              <w:t xml:space="preserve">4 </w:t>
            </w:r>
          </w:p>
          <w:p w14:paraId="0859673D" w14:textId="77777777" w:rsidR="00115D9F" w:rsidRPr="00713B13" w:rsidRDefault="00115D9F" w:rsidP="00630831">
            <w:pPr>
              <w:pStyle w:val="TableColumnHeadingRight"/>
            </w:pPr>
            <w:r>
              <w:t>$’000</w:t>
            </w:r>
            <w:r w:rsidRPr="00077DB0">
              <w:t xml:space="preserve"> </w:t>
            </w:r>
          </w:p>
        </w:tc>
      </w:tr>
      <w:tr w:rsidR="00115D9F" w:rsidRPr="006534F5" w14:paraId="7D7847D7" w14:textId="77777777" w:rsidTr="006A715B">
        <w:tc>
          <w:tcPr>
            <w:tcW w:w="3305" w:type="pct"/>
            <w:noWrap/>
            <w:tcMar>
              <w:top w:w="57" w:type="dxa"/>
              <w:bottom w:w="57" w:type="dxa"/>
            </w:tcMar>
            <w:hideMark/>
          </w:tcPr>
          <w:p w14:paraId="1B4635D8" w14:textId="77777777" w:rsidR="00115D9F" w:rsidRPr="00592520" w:rsidRDefault="00115D9F" w:rsidP="00630831">
            <w:pPr>
              <w:pStyle w:val="TableTextLeft"/>
              <w:rPr>
                <w:b/>
                <w:bCs/>
              </w:rPr>
            </w:pPr>
            <w:r w:rsidRPr="00592520">
              <w:rPr>
                <w:b/>
                <w:bCs/>
              </w:rPr>
              <w:t>Undiscounted cash flows:</w:t>
            </w:r>
          </w:p>
        </w:tc>
        <w:tc>
          <w:tcPr>
            <w:tcW w:w="805" w:type="pct"/>
            <w:shd w:val="clear" w:color="auto" w:fill="E7DCF7" w:themeFill="text2" w:themeFillTint="1A"/>
            <w:noWrap/>
            <w:tcMar>
              <w:top w:w="57" w:type="dxa"/>
              <w:bottom w:w="57" w:type="dxa"/>
            </w:tcMar>
            <w:hideMark/>
          </w:tcPr>
          <w:p w14:paraId="6F8C4E39" w14:textId="77777777" w:rsidR="00115D9F" w:rsidRPr="000D3632" w:rsidRDefault="00115D9F" w:rsidP="00630831">
            <w:pPr>
              <w:pStyle w:val="TableTextRight"/>
            </w:pPr>
            <w:r w:rsidRPr="000D3632">
              <w:t> </w:t>
            </w:r>
          </w:p>
        </w:tc>
        <w:tc>
          <w:tcPr>
            <w:tcW w:w="890" w:type="pct"/>
            <w:noWrap/>
            <w:tcMar>
              <w:top w:w="57" w:type="dxa"/>
              <w:bottom w:w="57" w:type="dxa"/>
            </w:tcMar>
            <w:hideMark/>
          </w:tcPr>
          <w:p w14:paraId="74A1C7BB" w14:textId="77777777" w:rsidR="00115D9F" w:rsidRPr="000D3632" w:rsidRDefault="00115D9F" w:rsidP="00630831">
            <w:pPr>
              <w:pStyle w:val="TableTextRight"/>
            </w:pPr>
          </w:p>
        </w:tc>
      </w:tr>
      <w:tr w:rsidR="00115D9F" w:rsidRPr="006534F5" w14:paraId="31BE09C3" w14:textId="77777777" w:rsidTr="006A715B">
        <w:tc>
          <w:tcPr>
            <w:tcW w:w="3305" w:type="pct"/>
            <w:noWrap/>
            <w:tcMar>
              <w:top w:w="57" w:type="dxa"/>
              <w:bottom w:w="57" w:type="dxa"/>
            </w:tcMar>
            <w:hideMark/>
          </w:tcPr>
          <w:p w14:paraId="0A690D80" w14:textId="77777777" w:rsidR="00115D9F" w:rsidRPr="000D3632" w:rsidRDefault="00115D9F" w:rsidP="00630831">
            <w:pPr>
              <w:pStyle w:val="TableTextLeft"/>
            </w:pPr>
            <w:r w:rsidRPr="000D3632">
              <w:t>Less than 1 year</w:t>
            </w:r>
          </w:p>
        </w:tc>
        <w:tc>
          <w:tcPr>
            <w:tcW w:w="805" w:type="pct"/>
            <w:shd w:val="clear" w:color="auto" w:fill="E7DCF7" w:themeFill="text2" w:themeFillTint="1A"/>
            <w:noWrap/>
            <w:tcMar>
              <w:top w:w="57" w:type="dxa"/>
              <w:bottom w:w="57" w:type="dxa"/>
            </w:tcMar>
          </w:tcPr>
          <w:p w14:paraId="7B37ADDB" w14:textId="77777777" w:rsidR="00115D9F" w:rsidRPr="000D3632" w:rsidRDefault="00115D9F" w:rsidP="00630831">
            <w:pPr>
              <w:pStyle w:val="TableTextRight"/>
            </w:pPr>
            <w:r w:rsidRPr="000D3632">
              <w:t>323</w:t>
            </w:r>
          </w:p>
        </w:tc>
        <w:tc>
          <w:tcPr>
            <w:tcW w:w="890" w:type="pct"/>
            <w:noWrap/>
            <w:tcMar>
              <w:top w:w="57" w:type="dxa"/>
              <w:bottom w:w="57" w:type="dxa"/>
            </w:tcMar>
            <w:hideMark/>
          </w:tcPr>
          <w:p w14:paraId="221599E7" w14:textId="77777777" w:rsidR="00115D9F" w:rsidRPr="000D3632" w:rsidRDefault="00115D9F" w:rsidP="00630831">
            <w:pPr>
              <w:pStyle w:val="TableTextRight"/>
            </w:pPr>
            <w:r w:rsidRPr="000D3632">
              <w:t xml:space="preserve">311 </w:t>
            </w:r>
          </w:p>
        </w:tc>
      </w:tr>
      <w:tr w:rsidR="00115D9F" w:rsidRPr="006534F5" w14:paraId="53BD2052" w14:textId="77777777" w:rsidTr="006A715B">
        <w:tc>
          <w:tcPr>
            <w:tcW w:w="3305" w:type="pct"/>
            <w:noWrap/>
            <w:tcMar>
              <w:top w:w="57" w:type="dxa"/>
              <w:bottom w:w="57" w:type="dxa"/>
            </w:tcMar>
            <w:hideMark/>
          </w:tcPr>
          <w:p w14:paraId="62894552" w14:textId="77777777" w:rsidR="00115D9F" w:rsidRPr="000D3632" w:rsidRDefault="00115D9F" w:rsidP="00630831">
            <w:pPr>
              <w:pStyle w:val="TableTextLeft"/>
            </w:pPr>
            <w:r w:rsidRPr="000D3632">
              <w:t>One to five years</w:t>
            </w:r>
          </w:p>
        </w:tc>
        <w:tc>
          <w:tcPr>
            <w:tcW w:w="805" w:type="pct"/>
            <w:shd w:val="clear" w:color="auto" w:fill="E7DCF7" w:themeFill="text2" w:themeFillTint="1A"/>
            <w:noWrap/>
            <w:tcMar>
              <w:top w:w="57" w:type="dxa"/>
              <w:bottom w:w="57" w:type="dxa"/>
            </w:tcMar>
          </w:tcPr>
          <w:p w14:paraId="47353F91" w14:textId="77777777" w:rsidR="00115D9F" w:rsidRPr="000D3632" w:rsidRDefault="00115D9F" w:rsidP="00630831">
            <w:pPr>
              <w:pStyle w:val="TableTextRight"/>
            </w:pPr>
            <w:r w:rsidRPr="000D3632">
              <w:t>1,373</w:t>
            </w:r>
          </w:p>
        </w:tc>
        <w:tc>
          <w:tcPr>
            <w:tcW w:w="890" w:type="pct"/>
            <w:noWrap/>
            <w:tcMar>
              <w:top w:w="57" w:type="dxa"/>
              <w:bottom w:w="57" w:type="dxa"/>
            </w:tcMar>
            <w:hideMark/>
          </w:tcPr>
          <w:p w14:paraId="60D48347" w14:textId="77777777" w:rsidR="00115D9F" w:rsidRPr="000D3632" w:rsidRDefault="00115D9F" w:rsidP="00630831">
            <w:pPr>
              <w:pStyle w:val="TableTextRight"/>
            </w:pPr>
            <w:r w:rsidRPr="000D3632">
              <w:t xml:space="preserve">1,288 </w:t>
            </w:r>
          </w:p>
        </w:tc>
      </w:tr>
      <w:tr w:rsidR="00115D9F" w:rsidRPr="006534F5" w14:paraId="30429285" w14:textId="77777777" w:rsidTr="006A715B">
        <w:tc>
          <w:tcPr>
            <w:tcW w:w="3305" w:type="pct"/>
            <w:noWrap/>
            <w:tcMar>
              <w:top w:w="57" w:type="dxa"/>
              <w:bottom w:w="57" w:type="dxa"/>
            </w:tcMar>
            <w:hideMark/>
          </w:tcPr>
          <w:p w14:paraId="198DC85A" w14:textId="77777777" w:rsidR="00115D9F" w:rsidRPr="000D3632" w:rsidRDefault="00115D9F" w:rsidP="00630831">
            <w:pPr>
              <w:pStyle w:val="TableTextLeft"/>
            </w:pPr>
            <w:r w:rsidRPr="000D3632">
              <w:t>More than five years</w:t>
            </w:r>
          </w:p>
        </w:tc>
        <w:tc>
          <w:tcPr>
            <w:tcW w:w="805" w:type="pct"/>
            <w:shd w:val="clear" w:color="auto" w:fill="E7DCF7" w:themeFill="text2" w:themeFillTint="1A"/>
            <w:noWrap/>
            <w:tcMar>
              <w:top w:w="57" w:type="dxa"/>
              <w:bottom w:w="57" w:type="dxa"/>
            </w:tcMar>
          </w:tcPr>
          <w:p w14:paraId="6F4BE103" w14:textId="77777777" w:rsidR="00115D9F" w:rsidRPr="000D3632" w:rsidRDefault="00115D9F" w:rsidP="00630831">
            <w:pPr>
              <w:pStyle w:val="TableTextRight"/>
            </w:pPr>
            <w:r w:rsidRPr="000D3632">
              <w:t>2,105</w:t>
            </w:r>
          </w:p>
        </w:tc>
        <w:tc>
          <w:tcPr>
            <w:tcW w:w="890" w:type="pct"/>
            <w:noWrap/>
            <w:tcMar>
              <w:top w:w="57" w:type="dxa"/>
              <w:bottom w:w="57" w:type="dxa"/>
            </w:tcMar>
            <w:hideMark/>
          </w:tcPr>
          <w:p w14:paraId="4D041265" w14:textId="77777777" w:rsidR="00115D9F" w:rsidRPr="000D3632" w:rsidRDefault="00115D9F" w:rsidP="00630831">
            <w:pPr>
              <w:pStyle w:val="TableTextRight"/>
            </w:pPr>
            <w:r w:rsidRPr="000D3632">
              <w:t xml:space="preserve">2,372 </w:t>
            </w:r>
          </w:p>
        </w:tc>
      </w:tr>
      <w:tr w:rsidR="00115D9F" w:rsidRPr="006534F5" w14:paraId="444B76C5" w14:textId="77777777" w:rsidTr="006A715B">
        <w:tc>
          <w:tcPr>
            <w:tcW w:w="3305" w:type="pct"/>
            <w:noWrap/>
            <w:tcMar>
              <w:top w:w="57" w:type="dxa"/>
              <w:bottom w:w="57" w:type="dxa"/>
            </w:tcMar>
            <w:hideMark/>
          </w:tcPr>
          <w:p w14:paraId="04FBCC64" w14:textId="77777777" w:rsidR="00115D9F" w:rsidRPr="001D46F4" w:rsidRDefault="00115D9F" w:rsidP="00630831">
            <w:pPr>
              <w:pStyle w:val="TableTextLeft"/>
              <w:rPr>
                <w:b/>
                <w:bCs/>
              </w:rPr>
            </w:pPr>
            <w:r w:rsidRPr="001D46F4">
              <w:rPr>
                <w:b/>
                <w:bCs/>
              </w:rPr>
              <w:t>Total</w:t>
            </w:r>
          </w:p>
        </w:tc>
        <w:tc>
          <w:tcPr>
            <w:tcW w:w="805" w:type="pct"/>
            <w:shd w:val="clear" w:color="auto" w:fill="E7DCF7" w:themeFill="text2" w:themeFillTint="1A"/>
            <w:noWrap/>
            <w:tcMar>
              <w:top w:w="57" w:type="dxa"/>
              <w:bottom w:w="57" w:type="dxa"/>
            </w:tcMar>
          </w:tcPr>
          <w:p w14:paraId="4ADCC429" w14:textId="77777777" w:rsidR="00115D9F" w:rsidRPr="001D46F4" w:rsidRDefault="00115D9F" w:rsidP="00630831">
            <w:pPr>
              <w:pStyle w:val="TableTextRight"/>
              <w:rPr>
                <w:b/>
                <w:bCs/>
              </w:rPr>
            </w:pPr>
            <w:r w:rsidRPr="001D46F4">
              <w:rPr>
                <w:b/>
                <w:bCs/>
              </w:rPr>
              <w:t>3,801</w:t>
            </w:r>
          </w:p>
        </w:tc>
        <w:tc>
          <w:tcPr>
            <w:tcW w:w="890" w:type="pct"/>
            <w:noWrap/>
            <w:tcMar>
              <w:top w:w="57" w:type="dxa"/>
              <w:bottom w:w="57" w:type="dxa"/>
            </w:tcMar>
            <w:hideMark/>
          </w:tcPr>
          <w:p w14:paraId="125E3CB4" w14:textId="77777777" w:rsidR="00115D9F" w:rsidRPr="001D46F4" w:rsidRDefault="00115D9F" w:rsidP="00630831">
            <w:pPr>
              <w:pStyle w:val="TableTextRight"/>
              <w:rPr>
                <w:b/>
                <w:bCs/>
              </w:rPr>
            </w:pPr>
            <w:r w:rsidRPr="001D46F4">
              <w:rPr>
                <w:b/>
                <w:bCs/>
              </w:rPr>
              <w:t xml:space="preserve">3,971 </w:t>
            </w:r>
          </w:p>
        </w:tc>
      </w:tr>
    </w:tbl>
    <w:p w14:paraId="1E1831F2" w14:textId="77777777" w:rsidR="00115D9F" w:rsidRDefault="00115D9F" w:rsidP="00115D9F">
      <w:pPr>
        <w:pStyle w:val="NoSpacing"/>
      </w:pPr>
      <w:bookmarkStart w:id="1888" w:name="_Toc146112286"/>
    </w:p>
    <w:p w14:paraId="2140C43E" w14:textId="77777777" w:rsidR="00115D9F" w:rsidRDefault="00115D9F" w:rsidP="00115D9F">
      <w:r w:rsidRPr="00D36EF6">
        <w:t xml:space="preserve">Total cash outflow </w:t>
      </w:r>
      <w:r>
        <w:t xml:space="preserve">for leases for the year ended </w:t>
      </w:r>
      <w:r w:rsidRPr="00157555">
        <w:t>30 June 2025 was $0.317</w:t>
      </w:r>
      <w:r>
        <w:t> </w:t>
      </w:r>
      <w:r w:rsidRPr="00157555">
        <w:t>million (2024:</w:t>
      </w:r>
      <w:r>
        <w:t xml:space="preserve">‍ </w:t>
      </w:r>
      <w:r w:rsidRPr="00157555">
        <w:t>$0.307</w:t>
      </w:r>
      <w:r>
        <w:t> </w:t>
      </w:r>
      <w:r w:rsidRPr="00157555">
        <w:t>million).</w:t>
      </w:r>
    </w:p>
    <w:p w14:paraId="4CB54242" w14:textId="77777777" w:rsidR="00115D9F" w:rsidRDefault="00115D9F" w:rsidP="00115D9F">
      <w:r>
        <w:t>The AOFM’s significant leasing arrangement is for office accommodation at Parkes, ACT. This lease expires 22 December 2035 and rent payable has a 3% annual increase.</w:t>
      </w:r>
    </w:p>
    <w:p w14:paraId="60BBBF9B" w14:textId="5CF7C6D0" w:rsidR="008B66E5" w:rsidRDefault="00115D9F" w:rsidP="00115D9F">
      <w:r>
        <w:t>The above lease disclosures should be read in conjunction with Note C.</w:t>
      </w:r>
    </w:p>
    <w:p w14:paraId="28931412" w14:textId="77777777" w:rsidR="008B66E5" w:rsidRDefault="008B66E5">
      <w:pPr>
        <w:spacing w:after="0" w:line="240" w:lineRule="auto"/>
      </w:pPr>
      <w:r>
        <w:br w:type="page"/>
      </w: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115D9F" w14:paraId="2F84DBB8" w14:textId="77777777" w:rsidTr="008B66E5">
        <w:tc>
          <w:tcPr>
            <w:tcW w:w="7711" w:type="dxa"/>
            <w:tcBorders>
              <w:bottom w:val="single" w:sz="24" w:space="0" w:color="472978" w:themeColor="accent1"/>
            </w:tcBorders>
            <w:shd w:val="clear" w:color="auto" w:fill="E7DCF7" w:themeFill="text2" w:themeFillTint="1A"/>
          </w:tcPr>
          <w:p w14:paraId="1DB29126" w14:textId="77777777" w:rsidR="00115D9F" w:rsidRDefault="00115D9F" w:rsidP="00630831">
            <w:pPr>
              <w:pStyle w:val="Boxheading"/>
            </w:pPr>
            <w:r w:rsidRPr="000E282F">
              <w:lastRenderedPageBreak/>
              <w:t>Accounting</w:t>
            </w:r>
            <w:r>
              <w:t xml:space="preserve"> policy</w:t>
            </w:r>
          </w:p>
          <w:p w14:paraId="66773199" w14:textId="77777777" w:rsidR="00115D9F" w:rsidRPr="000E282F" w:rsidRDefault="00115D9F" w:rsidP="008B66E5">
            <w:pPr>
              <w:pStyle w:val="BoxSecondHeading"/>
            </w:pPr>
            <w:r w:rsidRPr="000E282F">
              <w:t>Leases</w:t>
            </w:r>
          </w:p>
          <w:p w14:paraId="05B6AFC6" w14:textId="77777777" w:rsidR="00115D9F" w:rsidRDefault="00115D9F" w:rsidP="00630831">
            <w:pPr>
              <w:pStyle w:val="BoxText"/>
            </w:pPr>
            <w:r>
              <w:t xml:space="preserve">A lease is defined as ‘a contract, or part of a contract. That conveys the right to use an asset (the underlying asset) for </w:t>
            </w:r>
            <w:proofErr w:type="gramStart"/>
            <w:r>
              <w:t>a period of time</w:t>
            </w:r>
            <w:proofErr w:type="gramEnd"/>
            <w:r>
              <w:t xml:space="preserve"> in exchange for consideration’.</w:t>
            </w:r>
          </w:p>
          <w:p w14:paraId="4C81F5B4" w14:textId="77777777" w:rsidR="00115D9F" w:rsidRDefault="00115D9F" w:rsidP="00630831">
            <w:pPr>
              <w:pStyle w:val="BoxText"/>
            </w:pPr>
            <w:r>
              <w:t xml:space="preserve">Once it has been determined that a contract is, or contains a lease, the lease liability is initially measured at the present value of the lease payments unpaid at the commencement date, discounted using the interest rate implicit in the lease, if that rate is readily determinable, or the AOFM’s incremental borrowing rate. </w:t>
            </w:r>
          </w:p>
          <w:p w14:paraId="30BBCBC4" w14:textId="77777777" w:rsidR="00115D9F" w:rsidRPr="006574CB" w:rsidRDefault="00115D9F" w:rsidP="00630831">
            <w:pPr>
              <w:pStyle w:val="BoxText"/>
            </w:pPr>
            <w:proofErr w:type="gramStart"/>
            <w:r>
              <w:t>Subsequent to</w:t>
            </w:r>
            <w:proofErr w:type="gramEnd"/>
            <w:r>
              <w:t xml:space="preserve"> initial measurement, the liability will be reduced for payments made and increased for interest. It is remeasured to reflect any reassessment or modification to the lease. When the lease liability is remeasured, the corresponding adjustment is reflected in the right of use asset or profit and loss depending on the nature of the reassessment or modification.</w:t>
            </w:r>
          </w:p>
        </w:tc>
      </w:tr>
      <w:bookmarkEnd w:id="1888"/>
    </w:tbl>
    <w:p w14:paraId="1218B9B5" w14:textId="655294CF" w:rsidR="00115D9F" w:rsidRDefault="00115D9F" w:rsidP="00115D9F">
      <w:pPr>
        <w:rPr>
          <w:rFonts w:eastAsiaTheme="majorEastAsia"/>
        </w:rPr>
      </w:pPr>
    </w:p>
    <w:p w14:paraId="34186B26" w14:textId="77777777" w:rsidR="004150F2" w:rsidRPr="006534F5" w:rsidRDefault="004150F2" w:rsidP="004150F2">
      <w:pPr>
        <w:pStyle w:val="Heading2"/>
        <w:spacing w:before="0"/>
        <w:rPr>
          <w:rFonts w:eastAsia="Times New Roman"/>
          <w:color w:val="1C355E"/>
          <w:lang w:eastAsia="en-AU"/>
        </w:rPr>
      </w:pPr>
      <w:bookmarkStart w:id="1889" w:name="_Toc207792954"/>
      <w:bookmarkStart w:id="1890" w:name="_Toc207793994"/>
      <w:bookmarkStart w:id="1891" w:name="_Toc207796165"/>
      <w:bookmarkStart w:id="1892" w:name="_Toc207796998"/>
      <w:bookmarkStart w:id="1893" w:name="_Toc207800301"/>
      <w:bookmarkStart w:id="1894" w:name="_Toc207810879"/>
      <w:bookmarkStart w:id="1895" w:name="_Toc208914159"/>
      <w:bookmarkStart w:id="1896" w:name="_Toc209424556"/>
      <w:r w:rsidRPr="006534F5">
        <w:t xml:space="preserve">Note </w:t>
      </w:r>
      <w:r>
        <w:t>F</w:t>
      </w:r>
      <w:r w:rsidRPr="006534F5">
        <w:t>: Other provisions</w:t>
      </w:r>
      <w:bookmarkEnd w:id="1889"/>
      <w:bookmarkEnd w:id="1890"/>
      <w:bookmarkEnd w:id="1891"/>
      <w:bookmarkEnd w:id="1892"/>
      <w:bookmarkEnd w:id="1893"/>
      <w:bookmarkEnd w:id="1894"/>
      <w:bookmarkEnd w:id="1895"/>
      <w:bookmarkEnd w:id="1896"/>
    </w:p>
    <w:p w14:paraId="27D34E79" w14:textId="77777777" w:rsidR="004150F2" w:rsidRPr="00CF2DC3" w:rsidRDefault="004150F2" w:rsidP="004150F2">
      <w:r w:rsidRPr="00CF2DC3">
        <w:t>Other provisions are for the restoration costs of the AOFM</w:t>
      </w:r>
      <w:r>
        <w:t>’</w:t>
      </w:r>
      <w:r w:rsidRPr="00CF2DC3">
        <w:t xml:space="preserve">s leasehold premises on expiry of its lease. </w:t>
      </w:r>
      <w:r w:rsidRPr="00761A93">
        <w:t>The AOFM lease for its office premises ends on 21 December 20</w:t>
      </w:r>
      <w:r>
        <w:t>30</w:t>
      </w:r>
      <w:r w:rsidRPr="00761A93">
        <w:t xml:space="preserve">, there </w:t>
      </w:r>
      <w:r>
        <w:t>is one remaining</w:t>
      </w:r>
      <w:r w:rsidRPr="00761A93">
        <w:t xml:space="preserve"> 5</w:t>
      </w:r>
      <w:r>
        <w:noBreakHyphen/>
      </w:r>
      <w:r w:rsidRPr="00761A93">
        <w:t>year extension option</w:t>
      </w:r>
      <w:r w:rsidRPr="00CF2DC3">
        <w:t xml:space="preserve"> exercisable at the AOFM</w:t>
      </w:r>
      <w:r>
        <w:t>’</w:t>
      </w:r>
      <w:r w:rsidRPr="00CF2DC3">
        <w:t xml:space="preserve">s discretion. The present value of the makegood provision was last assessed as </w:t>
      </w:r>
      <w:proofErr w:type="gramStart"/>
      <w:r w:rsidRPr="00CF2DC3">
        <w:t>at</w:t>
      </w:r>
      <w:proofErr w:type="gramEnd"/>
      <w:r w:rsidRPr="00CF2DC3">
        <w:t xml:space="preserve"> 31 March 2023 in accordance with advice from an independent expert.</w:t>
      </w:r>
    </w:p>
    <w:p w14:paraId="70763E3D" w14:textId="77777777" w:rsidR="004150F2" w:rsidRPr="009E05B2" w:rsidRDefault="004150F2" w:rsidP="004150F2">
      <w:pPr>
        <w:pStyle w:val="TableMainHeading"/>
      </w:pPr>
      <w:r>
        <w:t>Other provisions</w:t>
      </w:r>
    </w:p>
    <w:tbl>
      <w:tblPr>
        <w:tblStyle w:val="AOFMTablemain"/>
        <w:tblW w:w="5000" w:type="pct"/>
        <w:tblLook w:val="06A0" w:firstRow="1" w:lastRow="0" w:firstColumn="1" w:lastColumn="0" w:noHBand="1" w:noVBand="1"/>
      </w:tblPr>
      <w:tblGrid>
        <w:gridCol w:w="5203"/>
        <w:gridCol w:w="1254"/>
        <w:gridCol w:w="1254"/>
      </w:tblGrid>
      <w:tr w:rsidR="004150F2" w:rsidRPr="006534F5" w14:paraId="21BCB0BC" w14:textId="77777777" w:rsidTr="004150F2">
        <w:trPr>
          <w:cnfStyle w:val="100000000000" w:firstRow="1" w:lastRow="0" w:firstColumn="0" w:lastColumn="0" w:oddVBand="0" w:evenVBand="0" w:oddHBand="0" w:evenHBand="0" w:firstRowFirstColumn="0" w:firstRowLastColumn="0" w:lastRowFirstColumn="0" w:lastRowLastColumn="0"/>
        </w:trPr>
        <w:tc>
          <w:tcPr>
            <w:tcW w:w="3374" w:type="pct"/>
            <w:noWrap/>
            <w:hideMark/>
          </w:tcPr>
          <w:p w14:paraId="033E928A" w14:textId="77777777" w:rsidR="004150F2" w:rsidRPr="00B84A8D" w:rsidRDefault="004150F2" w:rsidP="00630831">
            <w:pPr>
              <w:pStyle w:val="TableColumnHeadingRight"/>
            </w:pPr>
            <w:r w:rsidRPr="00B84A8D">
              <w:t> </w:t>
            </w:r>
          </w:p>
        </w:tc>
        <w:tc>
          <w:tcPr>
            <w:tcW w:w="813" w:type="pct"/>
            <w:noWrap/>
            <w:hideMark/>
          </w:tcPr>
          <w:p w14:paraId="12886CA9" w14:textId="77777777" w:rsidR="004150F2" w:rsidRDefault="004150F2" w:rsidP="00630831">
            <w:pPr>
              <w:pStyle w:val="TableColumnHeadingRight"/>
              <w:rPr>
                <w:bCs/>
              </w:rPr>
            </w:pPr>
            <w:r w:rsidRPr="00077DB0">
              <w:rPr>
                <w:bCs/>
              </w:rPr>
              <w:t>202</w:t>
            </w:r>
            <w:r>
              <w:rPr>
                <w:bCs/>
              </w:rPr>
              <w:t>5</w:t>
            </w:r>
          </w:p>
          <w:p w14:paraId="16BD4F8A" w14:textId="77777777" w:rsidR="004150F2" w:rsidRPr="00B84A8D" w:rsidRDefault="004150F2" w:rsidP="00630831">
            <w:pPr>
              <w:pStyle w:val="TableColumnHeadingRight"/>
              <w:rPr>
                <w:bCs/>
              </w:rPr>
            </w:pPr>
            <w:r>
              <w:rPr>
                <w:bCs/>
              </w:rPr>
              <w:t>$’000</w:t>
            </w:r>
          </w:p>
        </w:tc>
        <w:tc>
          <w:tcPr>
            <w:tcW w:w="813" w:type="pct"/>
            <w:noWrap/>
            <w:hideMark/>
          </w:tcPr>
          <w:p w14:paraId="77A117D4" w14:textId="77777777" w:rsidR="004150F2" w:rsidRDefault="004150F2" w:rsidP="00630831">
            <w:pPr>
              <w:pStyle w:val="TableColumnHeadingRight"/>
            </w:pPr>
            <w:r w:rsidRPr="00077DB0">
              <w:t>202</w:t>
            </w:r>
            <w:r>
              <w:t xml:space="preserve">4 </w:t>
            </w:r>
          </w:p>
          <w:p w14:paraId="7A1C10C8" w14:textId="77777777" w:rsidR="004150F2" w:rsidRPr="00B84A8D" w:rsidRDefault="004150F2" w:rsidP="00630831">
            <w:pPr>
              <w:pStyle w:val="TableColumnHeadingRight"/>
            </w:pPr>
            <w:r>
              <w:t>$’000</w:t>
            </w:r>
            <w:r w:rsidRPr="00077DB0">
              <w:t xml:space="preserve"> </w:t>
            </w:r>
          </w:p>
        </w:tc>
      </w:tr>
      <w:tr w:rsidR="004150F2" w:rsidRPr="006534F5" w14:paraId="76C239B1" w14:textId="77777777" w:rsidTr="008B66E5">
        <w:tc>
          <w:tcPr>
            <w:tcW w:w="3374" w:type="pct"/>
            <w:noWrap/>
            <w:tcMar>
              <w:top w:w="57" w:type="dxa"/>
              <w:bottom w:w="57" w:type="dxa"/>
            </w:tcMar>
            <w:hideMark/>
          </w:tcPr>
          <w:p w14:paraId="5ED4DB4F" w14:textId="77777777" w:rsidR="004150F2" w:rsidRPr="00AA1BE6" w:rsidRDefault="004150F2" w:rsidP="00630831">
            <w:pPr>
              <w:pStyle w:val="TableTextLeft"/>
            </w:pPr>
            <w:r w:rsidRPr="00AA1BE6">
              <w:t>Makegood on leasehold premises</w:t>
            </w:r>
          </w:p>
        </w:tc>
        <w:tc>
          <w:tcPr>
            <w:tcW w:w="813" w:type="pct"/>
            <w:shd w:val="clear" w:color="auto" w:fill="E7DCF7" w:themeFill="text2" w:themeFillTint="1A"/>
            <w:noWrap/>
            <w:tcMar>
              <w:top w:w="57" w:type="dxa"/>
              <w:bottom w:w="57" w:type="dxa"/>
            </w:tcMar>
          </w:tcPr>
          <w:p w14:paraId="26EE5CB0" w14:textId="77777777" w:rsidR="004150F2" w:rsidRPr="00AA1BE6" w:rsidRDefault="004150F2" w:rsidP="00630831">
            <w:pPr>
              <w:pStyle w:val="TableTextRight"/>
            </w:pPr>
            <w:r w:rsidRPr="00AA1BE6">
              <w:t>623</w:t>
            </w:r>
          </w:p>
        </w:tc>
        <w:tc>
          <w:tcPr>
            <w:tcW w:w="813" w:type="pct"/>
            <w:noWrap/>
            <w:tcMar>
              <w:top w:w="57" w:type="dxa"/>
              <w:bottom w:w="57" w:type="dxa"/>
            </w:tcMar>
            <w:hideMark/>
          </w:tcPr>
          <w:p w14:paraId="21669080" w14:textId="77777777" w:rsidR="004150F2" w:rsidRPr="00AA1BE6" w:rsidRDefault="004150F2" w:rsidP="00630831">
            <w:pPr>
              <w:pStyle w:val="TableTextRight"/>
            </w:pPr>
            <w:r w:rsidRPr="00AA1BE6">
              <w:t>603</w:t>
            </w:r>
          </w:p>
        </w:tc>
      </w:tr>
      <w:tr w:rsidR="004150F2" w:rsidRPr="006534F5" w14:paraId="7C37C2B1" w14:textId="77777777" w:rsidTr="008B66E5">
        <w:tc>
          <w:tcPr>
            <w:tcW w:w="3374" w:type="pct"/>
            <w:noWrap/>
            <w:tcMar>
              <w:top w:w="57" w:type="dxa"/>
              <w:bottom w:w="57" w:type="dxa"/>
            </w:tcMar>
            <w:hideMark/>
          </w:tcPr>
          <w:p w14:paraId="142C282D" w14:textId="77777777" w:rsidR="004150F2" w:rsidRPr="00AA1BE6" w:rsidRDefault="004150F2" w:rsidP="00630831">
            <w:pPr>
              <w:pStyle w:val="TableTextLeft"/>
              <w:rPr>
                <w:b/>
                <w:bCs/>
              </w:rPr>
            </w:pPr>
            <w:r w:rsidRPr="00AA1BE6">
              <w:rPr>
                <w:b/>
                <w:bCs/>
              </w:rPr>
              <w:t>Total</w:t>
            </w:r>
          </w:p>
        </w:tc>
        <w:tc>
          <w:tcPr>
            <w:tcW w:w="813" w:type="pct"/>
            <w:shd w:val="clear" w:color="auto" w:fill="E7DCF7" w:themeFill="text2" w:themeFillTint="1A"/>
            <w:noWrap/>
            <w:tcMar>
              <w:top w:w="57" w:type="dxa"/>
              <w:bottom w:w="57" w:type="dxa"/>
            </w:tcMar>
          </w:tcPr>
          <w:p w14:paraId="7D0DF6F9" w14:textId="77777777" w:rsidR="004150F2" w:rsidRPr="00AA1BE6" w:rsidRDefault="004150F2" w:rsidP="00630831">
            <w:pPr>
              <w:pStyle w:val="TableTextRight"/>
              <w:rPr>
                <w:b/>
                <w:bCs/>
              </w:rPr>
            </w:pPr>
            <w:r w:rsidRPr="00AA1BE6">
              <w:rPr>
                <w:b/>
                <w:bCs/>
              </w:rPr>
              <w:t>623</w:t>
            </w:r>
          </w:p>
        </w:tc>
        <w:tc>
          <w:tcPr>
            <w:tcW w:w="813" w:type="pct"/>
            <w:noWrap/>
            <w:tcMar>
              <w:top w:w="57" w:type="dxa"/>
              <w:bottom w:w="57" w:type="dxa"/>
            </w:tcMar>
            <w:hideMark/>
          </w:tcPr>
          <w:p w14:paraId="1BC8AA3E" w14:textId="77777777" w:rsidR="004150F2" w:rsidRPr="00AA1BE6" w:rsidRDefault="004150F2" w:rsidP="00630831">
            <w:pPr>
              <w:pStyle w:val="TableTextRight"/>
              <w:rPr>
                <w:b/>
                <w:bCs/>
              </w:rPr>
            </w:pPr>
            <w:r w:rsidRPr="00AA1BE6">
              <w:rPr>
                <w:b/>
                <w:bCs/>
              </w:rPr>
              <w:t>603</w:t>
            </w:r>
          </w:p>
        </w:tc>
      </w:tr>
    </w:tbl>
    <w:p w14:paraId="02350D05" w14:textId="77777777" w:rsidR="004150F2" w:rsidRPr="006534F5" w:rsidRDefault="004150F2" w:rsidP="004150F2">
      <w:pPr>
        <w:pStyle w:val="NoSpacing"/>
      </w:pPr>
    </w:p>
    <w:p w14:paraId="48413116" w14:textId="77777777" w:rsidR="004150F2" w:rsidRPr="006534F5" w:rsidRDefault="004150F2" w:rsidP="004150F2">
      <w:pPr>
        <w:pStyle w:val="TableMainHeading"/>
        <w:keepLines/>
        <w:rPr>
          <w:rFonts w:asciiTheme="minorHAnsi" w:hAnsiTheme="minorHAnsi" w:cstheme="minorBidi"/>
          <w:lang w:eastAsia="en-US"/>
        </w:rPr>
      </w:pPr>
      <w:r w:rsidRPr="006534F5">
        <w:t>Reconciliation of movements in other provisions ($</w:t>
      </w:r>
      <w:r>
        <w:t>’</w:t>
      </w:r>
      <w:r w:rsidRPr="006534F5">
        <w:t>000)</w:t>
      </w:r>
    </w:p>
    <w:tbl>
      <w:tblPr>
        <w:tblStyle w:val="AOFMTablemain"/>
        <w:tblW w:w="5000" w:type="pct"/>
        <w:tblLook w:val="06A0" w:firstRow="1" w:lastRow="0" w:firstColumn="1" w:lastColumn="0" w:noHBand="1" w:noVBand="1"/>
      </w:tblPr>
      <w:tblGrid>
        <w:gridCol w:w="5203"/>
        <w:gridCol w:w="1254"/>
        <w:gridCol w:w="1254"/>
      </w:tblGrid>
      <w:tr w:rsidR="004150F2" w:rsidRPr="00B84A8D" w14:paraId="2D369BD0" w14:textId="77777777" w:rsidTr="004150F2">
        <w:trPr>
          <w:cnfStyle w:val="100000000000" w:firstRow="1" w:lastRow="0" w:firstColumn="0" w:lastColumn="0" w:oddVBand="0" w:evenVBand="0" w:oddHBand="0" w:evenHBand="0" w:firstRowFirstColumn="0" w:firstRowLastColumn="0" w:lastRowFirstColumn="0" w:lastRowLastColumn="0"/>
        </w:trPr>
        <w:tc>
          <w:tcPr>
            <w:tcW w:w="3374" w:type="pct"/>
            <w:noWrap/>
            <w:hideMark/>
          </w:tcPr>
          <w:p w14:paraId="080502A6" w14:textId="77777777" w:rsidR="004150F2" w:rsidRPr="00B84A8D" w:rsidRDefault="004150F2" w:rsidP="00630831">
            <w:pPr>
              <w:pStyle w:val="TableColumnHeadingRight"/>
            </w:pPr>
            <w:r w:rsidRPr="00B84A8D">
              <w:t> </w:t>
            </w:r>
          </w:p>
        </w:tc>
        <w:tc>
          <w:tcPr>
            <w:tcW w:w="813" w:type="pct"/>
            <w:noWrap/>
            <w:hideMark/>
          </w:tcPr>
          <w:p w14:paraId="434342C4" w14:textId="77777777" w:rsidR="004150F2" w:rsidRDefault="004150F2" w:rsidP="00630831">
            <w:pPr>
              <w:pStyle w:val="TableColumnHeadingRight"/>
              <w:rPr>
                <w:bCs/>
              </w:rPr>
            </w:pPr>
            <w:r w:rsidRPr="00077DB0">
              <w:rPr>
                <w:bCs/>
              </w:rPr>
              <w:t>202</w:t>
            </w:r>
            <w:r>
              <w:rPr>
                <w:bCs/>
              </w:rPr>
              <w:t>5</w:t>
            </w:r>
          </w:p>
          <w:p w14:paraId="06653658" w14:textId="77777777" w:rsidR="004150F2" w:rsidRPr="00B84A8D" w:rsidRDefault="004150F2" w:rsidP="00630831">
            <w:pPr>
              <w:pStyle w:val="TableColumnHeadingRight"/>
            </w:pPr>
            <w:r>
              <w:rPr>
                <w:bCs/>
              </w:rPr>
              <w:t>$’000</w:t>
            </w:r>
          </w:p>
        </w:tc>
        <w:tc>
          <w:tcPr>
            <w:tcW w:w="813" w:type="pct"/>
            <w:noWrap/>
            <w:hideMark/>
          </w:tcPr>
          <w:p w14:paraId="73E278FA" w14:textId="77777777" w:rsidR="004150F2" w:rsidRDefault="004150F2" w:rsidP="00630831">
            <w:pPr>
              <w:pStyle w:val="TableColumnHeadingRight"/>
            </w:pPr>
            <w:r w:rsidRPr="00077DB0">
              <w:t>202</w:t>
            </w:r>
            <w:r>
              <w:t xml:space="preserve">4 </w:t>
            </w:r>
          </w:p>
          <w:p w14:paraId="5247F2B3" w14:textId="77777777" w:rsidR="004150F2" w:rsidRPr="00B84A8D" w:rsidRDefault="004150F2" w:rsidP="00630831">
            <w:pPr>
              <w:pStyle w:val="TableColumnHeadingRight"/>
            </w:pPr>
            <w:r>
              <w:t>$’000</w:t>
            </w:r>
            <w:r w:rsidRPr="00077DB0">
              <w:t xml:space="preserve"> </w:t>
            </w:r>
          </w:p>
        </w:tc>
      </w:tr>
      <w:tr w:rsidR="004150F2" w:rsidRPr="00B84A8D" w14:paraId="50D05271" w14:textId="77777777" w:rsidTr="008B66E5">
        <w:tc>
          <w:tcPr>
            <w:tcW w:w="3374" w:type="pct"/>
            <w:noWrap/>
            <w:tcMar>
              <w:top w:w="57" w:type="dxa"/>
              <w:bottom w:w="57" w:type="dxa"/>
            </w:tcMar>
            <w:hideMark/>
          </w:tcPr>
          <w:p w14:paraId="23044BC9" w14:textId="77777777" w:rsidR="004150F2" w:rsidRPr="00B84A8D" w:rsidRDefault="004150F2" w:rsidP="00630831">
            <w:pPr>
              <w:pStyle w:val="TableTextLeft"/>
            </w:pPr>
            <w:r w:rsidRPr="00B84A8D">
              <w:t>Opening balance</w:t>
            </w:r>
          </w:p>
        </w:tc>
        <w:tc>
          <w:tcPr>
            <w:tcW w:w="813" w:type="pct"/>
            <w:shd w:val="clear" w:color="auto" w:fill="E7DCF7" w:themeFill="text2" w:themeFillTint="1A"/>
            <w:noWrap/>
            <w:tcMar>
              <w:top w:w="57" w:type="dxa"/>
              <w:bottom w:w="57" w:type="dxa"/>
            </w:tcMar>
          </w:tcPr>
          <w:p w14:paraId="76DC33F6" w14:textId="77777777" w:rsidR="004150F2" w:rsidRPr="00B84A8D" w:rsidRDefault="004150F2" w:rsidP="00630831">
            <w:pPr>
              <w:pStyle w:val="TableTextRight"/>
            </w:pPr>
            <w:r>
              <w:t>603</w:t>
            </w:r>
          </w:p>
        </w:tc>
        <w:tc>
          <w:tcPr>
            <w:tcW w:w="813" w:type="pct"/>
            <w:noWrap/>
            <w:tcMar>
              <w:top w:w="57" w:type="dxa"/>
              <w:bottom w:w="57" w:type="dxa"/>
            </w:tcMar>
            <w:hideMark/>
          </w:tcPr>
          <w:p w14:paraId="78C24B51" w14:textId="77777777" w:rsidR="004150F2" w:rsidRPr="00B84A8D" w:rsidRDefault="004150F2" w:rsidP="00630831">
            <w:pPr>
              <w:pStyle w:val="TableTextRight"/>
            </w:pPr>
            <w:r>
              <w:t>583</w:t>
            </w:r>
          </w:p>
        </w:tc>
      </w:tr>
      <w:tr w:rsidR="004150F2" w:rsidRPr="00B84A8D" w14:paraId="1A5A33A4" w14:textId="77777777" w:rsidTr="008B66E5">
        <w:tc>
          <w:tcPr>
            <w:tcW w:w="3374" w:type="pct"/>
            <w:noWrap/>
            <w:tcMar>
              <w:top w:w="57" w:type="dxa"/>
              <w:bottom w:w="57" w:type="dxa"/>
            </w:tcMar>
          </w:tcPr>
          <w:p w14:paraId="62F7A82B" w14:textId="77777777" w:rsidR="004150F2" w:rsidRPr="00B84A8D" w:rsidRDefault="004150F2" w:rsidP="00630831">
            <w:pPr>
              <w:pStyle w:val="TableTextLeft"/>
            </w:pPr>
            <w:r w:rsidRPr="00B84A8D">
              <w:t>Interest expense on makegood provision</w:t>
            </w:r>
          </w:p>
        </w:tc>
        <w:tc>
          <w:tcPr>
            <w:tcW w:w="813" w:type="pct"/>
            <w:shd w:val="clear" w:color="auto" w:fill="E7DCF7" w:themeFill="text2" w:themeFillTint="1A"/>
            <w:noWrap/>
            <w:tcMar>
              <w:top w:w="57" w:type="dxa"/>
              <w:bottom w:w="57" w:type="dxa"/>
            </w:tcMar>
          </w:tcPr>
          <w:p w14:paraId="51FB61C5" w14:textId="77777777" w:rsidR="004150F2" w:rsidRPr="00931B7D" w:rsidRDefault="004150F2" w:rsidP="00630831">
            <w:pPr>
              <w:pStyle w:val="TableTextRight"/>
              <w:rPr>
                <w:color w:val="202845"/>
              </w:rPr>
            </w:pPr>
            <w:r w:rsidRPr="00931B7D">
              <w:rPr>
                <w:color w:val="202845"/>
              </w:rPr>
              <w:t>20</w:t>
            </w:r>
          </w:p>
        </w:tc>
        <w:tc>
          <w:tcPr>
            <w:tcW w:w="813" w:type="pct"/>
            <w:noWrap/>
            <w:tcMar>
              <w:top w:w="57" w:type="dxa"/>
              <w:bottom w:w="57" w:type="dxa"/>
            </w:tcMar>
          </w:tcPr>
          <w:p w14:paraId="33E2AED7" w14:textId="77777777" w:rsidR="004150F2" w:rsidRPr="00B84A8D" w:rsidRDefault="004150F2" w:rsidP="00630831">
            <w:pPr>
              <w:pStyle w:val="TableTextRight"/>
            </w:pPr>
            <w:r>
              <w:t>20</w:t>
            </w:r>
          </w:p>
        </w:tc>
      </w:tr>
      <w:tr w:rsidR="004150F2" w:rsidRPr="000E282F" w14:paraId="19F76C46" w14:textId="77777777" w:rsidTr="008B66E5">
        <w:tc>
          <w:tcPr>
            <w:tcW w:w="3374" w:type="pct"/>
            <w:noWrap/>
            <w:tcMar>
              <w:top w:w="57" w:type="dxa"/>
              <w:bottom w:w="57" w:type="dxa"/>
            </w:tcMar>
            <w:hideMark/>
          </w:tcPr>
          <w:p w14:paraId="117BE3A3" w14:textId="77777777" w:rsidR="004150F2" w:rsidRPr="00AA1BE6" w:rsidRDefault="004150F2" w:rsidP="00630831">
            <w:pPr>
              <w:pStyle w:val="TableTextLeft"/>
              <w:rPr>
                <w:b/>
                <w:bCs/>
              </w:rPr>
            </w:pPr>
            <w:r w:rsidRPr="00AA1BE6">
              <w:rPr>
                <w:b/>
                <w:bCs/>
              </w:rPr>
              <w:t>Total</w:t>
            </w:r>
          </w:p>
        </w:tc>
        <w:tc>
          <w:tcPr>
            <w:tcW w:w="813" w:type="pct"/>
            <w:shd w:val="clear" w:color="auto" w:fill="E7DCF7" w:themeFill="text2" w:themeFillTint="1A"/>
            <w:noWrap/>
            <w:tcMar>
              <w:top w:w="57" w:type="dxa"/>
              <w:bottom w:w="57" w:type="dxa"/>
            </w:tcMar>
          </w:tcPr>
          <w:p w14:paraId="58D89B83" w14:textId="77777777" w:rsidR="004150F2" w:rsidRPr="00AA1BE6" w:rsidRDefault="004150F2" w:rsidP="00630831">
            <w:pPr>
              <w:pStyle w:val="TableTextRight"/>
              <w:rPr>
                <w:b/>
                <w:bCs/>
              </w:rPr>
            </w:pPr>
            <w:r w:rsidRPr="00AA1BE6">
              <w:rPr>
                <w:b/>
                <w:bCs/>
              </w:rPr>
              <w:t>623</w:t>
            </w:r>
          </w:p>
        </w:tc>
        <w:tc>
          <w:tcPr>
            <w:tcW w:w="813" w:type="pct"/>
            <w:noWrap/>
            <w:tcMar>
              <w:top w:w="57" w:type="dxa"/>
              <w:bottom w:w="57" w:type="dxa"/>
            </w:tcMar>
            <w:hideMark/>
          </w:tcPr>
          <w:p w14:paraId="08D2CC61" w14:textId="77777777" w:rsidR="004150F2" w:rsidRPr="00AA1BE6" w:rsidRDefault="004150F2" w:rsidP="00630831">
            <w:pPr>
              <w:pStyle w:val="TableTextRight"/>
              <w:rPr>
                <w:b/>
                <w:bCs/>
              </w:rPr>
            </w:pPr>
            <w:r w:rsidRPr="00AA1BE6">
              <w:rPr>
                <w:b/>
                <w:bCs/>
              </w:rPr>
              <w:t>603</w:t>
            </w:r>
          </w:p>
        </w:tc>
      </w:tr>
    </w:tbl>
    <w:p w14:paraId="1AE87AF8" w14:textId="77777777" w:rsidR="004150F2" w:rsidRPr="006534F5" w:rsidRDefault="004150F2" w:rsidP="004150F2">
      <w:pPr>
        <w:pStyle w:val="Heading2"/>
        <w:rPr>
          <w:rFonts w:cs="Arial"/>
          <w:iCs/>
          <w:szCs w:val="24"/>
        </w:rPr>
      </w:pPr>
      <w:bookmarkStart w:id="1897" w:name="_Toc146112288"/>
      <w:bookmarkStart w:id="1898" w:name="_Toc207792955"/>
      <w:bookmarkStart w:id="1899" w:name="_Toc207793995"/>
      <w:bookmarkStart w:id="1900" w:name="_Toc207796166"/>
      <w:bookmarkStart w:id="1901" w:name="_Toc207796999"/>
      <w:bookmarkStart w:id="1902" w:name="_Toc207800302"/>
      <w:bookmarkStart w:id="1903" w:name="_Toc207810880"/>
      <w:bookmarkStart w:id="1904" w:name="_Toc208914160"/>
      <w:bookmarkStart w:id="1905" w:name="_Toc209424557"/>
      <w:r w:rsidRPr="006534F5">
        <w:lastRenderedPageBreak/>
        <w:t xml:space="preserve">Note </w:t>
      </w:r>
      <w:r>
        <w:t>G</w:t>
      </w:r>
      <w:r w:rsidRPr="006534F5">
        <w:t>: Cash flow reconciliation</w:t>
      </w:r>
      <w:bookmarkEnd w:id="1897"/>
      <w:bookmarkEnd w:id="1898"/>
      <w:bookmarkEnd w:id="1899"/>
      <w:bookmarkEnd w:id="1900"/>
      <w:bookmarkEnd w:id="1901"/>
      <w:bookmarkEnd w:id="1902"/>
      <w:bookmarkEnd w:id="1903"/>
      <w:bookmarkEnd w:id="1904"/>
      <w:bookmarkEnd w:id="1905"/>
    </w:p>
    <w:p w14:paraId="63C22FCB" w14:textId="77777777" w:rsidR="004150F2" w:rsidRPr="00CF2DC3" w:rsidRDefault="004150F2" w:rsidP="004150F2">
      <w:r w:rsidRPr="00CF2DC3">
        <w:t>The following table reconciles the AOFM</w:t>
      </w:r>
      <w:r>
        <w:t>’</w:t>
      </w:r>
      <w:r w:rsidRPr="00CF2DC3">
        <w:t>s operating cash flows as presented in the Cash Flow</w:t>
      </w:r>
      <w:r>
        <w:t xml:space="preserve"> Statement</w:t>
      </w:r>
      <w:r w:rsidRPr="00CF2DC3">
        <w:t xml:space="preserve"> to its net cost of services presented in the Statement of Comprehensive Income.</w:t>
      </w:r>
    </w:p>
    <w:p w14:paraId="2BB06553" w14:textId="77777777" w:rsidR="004150F2" w:rsidRPr="006534F5" w:rsidRDefault="004150F2" w:rsidP="004150F2">
      <w:pPr>
        <w:pStyle w:val="TableMainHeading"/>
        <w:keepLines/>
        <w:rPr>
          <w:rFonts w:asciiTheme="minorHAnsi" w:hAnsiTheme="minorHAnsi" w:cstheme="minorBidi"/>
          <w:lang w:eastAsia="en-US"/>
        </w:rPr>
      </w:pPr>
      <w:r w:rsidRPr="006534F5">
        <w:t xml:space="preserve">Reconciliation of </w:t>
      </w:r>
      <w:r>
        <w:t>cash as per statement of financial position and cash flow statement</w:t>
      </w:r>
    </w:p>
    <w:tbl>
      <w:tblPr>
        <w:tblStyle w:val="AOFMTablemain"/>
        <w:tblW w:w="5000" w:type="pct"/>
        <w:tblLook w:val="06A0" w:firstRow="1" w:lastRow="0" w:firstColumn="1" w:lastColumn="0" w:noHBand="1" w:noVBand="1"/>
      </w:tblPr>
      <w:tblGrid>
        <w:gridCol w:w="5047"/>
        <w:gridCol w:w="1285"/>
        <w:gridCol w:w="1379"/>
      </w:tblGrid>
      <w:tr w:rsidR="0048600D" w:rsidRPr="006534F5" w14:paraId="01BB2928" w14:textId="77777777" w:rsidTr="004150F2">
        <w:trPr>
          <w:cnfStyle w:val="100000000000" w:firstRow="1" w:lastRow="0" w:firstColumn="0" w:lastColumn="0" w:oddVBand="0" w:evenVBand="0" w:oddHBand="0" w:evenHBand="0" w:firstRowFirstColumn="0" w:firstRowLastColumn="0" w:lastRowFirstColumn="0" w:lastRowLastColumn="0"/>
        </w:trPr>
        <w:tc>
          <w:tcPr>
            <w:tcW w:w="3273" w:type="pct"/>
            <w:noWrap/>
            <w:tcMar>
              <w:top w:w="57" w:type="dxa"/>
              <w:bottom w:w="57" w:type="dxa"/>
            </w:tcMar>
            <w:hideMark/>
          </w:tcPr>
          <w:p w14:paraId="292BEE2E" w14:textId="77777777" w:rsidR="004150F2" w:rsidRPr="009D3CCA" w:rsidRDefault="004150F2" w:rsidP="00630831">
            <w:pPr>
              <w:pStyle w:val="TableColumnHeadingLeft"/>
            </w:pPr>
            <w:r w:rsidRPr="009D3CCA">
              <w:t> </w:t>
            </w:r>
          </w:p>
        </w:tc>
        <w:tc>
          <w:tcPr>
            <w:tcW w:w="833" w:type="pct"/>
            <w:noWrap/>
            <w:tcMar>
              <w:top w:w="57" w:type="dxa"/>
              <w:bottom w:w="57" w:type="dxa"/>
            </w:tcMar>
            <w:hideMark/>
          </w:tcPr>
          <w:p w14:paraId="155D2A10" w14:textId="77777777" w:rsidR="004150F2" w:rsidRDefault="004150F2" w:rsidP="00630831">
            <w:pPr>
              <w:pStyle w:val="TableColumnHeadingRight"/>
              <w:rPr>
                <w:bCs/>
              </w:rPr>
            </w:pPr>
            <w:r w:rsidRPr="00077DB0">
              <w:rPr>
                <w:bCs/>
              </w:rPr>
              <w:t>202</w:t>
            </w:r>
            <w:r>
              <w:rPr>
                <w:bCs/>
              </w:rPr>
              <w:t>5</w:t>
            </w:r>
          </w:p>
          <w:p w14:paraId="32236900" w14:textId="77777777" w:rsidR="004150F2" w:rsidRPr="009D3CCA" w:rsidRDefault="004150F2" w:rsidP="00630831">
            <w:pPr>
              <w:pStyle w:val="TableColumnHeadingRight"/>
              <w:rPr>
                <w:bCs/>
              </w:rPr>
            </w:pPr>
            <w:r>
              <w:rPr>
                <w:bCs/>
              </w:rPr>
              <w:t>$’000</w:t>
            </w:r>
          </w:p>
        </w:tc>
        <w:tc>
          <w:tcPr>
            <w:tcW w:w="894" w:type="pct"/>
            <w:noWrap/>
            <w:tcMar>
              <w:top w:w="57" w:type="dxa"/>
              <w:bottom w:w="57" w:type="dxa"/>
            </w:tcMar>
            <w:hideMark/>
          </w:tcPr>
          <w:p w14:paraId="137FFFE4" w14:textId="77777777" w:rsidR="004150F2" w:rsidRDefault="004150F2" w:rsidP="00630831">
            <w:pPr>
              <w:pStyle w:val="TableColumnHeadingRight"/>
            </w:pPr>
            <w:r w:rsidRPr="00077DB0">
              <w:t>202</w:t>
            </w:r>
            <w:r>
              <w:t xml:space="preserve">4 </w:t>
            </w:r>
          </w:p>
          <w:p w14:paraId="30888DF8" w14:textId="77777777" w:rsidR="004150F2" w:rsidRPr="009D3CCA" w:rsidRDefault="004150F2" w:rsidP="00630831">
            <w:pPr>
              <w:pStyle w:val="TableColumnHeadingRight"/>
            </w:pPr>
            <w:r>
              <w:t>$’000</w:t>
            </w:r>
            <w:r w:rsidRPr="00077DB0">
              <w:t xml:space="preserve"> </w:t>
            </w:r>
          </w:p>
        </w:tc>
      </w:tr>
      <w:tr w:rsidR="004150F2" w:rsidRPr="00433491" w14:paraId="0AA939B1" w14:textId="77777777" w:rsidTr="006A715B">
        <w:tc>
          <w:tcPr>
            <w:tcW w:w="3273" w:type="pct"/>
            <w:noWrap/>
            <w:tcMar>
              <w:top w:w="57" w:type="dxa"/>
              <w:bottom w:w="57" w:type="dxa"/>
            </w:tcMar>
            <w:hideMark/>
          </w:tcPr>
          <w:p w14:paraId="042690A4" w14:textId="77777777" w:rsidR="004150F2" w:rsidRPr="00AA1BE6" w:rsidRDefault="004150F2" w:rsidP="00630831">
            <w:pPr>
              <w:pStyle w:val="TableTextLeft"/>
              <w:rPr>
                <w:b/>
                <w:bCs/>
              </w:rPr>
            </w:pPr>
            <w:r w:rsidRPr="00AA1BE6">
              <w:rPr>
                <w:b/>
                <w:bCs/>
              </w:rPr>
              <w:t>Net cost of services</w:t>
            </w:r>
          </w:p>
        </w:tc>
        <w:tc>
          <w:tcPr>
            <w:tcW w:w="833" w:type="pct"/>
            <w:shd w:val="clear" w:color="auto" w:fill="E7DCF7" w:themeFill="text2" w:themeFillTint="1A"/>
            <w:noWrap/>
            <w:tcMar>
              <w:top w:w="57" w:type="dxa"/>
              <w:bottom w:w="57" w:type="dxa"/>
            </w:tcMar>
          </w:tcPr>
          <w:p w14:paraId="5687A464" w14:textId="77777777" w:rsidR="004150F2" w:rsidRPr="00AA1BE6" w:rsidRDefault="004150F2" w:rsidP="00630831">
            <w:pPr>
              <w:pStyle w:val="TableTextRight"/>
              <w:rPr>
                <w:b/>
                <w:bCs/>
              </w:rPr>
            </w:pPr>
            <w:r w:rsidRPr="00AA1BE6">
              <w:rPr>
                <w:b/>
                <w:bCs/>
              </w:rPr>
              <w:t>(16,595)</w:t>
            </w:r>
          </w:p>
        </w:tc>
        <w:tc>
          <w:tcPr>
            <w:tcW w:w="894" w:type="pct"/>
            <w:noWrap/>
            <w:tcMar>
              <w:top w:w="57" w:type="dxa"/>
              <w:bottom w:w="57" w:type="dxa"/>
            </w:tcMar>
            <w:hideMark/>
          </w:tcPr>
          <w:p w14:paraId="2CBA85BC" w14:textId="77777777" w:rsidR="004150F2" w:rsidRPr="00AA1BE6" w:rsidRDefault="004150F2" w:rsidP="00630831">
            <w:pPr>
              <w:pStyle w:val="TableTextRight"/>
              <w:rPr>
                <w:b/>
                <w:bCs/>
              </w:rPr>
            </w:pPr>
            <w:r w:rsidRPr="00AA1BE6">
              <w:rPr>
                <w:b/>
                <w:bCs/>
              </w:rPr>
              <w:t>(15,159)</w:t>
            </w:r>
          </w:p>
        </w:tc>
      </w:tr>
      <w:tr w:rsidR="004150F2" w:rsidRPr="00433491" w14:paraId="0798E743" w14:textId="77777777" w:rsidTr="006A715B">
        <w:tc>
          <w:tcPr>
            <w:tcW w:w="3273" w:type="pct"/>
            <w:tcBorders>
              <w:bottom w:val="single" w:sz="4" w:space="0" w:color="29114B" w:themeColor="text2"/>
            </w:tcBorders>
            <w:noWrap/>
            <w:tcMar>
              <w:top w:w="57" w:type="dxa"/>
              <w:bottom w:w="57" w:type="dxa"/>
            </w:tcMar>
            <w:hideMark/>
          </w:tcPr>
          <w:p w14:paraId="1916FE37" w14:textId="77777777" w:rsidR="004150F2" w:rsidRPr="00AA1BE6" w:rsidRDefault="004150F2" w:rsidP="00630831">
            <w:pPr>
              <w:pStyle w:val="TableTextLeft"/>
              <w:rPr>
                <w:b/>
                <w:bCs/>
              </w:rPr>
            </w:pPr>
            <w:r w:rsidRPr="00AA1BE6">
              <w:rPr>
                <w:b/>
                <w:bCs/>
              </w:rPr>
              <w:t>Revenue from Government</w:t>
            </w:r>
          </w:p>
        </w:tc>
        <w:tc>
          <w:tcPr>
            <w:tcW w:w="833" w:type="pct"/>
            <w:tcBorders>
              <w:bottom w:val="single" w:sz="4" w:space="0" w:color="29114B" w:themeColor="text2"/>
            </w:tcBorders>
            <w:shd w:val="clear" w:color="auto" w:fill="E7DCF7" w:themeFill="text2" w:themeFillTint="1A"/>
            <w:noWrap/>
            <w:tcMar>
              <w:top w:w="57" w:type="dxa"/>
              <w:bottom w:w="57" w:type="dxa"/>
            </w:tcMar>
          </w:tcPr>
          <w:p w14:paraId="22233F53" w14:textId="77777777" w:rsidR="004150F2" w:rsidRPr="00AA1BE6" w:rsidRDefault="004150F2" w:rsidP="00630831">
            <w:pPr>
              <w:pStyle w:val="TableTextRight"/>
            </w:pPr>
            <w:r w:rsidRPr="00AA1BE6">
              <w:t>16,357</w:t>
            </w:r>
          </w:p>
        </w:tc>
        <w:tc>
          <w:tcPr>
            <w:tcW w:w="894" w:type="pct"/>
            <w:tcBorders>
              <w:bottom w:val="single" w:sz="4" w:space="0" w:color="29114B" w:themeColor="text2"/>
            </w:tcBorders>
            <w:noWrap/>
            <w:tcMar>
              <w:top w:w="57" w:type="dxa"/>
              <w:bottom w:w="57" w:type="dxa"/>
            </w:tcMar>
            <w:hideMark/>
          </w:tcPr>
          <w:p w14:paraId="3D412799" w14:textId="77777777" w:rsidR="004150F2" w:rsidRPr="00AA1BE6" w:rsidRDefault="004150F2" w:rsidP="00630831">
            <w:pPr>
              <w:pStyle w:val="TableTextRight"/>
            </w:pPr>
            <w:r w:rsidRPr="00AA1BE6">
              <w:t xml:space="preserve">19,121 </w:t>
            </w:r>
          </w:p>
        </w:tc>
      </w:tr>
      <w:tr w:rsidR="004150F2" w:rsidRPr="00433491" w14:paraId="259E52E4" w14:textId="77777777" w:rsidTr="00592520">
        <w:tc>
          <w:tcPr>
            <w:tcW w:w="3273"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0FEC9E2E" w14:textId="77777777" w:rsidR="004150F2" w:rsidRPr="00592520" w:rsidRDefault="004150F2" w:rsidP="00630831">
            <w:pPr>
              <w:pStyle w:val="TableSecondHeading"/>
              <w:rPr>
                <w:b/>
              </w:rPr>
            </w:pPr>
            <w:r w:rsidRPr="00592520">
              <w:rPr>
                <w:b/>
              </w:rPr>
              <w:t>Adjustments for non</w:t>
            </w:r>
            <w:r w:rsidRPr="00592520">
              <w:rPr>
                <w:b/>
              </w:rPr>
              <w:noBreakHyphen/>
              <w:t>cash items:</w:t>
            </w:r>
          </w:p>
        </w:tc>
        <w:tc>
          <w:tcPr>
            <w:tcW w:w="833"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037CFDF7" w14:textId="77777777" w:rsidR="004150F2" w:rsidRPr="00592520" w:rsidRDefault="004150F2" w:rsidP="00630831">
            <w:pPr>
              <w:pStyle w:val="TableTextRight"/>
              <w:rPr>
                <w:b/>
              </w:rPr>
            </w:pPr>
          </w:p>
        </w:tc>
        <w:tc>
          <w:tcPr>
            <w:tcW w:w="894" w:type="pct"/>
            <w:tcBorders>
              <w:top w:val="single" w:sz="4" w:space="0" w:color="29114B" w:themeColor="text2"/>
              <w:left w:val="single" w:sz="4" w:space="0" w:color="FFFFFF" w:themeColor="background1"/>
            </w:tcBorders>
            <w:shd w:val="clear" w:color="auto" w:fill="auto"/>
            <w:noWrap/>
            <w:tcMar>
              <w:top w:w="57" w:type="dxa"/>
              <w:bottom w:w="57" w:type="dxa"/>
            </w:tcMar>
            <w:hideMark/>
          </w:tcPr>
          <w:p w14:paraId="6D27A97F" w14:textId="77777777" w:rsidR="004150F2" w:rsidRPr="00592520" w:rsidRDefault="004150F2" w:rsidP="00630831">
            <w:pPr>
              <w:pStyle w:val="TableTextRight"/>
              <w:rPr>
                <w:b/>
              </w:rPr>
            </w:pPr>
            <w:r w:rsidRPr="00592520">
              <w:rPr>
                <w:b/>
              </w:rPr>
              <w:t> </w:t>
            </w:r>
          </w:p>
        </w:tc>
      </w:tr>
      <w:tr w:rsidR="004150F2" w:rsidRPr="00433491" w14:paraId="75D93ADF" w14:textId="77777777" w:rsidTr="006A715B">
        <w:tc>
          <w:tcPr>
            <w:tcW w:w="3273" w:type="pct"/>
            <w:noWrap/>
            <w:tcMar>
              <w:top w:w="57" w:type="dxa"/>
              <w:bottom w:w="57" w:type="dxa"/>
            </w:tcMar>
            <w:hideMark/>
          </w:tcPr>
          <w:p w14:paraId="45DEC214" w14:textId="77777777" w:rsidR="004150F2" w:rsidRPr="00AA1BE6" w:rsidRDefault="004150F2" w:rsidP="00630831">
            <w:pPr>
              <w:pStyle w:val="TableTextLeft"/>
            </w:pPr>
            <w:r w:rsidRPr="00AA1BE6">
              <w:t>Depreciation and amortisation</w:t>
            </w:r>
          </w:p>
        </w:tc>
        <w:tc>
          <w:tcPr>
            <w:tcW w:w="833" w:type="pct"/>
            <w:shd w:val="clear" w:color="auto" w:fill="E7DCF7" w:themeFill="text2" w:themeFillTint="1A"/>
            <w:noWrap/>
            <w:tcMar>
              <w:top w:w="57" w:type="dxa"/>
              <w:bottom w:w="57" w:type="dxa"/>
            </w:tcMar>
          </w:tcPr>
          <w:p w14:paraId="0DC85D86" w14:textId="77777777" w:rsidR="004150F2" w:rsidRPr="00AA1BE6" w:rsidRDefault="004150F2" w:rsidP="00630831">
            <w:pPr>
              <w:pStyle w:val="TableTextRight"/>
            </w:pPr>
            <w:r w:rsidRPr="00AA1BE6">
              <w:t>586</w:t>
            </w:r>
          </w:p>
        </w:tc>
        <w:tc>
          <w:tcPr>
            <w:tcW w:w="894" w:type="pct"/>
            <w:noWrap/>
            <w:tcMar>
              <w:top w:w="57" w:type="dxa"/>
              <w:bottom w:w="57" w:type="dxa"/>
            </w:tcMar>
            <w:hideMark/>
          </w:tcPr>
          <w:p w14:paraId="5AB89281" w14:textId="77777777" w:rsidR="004150F2" w:rsidRPr="00AA1BE6" w:rsidRDefault="004150F2" w:rsidP="00630831">
            <w:pPr>
              <w:pStyle w:val="TableTextRight"/>
            </w:pPr>
            <w:r w:rsidRPr="00AA1BE6">
              <w:t>650</w:t>
            </w:r>
          </w:p>
        </w:tc>
      </w:tr>
      <w:tr w:rsidR="004150F2" w:rsidRPr="00433491" w14:paraId="3B7AD53E" w14:textId="77777777" w:rsidTr="006A715B">
        <w:tc>
          <w:tcPr>
            <w:tcW w:w="3273" w:type="pct"/>
            <w:noWrap/>
            <w:tcMar>
              <w:top w:w="57" w:type="dxa"/>
              <w:bottom w:w="57" w:type="dxa"/>
            </w:tcMar>
            <w:hideMark/>
          </w:tcPr>
          <w:p w14:paraId="29B47F50" w14:textId="77777777" w:rsidR="004150F2" w:rsidRPr="00AA1BE6" w:rsidRDefault="004150F2" w:rsidP="00630831">
            <w:pPr>
              <w:pStyle w:val="TableTextLeft"/>
            </w:pPr>
            <w:r w:rsidRPr="00AA1BE6">
              <w:t>Appropriations extinguished</w:t>
            </w:r>
          </w:p>
        </w:tc>
        <w:tc>
          <w:tcPr>
            <w:tcW w:w="833" w:type="pct"/>
            <w:shd w:val="clear" w:color="auto" w:fill="E7DCF7" w:themeFill="text2" w:themeFillTint="1A"/>
            <w:noWrap/>
            <w:tcMar>
              <w:top w:w="57" w:type="dxa"/>
              <w:bottom w:w="57" w:type="dxa"/>
            </w:tcMar>
          </w:tcPr>
          <w:p w14:paraId="0C84F51C" w14:textId="77777777" w:rsidR="004150F2" w:rsidRPr="00AA1BE6" w:rsidRDefault="004150F2" w:rsidP="00630831">
            <w:pPr>
              <w:pStyle w:val="TableTextRight"/>
            </w:pPr>
            <w:r w:rsidRPr="00AA1BE6">
              <w:noBreakHyphen/>
            </w:r>
          </w:p>
        </w:tc>
        <w:tc>
          <w:tcPr>
            <w:tcW w:w="894" w:type="pct"/>
            <w:noWrap/>
            <w:tcMar>
              <w:top w:w="57" w:type="dxa"/>
              <w:bottom w:w="57" w:type="dxa"/>
            </w:tcMar>
            <w:hideMark/>
          </w:tcPr>
          <w:p w14:paraId="63BBECDD" w14:textId="77777777" w:rsidR="004150F2" w:rsidRPr="00AA1BE6" w:rsidRDefault="004150F2" w:rsidP="00630831">
            <w:pPr>
              <w:pStyle w:val="TableTextRight"/>
            </w:pPr>
            <w:r w:rsidRPr="00AA1BE6">
              <w:t>(2,124)</w:t>
            </w:r>
          </w:p>
        </w:tc>
      </w:tr>
      <w:tr w:rsidR="004150F2" w:rsidRPr="00433491" w14:paraId="13B0F5CB" w14:textId="77777777" w:rsidTr="006A715B">
        <w:tc>
          <w:tcPr>
            <w:tcW w:w="3273" w:type="pct"/>
            <w:noWrap/>
            <w:tcMar>
              <w:top w:w="57" w:type="dxa"/>
              <w:bottom w:w="57" w:type="dxa"/>
            </w:tcMar>
          </w:tcPr>
          <w:p w14:paraId="72538822" w14:textId="77777777" w:rsidR="004150F2" w:rsidRPr="00AA1BE6" w:rsidRDefault="004150F2" w:rsidP="00630831">
            <w:pPr>
              <w:pStyle w:val="TableTextLeft"/>
            </w:pPr>
            <w:r w:rsidRPr="00AA1BE6">
              <w:t>Interest on makegood liability</w:t>
            </w:r>
          </w:p>
        </w:tc>
        <w:tc>
          <w:tcPr>
            <w:tcW w:w="833" w:type="pct"/>
            <w:shd w:val="clear" w:color="auto" w:fill="E7DCF7" w:themeFill="text2" w:themeFillTint="1A"/>
            <w:noWrap/>
            <w:tcMar>
              <w:top w:w="57" w:type="dxa"/>
              <w:bottom w:w="57" w:type="dxa"/>
            </w:tcMar>
          </w:tcPr>
          <w:p w14:paraId="099A6DAD" w14:textId="77777777" w:rsidR="004150F2" w:rsidRPr="00AA1BE6" w:rsidRDefault="004150F2" w:rsidP="00630831">
            <w:pPr>
              <w:pStyle w:val="TableTextRight"/>
            </w:pPr>
            <w:r w:rsidRPr="00AA1BE6">
              <w:t>20</w:t>
            </w:r>
          </w:p>
        </w:tc>
        <w:tc>
          <w:tcPr>
            <w:tcW w:w="894" w:type="pct"/>
            <w:noWrap/>
            <w:tcMar>
              <w:top w:w="57" w:type="dxa"/>
              <w:bottom w:w="57" w:type="dxa"/>
            </w:tcMar>
          </w:tcPr>
          <w:p w14:paraId="046E39ED" w14:textId="77777777" w:rsidR="004150F2" w:rsidRPr="00AA1BE6" w:rsidRDefault="004150F2" w:rsidP="00630831">
            <w:pPr>
              <w:pStyle w:val="TableTextRight"/>
            </w:pPr>
            <w:r w:rsidRPr="00AA1BE6">
              <w:t xml:space="preserve">20 </w:t>
            </w:r>
          </w:p>
        </w:tc>
      </w:tr>
      <w:tr w:rsidR="004150F2" w:rsidRPr="00433491" w14:paraId="361C1219" w14:textId="77777777" w:rsidTr="006A715B">
        <w:tc>
          <w:tcPr>
            <w:tcW w:w="3273" w:type="pct"/>
            <w:noWrap/>
            <w:tcMar>
              <w:top w:w="57" w:type="dxa"/>
              <w:bottom w:w="57" w:type="dxa"/>
            </w:tcMar>
          </w:tcPr>
          <w:p w14:paraId="06D2252C" w14:textId="77777777" w:rsidR="004150F2" w:rsidRPr="00AA1BE6" w:rsidRDefault="004150F2" w:rsidP="00630831">
            <w:pPr>
              <w:pStyle w:val="TableTextLeft"/>
            </w:pPr>
            <w:r w:rsidRPr="00AA1BE6">
              <w:t>Loss on disposal of assets</w:t>
            </w:r>
          </w:p>
        </w:tc>
        <w:tc>
          <w:tcPr>
            <w:tcW w:w="833" w:type="pct"/>
            <w:shd w:val="clear" w:color="auto" w:fill="E7DCF7" w:themeFill="text2" w:themeFillTint="1A"/>
            <w:noWrap/>
            <w:tcMar>
              <w:top w:w="57" w:type="dxa"/>
              <w:bottom w:w="57" w:type="dxa"/>
            </w:tcMar>
          </w:tcPr>
          <w:p w14:paraId="46E8B3D8" w14:textId="77777777" w:rsidR="004150F2" w:rsidRPr="00AA1BE6" w:rsidRDefault="004150F2" w:rsidP="00630831">
            <w:pPr>
              <w:pStyle w:val="TableTextRight"/>
            </w:pPr>
            <w:r w:rsidRPr="00AA1BE6">
              <w:noBreakHyphen/>
            </w:r>
          </w:p>
        </w:tc>
        <w:tc>
          <w:tcPr>
            <w:tcW w:w="894" w:type="pct"/>
            <w:noWrap/>
            <w:tcMar>
              <w:top w:w="57" w:type="dxa"/>
              <w:bottom w:w="57" w:type="dxa"/>
            </w:tcMar>
          </w:tcPr>
          <w:p w14:paraId="68483B69" w14:textId="77777777" w:rsidR="004150F2" w:rsidRPr="00AA1BE6" w:rsidRDefault="004150F2" w:rsidP="00630831">
            <w:pPr>
              <w:pStyle w:val="TableTextRight"/>
            </w:pPr>
            <w:r w:rsidRPr="00AA1BE6">
              <w:t>8</w:t>
            </w:r>
          </w:p>
        </w:tc>
      </w:tr>
      <w:tr w:rsidR="004150F2" w:rsidRPr="00433491" w14:paraId="58A8FE01" w14:textId="77777777" w:rsidTr="006A715B">
        <w:tc>
          <w:tcPr>
            <w:tcW w:w="3273" w:type="pct"/>
            <w:tcBorders>
              <w:bottom w:val="single" w:sz="4" w:space="0" w:color="29114B" w:themeColor="text2"/>
            </w:tcBorders>
            <w:noWrap/>
            <w:tcMar>
              <w:top w:w="57" w:type="dxa"/>
              <w:bottom w:w="57" w:type="dxa"/>
            </w:tcMar>
            <w:hideMark/>
          </w:tcPr>
          <w:p w14:paraId="6DEF1296" w14:textId="77777777" w:rsidR="004150F2" w:rsidRPr="00AA1BE6" w:rsidRDefault="004150F2" w:rsidP="00630831">
            <w:pPr>
              <w:pStyle w:val="TableTextLeft"/>
            </w:pPr>
            <w:r w:rsidRPr="00AA1BE6">
              <w:t xml:space="preserve">Change in receivables for capital budget </w:t>
            </w:r>
          </w:p>
        </w:tc>
        <w:tc>
          <w:tcPr>
            <w:tcW w:w="833" w:type="pct"/>
            <w:tcBorders>
              <w:bottom w:val="single" w:sz="4" w:space="0" w:color="29114B" w:themeColor="text2"/>
            </w:tcBorders>
            <w:shd w:val="clear" w:color="auto" w:fill="E7DCF7" w:themeFill="text2" w:themeFillTint="1A"/>
            <w:noWrap/>
            <w:tcMar>
              <w:top w:w="57" w:type="dxa"/>
              <w:bottom w:w="57" w:type="dxa"/>
            </w:tcMar>
          </w:tcPr>
          <w:p w14:paraId="07A8E59A" w14:textId="77777777" w:rsidR="004150F2" w:rsidRPr="00AA1BE6" w:rsidRDefault="004150F2" w:rsidP="00630831">
            <w:pPr>
              <w:pStyle w:val="TableTextRight"/>
            </w:pPr>
            <w:r w:rsidRPr="00AA1BE6">
              <w:t>89</w:t>
            </w:r>
          </w:p>
        </w:tc>
        <w:tc>
          <w:tcPr>
            <w:tcW w:w="894" w:type="pct"/>
            <w:tcBorders>
              <w:bottom w:val="single" w:sz="4" w:space="0" w:color="29114B" w:themeColor="text2"/>
            </w:tcBorders>
            <w:noWrap/>
            <w:tcMar>
              <w:top w:w="57" w:type="dxa"/>
              <w:bottom w:w="57" w:type="dxa"/>
            </w:tcMar>
            <w:hideMark/>
          </w:tcPr>
          <w:p w14:paraId="757D0801" w14:textId="77777777" w:rsidR="004150F2" w:rsidRPr="00AA1BE6" w:rsidRDefault="004150F2" w:rsidP="00630831">
            <w:pPr>
              <w:pStyle w:val="TableTextRight"/>
            </w:pPr>
            <w:r w:rsidRPr="00AA1BE6">
              <w:t xml:space="preserve">393 </w:t>
            </w:r>
          </w:p>
        </w:tc>
      </w:tr>
      <w:tr w:rsidR="004150F2" w:rsidRPr="00433491" w14:paraId="07943DF0" w14:textId="77777777" w:rsidTr="00592520">
        <w:tc>
          <w:tcPr>
            <w:tcW w:w="3273"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66255F14" w14:textId="77777777" w:rsidR="004150F2" w:rsidRPr="00592520" w:rsidRDefault="004150F2" w:rsidP="00630831">
            <w:pPr>
              <w:pStyle w:val="TableSecondHeading"/>
              <w:rPr>
                <w:b/>
              </w:rPr>
            </w:pPr>
            <w:r w:rsidRPr="00592520">
              <w:rPr>
                <w:b/>
              </w:rPr>
              <w:t>Movement in assets:</w:t>
            </w:r>
          </w:p>
        </w:tc>
        <w:tc>
          <w:tcPr>
            <w:tcW w:w="833"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42BD5FA0" w14:textId="77777777" w:rsidR="004150F2" w:rsidRPr="00592520" w:rsidRDefault="004150F2" w:rsidP="00630831">
            <w:pPr>
              <w:pStyle w:val="TableTextRight"/>
              <w:rPr>
                <w:b/>
              </w:rPr>
            </w:pPr>
          </w:p>
        </w:tc>
        <w:tc>
          <w:tcPr>
            <w:tcW w:w="894" w:type="pct"/>
            <w:tcBorders>
              <w:top w:val="single" w:sz="4" w:space="0" w:color="29114B" w:themeColor="text2"/>
              <w:left w:val="single" w:sz="4" w:space="0" w:color="FFFFFF" w:themeColor="background1"/>
            </w:tcBorders>
            <w:shd w:val="clear" w:color="auto" w:fill="auto"/>
            <w:noWrap/>
            <w:tcMar>
              <w:top w:w="57" w:type="dxa"/>
              <w:bottom w:w="57" w:type="dxa"/>
            </w:tcMar>
            <w:hideMark/>
          </w:tcPr>
          <w:p w14:paraId="760A6366" w14:textId="77777777" w:rsidR="004150F2" w:rsidRPr="00592520" w:rsidRDefault="004150F2" w:rsidP="00630831">
            <w:pPr>
              <w:pStyle w:val="TableTextRight"/>
              <w:rPr>
                <w:b/>
              </w:rPr>
            </w:pPr>
            <w:r w:rsidRPr="00592520">
              <w:rPr>
                <w:b/>
              </w:rPr>
              <w:t> </w:t>
            </w:r>
          </w:p>
        </w:tc>
      </w:tr>
      <w:tr w:rsidR="004150F2" w:rsidRPr="00433491" w14:paraId="01FD3E25" w14:textId="77777777" w:rsidTr="006A715B">
        <w:tc>
          <w:tcPr>
            <w:tcW w:w="3273" w:type="pct"/>
            <w:noWrap/>
            <w:tcMar>
              <w:top w:w="57" w:type="dxa"/>
              <w:bottom w:w="57" w:type="dxa"/>
            </w:tcMar>
            <w:hideMark/>
          </w:tcPr>
          <w:p w14:paraId="5D18D9A8" w14:textId="77777777" w:rsidR="004150F2" w:rsidRPr="00AA1BE6" w:rsidRDefault="004150F2" w:rsidP="00630831">
            <w:pPr>
              <w:pStyle w:val="TableTextLeft"/>
            </w:pPr>
            <w:r w:rsidRPr="00AA1BE6">
              <w:t xml:space="preserve">Decrease/(Increase) in receivables </w:t>
            </w:r>
          </w:p>
        </w:tc>
        <w:tc>
          <w:tcPr>
            <w:tcW w:w="833" w:type="pct"/>
            <w:shd w:val="clear" w:color="auto" w:fill="E7DCF7" w:themeFill="text2" w:themeFillTint="1A"/>
            <w:noWrap/>
            <w:tcMar>
              <w:top w:w="57" w:type="dxa"/>
              <w:bottom w:w="57" w:type="dxa"/>
            </w:tcMar>
          </w:tcPr>
          <w:p w14:paraId="1D62E816" w14:textId="77777777" w:rsidR="004150F2" w:rsidRPr="00AA1BE6" w:rsidRDefault="004150F2" w:rsidP="00630831">
            <w:pPr>
              <w:pStyle w:val="TableTextRight"/>
            </w:pPr>
            <w:r w:rsidRPr="00AA1BE6">
              <w:t>322</w:t>
            </w:r>
          </w:p>
        </w:tc>
        <w:tc>
          <w:tcPr>
            <w:tcW w:w="894" w:type="pct"/>
            <w:noWrap/>
            <w:tcMar>
              <w:top w:w="57" w:type="dxa"/>
              <w:bottom w:w="57" w:type="dxa"/>
            </w:tcMar>
            <w:hideMark/>
          </w:tcPr>
          <w:p w14:paraId="766E569A" w14:textId="77777777" w:rsidR="004150F2" w:rsidRPr="00AA1BE6" w:rsidRDefault="004150F2" w:rsidP="00630831">
            <w:pPr>
              <w:pStyle w:val="TableTextRight"/>
            </w:pPr>
            <w:r w:rsidRPr="00AA1BE6">
              <w:t>(2,726)</w:t>
            </w:r>
          </w:p>
        </w:tc>
      </w:tr>
      <w:tr w:rsidR="004150F2" w:rsidRPr="00433491" w14:paraId="2DA66272" w14:textId="77777777" w:rsidTr="006A715B">
        <w:tc>
          <w:tcPr>
            <w:tcW w:w="3273" w:type="pct"/>
            <w:tcBorders>
              <w:bottom w:val="single" w:sz="4" w:space="0" w:color="29114B" w:themeColor="text2"/>
            </w:tcBorders>
            <w:noWrap/>
            <w:tcMar>
              <w:top w:w="57" w:type="dxa"/>
              <w:bottom w:w="57" w:type="dxa"/>
            </w:tcMar>
            <w:hideMark/>
          </w:tcPr>
          <w:p w14:paraId="6B45D001" w14:textId="77777777" w:rsidR="004150F2" w:rsidRPr="00AA1BE6" w:rsidRDefault="004150F2" w:rsidP="00630831">
            <w:pPr>
              <w:pStyle w:val="TableTextLeft"/>
            </w:pPr>
            <w:r w:rsidRPr="00AA1BE6">
              <w:t>Decrease/(Increase) in supplier prepayments</w:t>
            </w:r>
          </w:p>
        </w:tc>
        <w:tc>
          <w:tcPr>
            <w:tcW w:w="833" w:type="pct"/>
            <w:tcBorders>
              <w:bottom w:val="single" w:sz="4" w:space="0" w:color="29114B" w:themeColor="text2"/>
            </w:tcBorders>
            <w:shd w:val="clear" w:color="auto" w:fill="E7DCF7" w:themeFill="text2" w:themeFillTint="1A"/>
            <w:noWrap/>
            <w:tcMar>
              <w:top w:w="57" w:type="dxa"/>
              <w:bottom w:w="57" w:type="dxa"/>
            </w:tcMar>
          </w:tcPr>
          <w:p w14:paraId="7049A9E7" w14:textId="77777777" w:rsidR="004150F2" w:rsidRPr="00AA1BE6" w:rsidRDefault="004150F2" w:rsidP="00630831">
            <w:pPr>
              <w:pStyle w:val="TableTextRight"/>
            </w:pPr>
            <w:r w:rsidRPr="00AA1BE6">
              <w:t>264</w:t>
            </w:r>
          </w:p>
        </w:tc>
        <w:tc>
          <w:tcPr>
            <w:tcW w:w="894" w:type="pct"/>
            <w:tcBorders>
              <w:bottom w:val="single" w:sz="4" w:space="0" w:color="29114B" w:themeColor="text2"/>
            </w:tcBorders>
            <w:noWrap/>
            <w:tcMar>
              <w:top w:w="57" w:type="dxa"/>
              <w:bottom w:w="57" w:type="dxa"/>
            </w:tcMar>
            <w:hideMark/>
          </w:tcPr>
          <w:p w14:paraId="5507F748" w14:textId="77777777" w:rsidR="004150F2" w:rsidRPr="00AA1BE6" w:rsidRDefault="004150F2" w:rsidP="00630831">
            <w:pPr>
              <w:pStyle w:val="TableTextRight"/>
            </w:pPr>
            <w:r w:rsidRPr="00AA1BE6">
              <w:t>(150)</w:t>
            </w:r>
          </w:p>
        </w:tc>
      </w:tr>
      <w:tr w:rsidR="004150F2" w:rsidRPr="00433491" w14:paraId="4DA728DB" w14:textId="77777777" w:rsidTr="00592520">
        <w:tc>
          <w:tcPr>
            <w:tcW w:w="3273"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631B685C" w14:textId="77777777" w:rsidR="004150F2" w:rsidRPr="00592520" w:rsidRDefault="004150F2" w:rsidP="00630831">
            <w:pPr>
              <w:pStyle w:val="TableSecondHeading"/>
              <w:rPr>
                <w:b/>
              </w:rPr>
            </w:pPr>
            <w:r w:rsidRPr="00592520">
              <w:rPr>
                <w:b/>
              </w:rPr>
              <w:t>Movement in liabilities:</w:t>
            </w:r>
          </w:p>
        </w:tc>
        <w:tc>
          <w:tcPr>
            <w:tcW w:w="833"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2D7F6D10" w14:textId="77777777" w:rsidR="004150F2" w:rsidRPr="00592520" w:rsidRDefault="004150F2" w:rsidP="00630831">
            <w:pPr>
              <w:pStyle w:val="TableTextRight"/>
              <w:rPr>
                <w:b/>
              </w:rPr>
            </w:pPr>
          </w:p>
        </w:tc>
        <w:tc>
          <w:tcPr>
            <w:tcW w:w="894" w:type="pct"/>
            <w:tcBorders>
              <w:top w:val="single" w:sz="4" w:space="0" w:color="29114B" w:themeColor="text2"/>
              <w:left w:val="single" w:sz="4" w:space="0" w:color="FFFFFF" w:themeColor="background1"/>
            </w:tcBorders>
            <w:shd w:val="clear" w:color="auto" w:fill="auto"/>
            <w:noWrap/>
            <w:tcMar>
              <w:top w:w="57" w:type="dxa"/>
              <w:bottom w:w="57" w:type="dxa"/>
            </w:tcMar>
            <w:hideMark/>
          </w:tcPr>
          <w:p w14:paraId="0C87B7E9" w14:textId="77777777" w:rsidR="004150F2" w:rsidRPr="00592520" w:rsidRDefault="004150F2" w:rsidP="00630831">
            <w:pPr>
              <w:pStyle w:val="TableTextRight"/>
              <w:rPr>
                <w:b/>
              </w:rPr>
            </w:pPr>
            <w:r w:rsidRPr="00592520">
              <w:rPr>
                <w:b/>
              </w:rPr>
              <w:t> </w:t>
            </w:r>
          </w:p>
        </w:tc>
      </w:tr>
      <w:tr w:rsidR="004150F2" w:rsidRPr="00433491" w14:paraId="4C2BF5A5" w14:textId="77777777" w:rsidTr="006A715B">
        <w:tc>
          <w:tcPr>
            <w:tcW w:w="3273" w:type="pct"/>
            <w:noWrap/>
            <w:tcMar>
              <w:top w:w="57" w:type="dxa"/>
              <w:bottom w:w="57" w:type="dxa"/>
            </w:tcMar>
            <w:hideMark/>
          </w:tcPr>
          <w:p w14:paraId="20D730C7" w14:textId="77777777" w:rsidR="004150F2" w:rsidRPr="00AA1BE6" w:rsidRDefault="004150F2" w:rsidP="00630831">
            <w:pPr>
              <w:pStyle w:val="TableTextLeft"/>
            </w:pPr>
            <w:r w:rsidRPr="00AA1BE6">
              <w:t>(Decrease)/Increase in supplier payables</w:t>
            </w:r>
          </w:p>
        </w:tc>
        <w:tc>
          <w:tcPr>
            <w:tcW w:w="833" w:type="pct"/>
            <w:shd w:val="clear" w:color="auto" w:fill="E7DCF7" w:themeFill="text2" w:themeFillTint="1A"/>
            <w:noWrap/>
            <w:tcMar>
              <w:top w:w="57" w:type="dxa"/>
              <w:bottom w:w="57" w:type="dxa"/>
            </w:tcMar>
          </w:tcPr>
          <w:p w14:paraId="7A770640" w14:textId="77777777" w:rsidR="004150F2" w:rsidRPr="00AA1BE6" w:rsidRDefault="004150F2" w:rsidP="00630831">
            <w:pPr>
              <w:pStyle w:val="TableTextRight"/>
            </w:pPr>
            <w:r w:rsidRPr="00AA1BE6">
              <w:t>(91)</w:t>
            </w:r>
          </w:p>
        </w:tc>
        <w:tc>
          <w:tcPr>
            <w:tcW w:w="894" w:type="pct"/>
            <w:noWrap/>
            <w:tcMar>
              <w:top w:w="57" w:type="dxa"/>
              <w:bottom w:w="57" w:type="dxa"/>
            </w:tcMar>
            <w:hideMark/>
          </w:tcPr>
          <w:p w14:paraId="4337BBC9" w14:textId="77777777" w:rsidR="004150F2" w:rsidRPr="00AA1BE6" w:rsidRDefault="004150F2" w:rsidP="00630831">
            <w:pPr>
              <w:pStyle w:val="TableTextRight"/>
            </w:pPr>
            <w:r w:rsidRPr="00AA1BE6">
              <w:t xml:space="preserve">(55) </w:t>
            </w:r>
          </w:p>
        </w:tc>
      </w:tr>
      <w:tr w:rsidR="004150F2" w:rsidRPr="00433491" w14:paraId="4790E934" w14:textId="77777777" w:rsidTr="006A715B">
        <w:tc>
          <w:tcPr>
            <w:tcW w:w="3273" w:type="pct"/>
            <w:noWrap/>
            <w:tcMar>
              <w:top w:w="57" w:type="dxa"/>
              <w:bottom w:w="57" w:type="dxa"/>
            </w:tcMar>
            <w:hideMark/>
          </w:tcPr>
          <w:p w14:paraId="4D7B9CCC" w14:textId="77777777" w:rsidR="004150F2" w:rsidRPr="00AA1BE6" w:rsidRDefault="004150F2" w:rsidP="00630831">
            <w:pPr>
              <w:pStyle w:val="TableTextLeft"/>
            </w:pPr>
            <w:r w:rsidRPr="00AA1BE6">
              <w:t>Increase in salary and superannuation</w:t>
            </w:r>
          </w:p>
        </w:tc>
        <w:tc>
          <w:tcPr>
            <w:tcW w:w="833" w:type="pct"/>
            <w:shd w:val="clear" w:color="auto" w:fill="E7DCF7" w:themeFill="text2" w:themeFillTint="1A"/>
            <w:noWrap/>
            <w:tcMar>
              <w:top w:w="57" w:type="dxa"/>
              <w:bottom w:w="57" w:type="dxa"/>
            </w:tcMar>
          </w:tcPr>
          <w:p w14:paraId="1A3B207E" w14:textId="77777777" w:rsidR="004150F2" w:rsidRPr="00AA1BE6" w:rsidRDefault="004150F2" w:rsidP="00630831">
            <w:pPr>
              <w:pStyle w:val="TableTextRight"/>
            </w:pPr>
            <w:r w:rsidRPr="00AA1BE6">
              <w:t>28</w:t>
            </w:r>
          </w:p>
        </w:tc>
        <w:tc>
          <w:tcPr>
            <w:tcW w:w="894" w:type="pct"/>
            <w:noWrap/>
            <w:tcMar>
              <w:top w:w="57" w:type="dxa"/>
              <w:bottom w:w="57" w:type="dxa"/>
            </w:tcMar>
            <w:hideMark/>
          </w:tcPr>
          <w:p w14:paraId="695A4834" w14:textId="77777777" w:rsidR="004150F2" w:rsidRPr="00AA1BE6" w:rsidRDefault="004150F2" w:rsidP="00630831">
            <w:pPr>
              <w:pStyle w:val="TableTextRight"/>
            </w:pPr>
            <w:r w:rsidRPr="00AA1BE6">
              <w:t xml:space="preserve">31 </w:t>
            </w:r>
          </w:p>
        </w:tc>
      </w:tr>
      <w:tr w:rsidR="004150F2" w:rsidRPr="00433491" w14:paraId="238A6096" w14:textId="77777777" w:rsidTr="006A715B">
        <w:tc>
          <w:tcPr>
            <w:tcW w:w="3273" w:type="pct"/>
            <w:noWrap/>
            <w:tcMar>
              <w:top w:w="57" w:type="dxa"/>
              <w:bottom w:w="57" w:type="dxa"/>
            </w:tcMar>
            <w:hideMark/>
          </w:tcPr>
          <w:p w14:paraId="1D4F4277" w14:textId="77777777" w:rsidR="004150F2" w:rsidRPr="00AA1BE6" w:rsidRDefault="004150F2" w:rsidP="00630831">
            <w:pPr>
              <w:pStyle w:val="TableTextLeft"/>
            </w:pPr>
            <w:r w:rsidRPr="00AA1BE6">
              <w:t>(Decrease)/Increase in employee provisions</w:t>
            </w:r>
          </w:p>
        </w:tc>
        <w:tc>
          <w:tcPr>
            <w:tcW w:w="833" w:type="pct"/>
            <w:shd w:val="clear" w:color="auto" w:fill="E7DCF7" w:themeFill="text2" w:themeFillTint="1A"/>
            <w:noWrap/>
            <w:tcMar>
              <w:top w:w="57" w:type="dxa"/>
              <w:bottom w:w="57" w:type="dxa"/>
            </w:tcMar>
          </w:tcPr>
          <w:p w14:paraId="04B58927" w14:textId="77777777" w:rsidR="004150F2" w:rsidRPr="00AA1BE6" w:rsidRDefault="004150F2" w:rsidP="00630831">
            <w:pPr>
              <w:pStyle w:val="TableTextRight"/>
            </w:pPr>
            <w:r w:rsidRPr="00AA1BE6">
              <w:t>(608)</w:t>
            </w:r>
          </w:p>
        </w:tc>
        <w:tc>
          <w:tcPr>
            <w:tcW w:w="894" w:type="pct"/>
            <w:noWrap/>
            <w:tcMar>
              <w:top w:w="57" w:type="dxa"/>
              <w:bottom w:w="57" w:type="dxa"/>
            </w:tcMar>
            <w:hideMark/>
          </w:tcPr>
          <w:p w14:paraId="435B604E" w14:textId="77777777" w:rsidR="004150F2" w:rsidRPr="00AA1BE6" w:rsidRDefault="004150F2" w:rsidP="00630831">
            <w:pPr>
              <w:pStyle w:val="TableTextRight"/>
            </w:pPr>
            <w:r w:rsidRPr="00AA1BE6">
              <w:t xml:space="preserve">244 </w:t>
            </w:r>
          </w:p>
        </w:tc>
      </w:tr>
      <w:tr w:rsidR="004150F2" w:rsidRPr="00433491" w14:paraId="18C16935" w14:textId="77777777" w:rsidTr="006A715B">
        <w:tc>
          <w:tcPr>
            <w:tcW w:w="3273" w:type="pct"/>
            <w:noWrap/>
            <w:tcMar>
              <w:top w:w="57" w:type="dxa"/>
              <w:bottom w:w="57" w:type="dxa"/>
            </w:tcMar>
            <w:hideMark/>
          </w:tcPr>
          <w:p w14:paraId="0EA82294" w14:textId="77777777" w:rsidR="004150F2" w:rsidRPr="00AA1BE6" w:rsidRDefault="004150F2" w:rsidP="00630831">
            <w:pPr>
              <w:pStyle w:val="TableTextLeft"/>
              <w:rPr>
                <w:b/>
                <w:bCs/>
              </w:rPr>
            </w:pPr>
            <w:r w:rsidRPr="00AA1BE6">
              <w:rPr>
                <w:b/>
                <w:bCs/>
              </w:rPr>
              <w:t>Net cash from operating activities</w:t>
            </w:r>
          </w:p>
        </w:tc>
        <w:tc>
          <w:tcPr>
            <w:tcW w:w="833" w:type="pct"/>
            <w:shd w:val="clear" w:color="auto" w:fill="E7DCF7" w:themeFill="text2" w:themeFillTint="1A"/>
            <w:noWrap/>
            <w:tcMar>
              <w:top w:w="57" w:type="dxa"/>
              <w:bottom w:w="57" w:type="dxa"/>
            </w:tcMar>
          </w:tcPr>
          <w:p w14:paraId="63433133" w14:textId="77777777" w:rsidR="004150F2" w:rsidRPr="00AA1BE6" w:rsidRDefault="004150F2" w:rsidP="00630831">
            <w:pPr>
              <w:pStyle w:val="TableTextRight"/>
              <w:rPr>
                <w:b/>
                <w:bCs/>
              </w:rPr>
            </w:pPr>
            <w:r w:rsidRPr="00AA1BE6">
              <w:rPr>
                <w:b/>
                <w:bCs/>
              </w:rPr>
              <w:t>372</w:t>
            </w:r>
          </w:p>
        </w:tc>
        <w:tc>
          <w:tcPr>
            <w:tcW w:w="894" w:type="pct"/>
            <w:noWrap/>
            <w:tcMar>
              <w:top w:w="57" w:type="dxa"/>
              <w:bottom w:w="57" w:type="dxa"/>
            </w:tcMar>
            <w:hideMark/>
          </w:tcPr>
          <w:p w14:paraId="23C35C87" w14:textId="77777777" w:rsidR="004150F2" w:rsidRPr="00AA1BE6" w:rsidRDefault="004150F2" w:rsidP="00630831">
            <w:pPr>
              <w:pStyle w:val="TableTextRight"/>
              <w:rPr>
                <w:b/>
                <w:bCs/>
              </w:rPr>
            </w:pPr>
            <w:r w:rsidRPr="00AA1BE6">
              <w:rPr>
                <w:b/>
                <w:bCs/>
              </w:rPr>
              <w:t>253</w:t>
            </w:r>
          </w:p>
        </w:tc>
      </w:tr>
    </w:tbl>
    <w:p w14:paraId="4EEDD8A4" w14:textId="77777777" w:rsidR="004150F2" w:rsidRDefault="004150F2" w:rsidP="004150F2">
      <w:pPr>
        <w:spacing w:after="0" w:line="240" w:lineRule="auto"/>
      </w:pPr>
      <w:r w:rsidRPr="009D3CCA">
        <w:br w:type="page"/>
      </w:r>
    </w:p>
    <w:p w14:paraId="37CC96DE" w14:textId="77777777" w:rsidR="004150F2" w:rsidRPr="00B753CA" w:rsidRDefault="004150F2" w:rsidP="004150F2">
      <w:pPr>
        <w:pStyle w:val="Heading2"/>
      </w:pPr>
      <w:bookmarkStart w:id="1906" w:name="_Toc146112289"/>
      <w:bookmarkStart w:id="1907" w:name="_Toc207792956"/>
      <w:bookmarkStart w:id="1908" w:name="_Toc207793996"/>
      <w:bookmarkStart w:id="1909" w:name="_Toc207796167"/>
      <w:bookmarkStart w:id="1910" w:name="_Toc207797000"/>
      <w:bookmarkStart w:id="1911" w:name="_Toc207800303"/>
      <w:bookmarkStart w:id="1912" w:name="_Toc207810881"/>
      <w:bookmarkStart w:id="1913" w:name="_Toc208914161"/>
      <w:bookmarkStart w:id="1914" w:name="_Toc209424558"/>
      <w:r w:rsidRPr="006534F5">
        <w:lastRenderedPageBreak/>
        <w:t xml:space="preserve">Note </w:t>
      </w:r>
      <w:r>
        <w:t>H</w:t>
      </w:r>
      <w:r w:rsidRPr="006534F5">
        <w:t>: Appropriations</w:t>
      </w:r>
      <w:bookmarkEnd w:id="1906"/>
      <w:bookmarkEnd w:id="1907"/>
      <w:bookmarkEnd w:id="1908"/>
      <w:bookmarkEnd w:id="1909"/>
      <w:bookmarkEnd w:id="1910"/>
      <w:bookmarkEnd w:id="1911"/>
      <w:bookmarkEnd w:id="1912"/>
      <w:bookmarkEnd w:id="1913"/>
      <w:bookmarkEnd w:id="1914"/>
    </w:p>
    <w:p w14:paraId="3EC484F6" w14:textId="77777777" w:rsidR="004150F2" w:rsidRDefault="004150F2" w:rsidP="004150F2">
      <w:pPr>
        <w:pStyle w:val="Heading3"/>
      </w:pPr>
      <w:bookmarkStart w:id="1915" w:name="_Toc207796168"/>
      <w:r>
        <w:t>Annual appropriations (‘recoverable GST exclusive’)</w:t>
      </w:r>
      <w:bookmarkEnd w:id="1915"/>
    </w:p>
    <w:p w14:paraId="142DA1B1" w14:textId="77777777" w:rsidR="004150F2" w:rsidRPr="006534F5" w:rsidRDefault="004150F2" w:rsidP="004150F2">
      <w:pPr>
        <w:pStyle w:val="TableMainHeading"/>
        <w:keepLines/>
        <w:rPr>
          <w:rFonts w:asciiTheme="minorHAnsi" w:hAnsiTheme="minorHAnsi" w:cstheme="minorBidi"/>
          <w:lang w:eastAsia="en-US"/>
        </w:rPr>
      </w:pPr>
      <w:r w:rsidRPr="006534F5">
        <w:t xml:space="preserve">Annual appropriations </w:t>
      </w:r>
      <w:r>
        <w:t>for 2025</w:t>
      </w:r>
    </w:p>
    <w:tbl>
      <w:tblPr>
        <w:tblStyle w:val="AOFMTablemain"/>
        <w:tblW w:w="5000" w:type="pct"/>
        <w:tblLayout w:type="fixed"/>
        <w:tblLook w:val="06A0" w:firstRow="1" w:lastRow="0" w:firstColumn="1" w:lastColumn="0" w:noHBand="1" w:noVBand="1"/>
      </w:tblPr>
      <w:tblGrid>
        <w:gridCol w:w="1925"/>
        <w:gridCol w:w="1157"/>
        <w:gridCol w:w="1157"/>
        <w:gridCol w:w="1006"/>
        <w:gridCol w:w="1308"/>
        <w:gridCol w:w="1158"/>
      </w:tblGrid>
      <w:tr w:rsidR="00E15250" w:rsidRPr="006534F5" w14:paraId="0832DFAD" w14:textId="77777777" w:rsidTr="007D0D0A">
        <w:trPr>
          <w:cnfStyle w:val="100000000000" w:firstRow="1" w:lastRow="0" w:firstColumn="0" w:lastColumn="0" w:oddVBand="0" w:evenVBand="0" w:oddHBand="0" w:evenHBand="0" w:firstRowFirstColumn="0" w:firstRowLastColumn="0" w:lastRowFirstColumn="0" w:lastRowLastColumn="0"/>
          <w:cantSplit/>
          <w:trHeight w:hRule="exact" w:val="1826"/>
        </w:trPr>
        <w:tc>
          <w:tcPr>
            <w:tcW w:w="1925" w:type="dxa"/>
            <w:tcBorders>
              <w:bottom w:val="single" w:sz="4" w:space="0" w:color="472978" w:themeColor="accent1"/>
            </w:tcBorders>
            <w:noWrap/>
            <w:vAlign w:val="bottom"/>
            <w:hideMark/>
          </w:tcPr>
          <w:p w14:paraId="35A0D25A" w14:textId="77777777" w:rsidR="004150F2" w:rsidRPr="00044361" w:rsidRDefault="004150F2" w:rsidP="00630831">
            <w:pPr>
              <w:pStyle w:val="TableColumnHeadingRight"/>
              <w:jc w:val="left"/>
            </w:pPr>
            <w:r w:rsidRPr="00044361">
              <w:t> Annual appropriations</w:t>
            </w:r>
          </w:p>
        </w:tc>
        <w:tc>
          <w:tcPr>
            <w:tcW w:w="1157" w:type="dxa"/>
            <w:tcBorders>
              <w:bottom w:val="single" w:sz="4" w:space="0" w:color="472978" w:themeColor="accent1"/>
            </w:tcBorders>
            <w:noWrap/>
            <w:textDirection w:val="btLr"/>
            <w:vAlign w:val="bottom"/>
            <w:hideMark/>
          </w:tcPr>
          <w:p w14:paraId="75B2925F" w14:textId="77777777" w:rsidR="004150F2" w:rsidRPr="00044361" w:rsidRDefault="004150F2" w:rsidP="004150F2">
            <w:pPr>
              <w:pStyle w:val="TableColumnHeadingRight"/>
              <w:ind w:left="113" w:right="113"/>
              <w:jc w:val="left"/>
            </w:pPr>
            <w:r w:rsidRPr="00044361">
              <w:t xml:space="preserve">Annual </w:t>
            </w:r>
          </w:p>
          <w:p w14:paraId="5EA631E2" w14:textId="57D9902D" w:rsidR="004150F2" w:rsidRPr="00044361" w:rsidRDefault="004150F2" w:rsidP="004150F2">
            <w:pPr>
              <w:pStyle w:val="TableColumnHeadingRight"/>
              <w:ind w:left="113" w:right="113"/>
              <w:jc w:val="left"/>
            </w:pPr>
            <w:r w:rsidRPr="00044361">
              <w:t>Appropriation $</w:t>
            </w:r>
            <w:r w:rsidR="007D0D0A" w:rsidRPr="007D0D0A">
              <w:t>'</w:t>
            </w:r>
            <w:r w:rsidR="007D0D0A">
              <w:t>000</w:t>
            </w:r>
          </w:p>
        </w:tc>
        <w:tc>
          <w:tcPr>
            <w:tcW w:w="1157" w:type="dxa"/>
            <w:tcBorders>
              <w:bottom w:val="single" w:sz="4" w:space="0" w:color="472978" w:themeColor="accent1"/>
              <w:right w:val="single" w:sz="4" w:space="0" w:color="472978" w:themeColor="accent1"/>
            </w:tcBorders>
            <w:noWrap/>
            <w:textDirection w:val="btLr"/>
            <w:vAlign w:val="bottom"/>
            <w:hideMark/>
          </w:tcPr>
          <w:p w14:paraId="28D4902E" w14:textId="0E2AEAAE" w:rsidR="004150F2" w:rsidRPr="00044361" w:rsidRDefault="004150F2" w:rsidP="004150F2">
            <w:pPr>
              <w:pStyle w:val="TableColumnHeadingRight"/>
              <w:ind w:left="113" w:right="113"/>
              <w:jc w:val="left"/>
            </w:pPr>
            <w:r w:rsidRPr="00044361">
              <w:t>Adjustments to</w:t>
            </w:r>
            <w:r w:rsidRPr="00044361">
              <w:br/>
              <w:t>appropriation</w:t>
            </w:r>
            <w:r w:rsidRPr="00AA1BE6">
              <w:rPr>
                <w:vertAlign w:val="superscript"/>
              </w:rPr>
              <w:t>1</w:t>
            </w:r>
            <w:r w:rsidRPr="00044361">
              <w:t xml:space="preserve"> </w:t>
            </w:r>
            <w:r w:rsidRPr="00044361">
              <w:br/>
            </w:r>
            <w:r w:rsidR="007D0D0A" w:rsidRPr="00044361">
              <w:t>$</w:t>
            </w:r>
            <w:r w:rsidR="007D0D0A" w:rsidRPr="007D0D0A">
              <w:t>'</w:t>
            </w:r>
            <w:r w:rsidR="007D0D0A">
              <w:t>000</w:t>
            </w:r>
          </w:p>
        </w:tc>
        <w:tc>
          <w:tcPr>
            <w:tcW w:w="1006" w:type="dxa"/>
            <w:tcBorders>
              <w:left w:val="single" w:sz="4" w:space="0" w:color="472978" w:themeColor="accent1"/>
              <w:bottom w:val="single" w:sz="4" w:space="0" w:color="472978" w:themeColor="accent1"/>
              <w:right w:val="single" w:sz="4" w:space="0" w:color="472978" w:themeColor="accent1"/>
            </w:tcBorders>
            <w:noWrap/>
            <w:textDirection w:val="btLr"/>
            <w:vAlign w:val="bottom"/>
          </w:tcPr>
          <w:p w14:paraId="7DAC0FD2" w14:textId="1ECCD156" w:rsidR="004150F2" w:rsidRPr="00044361" w:rsidRDefault="004150F2" w:rsidP="004150F2">
            <w:pPr>
              <w:pStyle w:val="TableColumnHeadingRight"/>
              <w:ind w:left="113" w:right="113"/>
              <w:jc w:val="left"/>
            </w:pPr>
            <w:r w:rsidRPr="00044361">
              <w:t>Total appropriation</w:t>
            </w:r>
            <w:r w:rsidRPr="00044361">
              <w:br/>
              <w:t xml:space="preserve"> </w:t>
            </w:r>
            <w:r w:rsidR="007D0D0A" w:rsidRPr="00044361">
              <w:t>$</w:t>
            </w:r>
            <w:r w:rsidR="007D0D0A" w:rsidRPr="007D0D0A">
              <w:t>'</w:t>
            </w:r>
            <w:r w:rsidR="007D0D0A">
              <w:t>000</w:t>
            </w:r>
          </w:p>
        </w:tc>
        <w:tc>
          <w:tcPr>
            <w:tcW w:w="1308" w:type="dxa"/>
            <w:tcBorders>
              <w:left w:val="single" w:sz="4" w:space="0" w:color="472978" w:themeColor="accent1"/>
              <w:bottom w:val="single" w:sz="4" w:space="0" w:color="472978" w:themeColor="accent1"/>
              <w:right w:val="single" w:sz="4" w:space="0" w:color="472978" w:themeColor="accent1"/>
            </w:tcBorders>
            <w:noWrap/>
            <w:textDirection w:val="btLr"/>
            <w:vAlign w:val="bottom"/>
          </w:tcPr>
          <w:p w14:paraId="4CE7E6B2" w14:textId="7A66AB51" w:rsidR="004150F2" w:rsidRPr="00044361" w:rsidRDefault="004150F2" w:rsidP="004150F2">
            <w:pPr>
              <w:pStyle w:val="TableColumnHeadingRight"/>
              <w:ind w:left="113" w:right="113"/>
              <w:jc w:val="left"/>
            </w:pPr>
            <w:r w:rsidRPr="00044361">
              <w:t>Appropriation applied in 2025 (current and prior years)</w:t>
            </w:r>
            <w:r w:rsidR="007D0D0A" w:rsidRPr="00044361">
              <w:t xml:space="preserve"> $</w:t>
            </w:r>
            <w:r w:rsidR="007D0D0A" w:rsidRPr="007D0D0A">
              <w:t>'</w:t>
            </w:r>
            <w:r w:rsidR="007D0D0A">
              <w:t>000</w:t>
            </w:r>
          </w:p>
        </w:tc>
        <w:tc>
          <w:tcPr>
            <w:tcW w:w="1158" w:type="dxa"/>
            <w:tcBorders>
              <w:left w:val="single" w:sz="4" w:space="0" w:color="472978" w:themeColor="accent1"/>
              <w:bottom w:val="single" w:sz="4" w:space="0" w:color="472978" w:themeColor="accent1"/>
            </w:tcBorders>
            <w:textDirection w:val="btLr"/>
            <w:vAlign w:val="bottom"/>
          </w:tcPr>
          <w:p w14:paraId="778A1ACB" w14:textId="415D5CC6" w:rsidR="004150F2" w:rsidRPr="00044361" w:rsidRDefault="004150F2" w:rsidP="004150F2">
            <w:pPr>
              <w:pStyle w:val="TableColumnHeadingRight"/>
              <w:ind w:left="113" w:right="113"/>
              <w:jc w:val="left"/>
            </w:pPr>
            <w:r w:rsidRPr="00044361">
              <w:t>Variance</w:t>
            </w:r>
            <w:r w:rsidRPr="00AA1BE6">
              <w:rPr>
                <w:vertAlign w:val="superscript"/>
              </w:rPr>
              <w:t>2</w:t>
            </w:r>
            <w:r w:rsidRPr="00044361">
              <w:t xml:space="preserve"> </w:t>
            </w:r>
            <w:r w:rsidR="007D0D0A">
              <w:br/>
            </w:r>
            <w:r w:rsidR="007D0D0A" w:rsidRPr="00044361">
              <w:t>$</w:t>
            </w:r>
            <w:r w:rsidR="007D0D0A" w:rsidRPr="007D0D0A">
              <w:t>'</w:t>
            </w:r>
            <w:r w:rsidR="007D0D0A">
              <w:t>000</w:t>
            </w:r>
          </w:p>
        </w:tc>
      </w:tr>
      <w:tr w:rsidR="004150F2" w:rsidRPr="004C7AC4" w14:paraId="51AC6907" w14:textId="77777777" w:rsidTr="007D0D0A">
        <w:tc>
          <w:tcPr>
            <w:tcW w:w="1925" w:type="dxa"/>
            <w:noWrap/>
            <w:hideMark/>
          </w:tcPr>
          <w:p w14:paraId="22BBA220" w14:textId="77777777" w:rsidR="004150F2" w:rsidRPr="00044361" w:rsidRDefault="004150F2" w:rsidP="00630831">
            <w:pPr>
              <w:pStyle w:val="TableTextLeft"/>
            </w:pPr>
            <w:r w:rsidRPr="00044361">
              <w:t>Ordinary annual services</w:t>
            </w:r>
          </w:p>
        </w:tc>
        <w:tc>
          <w:tcPr>
            <w:tcW w:w="1157" w:type="dxa"/>
            <w:noWrap/>
          </w:tcPr>
          <w:p w14:paraId="13477AE5" w14:textId="77777777" w:rsidR="004150F2" w:rsidRPr="00044361" w:rsidRDefault="004150F2" w:rsidP="00630831">
            <w:pPr>
              <w:pStyle w:val="TableTextRight"/>
            </w:pPr>
            <w:r w:rsidRPr="00044361">
              <w:t>16,357</w:t>
            </w:r>
          </w:p>
        </w:tc>
        <w:tc>
          <w:tcPr>
            <w:tcW w:w="1157" w:type="dxa"/>
            <w:noWrap/>
          </w:tcPr>
          <w:p w14:paraId="384271CB" w14:textId="77777777" w:rsidR="004150F2" w:rsidRPr="00044361" w:rsidRDefault="004150F2" w:rsidP="00630831">
            <w:pPr>
              <w:pStyle w:val="TableTextRight"/>
            </w:pPr>
            <w:r w:rsidRPr="00044361">
              <w:t>532</w:t>
            </w:r>
          </w:p>
        </w:tc>
        <w:tc>
          <w:tcPr>
            <w:tcW w:w="1006" w:type="dxa"/>
          </w:tcPr>
          <w:p w14:paraId="681440FA" w14:textId="77777777" w:rsidR="004150F2" w:rsidRPr="00044361" w:rsidRDefault="004150F2" w:rsidP="00630831">
            <w:pPr>
              <w:pStyle w:val="TableTextRight"/>
            </w:pPr>
            <w:r w:rsidRPr="00044361">
              <w:t>16,889</w:t>
            </w:r>
          </w:p>
        </w:tc>
        <w:tc>
          <w:tcPr>
            <w:tcW w:w="1308" w:type="dxa"/>
          </w:tcPr>
          <w:p w14:paraId="6C0D948E" w14:textId="77777777" w:rsidR="004150F2" w:rsidRPr="00044361" w:rsidRDefault="004150F2" w:rsidP="00630831">
            <w:pPr>
              <w:pStyle w:val="TableTextRight"/>
            </w:pPr>
            <w:r w:rsidRPr="00044361">
              <w:t>17,285</w:t>
            </w:r>
          </w:p>
        </w:tc>
        <w:tc>
          <w:tcPr>
            <w:tcW w:w="1158" w:type="dxa"/>
          </w:tcPr>
          <w:p w14:paraId="6008EE57" w14:textId="77777777" w:rsidR="004150F2" w:rsidRPr="00044361" w:rsidRDefault="004150F2" w:rsidP="00630831">
            <w:pPr>
              <w:pStyle w:val="TableTextRight"/>
            </w:pPr>
            <w:r w:rsidRPr="00044361">
              <w:t>(396)</w:t>
            </w:r>
          </w:p>
        </w:tc>
      </w:tr>
      <w:tr w:rsidR="004150F2" w:rsidRPr="004C7AC4" w14:paraId="346A31C4" w14:textId="77777777" w:rsidTr="007D0D0A">
        <w:tc>
          <w:tcPr>
            <w:tcW w:w="1925" w:type="dxa"/>
            <w:noWrap/>
            <w:hideMark/>
          </w:tcPr>
          <w:p w14:paraId="5E46212F" w14:textId="77777777" w:rsidR="004150F2" w:rsidRPr="00044361" w:rsidRDefault="004150F2" w:rsidP="00630831">
            <w:pPr>
              <w:pStyle w:val="TableTextLeft"/>
            </w:pPr>
            <w:r w:rsidRPr="00044361">
              <w:t>Capital budget</w:t>
            </w:r>
            <w:r w:rsidRPr="00044361">
              <w:rPr>
                <w:vertAlign w:val="superscript"/>
              </w:rPr>
              <w:t>3</w:t>
            </w:r>
          </w:p>
        </w:tc>
        <w:tc>
          <w:tcPr>
            <w:tcW w:w="1157" w:type="dxa"/>
            <w:noWrap/>
          </w:tcPr>
          <w:p w14:paraId="4373FAA4" w14:textId="77777777" w:rsidR="004150F2" w:rsidRPr="00044361" w:rsidRDefault="004150F2" w:rsidP="00630831">
            <w:pPr>
              <w:pStyle w:val="TableTextRight"/>
            </w:pPr>
            <w:r w:rsidRPr="00044361">
              <w:t>405</w:t>
            </w:r>
          </w:p>
        </w:tc>
        <w:tc>
          <w:tcPr>
            <w:tcW w:w="1157" w:type="dxa"/>
            <w:noWrap/>
          </w:tcPr>
          <w:p w14:paraId="53633500" w14:textId="77777777" w:rsidR="004150F2" w:rsidRPr="00044361" w:rsidRDefault="004150F2" w:rsidP="00630831">
            <w:pPr>
              <w:pStyle w:val="TableTextRight"/>
            </w:pPr>
            <w:r w:rsidRPr="00044361">
              <w:noBreakHyphen/>
            </w:r>
          </w:p>
        </w:tc>
        <w:tc>
          <w:tcPr>
            <w:tcW w:w="1006" w:type="dxa"/>
          </w:tcPr>
          <w:p w14:paraId="1FF52F86" w14:textId="77777777" w:rsidR="004150F2" w:rsidRPr="00044361" w:rsidRDefault="004150F2" w:rsidP="00630831">
            <w:pPr>
              <w:pStyle w:val="TableTextRight"/>
            </w:pPr>
            <w:r w:rsidRPr="00044361">
              <w:t>405</w:t>
            </w:r>
          </w:p>
        </w:tc>
        <w:tc>
          <w:tcPr>
            <w:tcW w:w="1308" w:type="dxa"/>
          </w:tcPr>
          <w:p w14:paraId="1C2CD816" w14:textId="77777777" w:rsidR="004150F2" w:rsidRPr="00044361" w:rsidRDefault="004150F2" w:rsidP="00630831">
            <w:pPr>
              <w:pStyle w:val="TableTextRight"/>
            </w:pPr>
            <w:r w:rsidRPr="00044361">
              <w:t>318</w:t>
            </w:r>
          </w:p>
        </w:tc>
        <w:tc>
          <w:tcPr>
            <w:tcW w:w="1158" w:type="dxa"/>
          </w:tcPr>
          <w:p w14:paraId="7F6A8480" w14:textId="77777777" w:rsidR="004150F2" w:rsidRPr="00044361" w:rsidRDefault="004150F2" w:rsidP="00630831">
            <w:pPr>
              <w:pStyle w:val="TableTextRight"/>
            </w:pPr>
            <w:r w:rsidRPr="00044361">
              <w:t>87</w:t>
            </w:r>
          </w:p>
        </w:tc>
      </w:tr>
      <w:tr w:rsidR="004150F2" w:rsidRPr="004C7AC4" w14:paraId="04A957DE" w14:textId="77777777" w:rsidTr="007D0D0A">
        <w:tc>
          <w:tcPr>
            <w:tcW w:w="1925" w:type="dxa"/>
            <w:noWrap/>
            <w:hideMark/>
          </w:tcPr>
          <w:p w14:paraId="6903EB11" w14:textId="77777777" w:rsidR="004150F2" w:rsidRPr="00044361" w:rsidRDefault="004150F2" w:rsidP="00630831">
            <w:pPr>
              <w:pStyle w:val="TableTextLeft"/>
              <w:rPr>
                <w:b/>
                <w:bCs/>
              </w:rPr>
            </w:pPr>
            <w:r w:rsidRPr="00044361">
              <w:rPr>
                <w:b/>
                <w:bCs/>
              </w:rPr>
              <w:t>Total</w:t>
            </w:r>
          </w:p>
        </w:tc>
        <w:tc>
          <w:tcPr>
            <w:tcW w:w="1157" w:type="dxa"/>
            <w:noWrap/>
          </w:tcPr>
          <w:p w14:paraId="565DD439" w14:textId="77777777" w:rsidR="004150F2" w:rsidRPr="00044361" w:rsidRDefault="004150F2" w:rsidP="00630831">
            <w:pPr>
              <w:pStyle w:val="TableTextRight"/>
              <w:rPr>
                <w:b/>
                <w:bCs/>
              </w:rPr>
            </w:pPr>
            <w:r w:rsidRPr="00044361">
              <w:rPr>
                <w:b/>
                <w:bCs/>
              </w:rPr>
              <w:t>16,762</w:t>
            </w:r>
          </w:p>
        </w:tc>
        <w:tc>
          <w:tcPr>
            <w:tcW w:w="1157" w:type="dxa"/>
            <w:noWrap/>
          </w:tcPr>
          <w:p w14:paraId="68A381DF" w14:textId="77777777" w:rsidR="004150F2" w:rsidRPr="00044361" w:rsidRDefault="004150F2" w:rsidP="00630831">
            <w:pPr>
              <w:pStyle w:val="TableTextRight"/>
              <w:rPr>
                <w:b/>
                <w:bCs/>
              </w:rPr>
            </w:pPr>
            <w:r w:rsidRPr="00044361">
              <w:rPr>
                <w:b/>
                <w:bCs/>
              </w:rPr>
              <w:t>532</w:t>
            </w:r>
          </w:p>
        </w:tc>
        <w:tc>
          <w:tcPr>
            <w:tcW w:w="1006" w:type="dxa"/>
          </w:tcPr>
          <w:p w14:paraId="63BA28D1" w14:textId="77777777" w:rsidR="004150F2" w:rsidRPr="00044361" w:rsidRDefault="004150F2" w:rsidP="00630831">
            <w:pPr>
              <w:pStyle w:val="TableTextRight"/>
              <w:rPr>
                <w:b/>
                <w:bCs/>
              </w:rPr>
            </w:pPr>
            <w:r w:rsidRPr="00044361">
              <w:rPr>
                <w:b/>
                <w:bCs/>
              </w:rPr>
              <w:t>17,294</w:t>
            </w:r>
          </w:p>
        </w:tc>
        <w:tc>
          <w:tcPr>
            <w:tcW w:w="1308" w:type="dxa"/>
          </w:tcPr>
          <w:p w14:paraId="77BCCDD6" w14:textId="77777777" w:rsidR="004150F2" w:rsidRPr="00044361" w:rsidRDefault="004150F2" w:rsidP="00630831">
            <w:pPr>
              <w:pStyle w:val="TableTextRight"/>
              <w:rPr>
                <w:b/>
                <w:bCs/>
              </w:rPr>
            </w:pPr>
            <w:r w:rsidRPr="00044361">
              <w:rPr>
                <w:b/>
                <w:bCs/>
              </w:rPr>
              <w:t>17,603</w:t>
            </w:r>
          </w:p>
        </w:tc>
        <w:tc>
          <w:tcPr>
            <w:tcW w:w="1158" w:type="dxa"/>
          </w:tcPr>
          <w:p w14:paraId="21318ADF" w14:textId="77777777" w:rsidR="004150F2" w:rsidRPr="00044361" w:rsidRDefault="004150F2" w:rsidP="00630831">
            <w:pPr>
              <w:pStyle w:val="TableTextRight"/>
              <w:rPr>
                <w:b/>
                <w:bCs/>
              </w:rPr>
            </w:pPr>
            <w:r w:rsidRPr="00044361">
              <w:rPr>
                <w:b/>
                <w:bCs/>
              </w:rPr>
              <w:t>(309)</w:t>
            </w:r>
          </w:p>
        </w:tc>
      </w:tr>
    </w:tbl>
    <w:p w14:paraId="6F9CA4BB" w14:textId="77777777" w:rsidR="004150F2" w:rsidRPr="004150F2" w:rsidRDefault="004150F2" w:rsidP="004150F2">
      <w:pPr>
        <w:pStyle w:val="ChartandTableFootnoteAlpha"/>
      </w:pPr>
      <w:r w:rsidRPr="004150F2">
        <w:t>1</w:t>
      </w:r>
      <w:r w:rsidRPr="004150F2">
        <w:tab/>
        <w:t>Current year annual appropriations adjustments include PGPA Act section 74 receipts.</w:t>
      </w:r>
    </w:p>
    <w:p w14:paraId="676885E7" w14:textId="77777777" w:rsidR="004150F2" w:rsidRPr="004150F2" w:rsidRDefault="004150F2" w:rsidP="004150F2">
      <w:pPr>
        <w:pStyle w:val="ChartandTableFootnoteAlpha"/>
      </w:pPr>
      <w:r w:rsidRPr="004150F2">
        <w:t>2</w:t>
      </w:r>
      <w:r w:rsidRPr="004150F2">
        <w:tab/>
        <w:t>The variances were due to higher than planned staff costs including redundancies and terminations.</w:t>
      </w:r>
    </w:p>
    <w:p w14:paraId="2FE5E562" w14:textId="77777777" w:rsidR="004150F2" w:rsidRPr="004150F2" w:rsidRDefault="004150F2" w:rsidP="004150F2">
      <w:pPr>
        <w:pStyle w:val="ChartandTableFootnoteAlpha"/>
      </w:pPr>
      <w:r w:rsidRPr="004150F2">
        <w:t>3</w:t>
      </w:r>
      <w:r w:rsidRPr="004150F2">
        <w:tab/>
        <w:t>Capital budgets are appropriated through Appropriation Act No. 1. They form part of ordinary annual services and are not separately identified in the Appropriation Acts.</w:t>
      </w:r>
    </w:p>
    <w:p w14:paraId="219D9AC0" w14:textId="77777777" w:rsidR="004150F2" w:rsidRDefault="004150F2" w:rsidP="004150F2"/>
    <w:p w14:paraId="3646696E" w14:textId="77777777" w:rsidR="004150F2" w:rsidRPr="006534F5" w:rsidRDefault="004150F2" w:rsidP="004150F2">
      <w:pPr>
        <w:pStyle w:val="TableMainHeading"/>
        <w:keepLines/>
        <w:rPr>
          <w:rFonts w:asciiTheme="minorHAnsi" w:hAnsiTheme="minorHAnsi" w:cstheme="minorBidi"/>
          <w:lang w:eastAsia="en-US"/>
        </w:rPr>
      </w:pPr>
      <w:r w:rsidRPr="006534F5">
        <w:t xml:space="preserve">Annual appropriations </w:t>
      </w:r>
      <w:r>
        <w:t>for 2024</w:t>
      </w:r>
    </w:p>
    <w:tbl>
      <w:tblPr>
        <w:tblStyle w:val="AOFMTablemain"/>
        <w:tblW w:w="4982" w:type="pct"/>
        <w:tblLayout w:type="fixed"/>
        <w:tblLook w:val="06A0" w:firstRow="1" w:lastRow="0" w:firstColumn="1" w:lastColumn="0" w:noHBand="1" w:noVBand="1"/>
      </w:tblPr>
      <w:tblGrid>
        <w:gridCol w:w="1928"/>
        <w:gridCol w:w="1151"/>
        <w:gridCol w:w="1151"/>
        <w:gridCol w:w="1016"/>
        <w:gridCol w:w="1288"/>
        <w:gridCol w:w="1149"/>
      </w:tblGrid>
      <w:tr w:rsidR="006C235E" w:rsidRPr="006534F5" w14:paraId="6AECFBA0" w14:textId="77777777" w:rsidTr="007D0D0A">
        <w:trPr>
          <w:cnfStyle w:val="100000000000" w:firstRow="1" w:lastRow="0" w:firstColumn="0" w:lastColumn="0" w:oddVBand="0" w:evenVBand="0" w:oddHBand="0" w:evenHBand="0" w:firstRowFirstColumn="0" w:firstRowLastColumn="0" w:lastRowFirstColumn="0" w:lastRowLastColumn="0"/>
          <w:cantSplit/>
          <w:trHeight w:hRule="exact" w:val="1630"/>
        </w:trPr>
        <w:tc>
          <w:tcPr>
            <w:tcW w:w="1255" w:type="pct"/>
            <w:vAlign w:val="bottom"/>
            <w:hideMark/>
          </w:tcPr>
          <w:p w14:paraId="464764D9" w14:textId="77777777" w:rsidR="004150F2" w:rsidRPr="00044361" w:rsidRDefault="004150F2" w:rsidP="00630831">
            <w:pPr>
              <w:pStyle w:val="TableColumnHeadingLeft"/>
            </w:pPr>
            <w:r w:rsidRPr="00044361">
              <w:t>Annual appropriations</w:t>
            </w:r>
          </w:p>
        </w:tc>
        <w:tc>
          <w:tcPr>
            <w:tcW w:w="749" w:type="pct"/>
            <w:textDirection w:val="btLr"/>
            <w:vAlign w:val="bottom"/>
            <w:hideMark/>
          </w:tcPr>
          <w:p w14:paraId="3BF4A20A" w14:textId="77777777" w:rsidR="004150F2" w:rsidRPr="00044361" w:rsidRDefault="004150F2" w:rsidP="00630831">
            <w:pPr>
              <w:pStyle w:val="TableColumnHeadingLeft"/>
              <w:ind w:left="113" w:right="113"/>
            </w:pPr>
            <w:r w:rsidRPr="00044361">
              <w:t xml:space="preserve">Annual </w:t>
            </w:r>
          </w:p>
          <w:p w14:paraId="32F91EDE" w14:textId="77777777" w:rsidR="004150F2" w:rsidRDefault="004150F2" w:rsidP="00630831">
            <w:pPr>
              <w:pStyle w:val="TableColumnHeadingLeft"/>
              <w:ind w:left="113" w:right="113"/>
            </w:pPr>
            <w:r w:rsidRPr="00044361">
              <w:t xml:space="preserve">Appropriation </w:t>
            </w:r>
          </w:p>
          <w:p w14:paraId="1A21FE32" w14:textId="246BEB6B" w:rsidR="004150F2" w:rsidRPr="00044361" w:rsidRDefault="007D0D0A" w:rsidP="00630831">
            <w:pPr>
              <w:pStyle w:val="TableColumnHeadingLeft"/>
              <w:ind w:left="113" w:right="113"/>
            </w:pPr>
            <w:r w:rsidRPr="00044361">
              <w:t>$</w:t>
            </w:r>
            <w:r w:rsidRPr="007D0D0A">
              <w:t>'</w:t>
            </w:r>
            <w:r>
              <w:t>000</w:t>
            </w:r>
          </w:p>
        </w:tc>
        <w:tc>
          <w:tcPr>
            <w:tcW w:w="749" w:type="pct"/>
            <w:textDirection w:val="btLr"/>
            <w:vAlign w:val="bottom"/>
            <w:hideMark/>
          </w:tcPr>
          <w:p w14:paraId="25218BF3" w14:textId="77777777" w:rsidR="004150F2" w:rsidRDefault="004150F2" w:rsidP="00630831">
            <w:pPr>
              <w:pStyle w:val="TableColumnHeadingLeft"/>
              <w:ind w:left="113" w:right="113"/>
            </w:pPr>
            <w:r w:rsidRPr="00044361">
              <w:t>Adjustments to</w:t>
            </w:r>
            <w:r>
              <w:t xml:space="preserve"> </w:t>
            </w:r>
            <w:r w:rsidRPr="00044361">
              <w:t>appropriation</w:t>
            </w:r>
            <w:r w:rsidRPr="00044361">
              <w:rPr>
                <w:vertAlign w:val="superscript"/>
              </w:rPr>
              <w:t>1</w:t>
            </w:r>
            <w:r w:rsidRPr="00044361">
              <w:t xml:space="preserve"> </w:t>
            </w:r>
          </w:p>
          <w:p w14:paraId="13029D35" w14:textId="572223A9" w:rsidR="004150F2" w:rsidRPr="00044361" w:rsidRDefault="007D0D0A" w:rsidP="00630831">
            <w:pPr>
              <w:pStyle w:val="TableColumnHeadingLeft"/>
              <w:ind w:left="113" w:right="113"/>
            </w:pPr>
            <w:r w:rsidRPr="00044361">
              <w:t>$</w:t>
            </w:r>
            <w:r w:rsidRPr="007D0D0A">
              <w:t>'</w:t>
            </w:r>
            <w:r>
              <w:t>000</w:t>
            </w:r>
          </w:p>
        </w:tc>
        <w:tc>
          <w:tcPr>
            <w:tcW w:w="661" w:type="pct"/>
            <w:textDirection w:val="btLr"/>
            <w:vAlign w:val="bottom"/>
          </w:tcPr>
          <w:p w14:paraId="6655A902" w14:textId="5F3DACD6" w:rsidR="004150F2" w:rsidRPr="00044361" w:rsidRDefault="004150F2" w:rsidP="00630831">
            <w:pPr>
              <w:pStyle w:val="TableColumnHeadingLeft"/>
              <w:ind w:left="113" w:right="113"/>
            </w:pPr>
            <w:r w:rsidRPr="00044361">
              <w:t>Total appropriation</w:t>
            </w:r>
            <w:r w:rsidRPr="00044361">
              <w:br/>
            </w:r>
            <w:r w:rsidR="007D0D0A" w:rsidRPr="00044361">
              <w:t>$</w:t>
            </w:r>
            <w:r w:rsidR="007D0D0A" w:rsidRPr="007D0D0A">
              <w:t>'</w:t>
            </w:r>
            <w:r w:rsidR="007D0D0A">
              <w:t>000</w:t>
            </w:r>
          </w:p>
        </w:tc>
        <w:tc>
          <w:tcPr>
            <w:tcW w:w="838" w:type="pct"/>
            <w:textDirection w:val="btLr"/>
            <w:vAlign w:val="bottom"/>
          </w:tcPr>
          <w:p w14:paraId="7F4198C0" w14:textId="72F9D878" w:rsidR="004150F2" w:rsidRPr="00044361" w:rsidRDefault="004150F2" w:rsidP="00630831">
            <w:pPr>
              <w:pStyle w:val="TableColumnHeadingLeft"/>
              <w:ind w:left="113" w:right="113"/>
            </w:pPr>
            <w:r w:rsidRPr="00044361">
              <w:t xml:space="preserve">Appropriation applied in 2024 (current and prior years) </w:t>
            </w:r>
            <w:r w:rsidR="007D0D0A" w:rsidRPr="00044361">
              <w:t>$</w:t>
            </w:r>
            <w:r w:rsidR="007D0D0A" w:rsidRPr="007D0D0A">
              <w:t>'</w:t>
            </w:r>
            <w:r w:rsidR="007D0D0A">
              <w:t>000</w:t>
            </w:r>
          </w:p>
        </w:tc>
        <w:tc>
          <w:tcPr>
            <w:tcW w:w="749" w:type="pct"/>
            <w:textDirection w:val="btLr"/>
            <w:vAlign w:val="bottom"/>
          </w:tcPr>
          <w:p w14:paraId="128DF497" w14:textId="76B964CF" w:rsidR="004150F2" w:rsidRPr="00044361" w:rsidRDefault="004150F2" w:rsidP="00630831">
            <w:pPr>
              <w:pStyle w:val="TableColumnHeadingLeft"/>
              <w:ind w:left="113" w:right="113"/>
            </w:pPr>
            <w:r w:rsidRPr="00044361">
              <w:t>Variance</w:t>
            </w:r>
            <w:r w:rsidRPr="00044361">
              <w:rPr>
                <w:vertAlign w:val="superscript"/>
              </w:rPr>
              <w:t>2</w:t>
            </w:r>
            <w:r w:rsidRPr="00044361">
              <w:t xml:space="preserve"> </w:t>
            </w:r>
            <w:r w:rsidR="007D0D0A">
              <w:br/>
            </w:r>
            <w:r w:rsidR="007D0D0A" w:rsidRPr="00044361">
              <w:t>$</w:t>
            </w:r>
            <w:r w:rsidR="007D0D0A" w:rsidRPr="007D0D0A">
              <w:t>'</w:t>
            </w:r>
            <w:r w:rsidR="007D0D0A">
              <w:t>000</w:t>
            </w:r>
          </w:p>
        </w:tc>
      </w:tr>
      <w:tr w:rsidR="004150F2" w:rsidRPr="004C7AC4" w14:paraId="7F0105CE" w14:textId="77777777" w:rsidTr="007D0D0A">
        <w:tc>
          <w:tcPr>
            <w:tcW w:w="1255" w:type="pct"/>
            <w:hideMark/>
          </w:tcPr>
          <w:p w14:paraId="207E20DD" w14:textId="77777777" w:rsidR="004150F2" w:rsidRPr="00844639" w:rsidRDefault="004150F2" w:rsidP="00630831">
            <w:pPr>
              <w:pStyle w:val="TableTextLeft"/>
            </w:pPr>
            <w:r w:rsidRPr="00844639">
              <w:t>Ordinary annual services</w:t>
            </w:r>
          </w:p>
        </w:tc>
        <w:tc>
          <w:tcPr>
            <w:tcW w:w="749" w:type="pct"/>
          </w:tcPr>
          <w:p w14:paraId="21BF7BF4" w14:textId="77777777" w:rsidR="004150F2" w:rsidRPr="00844639" w:rsidRDefault="004150F2" w:rsidP="00630831">
            <w:pPr>
              <w:pStyle w:val="TableTextRight"/>
            </w:pPr>
            <w:r w:rsidRPr="00844639">
              <w:t>19,121</w:t>
            </w:r>
          </w:p>
        </w:tc>
        <w:tc>
          <w:tcPr>
            <w:tcW w:w="749" w:type="pct"/>
            <w:hideMark/>
          </w:tcPr>
          <w:p w14:paraId="4A0305EC" w14:textId="77777777" w:rsidR="004150F2" w:rsidRPr="00844639" w:rsidRDefault="004150F2" w:rsidP="00630831">
            <w:pPr>
              <w:pStyle w:val="TableTextRight"/>
            </w:pPr>
            <w:r w:rsidRPr="00844639">
              <w:t xml:space="preserve">272 </w:t>
            </w:r>
          </w:p>
        </w:tc>
        <w:tc>
          <w:tcPr>
            <w:tcW w:w="661" w:type="pct"/>
          </w:tcPr>
          <w:p w14:paraId="7107171B" w14:textId="77777777" w:rsidR="004150F2" w:rsidRPr="00844639" w:rsidRDefault="004150F2" w:rsidP="00630831">
            <w:pPr>
              <w:pStyle w:val="TableTextRight"/>
            </w:pPr>
            <w:r w:rsidRPr="00844639">
              <w:t>19,393</w:t>
            </w:r>
          </w:p>
        </w:tc>
        <w:tc>
          <w:tcPr>
            <w:tcW w:w="838" w:type="pct"/>
          </w:tcPr>
          <w:p w14:paraId="380E67FC" w14:textId="77777777" w:rsidR="004150F2" w:rsidRPr="00844639" w:rsidRDefault="004150F2" w:rsidP="00630831">
            <w:pPr>
              <w:pStyle w:val="TableTextRight"/>
            </w:pPr>
            <w:r w:rsidRPr="00844639">
              <w:t>15,113</w:t>
            </w:r>
          </w:p>
        </w:tc>
        <w:tc>
          <w:tcPr>
            <w:tcW w:w="749" w:type="pct"/>
          </w:tcPr>
          <w:p w14:paraId="1BB80E15" w14:textId="77777777" w:rsidR="004150F2" w:rsidRPr="00844639" w:rsidRDefault="004150F2" w:rsidP="00630831">
            <w:pPr>
              <w:pStyle w:val="TableTextRight"/>
            </w:pPr>
            <w:r w:rsidRPr="00844639">
              <w:t>4,280</w:t>
            </w:r>
          </w:p>
        </w:tc>
      </w:tr>
      <w:tr w:rsidR="004150F2" w:rsidRPr="004C7AC4" w14:paraId="0F46CDF9" w14:textId="77777777" w:rsidTr="007D0D0A">
        <w:tc>
          <w:tcPr>
            <w:tcW w:w="1255" w:type="pct"/>
            <w:hideMark/>
          </w:tcPr>
          <w:p w14:paraId="6548A94B" w14:textId="77777777" w:rsidR="004150F2" w:rsidRPr="00844639" w:rsidRDefault="004150F2" w:rsidP="00630831">
            <w:pPr>
              <w:pStyle w:val="TableTextLeft"/>
            </w:pPr>
            <w:r w:rsidRPr="00844639">
              <w:t>Capital budget</w:t>
            </w:r>
          </w:p>
        </w:tc>
        <w:tc>
          <w:tcPr>
            <w:tcW w:w="749" w:type="pct"/>
          </w:tcPr>
          <w:p w14:paraId="2F938D05" w14:textId="77777777" w:rsidR="004150F2" w:rsidRPr="00844639" w:rsidRDefault="004150F2" w:rsidP="00630831">
            <w:pPr>
              <w:pStyle w:val="TableTextRight"/>
            </w:pPr>
            <w:r w:rsidRPr="00844639">
              <w:t>395</w:t>
            </w:r>
          </w:p>
        </w:tc>
        <w:tc>
          <w:tcPr>
            <w:tcW w:w="749" w:type="pct"/>
            <w:hideMark/>
          </w:tcPr>
          <w:p w14:paraId="4A95CC70" w14:textId="77777777" w:rsidR="004150F2" w:rsidRPr="00844639" w:rsidRDefault="004150F2" w:rsidP="00630831">
            <w:pPr>
              <w:pStyle w:val="TableTextRight"/>
            </w:pPr>
            <w:r w:rsidRPr="00844639">
              <w:noBreakHyphen/>
              <w:t xml:space="preserve"> </w:t>
            </w:r>
          </w:p>
        </w:tc>
        <w:tc>
          <w:tcPr>
            <w:tcW w:w="661" w:type="pct"/>
          </w:tcPr>
          <w:p w14:paraId="6FD0B36F" w14:textId="77777777" w:rsidR="004150F2" w:rsidRPr="00844639" w:rsidRDefault="004150F2" w:rsidP="00630831">
            <w:pPr>
              <w:pStyle w:val="TableTextRight"/>
            </w:pPr>
            <w:r w:rsidRPr="00844639">
              <w:t>395</w:t>
            </w:r>
          </w:p>
        </w:tc>
        <w:tc>
          <w:tcPr>
            <w:tcW w:w="838" w:type="pct"/>
          </w:tcPr>
          <w:p w14:paraId="3480A5DB" w14:textId="77777777" w:rsidR="004150F2" w:rsidRPr="00844639" w:rsidRDefault="004150F2" w:rsidP="00630831">
            <w:pPr>
              <w:pStyle w:val="TableTextRight"/>
            </w:pPr>
            <w:r w:rsidRPr="00844639">
              <w:t>2</w:t>
            </w:r>
          </w:p>
        </w:tc>
        <w:tc>
          <w:tcPr>
            <w:tcW w:w="749" w:type="pct"/>
          </w:tcPr>
          <w:p w14:paraId="46679834" w14:textId="77777777" w:rsidR="004150F2" w:rsidRPr="00844639" w:rsidRDefault="004150F2" w:rsidP="00630831">
            <w:pPr>
              <w:pStyle w:val="TableTextRight"/>
            </w:pPr>
            <w:r w:rsidRPr="00844639">
              <w:t>393</w:t>
            </w:r>
          </w:p>
        </w:tc>
      </w:tr>
      <w:tr w:rsidR="004150F2" w:rsidRPr="004C7AC4" w14:paraId="0650CBC5" w14:textId="77777777" w:rsidTr="007D0D0A">
        <w:tc>
          <w:tcPr>
            <w:tcW w:w="1255" w:type="pct"/>
            <w:hideMark/>
          </w:tcPr>
          <w:p w14:paraId="2A587D16" w14:textId="77777777" w:rsidR="004150F2" w:rsidRPr="00844639" w:rsidRDefault="004150F2" w:rsidP="00630831">
            <w:pPr>
              <w:pStyle w:val="TableTextLeft"/>
              <w:rPr>
                <w:b/>
                <w:bCs/>
              </w:rPr>
            </w:pPr>
            <w:r w:rsidRPr="00844639">
              <w:rPr>
                <w:b/>
                <w:bCs/>
              </w:rPr>
              <w:t>Total</w:t>
            </w:r>
          </w:p>
        </w:tc>
        <w:tc>
          <w:tcPr>
            <w:tcW w:w="749" w:type="pct"/>
          </w:tcPr>
          <w:p w14:paraId="1FC36E3D" w14:textId="77777777" w:rsidR="004150F2" w:rsidRPr="00844639" w:rsidRDefault="004150F2" w:rsidP="00630831">
            <w:pPr>
              <w:pStyle w:val="TableTextRight"/>
              <w:rPr>
                <w:b/>
                <w:bCs/>
              </w:rPr>
            </w:pPr>
            <w:r w:rsidRPr="00844639">
              <w:rPr>
                <w:b/>
                <w:bCs/>
              </w:rPr>
              <w:t>19,516</w:t>
            </w:r>
          </w:p>
        </w:tc>
        <w:tc>
          <w:tcPr>
            <w:tcW w:w="749" w:type="pct"/>
            <w:hideMark/>
          </w:tcPr>
          <w:p w14:paraId="2768EB4F" w14:textId="77777777" w:rsidR="004150F2" w:rsidRPr="00844639" w:rsidRDefault="004150F2" w:rsidP="00630831">
            <w:pPr>
              <w:pStyle w:val="TableTextRight"/>
              <w:rPr>
                <w:b/>
                <w:bCs/>
              </w:rPr>
            </w:pPr>
            <w:r w:rsidRPr="00844639">
              <w:rPr>
                <w:b/>
                <w:bCs/>
              </w:rPr>
              <w:t xml:space="preserve"> 272 </w:t>
            </w:r>
          </w:p>
        </w:tc>
        <w:tc>
          <w:tcPr>
            <w:tcW w:w="661" w:type="pct"/>
          </w:tcPr>
          <w:p w14:paraId="7F1804AC" w14:textId="77777777" w:rsidR="004150F2" w:rsidRPr="00844639" w:rsidRDefault="004150F2" w:rsidP="00630831">
            <w:pPr>
              <w:pStyle w:val="TableTextRight"/>
              <w:rPr>
                <w:b/>
                <w:bCs/>
              </w:rPr>
            </w:pPr>
            <w:r w:rsidRPr="00844639">
              <w:rPr>
                <w:b/>
                <w:bCs/>
              </w:rPr>
              <w:t>19,788</w:t>
            </w:r>
          </w:p>
        </w:tc>
        <w:tc>
          <w:tcPr>
            <w:tcW w:w="838" w:type="pct"/>
          </w:tcPr>
          <w:p w14:paraId="5778258E" w14:textId="77777777" w:rsidR="004150F2" w:rsidRPr="00844639" w:rsidRDefault="004150F2" w:rsidP="00630831">
            <w:pPr>
              <w:pStyle w:val="TableTextRight"/>
              <w:rPr>
                <w:b/>
                <w:bCs/>
              </w:rPr>
            </w:pPr>
            <w:r w:rsidRPr="00844639">
              <w:rPr>
                <w:b/>
                <w:bCs/>
              </w:rPr>
              <w:t>15,115</w:t>
            </w:r>
          </w:p>
        </w:tc>
        <w:tc>
          <w:tcPr>
            <w:tcW w:w="749" w:type="pct"/>
          </w:tcPr>
          <w:p w14:paraId="3745A828" w14:textId="77777777" w:rsidR="004150F2" w:rsidRPr="00844639" w:rsidRDefault="004150F2" w:rsidP="00630831">
            <w:pPr>
              <w:pStyle w:val="TableTextRight"/>
              <w:rPr>
                <w:b/>
                <w:bCs/>
              </w:rPr>
            </w:pPr>
            <w:r w:rsidRPr="00844639">
              <w:rPr>
                <w:b/>
                <w:bCs/>
              </w:rPr>
              <w:t>4,673</w:t>
            </w:r>
          </w:p>
        </w:tc>
      </w:tr>
    </w:tbl>
    <w:p w14:paraId="64A5F1BF" w14:textId="77777777" w:rsidR="004150F2" w:rsidRPr="004150F2" w:rsidRDefault="004150F2" w:rsidP="004150F2">
      <w:pPr>
        <w:pStyle w:val="ChartandTableFootnoteAlpha"/>
      </w:pPr>
      <w:r w:rsidRPr="004150F2">
        <w:t>1</w:t>
      </w:r>
      <w:r w:rsidRPr="004150F2">
        <w:tab/>
        <w:t xml:space="preserve"> Current year annual appropriations adjustments include PGPA Act section 74 receipts.</w:t>
      </w:r>
    </w:p>
    <w:p w14:paraId="4D381A88" w14:textId="77777777" w:rsidR="004150F2" w:rsidRPr="004150F2" w:rsidRDefault="004150F2" w:rsidP="004150F2">
      <w:pPr>
        <w:pStyle w:val="ChartandTableFootnoteAlpha"/>
      </w:pPr>
      <w:r w:rsidRPr="004150F2">
        <w:t xml:space="preserve">2 </w:t>
      </w:r>
      <w:r w:rsidRPr="004150F2">
        <w:tab/>
        <w:t>The variances were due to lower than planned staff and supplier costs, including from the management of policy assets.</w:t>
      </w:r>
    </w:p>
    <w:p w14:paraId="7C5EADB1" w14:textId="77777777" w:rsidR="004150F2" w:rsidRPr="004150F2" w:rsidRDefault="004150F2" w:rsidP="004150F2">
      <w:pPr>
        <w:pStyle w:val="ChartandTableFootnoteAlpha"/>
      </w:pPr>
      <w:r w:rsidRPr="004150F2">
        <w:t xml:space="preserve">3 </w:t>
      </w:r>
      <w:r w:rsidRPr="004150F2">
        <w:tab/>
        <w:t>Capital budgets are appropriated through Appropriation Act No. 1. They form part of ordinary annual services and are not separately identified in the Appropriation Acts.</w:t>
      </w:r>
    </w:p>
    <w:p w14:paraId="573A5AC8" w14:textId="77777777" w:rsidR="004150F2" w:rsidRDefault="004150F2" w:rsidP="004150F2">
      <w:pPr>
        <w:spacing w:after="0" w:line="240" w:lineRule="auto"/>
      </w:pPr>
      <w:r>
        <w:br w:type="page"/>
      </w:r>
    </w:p>
    <w:p w14:paraId="078BAE54" w14:textId="77777777" w:rsidR="000D6A51" w:rsidRDefault="000D6A51" w:rsidP="000D6A51">
      <w:pPr>
        <w:pStyle w:val="TableMainHeading"/>
        <w:keepLines/>
      </w:pPr>
      <w:r w:rsidRPr="006534F5">
        <w:lastRenderedPageBreak/>
        <w:t xml:space="preserve">Unspent </w:t>
      </w:r>
      <w:r>
        <w:t>annual appropriations (‘recoverable GST exclusive’)</w:t>
      </w:r>
    </w:p>
    <w:tbl>
      <w:tblPr>
        <w:tblStyle w:val="AOFMTablemain"/>
        <w:tblW w:w="5000" w:type="pct"/>
        <w:tblLook w:val="06A0" w:firstRow="1" w:lastRow="0" w:firstColumn="1" w:lastColumn="0" w:noHBand="1" w:noVBand="1"/>
      </w:tblPr>
      <w:tblGrid>
        <w:gridCol w:w="5203"/>
        <w:gridCol w:w="1254"/>
        <w:gridCol w:w="1254"/>
      </w:tblGrid>
      <w:tr w:rsidR="000D6A51" w:rsidRPr="006534F5" w14:paraId="37A41E10" w14:textId="77777777" w:rsidTr="00EC03D4">
        <w:trPr>
          <w:cnfStyle w:val="100000000000" w:firstRow="1" w:lastRow="0" w:firstColumn="0" w:lastColumn="0" w:oddVBand="0" w:evenVBand="0" w:oddHBand="0" w:evenHBand="0" w:firstRowFirstColumn="0" w:firstRowLastColumn="0" w:lastRowFirstColumn="0" w:lastRowLastColumn="0"/>
        </w:trPr>
        <w:tc>
          <w:tcPr>
            <w:tcW w:w="3374" w:type="pct"/>
            <w:noWrap/>
            <w:hideMark/>
          </w:tcPr>
          <w:p w14:paraId="14AB78A7" w14:textId="77777777" w:rsidR="000D6A51" w:rsidRPr="00782AA9" w:rsidRDefault="000D6A51" w:rsidP="00630831">
            <w:pPr>
              <w:pStyle w:val="TableTextLeft"/>
              <w:rPr>
                <w:color w:val="FFFFFF" w:themeColor="background1"/>
              </w:rPr>
            </w:pPr>
            <w:r w:rsidRPr="00782AA9">
              <w:rPr>
                <w:color w:val="FFFFFF" w:themeColor="background1"/>
              </w:rPr>
              <w:t> </w:t>
            </w:r>
          </w:p>
        </w:tc>
        <w:tc>
          <w:tcPr>
            <w:tcW w:w="813" w:type="pct"/>
            <w:noWrap/>
            <w:hideMark/>
          </w:tcPr>
          <w:p w14:paraId="1140519F" w14:textId="77777777" w:rsidR="000D6A51" w:rsidRDefault="000D6A51" w:rsidP="00630831">
            <w:pPr>
              <w:pStyle w:val="TableColumnHeadingRight"/>
              <w:rPr>
                <w:bCs/>
              </w:rPr>
            </w:pPr>
            <w:r w:rsidRPr="00077DB0">
              <w:rPr>
                <w:bCs/>
              </w:rPr>
              <w:t>202</w:t>
            </w:r>
            <w:r>
              <w:rPr>
                <w:bCs/>
              </w:rPr>
              <w:t>5</w:t>
            </w:r>
          </w:p>
          <w:p w14:paraId="6B880804" w14:textId="77777777" w:rsidR="000D6A51" w:rsidRPr="00782AA9" w:rsidRDefault="000D6A51" w:rsidP="00630831">
            <w:pPr>
              <w:pStyle w:val="TableColumnHeadingRight"/>
            </w:pPr>
            <w:r>
              <w:rPr>
                <w:bCs/>
              </w:rPr>
              <w:t>$’000</w:t>
            </w:r>
          </w:p>
        </w:tc>
        <w:tc>
          <w:tcPr>
            <w:tcW w:w="813" w:type="pct"/>
            <w:noWrap/>
            <w:hideMark/>
          </w:tcPr>
          <w:p w14:paraId="5CA877B0" w14:textId="77777777" w:rsidR="000D6A51" w:rsidRDefault="000D6A51" w:rsidP="00630831">
            <w:pPr>
              <w:pStyle w:val="TableColumnHeadingRight"/>
            </w:pPr>
            <w:r w:rsidRPr="00077DB0">
              <w:t>202</w:t>
            </w:r>
            <w:r>
              <w:t xml:space="preserve">4 </w:t>
            </w:r>
          </w:p>
          <w:p w14:paraId="46048D0E" w14:textId="77777777" w:rsidR="000D6A51" w:rsidRPr="00782AA9" w:rsidRDefault="000D6A51" w:rsidP="00630831">
            <w:pPr>
              <w:pStyle w:val="TableColumnHeadingRight"/>
            </w:pPr>
            <w:r>
              <w:t>$’000</w:t>
            </w:r>
            <w:r w:rsidRPr="00077DB0">
              <w:t xml:space="preserve"> </w:t>
            </w:r>
          </w:p>
        </w:tc>
      </w:tr>
      <w:tr w:rsidR="000D6A51" w:rsidRPr="00340E4A" w14:paraId="7CECE2FE" w14:textId="77777777" w:rsidTr="006A715B">
        <w:tc>
          <w:tcPr>
            <w:tcW w:w="3374" w:type="pct"/>
            <w:noWrap/>
          </w:tcPr>
          <w:p w14:paraId="2E222CB2" w14:textId="77777777" w:rsidR="000D6A51" w:rsidRPr="00D159CF" w:rsidRDefault="000D6A51" w:rsidP="00630831">
            <w:pPr>
              <w:pStyle w:val="TableTextLeft"/>
              <w:rPr>
                <w:vertAlign w:val="superscript"/>
              </w:rPr>
            </w:pPr>
            <w:r w:rsidRPr="00AE665D">
              <w:t>Appropriation Act (No. 1) 2021–22</w:t>
            </w:r>
            <w:r>
              <w:rPr>
                <w:vertAlign w:val="superscript"/>
              </w:rPr>
              <w:t>1</w:t>
            </w:r>
          </w:p>
        </w:tc>
        <w:tc>
          <w:tcPr>
            <w:tcW w:w="813" w:type="pct"/>
            <w:shd w:val="clear" w:color="auto" w:fill="E7DCF7" w:themeFill="text2" w:themeFillTint="1A"/>
            <w:noWrap/>
          </w:tcPr>
          <w:p w14:paraId="70197D2E" w14:textId="77777777" w:rsidR="000D6A51" w:rsidRPr="00AE665D" w:rsidRDefault="000D6A51" w:rsidP="00630831">
            <w:pPr>
              <w:pStyle w:val="TableTextRight"/>
            </w:pPr>
            <w:r>
              <w:noBreakHyphen/>
            </w:r>
          </w:p>
        </w:tc>
        <w:tc>
          <w:tcPr>
            <w:tcW w:w="813" w:type="pct"/>
            <w:noWrap/>
          </w:tcPr>
          <w:p w14:paraId="1CE449B8" w14:textId="77777777" w:rsidR="000D6A51" w:rsidRPr="00AE665D" w:rsidRDefault="000D6A51" w:rsidP="00630831">
            <w:pPr>
              <w:pStyle w:val="TableTextRight"/>
            </w:pPr>
            <w:r>
              <w:t>1,758</w:t>
            </w:r>
            <w:r w:rsidRPr="00AE665D">
              <w:t xml:space="preserve"> </w:t>
            </w:r>
          </w:p>
        </w:tc>
      </w:tr>
      <w:tr w:rsidR="000D6A51" w:rsidRPr="00340E4A" w14:paraId="31CAF707" w14:textId="77777777" w:rsidTr="006A715B">
        <w:tc>
          <w:tcPr>
            <w:tcW w:w="3374" w:type="pct"/>
            <w:noWrap/>
          </w:tcPr>
          <w:p w14:paraId="26CD3199" w14:textId="77777777" w:rsidR="000D6A51" w:rsidRPr="00AE665D" w:rsidRDefault="000D6A51" w:rsidP="00630831">
            <w:pPr>
              <w:pStyle w:val="TableTextLeft"/>
            </w:pPr>
            <w:r w:rsidRPr="00AE665D">
              <w:t>Appropriation Act (No. 1)</w:t>
            </w:r>
            <w:r>
              <w:t xml:space="preserve"> </w:t>
            </w:r>
            <w:r w:rsidRPr="00AE665D">
              <w:t>2021–22</w:t>
            </w:r>
            <w:r>
              <w:t xml:space="preserve"> – DCB</w:t>
            </w:r>
            <w:r>
              <w:rPr>
                <w:vertAlign w:val="superscript"/>
              </w:rPr>
              <w:t>1</w:t>
            </w:r>
          </w:p>
        </w:tc>
        <w:tc>
          <w:tcPr>
            <w:tcW w:w="813" w:type="pct"/>
            <w:shd w:val="clear" w:color="auto" w:fill="E7DCF7" w:themeFill="text2" w:themeFillTint="1A"/>
            <w:noWrap/>
          </w:tcPr>
          <w:p w14:paraId="28F46FDC" w14:textId="77777777" w:rsidR="000D6A51" w:rsidRDefault="000D6A51" w:rsidP="00630831">
            <w:pPr>
              <w:pStyle w:val="TableTextRight"/>
            </w:pPr>
            <w:r>
              <w:noBreakHyphen/>
            </w:r>
          </w:p>
        </w:tc>
        <w:tc>
          <w:tcPr>
            <w:tcW w:w="813" w:type="pct"/>
            <w:noWrap/>
          </w:tcPr>
          <w:p w14:paraId="44740404" w14:textId="77777777" w:rsidR="000D6A51" w:rsidRDefault="000D6A51" w:rsidP="00630831">
            <w:pPr>
              <w:pStyle w:val="TableTextRight"/>
            </w:pPr>
            <w:r>
              <w:t>366</w:t>
            </w:r>
          </w:p>
        </w:tc>
      </w:tr>
      <w:tr w:rsidR="000D6A51" w:rsidRPr="00340E4A" w14:paraId="70DAFB6A" w14:textId="77777777" w:rsidTr="006A715B">
        <w:tc>
          <w:tcPr>
            <w:tcW w:w="3374" w:type="pct"/>
            <w:noWrap/>
          </w:tcPr>
          <w:p w14:paraId="52739EC2" w14:textId="77777777" w:rsidR="000D6A51" w:rsidRPr="00AE665D" w:rsidRDefault="000D6A51" w:rsidP="00630831">
            <w:pPr>
              <w:pStyle w:val="TableTextLeft"/>
            </w:pPr>
            <w:r w:rsidRPr="00AE665D">
              <w:t xml:space="preserve">Supply Act (No. 1) </w:t>
            </w:r>
            <w:r>
              <w:t>2022</w:t>
            </w:r>
            <w:r w:rsidRPr="00B235A9">
              <w:t>–</w:t>
            </w:r>
            <w:r>
              <w:t>23</w:t>
            </w:r>
          </w:p>
        </w:tc>
        <w:tc>
          <w:tcPr>
            <w:tcW w:w="813" w:type="pct"/>
            <w:shd w:val="clear" w:color="auto" w:fill="E7DCF7" w:themeFill="text2" w:themeFillTint="1A"/>
            <w:noWrap/>
          </w:tcPr>
          <w:p w14:paraId="389E62CD" w14:textId="77777777" w:rsidR="000D6A51" w:rsidRPr="00AE665D" w:rsidRDefault="000D6A51" w:rsidP="00630831">
            <w:pPr>
              <w:pStyle w:val="TableTextRight"/>
            </w:pPr>
            <w:r>
              <w:noBreakHyphen/>
            </w:r>
          </w:p>
        </w:tc>
        <w:tc>
          <w:tcPr>
            <w:tcW w:w="813" w:type="pct"/>
            <w:noWrap/>
          </w:tcPr>
          <w:p w14:paraId="2F4122A6" w14:textId="77777777" w:rsidR="000D6A51" w:rsidRPr="00AE665D" w:rsidRDefault="000D6A51" w:rsidP="00630831">
            <w:pPr>
              <w:pStyle w:val="TableTextRight"/>
            </w:pPr>
            <w:r>
              <w:t>7,080</w:t>
            </w:r>
            <w:r w:rsidRPr="00AE665D">
              <w:t xml:space="preserve"> </w:t>
            </w:r>
          </w:p>
        </w:tc>
      </w:tr>
      <w:tr w:rsidR="000D6A51" w:rsidRPr="00340E4A" w14:paraId="6C150422" w14:textId="77777777" w:rsidTr="006A715B">
        <w:tc>
          <w:tcPr>
            <w:tcW w:w="3374" w:type="pct"/>
            <w:noWrap/>
          </w:tcPr>
          <w:p w14:paraId="1BEC0BCB" w14:textId="77777777" w:rsidR="000D6A51" w:rsidRPr="00AE665D" w:rsidRDefault="000D6A51" w:rsidP="00630831">
            <w:pPr>
              <w:pStyle w:val="TableTextLeft"/>
            </w:pPr>
            <w:r w:rsidRPr="00AE665D">
              <w:t xml:space="preserve">Supply Act (No. 1) </w:t>
            </w:r>
            <w:r>
              <w:t>2022</w:t>
            </w:r>
            <w:r w:rsidRPr="00B235A9">
              <w:t>–</w:t>
            </w:r>
            <w:r>
              <w:t>23 – DCB</w:t>
            </w:r>
          </w:p>
        </w:tc>
        <w:tc>
          <w:tcPr>
            <w:tcW w:w="813" w:type="pct"/>
            <w:shd w:val="clear" w:color="auto" w:fill="E7DCF7" w:themeFill="text2" w:themeFillTint="1A"/>
            <w:noWrap/>
          </w:tcPr>
          <w:p w14:paraId="498D2F01" w14:textId="77777777" w:rsidR="000D6A51" w:rsidRPr="00AE665D" w:rsidRDefault="000D6A51" w:rsidP="00630831">
            <w:pPr>
              <w:pStyle w:val="TableTextRight"/>
            </w:pPr>
            <w:r>
              <w:noBreakHyphen/>
            </w:r>
          </w:p>
        </w:tc>
        <w:tc>
          <w:tcPr>
            <w:tcW w:w="813" w:type="pct"/>
            <w:noWrap/>
          </w:tcPr>
          <w:p w14:paraId="48512569" w14:textId="77777777" w:rsidR="000D6A51" w:rsidRPr="00AE665D" w:rsidRDefault="000D6A51" w:rsidP="00630831">
            <w:pPr>
              <w:pStyle w:val="TableTextRight"/>
            </w:pPr>
            <w:r>
              <w:t>157</w:t>
            </w:r>
          </w:p>
        </w:tc>
      </w:tr>
      <w:tr w:rsidR="000D6A51" w:rsidRPr="00340E4A" w14:paraId="54F14E5B" w14:textId="77777777" w:rsidTr="006A715B">
        <w:tc>
          <w:tcPr>
            <w:tcW w:w="3374" w:type="pct"/>
            <w:noWrap/>
          </w:tcPr>
          <w:p w14:paraId="7D4C8821" w14:textId="77777777" w:rsidR="000D6A51" w:rsidRPr="00AE665D" w:rsidRDefault="000D6A51" w:rsidP="00630831">
            <w:pPr>
              <w:pStyle w:val="TableTextLeft"/>
            </w:pPr>
            <w:r w:rsidRPr="00AE665D">
              <w:t xml:space="preserve">Supply Act (No. 3) </w:t>
            </w:r>
            <w:r>
              <w:t>2022</w:t>
            </w:r>
            <w:r w:rsidRPr="00B235A9">
              <w:t>–</w:t>
            </w:r>
            <w:r>
              <w:t>23</w:t>
            </w:r>
          </w:p>
        </w:tc>
        <w:tc>
          <w:tcPr>
            <w:tcW w:w="813" w:type="pct"/>
            <w:shd w:val="clear" w:color="auto" w:fill="E7DCF7" w:themeFill="text2" w:themeFillTint="1A"/>
            <w:noWrap/>
          </w:tcPr>
          <w:p w14:paraId="7C0F5CE2" w14:textId="77777777" w:rsidR="000D6A51" w:rsidRPr="00AE665D" w:rsidRDefault="000D6A51" w:rsidP="00630831">
            <w:pPr>
              <w:pStyle w:val="TableTextRight"/>
            </w:pPr>
            <w:r>
              <w:noBreakHyphen/>
            </w:r>
          </w:p>
        </w:tc>
        <w:tc>
          <w:tcPr>
            <w:tcW w:w="813" w:type="pct"/>
            <w:noWrap/>
          </w:tcPr>
          <w:p w14:paraId="746B56E4" w14:textId="77777777" w:rsidR="000D6A51" w:rsidRPr="00AE665D" w:rsidRDefault="000D6A51" w:rsidP="00630831">
            <w:pPr>
              <w:pStyle w:val="TableTextRight"/>
            </w:pPr>
            <w:r w:rsidRPr="00AE665D">
              <w:t>9,</w:t>
            </w:r>
            <w:r>
              <w:t>405</w:t>
            </w:r>
            <w:r w:rsidRPr="00AE665D">
              <w:t xml:space="preserve"> </w:t>
            </w:r>
          </w:p>
        </w:tc>
      </w:tr>
      <w:tr w:rsidR="000D6A51" w:rsidRPr="00340E4A" w14:paraId="4B4E1725" w14:textId="77777777" w:rsidTr="006A715B">
        <w:tc>
          <w:tcPr>
            <w:tcW w:w="3374" w:type="pct"/>
            <w:noWrap/>
          </w:tcPr>
          <w:p w14:paraId="4857D7B1" w14:textId="77777777" w:rsidR="000D6A51" w:rsidRPr="00AE665D" w:rsidRDefault="000D6A51" w:rsidP="00630831">
            <w:pPr>
              <w:pStyle w:val="TableTextLeft"/>
            </w:pPr>
            <w:r w:rsidRPr="00AE665D">
              <w:t xml:space="preserve">Supply Act (No. 3) </w:t>
            </w:r>
            <w:r>
              <w:t>2022</w:t>
            </w:r>
            <w:r w:rsidRPr="00B235A9">
              <w:t>–</w:t>
            </w:r>
            <w:r>
              <w:t>23 – DCB</w:t>
            </w:r>
            <w:r>
              <w:rPr>
                <w:vertAlign w:val="superscript"/>
              </w:rPr>
              <w:t>2</w:t>
            </w:r>
          </w:p>
        </w:tc>
        <w:tc>
          <w:tcPr>
            <w:tcW w:w="813" w:type="pct"/>
            <w:shd w:val="clear" w:color="auto" w:fill="E7DCF7" w:themeFill="text2" w:themeFillTint="1A"/>
            <w:noWrap/>
          </w:tcPr>
          <w:p w14:paraId="6CFA8AF2" w14:textId="77777777" w:rsidR="000D6A51" w:rsidRPr="00AE665D" w:rsidRDefault="000D6A51" w:rsidP="00630831">
            <w:pPr>
              <w:pStyle w:val="TableTextRight"/>
            </w:pPr>
            <w:r>
              <w:t>58</w:t>
            </w:r>
          </w:p>
        </w:tc>
        <w:tc>
          <w:tcPr>
            <w:tcW w:w="813" w:type="pct"/>
            <w:noWrap/>
          </w:tcPr>
          <w:p w14:paraId="62B16A76" w14:textId="77777777" w:rsidR="000D6A51" w:rsidRPr="00AE665D" w:rsidRDefault="000D6A51" w:rsidP="00630831">
            <w:pPr>
              <w:pStyle w:val="TableTextRight"/>
            </w:pPr>
            <w:r>
              <w:t>220</w:t>
            </w:r>
          </w:p>
        </w:tc>
      </w:tr>
      <w:tr w:rsidR="000D6A51" w:rsidRPr="00340E4A" w14:paraId="76C586B8" w14:textId="77777777" w:rsidTr="006A715B">
        <w:tc>
          <w:tcPr>
            <w:tcW w:w="3374" w:type="pct"/>
            <w:noWrap/>
          </w:tcPr>
          <w:p w14:paraId="0DDABDF6" w14:textId="77777777" w:rsidR="000D6A51" w:rsidRPr="00AE665D" w:rsidRDefault="000D6A51" w:rsidP="00630831">
            <w:pPr>
              <w:pStyle w:val="TableTextRight"/>
              <w:jc w:val="left"/>
              <w:rPr>
                <w:b/>
                <w:bCs/>
              </w:rPr>
            </w:pPr>
            <w:r>
              <w:t>Appropriation Act (No.1) 2023</w:t>
            </w:r>
            <w:r>
              <w:noBreakHyphen/>
              <w:t>24</w:t>
            </w:r>
          </w:p>
        </w:tc>
        <w:tc>
          <w:tcPr>
            <w:tcW w:w="813" w:type="pct"/>
            <w:shd w:val="clear" w:color="auto" w:fill="E7DCF7" w:themeFill="text2" w:themeFillTint="1A"/>
            <w:noWrap/>
          </w:tcPr>
          <w:p w14:paraId="1BB63FD7" w14:textId="77777777" w:rsidR="000D6A51" w:rsidRPr="0059026F" w:rsidRDefault="000D6A51" w:rsidP="00630831">
            <w:pPr>
              <w:pStyle w:val="TableTextRight"/>
            </w:pPr>
            <w:r>
              <w:t>18,493</w:t>
            </w:r>
          </w:p>
        </w:tc>
        <w:tc>
          <w:tcPr>
            <w:tcW w:w="813" w:type="pct"/>
            <w:noWrap/>
          </w:tcPr>
          <w:p w14:paraId="39BBDACC" w14:textId="77777777" w:rsidR="000D6A51" w:rsidRPr="003F3C46" w:rsidRDefault="000D6A51" w:rsidP="00630831">
            <w:pPr>
              <w:pStyle w:val="TableTextRight"/>
            </w:pPr>
            <w:r>
              <w:t>19,393</w:t>
            </w:r>
          </w:p>
        </w:tc>
      </w:tr>
      <w:tr w:rsidR="000D6A51" w:rsidRPr="00340E4A" w14:paraId="13523AB3" w14:textId="77777777" w:rsidTr="006A715B">
        <w:tc>
          <w:tcPr>
            <w:tcW w:w="3374" w:type="pct"/>
            <w:noWrap/>
          </w:tcPr>
          <w:p w14:paraId="12CE2D0B" w14:textId="77777777" w:rsidR="000D6A51" w:rsidRDefault="000D6A51" w:rsidP="00630831">
            <w:pPr>
              <w:pStyle w:val="TableTextRight"/>
              <w:jc w:val="left"/>
            </w:pPr>
            <w:r>
              <w:t>Appropriation Act (No.1) 2023</w:t>
            </w:r>
            <w:r w:rsidRPr="00B235A9">
              <w:t>–</w:t>
            </w:r>
            <w:r>
              <w:t>24 – DCB</w:t>
            </w:r>
          </w:p>
        </w:tc>
        <w:tc>
          <w:tcPr>
            <w:tcW w:w="813" w:type="pct"/>
            <w:shd w:val="clear" w:color="auto" w:fill="E7DCF7" w:themeFill="text2" w:themeFillTint="1A"/>
            <w:noWrap/>
          </w:tcPr>
          <w:p w14:paraId="0AA2BD91" w14:textId="77777777" w:rsidR="000D6A51" w:rsidRPr="0059026F" w:rsidRDefault="000D6A51" w:rsidP="00630831">
            <w:pPr>
              <w:pStyle w:val="TableTextRight"/>
            </w:pPr>
            <w:r>
              <w:t>395</w:t>
            </w:r>
          </w:p>
        </w:tc>
        <w:tc>
          <w:tcPr>
            <w:tcW w:w="813" w:type="pct"/>
            <w:noWrap/>
          </w:tcPr>
          <w:p w14:paraId="204F0A7E" w14:textId="77777777" w:rsidR="000D6A51" w:rsidRPr="003F3C46" w:rsidRDefault="000D6A51" w:rsidP="00630831">
            <w:pPr>
              <w:pStyle w:val="TableTextRight"/>
            </w:pPr>
            <w:r>
              <w:t>395</w:t>
            </w:r>
          </w:p>
        </w:tc>
      </w:tr>
      <w:tr w:rsidR="000D6A51" w:rsidRPr="00340E4A" w14:paraId="3394DD13" w14:textId="77777777" w:rsidTr="006A715B">
        <w:tc>
          <w:tcPr>
            <w:tcW w:w="3374" w:type="pct"/>
            <w:noWrap/>
          </w:tcPr>
          <w:p w14:paraId="54A29DF9" w14:textId="77777777" w:rsidR="000D6A51" w:rsidRDefault="000D6A51" w:rsidP="00630831">
            <w:pPr>
              <w:pStyle w:val="TableTextRight"/>
              <w:jc w:val="left"/>
              <w:rPr>
                <w:rStyle w:val="Strong"/>
              </w:rPr>
            </w:pPr>
            <w:r>
              <w:t>Appropriation</w:t>
            </w:r>
            <w:r w:rsidRPr="00AE665D">
              <w:t xml:space="preserve"> Act (No. 1) 202</w:t>
            </w:r>
            <w:r>
              <w:t>4</w:t>
            </w:r>
            <w:r w:rsidRPr="00B235A9">
              <w:t>–</w:t>
            </w:r>
            <w:r>
              <w:t>25</w:t>
            </w:r>
          </w:p>
        </w:tc>
        <w:tc>
          <w:tcPr>
            <w:tcW w:w="813" w:type="pct"/>
            <w:shd w:val="clear" w:color="auto" w:fill="E7DCF7" w:themeFill="text2" w:themeFillTint="1A"/>
            <w:noWrap/>
          </w:tcPr>
          <w:p w14:paraId="7D933517" w14:textId="77777777" w:rsidR="000D6A51" w:rsidRPr="00051686" w:rsidRDefault="000D6A51" w:rsidP="00630831">
            <w:pPr>
              <w:pStyle w:val="TableTextRight"/>
            </w:pPr>
            <w:r>
              <w:t>16,889</w:t>
            </w:r>
          </w:p>
        </w:tc>
        <w:tc>
          <w:tcPr>
            <w:tcW w:w="813" w:type="pct"/>
            <w:noWrap/>
          </w:tcPr>
          <w:p w14:paraId="1368B92E" w14:textId="77777777" w:rsidR="000D6A51" w:rsidRPr="00AE665D" w:rsidRDefault="000D6A51" w:rsidP="00630831">
            <w:pPr>
              <w:pStyle w:val="TableTextRight"/>
              <w:rPr>
                <w:b/>
                <w:bCs/>
              </w:rPr>
            </w:pPr>
            <w:r>
              <w:rPr>
                <w:b/>
                <w:bCs/>
              </w:rPr>
              <w:noBreakHyphen/>
            </w:r>
          </w:p>
        </w:tc>
      </w:tr>
      <w:tr w:rsidR="000D6A51" w:rsidRPr="00340E4A" w14:paraId="56935CFB" w14:textId="77777777" w:rsidTr="006A715B">
        <w:tc>
          <w:tcPr>
            <w:tcW w:w="3374" w:type="pct"/>
            <w:noWrap/>
          </w:tcPr>
          <w:p w14:paraId="70F1E0B1" w14:textId="77777777" w:rsidR="000D6A51" w:rsidRDefault="000D6A51" w:rsidP="00630831">
            <w:pPr>
              <w:pStyle w:val="TableTextRight"/>
              <w:jc w:val="left"/>
            </w:pPr>
            <w:r>
              <w:t>Appropriation</w:t>
            </w:r>
            <w:r w:rsidRPr="00AE665D">
              <w:t xml:space="preserve"> Act (No. 1) 202</w:t>
            </w:r>
            <w:r>
              <w:t>4</w:t>
            </w:r>
            <w:r w:rsidRPr="00B235A9">
              <w:t>–</w:t>
            </w:r>
            <w:r>
              <w:t>25 – DCB</w:t>
            </w:r>
          </w:p>
        </w:tc>
        <w:tc>
          <w:tcPr>
            <w:tcW w:w="813" w:type="pct"/>
            <w:shd w:val="clear" w:color="auto" w:fill="E7DCF7" w:themeFill="text2" w:themeFillTint="1A"/>
            <w:noWrap/>
          </w:tcPr>
          <w:p w14:paraId="0A45C863" w14:textId="77777777" w:rsidR="000D6A51" w:rsidRDefault="000D6A51" w:rsidP="00630831">
            <w:pPr>
              <w:pStyle w:val="TableTextRight"/>
            </w:pPr>
            <w:r>
              <w:t>405</w:t>
            </w:r>
          </w:p>
        </w:tc>
        <w:tc>
          <w:tcPr>
            <w:tcW w:w="813" w:type="pct"/>
            <w:noWrap/>
          </w:tcPr>
          <w:p w14:paraId="3225289A" w14:textId="77777777" w:rsidR="000D6A51" w:rsidRDefault="000D6A51" w:rsidP="00630831">
            <w:pPr>
              <w:pStyle w:val="TableTextRight"/>
              <w:rPr>
                <w:b/>
                <w:bCs/>
              </w:rPr>
            </w:pPr>
            <w:r>
              <w:rPr>
                <w:b/>
                <w:bCs/>
              </w:rPr>
              <w:noBreakHyphen/>
            </w:r>
          </w:p>
        </w:tc>
      </w:tr>
      <w:tr w:rsidR="000D6A51" w:rsidRPr="00340E4A" w14:paraId="06CA9F67" w14:textId="77777777" w:rsidTr="006A715B">
        <w:tc>
          <w:tcPr>
            <w:tcW w:w="3374" w:type="pct"/>
            <w:noWrap/>
            <w:hideMark/>
          </w:tcPr>
          <w:p w14:paraId="6E62FC7F" w14:textId="77777777" w:rsidR="000D6A51" w:rsidRPr="00AE665D" w:rsidRDefault="000D6A51" w:rsidP="00630831">
            <w:pPr>
              <w:pStyle w:val="TableTextLeft"/>
              <w:rPr>
                <w:b/>
                <w:bCs/>
              </w:rPr>
            </w:pPr>
            <w:r w:rsidRPr="00AE665D">
              <w:rPr>
                <w:b/>
                <w:bCs/>
              </w:rPr>
              <w:t>Total</w:t>
            </w:r>
          </w:p>
        </w:tc>
        <w:tc>
          <w:tcPr>
            <w:tcW w:w="813" w:type="pct"/>
            <w:shd w:val="clear" w:color="auto" w:fill="E7DCF7" w:themeFill="text2" w:themeFillTint="1A"/>
            <w:noWrap/>
          </w:tcPr>
          <w:p w14:paraId="667D82E1" w14:textId="77777777" w:rsidR="000D6A51" w:rsidRPr="002E1578" w:rsidRDefault="000D6A51" w:rsidP="00630831">
            <w:pPr>
              <w:pStyle w:val="TableTextRight"/>
              <w:rPr>
                <w:b/>
                <w:bCs/>
              </w:rPr>
            </w:pPr>
            <w:r w:rsidRPr="002E1578">
              <w:rPr>
                <w:b/>
                <w:bCs/>
              </w:rPr>
              <w:t>36,240</w:t>
            </w:r>
          </w:p>
        </w:tc>
        <w:tc>
          <w:tcPr>
            <w:tcW w:w="813" w:type="pct"/>
            <w:noWrap/>
            <w:hideMark/>
          </w:tcPr>
          <w:p w14:paraId="7812DD8F" w14:textId="77777777" w:rsidR="000D6A51" w:rsidRPr="002E1578" w:rsidRDefault="000D6A51" w:rsidP="00630831">
            <w:pPr>
              <w:pStyle w:val="TableTextRight"/>
              <w:rPr>
                <w:b/>
                <w:bCs/>
              </w:rPr>
            </w:pPr>
            <w:r w:rsidRPr="002E1578">
              <w:rPr>
                <w:b/>
                <w:bCs/>
              </w:rPr>
              <w:t>38,774</w:t>
            </w:r>
          </w:p>
        </w:tc>
      </w:tr>
    </w:tbl>
    <w:p w14:paraId="2651EDFD" w14:textId="77777777" w:rsidR="000D6A51" w:rsidRPr="000D6A51" w:rsidRDefault="000D6A51" w:rsidP="00FC58DE">
      <w:pPr>
        <w:pStyle w:val="ChartandTableFootnoteAlpha"/>
      </w:pPr>
      <w:r w:rsidRPr="000D6A51">
        <w:t xml:space="preserve">1 </w:t>
      </w:r>
      <w:r w:rsidRPr="000D6A51">
        <w:tab/>
      </w:r>
      <w:r w:rsidRPr="00FC58DE">
        <w:t>Appropriation</w:t>
      </w:r>
      <w:r w:rsidRPr="000D6A51">
        <w:t xml:space="preserve"> Act (No. 1) 2021–22 lapsed on 1 July 2024 in accordance with the repeal clause of the Appropriation Act.</w:t>
      </w:r>
    </w:p>
    <w:p w14:paraId="3023C5E6" w14:textId="77777777" w:rsidR="000D6A51" w:rsidRPr="004331A3" w:rsidRDefault="000D6A51" w:rsidP="000D6A51">
      <w:pPr>
        <w:keepLines/>
        <w:spacing w:after="0" w:line="240" w:lineRule="auto"/>
        <w:rPr>
          <w:sz w:val="16"/>
          <w:szCs w:val="16"/>
        </w:rPr>
      </w:pPr>
    </w:p>
    <w:p w14:paraId="676BCADD" w14:textId="77777777" w:rsidR="000D6A51" w:rsidRDefault="000D6A51" w:rsidP="000D6A51">
      <w:pPr>
        <w:pStyle w:val="TableMainHeading"/>
        <w:keepLines/>
      </w:pPr>
      <w:r>
        <w:t>Net cash appropriation arrangements</w:t>
      </w:r>
    </w:p>
    <w:tbl>
      <w:tblPr>
        <w:tblStyle w:val="AOFMTablemain"/>
        <w:tblW w:w="5000" w:type="pct"/>
        <w:tblLook w:val="06A0" w:firstRow="1" w:lastRow="0" w:firstColumn="1" w:lastColumn="0" w:noHBand="1" w:noVBand="1"/>
      </w:tblPr>
      <w:tblGrid>
        <w:gridCol w:w="5203"/>
        <w:gridCol w:w="1254"/>
        <w:gridCol w:w="1254"/>
      </w:tblGrid>
      <w:tr w:rsidR="000D6A51" w:rsidRPr="00782AA9" w14:paraId="1056637C" w14:textId="77777777" w:rsidTr="00EC03D4">
        <w:trPr>
          <w:cnfStyle w:val="100000000000" w:firstRow="1" w:lastRow="0" w:firstColumn="0" w:lastColumn="0" w:oddVBand="0" w:evenVBand="0" w:oddHBand="0" w:evenHBand="0" w:firstRowFirstColumn="0" w:firstRowLastColumn="0" w:lastRowFirstColumn="0" w:lastRowLastColumn="0"/>
        </w:trPr>
        <w:tc>
          <w:tcPr>
            <w:tcW w:w="3374" w:type="pct"/>
            <w:noWrap/>
            <w:hideMark/>
          </w:tcPr>
          <w:p w14:paraId="2D5276F9" w14:textId="77777777" w:rsidR="000D6A51" w:rsidRPr="00782AA9" w:rsidRDefault="000D6A51" w:rsidP="00630831">
            <w:pPr>
              <w:pStyle w:val="TableColumnHeadingLeft"/>
            </w:pPr>
            <w:r w:rsidRPr="00782AA9">
              <w:t> </w:t>
            </w:r>
          </w:p>
        </w:tc>
        <w:tc>
          <w:tcPr>
            <w:tcW w:w="813" w:type="pct"/>
            <w:noWrap/>
            <w:hideMark/>
          </w:tcPr>
          <w:p w14:paraId="4FAAFD81" w14:textId="77777777" w:rsidR="000D6A51" w:rsidRPr="00B269E3" w:rsidRDefault="000D6A51" w:rsidP="00630831">
            <w:pPr>
              <w:pStyle w:val="TableColumnHeadingRight"/>
            </w:pPr>
            <w:r w:rsidRPr="00B269E3">
              <w:t>2025</w:t>
            </w:r>
          </w:p>
          <w:p w14:paraId="6DCC2FE7" w14:textId="77777777" w:rsidR="000D6A51" w:rsidRPr="00B269E3" w:rsidRDefault="000D6A51" w:rsidP="00630831">
            <w:pPr>
              <w:pStyle w:val="TableColumnHeadingRight"/>
            </w:pPr>
            <w:r w:rsidRPr="00B269E3">
              <w:t>$’000</w:t>
            </w:r>
          </w:p>
        </w:tc>
        <w:tc>
          <w:tcPr>
            <w:tcW w:w="813" w:type="pct"/>
            <w:noWrap/>
            <w:hideMark/>
          </w:tcPr>
          <w:p w14:paraId="4D569C4A" w14:textId="77777777" w:rsidR="000D6A51" w:rsidRPr="00B269E3" w:rsidRDefault="000D6A51" w:rsidP="00630831">
            <w:pPr>
              <w:pStyle w:val="TableColumnHeadingRight"/>
            </w:pPr>
            <w:r w:rsidRPr="00B269E3">
              <w:t xml:space="preserve">2024 </w:t>
            </w:r>
          </w:p>
          <w:p w14:paraId="0EB6A7F7" w14:textId="77777777" w:rsidR="000D6A51" w:rsidRPr="00B269E3" w:rsidRDefault="000D6A51" w:rsidP="00630831">
            <w:pPr>
              <w:pStyle w:val="TableColumnHeadingRight"/>
            </w:pPr>
            <w:r w:rsidRPr="00B269E3">
              <w:t xml:space="preserve">$’000 </w:t>
            </w:r>
          </w:p>
        </w:tc>
      </w:tr>
      <w:tr w:rsidR="000D6A51" w:rsidRPr="00AE665D" w14:paraId="71443D7A" w14:textId="77777777" w:rsidTr="006A715B">
        <w:tc>
          <w:tcPr>
            <w:tcW w:w="3374" w:type="pct"/>
            <w:noWrap/>
          </w:tcPr>
          <w:p w14:paraId="5D333ABA" w14:textId="77777777" w:rsidR="000D6A51" w:rsidRPr="00B269E3" w:rsidRDefault="000D6A51" w:rsidP="00630831">
            <w:pPr>
              <w:pStyle w:val="TableTextLeft"/>
              <w:rPr>
                <w:b/>
                <w:bCs/>
              </w:rPr>
            </w:pPr>
            <w:r w:rsidRPr="00B269E3">
              <w:rPr>
                <w:b/>
                <w:bCs/>
              </w:rPr>
              <w:t xml:space="preserve">Total comprehensive income as per </w:t>
            </w:r>
          </w:p>
          <w:p w14:paraId="1160D1A2" w14:textId="77777777" w:rsidR="000D6A51" w:rsidRPr="00961096" w:rsidRDefault="000D6A51" w:rsidP="00630831">
            <w:pPr>
              <w:pStyle w:val="TableTextLeft"/>
            </w:pPr>
            <w:r w:rsidRPr="00B269E3">
              <w:rPr>
                <w:b/>
                <w:bCs/>
              </w:rPr>
              <w:t>Statement of comprehensive income</w:t>
            </w:r>
          </w:p>
        </w:tc>
        <w:tc>
          <w:tcPr>
            <w:tcW w:w="813" w:type="pct"/>
            <w:shd w:val="clear" w:color="auto" w:fill="E7DCF7" w:themeFill="text2" w:themeFillTint="1A"/>
            <w:noWrap/>
          </w:tcPr>
          <w:p w14:paraId="4A56E215" w14:textId="77777777" w:rsidR="000D6A51" w:rsidRPr="00B269E3" w:rsidRDefault="000D6A51" w:rsidP="00630831">
            <w:pPr>
              <w:pStyle w:val="TableTextRight"/>
            </w:pPr>
            <w:r w:rsidRPr="00B269E3">
              <w:t>(238)</w:t>
            </w:r>
          </w:p>
        </w:tc>
        <w:tc>
          <w:tcPr>
            <w:tcW w:w="813" w:type="pct"/>
            <w:noWrap/>
          </w:tcPr>
          <w:p w14:paraId="022C1C3F" w14:textId="77777777" w:rsidR="000D6A51" w:rsidRPr="00B269E3" w:rsidRDefault="000D6A51" w:rsidP="00630831">
            <w:pPr>
              <w:pStyle w:val="TableTextRight"/>
            </w:pPr>
            <w:r w:rsidRPr="00B269E3">
              <w:t xml:space="preserve">3,962 </w:t>
            </w:r>
          </w:p>
        </w:tc>
      </w:tr>
      <w:tr w:rsidR="000D6A51" w:rsidRPr="00AE665D" w14:paraId="53FB4921" w14:textId="77777777" w:rsidTr="006A715B">
        <w:tc>
          <w:tcPr>
            <w:tcW w:w="3374" w:type="pct"/>
            <w:noWrap/>
          </w:tcPr>
          <w:p w14:paraId="61F7720C" w14:textId="77777777" w:rsidR="000D6A51" w:rsidRDefault="000D6A51" w:rsidP="00630831">
            <w:pPr>
              <w:pStyle w:val="TableTextLeft"/>
            </w:pPr>
            <w:r w:rsidRPr="00B269E3">
              <w:rPr>
                <w:b/>
                <w:bCs/>
              </w:rPr>
              <w:t>Plus:</w:t>
            </w:r>
            <w:r>
              <w:t xml:space="preserve"> </w:t>
            </w:r>
            <w:r w:rsidRPr="00F621C6">
              <w:t xml:space="preserve">depreciation/amortisation of assets funded </w:t>
            </w:r>
          </w:p>
          <w:p w14:paraId="6CDF2986" w14:textId="77777777" w:rsidR="000D6A51" w:rsidRPr="009E7443" w:rsidRDefault="000D6A51" w:rsidP="00630831">
            <w:pPr>
              <w:pStyle w:val="TableTextLeft"/>
              <w:rPr>
                <w:vertAlign w:val="superscript"/>
              </w:rPr>
            </w:pPr>
            <w:r w:rsidRPr="00F621C6">
              <w:t>through appropriations</w:t>
            </w:r>
            <w:r>
              <w:rPr>
                <w:vertAlign w:val="superscript"/>
              </w:rPr>
              <w:t>1</w:t>
            </w:r>
          </w:p>
        </w:tc>
        <w:tc>
          <w:tcPr>
            <w:tcW w:w="813" w:type="pct"/>
            <w:shd w:val="clear" w:color="auto" w:fill="E7DCF7" w:themeFill="text2" w:themeFillTint="1A"/>
            <w:noWrap/>
          </w:tcPr>
          <w:p w14:paraId="4848DA7D" w14:textId="77777777" w:rsidR="000D6A51" w:rsidRPr="00B269E3" w:rsidRDefault="000D6A51" w:rsidP="00630831">
            <w:pPr>
              <w:pStyle w:val="TableTextRight"/>
            </w:pPr>
            <w:r w:rsidRPr="00B269E3">
              <w:t>287</w:t>
            </w:r>
          </w:p>
        </w:tc>
        <w:tc>
          <w:tcPr>
            <w:tcW w:w="813" w:type="pct"/>
            <w:noWrap/>
          </w:tcPr>
          <w:p w14:paraId="2DF2BAF6" w14:textId="77777777" w:rsidR="000D6A51" w:rsidRPr="00B269E3" w:rsidRDefault="000D6A51" w:rsidP="00630831">
            <w:pPr>
              <w:pStyle w:val="TableTextRight"/>
            </w:pPr>
            <w:r w:rsidRPr="00B269E3">
              <w:t xml:space="preserve">358 </w:t>
            </w:r>
          </w:p>
        </w:tc>
      </w:tr>
      <w:tr w:rsidR="000D6A51" w:rsidRPr="00AE665D" w14:paraId="7D6E8E98" w14:textId="77777777" w:rsidTr="006A715B">
        <w:tc>
          <w:tcPr>
            <w:tcW w:w="3374" w:type="pct"/>
            <w:noWrap/>
          </w:tcPr>
          <w:p w14:paraId="6A31680E" w14:textId="77777777" w:rsidR="000D6A51" w:rsidRPr="00AE665D" w:rsidRDefault="000D6A51" w:rsidP="00630831">
            <w:pPr>
              <w:pStyle w:val="TableTextLeft"/>
            </w:pPr>
            <w:r w:rsidRPr="00B269E3">
              <w:rPr>
                <w:b/>
                <w:bCs/>
              </w:rPr>
              <w:t>Plus:</w:t>
            </w:r>
            <w:r>
              <w:t xml:space="preserve"> </w:t>
            </w:r>
            <w:r w:rsidRPr="00F621C6">
              <w:t>depreciation</w:t>
            </w:r>
            <w:r>
              <w:t xml:space="preserve"> of right</w:t>
            </w:r>
            <w:r>
              <w:noBreakHyphen/>
              <w:t>of</w:t>
            </w:r>
            <w:r>
              <w:noBreakHyphen/>
              <w:t xml:space="preserve">use assets </w:t>
            </w:r>
          </w:p>
        </w:tc>
        <w:tc>
          <w:tcPr>
            <w:tcW w:w="813" w:type="pct"/>
            <w:shd w:val="clear" w:color="auto" w:fill="E7DCF7" w:themeFill="text2" w:themeFillTint="1A"/>
            <w:noWrap/>
          </w:tcPr>
          <w:p w14:paraId="0471BE9A" w14:textId="77777777" w:rsidR="000D6A51" w:rsidRPr="00B269E3" w:rsidRDefault="000D6A51" w:rsidP="00630831">
            <w:pPr>
              <w:pStyle w:val="TableTextRight"/>
            </w:pPr>
            <w:r w:rsidRPr="00B269E3">
              <w:t>299</w:t>
            </w:r>
          </w:p>
        </w:tc>
        <w:tc>
          <w:tcPr>
            <w:tcW w:w="813" w:type="pct"/>
            <w:noWrap/>
          </w:tcPr>
          <w:p w14:paraId="1AA9C16F" w14:textId="77777777" w:rsidR="000D6A51" w:rsidRPr="00B269E3" w:rsidRDefault="000D6A51" w:rsidP="00630831">
            <w:pPr>
              <w:pStyle w:val="TableTextRight"/>
            </w:pPr>
            <w:r w:rsidRPr="00B269E3">
              <w:t xml:space="preserve">292 </w:t>
            </w:r>
          </w:p>
        </w:tc>
      </w:tr>
      <w:tr w:rsidR="000D6A51" w:rsidRPr="00AE665D" w14:paraId="792F0AD9" w14:textId="77777777" w:rsidTr="006A715B">
        <w:tc>
          <w:tcPr>
            <w:tcW w:w="3374" w:type="pct"/>
            <w:noWrap/>
          </w:tcPr>
          <w:p w14:paraId="1561642B" w14:textId="77777777" w:rsidR="000D6A51" w:rsidRDefault="000D6A51" w:rsidP="00630831">
            <w:pPr>
              <w:pStyle w:val="TableTextLeft"/>
              <w:rPr>
                <w:rStyle w:val="Strong"/>
              </w:rPr>
            </w:pPr>
            <w:r w:rsidRPr="00B269E3">
              <w:rPr>
                <w:b/>
                <w:bCs/>
              </w:rPr>
              <w:t>Less</w:t>
            </w:r>
            <w:r>
              <w:t xml:space="preserve">: </w:t>
            </w:r>
            <w:r w:rsidRPr="00A21195">
              <w:t>lease principal repayments</w:t>
            </w:r>
            <w:r>
              <w:t xml:space="preserve"> </w:t>
            </w:r>
          </w:p>
        </w:tc>
        <w:tc>
          <w:tcPr>
            <w:tcW w:w="813" w:type="pct"/>
            <w:shd w:val="clear" w:color="auto" w:fill="E7DCF7" w:themeFill="text2" w:themeFillTint="1A"/>
            <w:noWrap/>
          </w:tcPr>
          <w:p w14:paraId="544C7E57" w14:textId="77777777" w:rsidR="000D6A51" w:rsidRPr="00B269E3" w:rsidRDefault="000D6A51" w:rsidP="00630831">
            <w:pPr>
              <w:pStyle w:val="TableTextRight"/>
            </w:pPr>
            <w:r w:rsidRPr="00B269E3">
              <w:t>(265)</w:t>
            </w:r>
          </w:p>
        </w:tc>
        <w:tc>
          <w:tcPr>
            <w:tcW w:w="813" w:type="pct"/>
            <w:noWrap/>
          </w:tcPr>
          <w:p w14:paraId="1597BCB4" w14:textId="77777777" w:rsidR="000D6A51" w:rsidRPr="00B269E3" w:rsidRDefault="000D6A51" w:rsidP="00630831">
            <w:pPr>
              <w:pStyle w:val="TableTextRight"/>
            </w:pPr>
            <w:r w:rsidRPr="00B269E3">
              <w:t>(253)</w:t>
            </w:r>
          </w:p>
        </w:tc>
      </w:tr>
      <w:tr w:rsidR="000D6A51" w:rsidRPr="00AE665D" w14:paraId="63E58A47" w14:textId="77777777" w:rsidTr="006A715B">
        <w:tc>
          <w:tcPr>
            <w:tcW w:w="3374" w:type="pct"/>
            <w:noWrap/>
            <w:hideMark/>
          </w:tcPr>
          <w:p w14:paraId="1CC00F49" w14:textId="77777777" w:rsidR="000D6A51" w:rsidRPr="00B269E3" w:rsidRDefault="000D6A51" w:rsidP="00630831">
            <w:pPr>
              <w:pStyle w:val="TableTextLeft"/>
              <w:rPr>
                <w:b/>
                <w:bCs/>
              </w:rPr>
            </w:pPr>
            <w:r w:rsidRPr="00B269E3">
              <w:rPr>
                <w:b/>
                <w:bCs/>
              </w:rPr>
              <w:t>Net cash operating surplus</w:t>
            </w:r>
          </w:p>
        </w:tc>
        <w:tc>
          <w:tcPr>
            <w:tcW w:w="813" w:type="pct"/>
            <w:shd w:val="clear" w:color="auto" w:fill="E7DCF7" w:themeFill="text2" w:themeFillTint="1A"/>
            <w:noWrap/>
          </w:tcPr>
          <w:p w14:paraId="0F171F17" w14:textId="77777777" w:rsidR="000D6A51" w:rsidRPr="00B269E3" w:rsidRDefault="000D6A51" w:rsidP="00630831">
            <w:pPr>
              <w:pStyle w:val="TableTextRight"/>
              <w:rPr>
                <w:b/>
                <w:bCs/>
              </w:rPr>
            </w:pPr>
            <w:r w:rsidRPr="00B269E3">
              <w:rPr>
                <w:b/>
                <w:bCs/>
              </w:rPr>
              <w:t>83</w:t>
            </w:r>
          </w:p>
        </w:tc>
        <w:tc>
          <w:tcPr>
            <w:tcW w:w="813" w:type="pct"/>
            <w:noWrap/>
            <w:hideMark/>
          </w:tcPr>
          <w:p w14:paraId="05107858" w14:textId="77777777" w:rsidR="000D6A51" w:rsidRPr="00B269E3" w:rsidRDefault="000D6A51" w:rsidP="00630831">
            <w:pPr>
              <w:pStyle w:val="TableTextRight"/>
              <w:rPr>
                <w:b/>
                <w:bCs/>
              </w:rPr>
            </w:pPr>
            <w:r w:rsidRPr="00B269E3">
              <w:rPr>
                <w:b/>
                <w:bCs/>
              </w:rPr>
              <w:t>4,359</w:t>
            </w:r>
          </w:p>
        </w:tc>
      </w:tr>
    </w:tbl>
    <w:p w14:paraId="77F6BC7A" w14:textId="77777777" w:rsidR="000D6A51" w:rsidRPr="000D6A51" w:rsidRDefault="000D6A51" w:rsidP="000D6A51">
      <w:pPr>
        <w:pStyle w:val="ChartandTableFootnoteAlpha"/>
      </w:pPr>
      <w:r w:rsidRPr="001E4BD4">
        <w:t>1</w:t>
      </w:r>
      <w:r w:rsidRPr="001E4BD4">
        <w:tab/>
      </w:r>
      <w:r w:rsidRPr="000D6A51">
        <w:t>From 2010–11, the Australian Government introduced net cash appropriation arrangements where revenue appropriations for depreciation/amortisation expenses of non</w:t>
      </w:r>
      <w:r w:rsidRPr="000D6A51">
        <w:noBreakHyphen/>
        <w:t>corporate Commonwealth entities and selected corporate Commonwealth entities were replaced with a separate capital budget provided through equity appropriations. Capital budgets are to be appropriated in the period when cash payment for capital expenditure is required.</w:t>
      </w:r>
    </w:p>
    <w:p w14:paraId="4FA989BB" w14:textId="77777777" w:rsidR="000D6A51" w:rsidRPr="006534F5" w:rsidRDefault="000D6A51" w:rsidP="000D6A51">
      <w:pPr>
        <w:pStyle w:val="ChartandTableFootnoteAlpha"/>
      </w:pPr>
      <w:r w:rsidRPr="000D6A51">
        <w:t xml:space="preserve">2 </w:t>
      </w:r>
      <w:r w:rsidRPr="000D6A51">
        <w:tab/>
        <w:t>The inclusion of depreciation expenses related to ROU leased assets and the lease liability principal repayment amount reflects the impact of AASB16 Leases, which does not directly reflect a change in appropriation arrangements.</w:t>
      </w:r>
      <w:r w:rsidRPr="006534F5">
        <w:br w:type="page"/>
      </w:r>
    </w:p>
    <w:p w14:paraId="0A031C8A" w14:textId="77777777" w:rsidR="000D6A51" w:rsidRPr="006534F5" w:rsidRDefault="000D6A51" w:rsidP="000D6A51">
      <w:pPr>
        <w:pStyle w:val="Heading2"/>
      </w:pPr>
      <w:bookmarkStart w:id="1916" w:name="_Toc146112290"/>
      <w:bookmarkStart w:id="1917" w:name="_Toc207792957"/>
      <w:bookmarkStart w:id="1918" w:name="_Toc207793997"/>
      <w:bookmarkStart w:id="1919" w:name="_Toc207796169"/>
      <w:bookmarkStart w:id="1920" w:name="_Toc207797001"/>
      <w:bookmarkStart w:id="1921" w:name="_Toc207800304"/>
      <w:bookmarkStart w:id="1922" w:name="_Toc207810882"/>
      <w:bookmarkStart w:id="1923" w:name="_Toc208914162"/>
      <w:bookmarkStart w:id="1924" w:name="_Toc209424559"/>
      <w:r w:rsidRPr="006534F5">
        <w:lastRenderedPageBreak/>
        <w:t xml:space="preserve">Note </w:t>
      </w:r>
      <w:r>
        <w:t>I</w:t>
      </w:r>
      <w:r w:rsidRPr="006534F5">
        <w:t xml:space="preserve">: </w:t>
      </w:r>
      <w:r>
        <w:t xml:space="preserve">Departmental </w:t>
      </w:r>
      <w:bookmarkEnd w:id="1916"/>
      <w:r>
        <w:t>budget variances</w:t>
      </w:r>
      <w:bookmarkEnd w:id="1917"/>
      <w:bookmarkEnd w:id="1918"/>
      <w:bookmarkEnd w:id="1919"/>
      <w:bookmarkEnd w:id="1920"/>
      <w:bookmarkEnd w:id="1921"/>
      <w:bookmarkEnd w:id="1922"/>
      <w:bookmarkEnd w:id="1923"/>
      <w:bookmarkEnd w:id="1924"/>
    </w:p>
    <w:p w14:paraId="346A8944" w14:textId="77777777" w:rsidR="000D6A51" w:rsidRDefault="000D6A51" w:rsidP="000D6A51">
      <w:r w:rsidRPr="003C7137">
        <w:t xml:space="preserve">The </w:t>
      </w:r>
      <w:r>
        <w:t>following table provides explanations for significant variances between the AOFM’s original budget estimates, as published in the 2024</w:t>
      </w:r>
      <w:r w:rsidRPr="00B235A9">
        <w:t>–</w:t>
      </w:r>
      <w:r>
        <w:t>25 Portfolio Budget Statements, and the actual financial performance and position for the year. The budget is not audited.</w:t>
      </w:r>
    </w:p>
    <w:p w14:paraId="7620B2D7" w14:textId="77777777" w:rsidR="000D6A51" w:rsidRDefault="000D6A51" w:rsidP="000D6A51">
      <w:pPr>
        <w:pStyle w:val="NoSpacing"/>
      </w:pPr>
    </w:p>
    <w:tbl>
      <w:tblPr>
        <w:tblStyle w:val="AOFMTablemain"/>
        <w:tblW w:w="0" w:type="auto"/>
        <w:tblLook w:val="06A0" w:firstRow="1" w:lastRow="0" w:firstColumn="1" w:lastColumn="0" w:noHBand="1" w:noVBand="1"/>
      </w:tblPr>
      <w:tblGrid>
        <w:gridCol w:w="3841"/>
        <w:gridCol w:w="3839"/>
      </w:tblGrid>
      <w:tr w:rsidR="000D6A51" w:rsidRPr="00331E07" w14:paraId="6B5DC386" w14:textId="77777777" w:rsidTr="000D6A51">
        <w:trPr>
          <w:cnfStyle w:val="100000000000" w:firstRow="1" w:lastRow="0" w:firstColumn="0" w:lastColumn="0" w:oddVBand="0" w:evenVBand="0" w:oddHBand="0" w:evenHBand="0" w:firstRowFirstColumn="0" w:firstRowLastColumn="0" w:lastRowFirstColumn="0" w:lastRowLastColumn="0"/>
        </w:trPr>
        <w:tc>
          <w:tcPr>
            <w:tcW w:w="3841" w:type="dxa"/>
          </w:tcPr>
          <w:p w14:paraId="5F79EAB3" w14:textId="77777777" w:rsidR="000D6A51" w:rsidRPr="00331E07" w:rsidRDefault="000D6A51" w:rsidP="00630831">
            <w:pPr>
              <w:pStyle w:val="TableColumnHeadingLeft"/>
            </w:pPr>
            <w:r w:rsidRPr="00331E07">
              <w:t>Explanations of major variances</w:t>
            </w:r>
          </w:p>
        </w:tc>
        <w:tc>
          <w:tcPr>
            <w:tcW w:w="3839" w:type="dxa"/>
          </w:tcPr>
          <w:p w14:paraId="632DB3F6" w14:textId="77777777" w:rsidR="000D6A51" w:rsidRPr="00331E07" w:rsidRDefault="000D6A51" w:rsidP="00630831">
            <w:pPr>
              <w:pStyle w:val="TableColumnHeadingLeft"/>
            </w:pPr>
            <w:r w:rsidRPr="00331E07">
              <w:t>Affected line items</w:t>
            </w:r>
          </w:p>
        </w:tc>
      </w:tr>
      <w:tr w:rsidR="000D6A51" w:rsidRPr="00331E07" w14:paraId="577778E7" w14:textId="77777777" w:rsidTr="000D6A51">
        <w:tc>
          <w:tcPr>
            <w:tcW w:w="3841" w:type="dxa"/>
          </w:tcPr>
          <w:p w14:paraId="0722DFBF" w14:textId="77777777" w:rsidR="000D6A51" w:rsidRPr="00331E07" w:rsidRDefault="000D6A51" w:rsidP="00630831">
            <w:pPr>
              <w:pStyle w:val="TableTextLeft"/>
            </w:pPr>
            <w:r w:rsidRPr="00331E07">
              <w:t>Employee expenses were $0.8</w:t>
            </w:r>
            <w:r>
              <w:t> </w:t>
            </w:r>
            <w:r w:rsidRPr="00331E07">
              <w:t>million higher than forecast at the 2024</w:t>
            </w:r>
            <w:r w:rsidRPr="00B235A9">
              <w:t>–</w:t>
            </w:r>
            <w:r w:rsidRPr="00331E07">
              <w:t>25 Budget due to higher than anticipated staff termination costs.</w:t>
            </w:r>
          </w:p>
        </w:tc>
        <w:tc>
          <w:tcPr>
            <w:tcW w:w="3839" w:type="dxa"/>
          </w:tcPr>
          <w:p w14:paraId="5FEE63CC" w14:textId="77777777" w:rsidR="000D6A51" w:rsidRPr="00331E07" w:rsidRDefault="000D6A51" w:rsidP="00630831">
            <w:pPr>
              <w:pStyle w:val="TableTextLeft"/>
            </w:pPr>
            <w:r w:rsidRPr="00331E07">
              <w:t>Employee benefits – Departmental statement of comprehensive income</w:t>
            </w:r>
          </w:p>
        </w:tc>
      </w:tr>
      <w:tr w:rsidR="000D6A51" w:rsidRPr="00331E07" w14:paraId="47925B46" w14:textId="77777777" w:rsidTr="000D6A51">
        <w:tc>
          <w:tcPr>
            <w:tcW w:w="3841" w:type="dxa"/>
          </w:tcPr>
          <w:p w14:paraId="1D66100F" w14:textId="77777777" w:rsidR="000D6A51" w:rsidRPr="00331E07" w:rsidRDefault="000D6A51" w:rsidP="00630831">
            <w:pPr>
              <w:pStyle w:val="TableTextLeft"/>
            </w:pPr>
            <w:r w:rsidRPr="00331E07">
              <w:t>Supplier expenses were $0.7</w:t>
            </w:r>
            <w:r>
              <w:t> </w:t>
            </w:r>
            <w:r w:rsidRPr="00331E07">
              <w:t>million less than forecast at the 2024</w:t>
            </w:r>
            <w:r w:rsidRPr="00B235A9">
              <w:t>–</w:t>
            </w:r>
            <w:r w:rsidRPr="00331E07">
              <w:t>25 Budget due to the reclassification of expenses related to the management of the ABSF and SFSF investments as administered expenses.</w:t>
            </w:r>
          </w:p>
        </w:tc>
        <w:tc>
          <w:tcPr>
            <w:tcW w:w="3839" w:type="dxa"/>
          </w:tcPr>
          <w:p w14:paraId="6F82D6A1" w14:textId="77777777" w:rsidR="000D6A51" w:rsidRPr="00331E07" w:rsidRDefault="000D6A51" w:rsidP="00630831">
            <w:pPr>
              <w:pStyle w:val="TableTextLeft"/>
            </w:pPr>
            <w:r w:rsidRPr="00331E07">
              <w:t>Supplier expenses – Departmental statement of comprehensive income</w:t>
            </w:r>
          </w:p>
          <w:p w14:paraId="0970CDC3" w14:textId="77777777" w:rsidR="000D6A51" w:rsidRPr="00331E07" w:rsidRDefault="000D6A51" w:rsidP="00630831">
            <w:pPr>
              <w:pStyle w:val="TableTextLeft"/>
            </w:pPr>
            <w:r w:rsidRPr="00331E07">
              <w:t>Supplier prepayments – Departmental statement of financial position</w:t>
            </w:r>
          </w:p>
        </w:tc>
      </w:tr>
      <w:tr w:rsidR="000D6A51" w:rsidRPr="00331E07" w14:paraId="2F018303" w14:textId="77777777" w:rsidTr="000D6A51">
        <w:tc>
          <w:tcPr>
            <w:tcW w:w="3841" w:type="dxa"/>
          </w:tcPr>
          <w:p w14:paraId="54C4776D" w14:textId="77777777" w:rsidR="000D6A51" w:rsidRPr="00331E07" w:rsidRDefault="000D6A51" w:rsidP="00630831">
            <w:pPr>
              <w:pStyle w:val="TableTextLeft"/>
            </w:pPr>
            <w:r w:rsidRPr="00331E07">
              <w:t>Salary and superannuation liabilities were $0.6</w:t>
            </w:r>
            <w:r>
              <w:t> </w:t>
            </w:r>
            <w:r w:rsidRPr="00331E07">
              <w:t>million less than forecast at the 2024</w:t>
            </w:r>
            <w:r w:rsidRPr="00B86841">
              <w:t>–</w:t>
            </w:r>
            <w:r w:rsidRPr="00331E07">
              <w:t>25 Budget due to payments being made closer to 30</w:t>
            </w:r>
            <w:r>
              <w:t> </w:t>
            </w:r>
            <w:r w:rsidRPr="00331E07">
              <w:t xml:space="preserve">June resulting in unpaid liabilities being lower than assumed in the budget. </w:t>
            </w:r>
          </w:p>
        </w:tc>
        <w:tc>
          <w:tcPr>
            <w:tcW w:w="3839" w:type="dxa"/>
          </w:tcPr>
          <w:p w14:paraId="10267920" w14:textId="77777777" w:rsidR="000D6A51" w:rsidRPr="00331E07" w:rsidRDefault="000D6A51" w:rsidP="00630831">
            <w:pPr>
              <w:pStyle w:val="TableTextLeft"/>
            </w:pPr>
            <w:r w:rsidRPr="00331E07">
              <w:t>Salary and superannuation liabilities – Departmental statement of financial position</w:t>
            </w:r>
          </w:p>
        </w:tc>
      </w:tr>
    </w:tbl>
    <w:p w14:paraId="680BE161" w14:textId="77777777" w:rsidR="000D6A51" w:rsidRPr="006534F5" w:rsidRDefault="000D6A51" w:rsidP="000D6A51">
      <w:pPr>
        <w:keepLines/>
        <w:spacing w:after="0" w:line="240" w:lineRule="auto"/>
      </w:pPr>
      <w:r w:rsidRPr="006534F5">
        <w:br w:type="page"/>
      </w:r>
    </w:p>
    <w:p w14:paraId="4A3AFB1F" w14:textId="77777777" w:rsidR="008A6ADC" w:rsidRDefault="008A6ADC" w:rsidP="008A6ADC">
      <w:pPr>
        <w:pStyle w:val="Heading1"/>
      </w:pPr>
      <w:bookmarkStart w:id="1925" w:name="_Toc204874169"/>
      <w:bookmarkStart w:id="1926" w:name="_Toc207792958"/>
      <w:bookmarkStart w:id="1927" w:name="_Toc207793998"/>
      <w:bookmarkStart w:id="1928" w:name="_Toc207796170"/>
      <w:bookmarkStart w:id="1929" w:name="_Toc207797002"/>
      <w:bookmarkStart w:id="1930" w:name="_Toc207797314"/>
      <w:bookmarkStart w:id="1931" w:name="_Toc207800305"/>
      <w:bookmarkStart w:id="1932" w:name="_Toc207810883"/>
      <w:bookmarkStart w:id="1933" w:name="_Toc208913989"/>
      <w:bookmarkStart w:id="1934" w:name="_Toc208914163"/>
      <w:bookmarkStart w:id="1935" w:name="_Toc209424560"/>
      <w:bookmarkStart w:id="1936" w:name="_Toc209424607"/>
      <w:r>
        <w:lastRenderedPageBreak/>
        <w:t>Overview</w:t>
      </w:r>
      <w:bookmarkStart w:id="1937" w:name="_Toc146112292"/>
      <w:bookmarkEnd w:id="1925"/>
      <w:bookmarkEnd w:id="1926"/>
      <w:bookmarkEnd w:id="1927"/>
      <w:bookmarkEnd w:id="1928"/>
      <w:bookmarkEnd w:id="1929"/>
      <w:bookmarkEnd w:id="1930"/>
      <w:bookmarkEnd w:id="1931"/>
      <w:bookmarkEnd w:id="1932"/>
      <w:bookmarkEnd w:id="1933"/>
      <w:bookmarkEnd w:id="1934"/>
      <w:bookmarkEnd w:id="1935"/>
      <w:bookmarkEnd w:id="1936"/>
    </w:p>
    <w:p w14:paraId="53C0BC1D" w14:textId="77777777" w:rsidR="008A6ADC" w:rsidRDefault="008A6ADC" w:rsidP="008A6ADC">
      <w:pPr>
        <w:rPr>
          <w:i/>
        </w:rPr>
      </w:pPr>
      <w:r>
        <w:t>The AOFM is an Australian Government controlled, not</w:t>
      </w:r>
      <w:r>
        <w:noBreakHyphen/>
        <w:t>for</w:t>
      </w:r>
      <w:r>
        <w:noBreakHyphen/>
        <w:t xml:space="preserve">profit entity. The AOFM is a listed entity under the </w:t>
      </w:r>
      <w:r w:rsidRPr="00A90388">
        <w:rPr>
          <w:i/>
        </w:rPr>
        <w:t>Public Governance, Performance and Accountability Rule 201</w:t>
      </w:r>
      <w:r>
        <w:rPr>
          <w:i/>
        </w:rPr>
        <w:t xml:space="preserve">4. </w:t>
      </w:r>
    </w:p>
    <w:p w14:paraId="23FD74EF" w14:textId="77777777" w:rsidR="008A6ADC" w:rsidRDefault="008A6ADC" w:rsidP="008A6ADC">
      <w:r>
        <w:t>The outcome of the AOFM is t</w:t>
      </w:r>
      <w:r w:rsidRPr="0038258E">
        <w:t>he advancement of macroeconomic growth and stability, and the effective operation of financial markets, through issuing debt, investing in financial assets and managing debt, investments and cash for the Australian Government</w:t>
      </w:r>
      <w:r>
        <w:t xml:space="preserve">. The AOFM is structured to achieve this outcome. </w:t>
      </w:r>
    </w:p>
    <w:p w14:paraId="4D7BCAD7" w14:textId="77777777" w:rsidR="008A6ADC" w:rsidRDefault="008A6ADC" w:rsidP="008A6ADC">
      <w:r>
        <w:t>The continued existence of the AOFM in its present form and with its present program is dependent on Government policy and on continuing funding by Parliament for the AOFM’s administration and activities.</w:t>
      </w:r>
    </w:p>
    <w:p w14:paraId="21218807" w14:textId="77777777" w:rsidR="008A6ADC" w:rsidRPr="000F7B37" w:rsidRDefault="008A6ADC" w:rsidP="008A6ADC">
      <w:r w:rsidRPr="005620E2">
        <w:t>Entity activities contributing toward the outcome are classified as either departmental or administered.</w:t>
      </w:r>
      <w:r>
        <w:t xml:space="preserve"> </w:t>
      </w:r>
      <w:r w:rsidRPr="005620E2">
        <w:t xml:space="preserve">Departmental activities involve the use of assets, liabilities, income and expenses controlled or incurred by the </w:t>
      </w:r>
      <w:proofErr w:type="gramStart"/>
      <w:r w:rsidRPr="005620E2">
        <w:t>entity</w:t>
      </w:r>
      <w:r>
        <w:t xml:space="preserve"> </w:t>
      </w:r>
      <w:r w:rsidRPr="005620E2">
        <w:t>in its own right</w:t>
      </w:r>
      <w:proofErr w:type="gramEnd"/>
      <w:r w:rsidRPr="005620E2">
        <w:t>. Administered activities involve the management or oversight by the entity, on behalf of the</w:t>
      </w:r>
      <w:r>
        <w:t xml:space="preserve"> </w:t>
      </w:r>
      <w:r w:rsidRPr="005620E2">
        <w:t>Government, of items controlled or incurred by the Government.</w:t>
      </w:r>
    </w:p>
    <w:p w14:paraId="1E6C39EE" w14:textId="77777777" w:rsidR="008A6ADC" w:rsidRPr="008F0E39" w:rsidRDefault="008A6ADC" w:rsidP="008A6ADC">
      <w:pPr>
        <w:pStyle w:val="Heading2"/>
      </w:pPr>
      <w:bookmarkStart w:id="1938" w:name="_Toc207792959"/>
      <w:bookmarkStart w:id="1939" w:name="_Toc207793999"/>
      <w:bookmarkStart w:id="1940" w:name="_Toc207796171"/>
      <w:bookmarkStart w:id="1941" w:name="_Toc207797003"/>
      <w:bookmarkStart w:id="1942" w:name="_Toc207800306"/>
      <w:bookmarkStart w:id="1943" w:name="_Toc207810884"/>
      <w:bookmarkStart w:id="1944" w:name="_Toc208914164"/>
      <w:bookmarkStart w:id="1945" w:name="_Toc209424561"/>
      <w:r w:rsidRPr="008F0E39">
        <w:t>Basis of preparation of the financial statements</w:t>
      </w:r>
      <w:bookmarkEnd w:id="1937"/>
      <w:bookmarkEnd w:id="1938"/>
      <w:bookmarkEnd w:id="1939"/>
      <w:bookmarkEnd w:id="1940"/>
      <w:bookmarkEnd w:id="1941"/>
      <w:bookmarkEnd w:id="1942"/>
      <w:bookmarkEnd w:id="1943"/>
      <w:bookmarkEnd w:id="1944"/>
      <w:bookmarkEnd w:id="1945"/>
    </w:p>
    <w:p w14:paraId="38F71A95" w14:textId="77777777" w:rsidR="008A6ADC" w:rsidRPr="00F0720A" w:rsidRDefault="008A6ADC" w:rsidP="008A6ADC">
      <w:pPr>
        <w:rPr>
          <w:i/>
        </w:rPr>
      </w:pPr>
      <w:r>
        <w:t xml:space="preserve">The financial statements are general purpose financial statements and are required by </w:t>
      </w:r>
      <w:r w:rsidRPr="00F0720A">
        <w:t>section 42 of the</w:t>
      </w:r>
      <w:r w:rsidRPr="00F0720A">
        <w:rPr>
          <w:i/>
          <w:iCs/>
        </w:rPr>
        <w:t xml:space="preserve"> </w:t>
      </w:r>
      <w:r w:rsidRPr="00F0720A">
        <w:rPr>
          <w:i/>
        </w:rPr>
        <w:t>Public Governance, Performance and Accountability Act 2013</w:t>
      </w:r>
      <w:r>
        <w:rPr>
          <w:i/>
        </w:rPr>
        <w:t>.</w:t>
      </w:r>
    </w:p>
    <w:p w14:paraId="7AC385AA" w14:textId="77777777" w:rsidR="008A6ADC" w:rsidRDefault="008A6ADC" w:rsidP="008A6ADC">
      <w:r w:rsidRPr="00F0720A">
        <w:t xml:space="preserve">The financial statements have been prepared </w:t>
      </w:r>
      <w:r>
        <w:t>in accordance with:</w:t>
      </w:r>
    </w:p>
    <w:p w14:paraId="39EBCC29" w14:textId="77777777" w:rsidR="008A6ADC" w:rsidRPr="00A05DE4" w:rsidRDefault="008A6ADC" w:rsidP="008A6ADC">
      <w:pPr>
        <w:pStyle w:val="OutlineNumbered1"/>
      </w:pPr>
      <w:r w:rsidRPr="00F0720A">
        <w:t>Public Governance, Performance and Accountability</w:t>
      </w:r>
      <w:r>
        <w:t xml:space="preserve"> (Financial Reporting) Rule 2015 </w:t>
      </w:r>
      <w:r>
        <w:rPr>
          <w:iCs/>
        </w:rPr>
        <w:t>(FRR); and</w:t>
      </w:r>
    </w:p>
    <w:p w14:paraId="26040F0C" w14:textId="77777777" w:rsidR="008A6ADC" w:rsidRPr="000F7B37" w:rsidRDefault="008A6ADC" w:rsidP="008A6ADC">
      <w:pPr>
        <w:pStyle w:val="OutlineNumbered1"/>
      </w:pPr>
      <w:r w:rsidRPr="00BC3886">
        <w:rPr>
          <w:iCs/>
        </w:rPr>
        <w:t>Australian Accounting Standards and Interpretations issued by the Australian Accounting Standards Board (AASB)</w:t>
      </w:r>
      <w:r>
        <w:rPr>
          <w:iCs/>
        </w:rPr>
        <w:t xml:space="preserve"> that apply for the reporting period.</w:t>
      </w:r>
    </w:p>
    <w:p w14:paraId="04C20426" w14:textId="77777777" w:rsidR="008A6ADC" w:rsidRDefault="008A6ADC" w:rsidP="008A6ADC">
      <w:pPr>
        <w:rPr>
          <w:iCs/>
        </w:rPr>
      </w:pPr>
      <w:r>
        <w:rPr>
          <w:iCs/>
        </w:rPr>
        <w:t xml:space="preserve">The financial statements have been prepared on an accrual basis and in accordance with the historical cost convention, except for certain assets and liabilities at fair value or on a discounted cash flow basis. Except, where stated, no allowance is made for the effect of changing prices on the results or the financial position. The financial statements are presented in Australian dollars. </w:t>
      </w:r>
    </w:p>
    <w:p w14:paraId="2225CF8B" w14:textId="77777777" w:rsidR="008A6ADC" w:rsidRPr="006534F5" w:rsidRDefault="008A6ADC" w:rsidP="008A6ADC">
      <w:pPr>
        <w:pStyle w:val="Heading3"/>
      </w:pPr>
      <w:bookmarkStart w:id="1946" w:name="_Toc207796172"/>
      <w:bookmarkStart w:id="1947" w:name="_Toc146112293"/>
      <w:r w:rsidRPr="006534F5">
        <w:lastRenderedPageBreak/>
        <w:t>New Australian Accounting Standards</w:t>
      </w:r>
      <w:bookmarkEnd w:id="1946"/>
      <w:r w:rsidRPr="006534F5">
        <w:t xml:space="preserve"> </w:t>
      </w:r>
      <w:bookmarkEnd w:id="1947"/>
    </w:p>
    <w:p w14:paraId="1F97C1A5" w14:textId="77777777" w:rsidR="008A6ADC" w:rsidRDefault="008A6ADC" w:rsidP="008A6ADC">
      <w:r>
        <w:t>D</w:t>
      </w:r>
      <w:r w:rsidRPr="00A90388">
        <w:t>uring 202</w:t>
      </w:r>
      <w:r>
        <w:t>4</w:t>
      </w:r>
      <w:r w:rsidRPr="00B86841">
        <w:t>–</w:t>
      </w:r>
      <w:r>
        <w:t>25</w:t>
      </w:r>
      <w:r w:rsidRPr="00A90388">
        <w:t xml:space="preserve"> the AOFM adopted all applicable Australian Accounting Standards that became effective during the reporting period. These did not have a material impact on the AOFM</w:t>
      </w:r>
      <w:r>
        <w:t>’</w:t>
      </w:r>
      <w:r w:rsidRPr="00A90388">
        <w:t>s accounts.</w:t>
      </w:r>
    </w:p>
    <w:p w14:paraId="46F20BAE" w14:textId="77777777" w:rsidR="004F6168" w:rsidRDefault="004F6168" w:rsidP="004F6168">
      <w:pPr>
        <w:pStyle w:val="Heading3"/>
      </w:pPr>
      <w:bookmarkStart w:id="1948" w:name="_Toc207796173"/>
      <w:r w:rsidRPr="00BC5A4B">
        <w:t>Taxation</w:t>
      </w:r>
      <w:bookmarkEnd w:id="1948"/>
    </w:p>
    <w:p w14:paraId="4EB6E8E7" w14:textId="77777777" w:rsidR="004F6168" w:rsidRDefault="004F6168" w:rsidP="004F6168">
      <w:r>
        <w:t xml:space="preserve">The </w:t>
      </w:r>
      <w:r w:rsidRPr="0043171C">
        <w:t>AOFM is exempt from all forms of taxation except Fringe Benefits Tax (FBT) and Goods and Services Tax (GST).</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4F6168" w14:paraId="2660EAF7" w14:textId="77777777" w:rsidTr="00630831">
        <w:tc>
          <w:tcPr>
            <w:tcW w:w="7700" w:type="dxa"/>
            <w:tcBorders>
              <w:bottom w:val="single" w:sz="24" w:space="0" w:color="472978" w:themeColor="accent1"/>
            </w:tcBorders>
            <w:shd w:val="clear" w:color="auto" w:fill="E7DCF7" w:themeFill="text2" w:themeFillTint="1A"/>
          </w:tcPr>
          <w:p w14:paraId="5A11C5D3" w14:textId="77777777" w:rsidR="004F6168" w:rsidRPr="00A25E4D" w:rsidRDefault="004F6168" w:rsidP="00630831">
            <w:pPr>
              <w:pStyle w:val="Boxheading"/>
            </w:pPr>
            <w:r w:rsidRPr="00A25E4D">
              <w:t>Reporting of administered activities</w:t>
            </w:r>
          </w:p>
          <w:p w14:paraId="76DF1CAC" w14:textId="77777777" w:rsidR="004F6168" w:rsidRPr="00A25E4D" w:rsidRDefault="004F6168" w:rsidP="00630831">
            <w:pPr>
              <w:pStyle w:val="BoxText"/>
            </w:pPr>
            <w:r w:rsidRPr="00A25E4D">
              <w:t>Administered revenue, expenses, assets, liabilities and cash flows are disclosed in the administered schedules and related notes.</w:t>
            </w:r>
          </w:p>
          <w:p w14:paraId="685BD756" w14:textId="77777777" w:rsidR="004F6168" w:rsidRPr="006574CB" w:rsidRDefault="004F6168" w:rsidP="00630831">
            <w:pPr>
              <w:pStyle w:val="BoxText"/>
            </w:pPr>
            <w:r w:rsidRPr="00A25E4D">
              <w:t>Except where otherwise stated, administered items are accounted for on the same basis and using the same policies as for departmental items, including the application of Australian Accounting Standards.</w:t>
            </w:r>
          </w:p>
        </w:tc>
      </w:tr>
    </w:tbl>
    <w:p w14:paraId="6F22CEB5" w14:textId="77777777" w:rsidR="004F6168" w:rsidRPr="00F96003" w:rsidRDefault="004F6168" w:rsidP="004F6168">
      <w:pPr>
        <w:pStyle w:val="Heading3"/>
      </w:pPr>
      <w:bookmarkStart w:id="1949" w:name="_Toc146112295"/>
      <w:bookmarkStart w:id="1950" w:name="_Toc207796174"/>
      <w:r w:rsidRPr="00F96003">
        <w:t xml:space="preserve">Events </w:t>
      </w:r>
      <w:r>
        <w:t>a</w:t>
      </w:r>
      <w:r w:rsidRPr="00F96003">
        <w:t xml:space="preserve">fter the </w:t>
      </w:r>
      <w:bookmarkEnd w:id="1949"/>
      <w:r>
        <w:t>r</w:t>
      </w:r>
      <w:r w:rsidRPr="00F96003">
        <w:t xml:space="preserve">eporting </w:t>
      </w:r>
      <w:r>
        <w:t>p</w:t>
      </w:r>
      <w:r w:rsidRPr="00F96003">
        <w:t>eriod</w:t>
      </w:r>
      <w:bookmarkEnd w:id="1950"/>
    </w:p>
    <w:p w14:paraId="2560F2D0" w14:textId="77777777" w:rsidR="004F6168" w:rsidRPr="003C4774" w:rsidRDefault="004F6168" w:rsidP="004F6168">
      <w:pPr>
        <w:pStyle w:val="Heading4"/>
      </w:pPr>
      <w:r w:rsidRPr="003C4774">
        <w:t>Departmental</w:t>
      </w:r>
    </w:p>
    <w:p w14:paraId="134FCF2F" w14:textId="77777777" w:rsidR="004F6168" w:rsidRDefault="004F6168" w:rsidP="004F6168">
      <w:r>
        <w:t>There were no events occurring after 30 June 2025 that would have a material impact on the departmental financial statements.</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4F6168" w14:paraId="457BA97F" w14:textId="77777777" w:rsidTr="00630831">
        <w:tc>
          <w:tcPr>
            <w:tcW w:w="7700" w:type="dxa"/>
            <w:tcBorders>
              <w:bottom w:val="single" w:sz="24" w:space="0" w:color="472978" w:themeColor="accent1"/>
            </w:tcBorders>
            <w:shd w:val="clear" w:color="auto" w:fill="E7DCF7" w:themeFill="text2" w:themeFillTint="1A"/>
          </w:tcPr>
          <w:p w14:paraId="77CC0BB2" w14:textId="77777777" w:rsidR="004F6168" w:rsidRPr="00A25E4D" w:rsidRDefault="004F6168" w:rsidP="00630831">
            <w:pPr>
              <w:pStyle w:val="Boxheading"/>
            </w:pPr>
            <w:r w:rsidRPr="00A25E4D">
              <w:t>Administered</w:t>
            </w:r>
          </w:p>
          <w:p w14:paraId="69E9B2C2" w14:textId="77777777" w:rsidR="004F6168" w:rsidRPr="006574CB" w:rsidRDefault="004F6168" w:rsidP="00630831">
            <w:pPr>
              <w:pStyle w:val="BoxText"/>
            </w:pPr>
            <w:r w:rsidRPr="006F73E7">
              <w:t>There were no events occurring after 30 June 2025 that would have a material impact on the administered financial statements.</w:t>
            </w:r>
          </w:p>
        </w:tc>
      </w:tr>
    </w:tbl>
    <w:p w14:paraId="342251FE" w14:textId="77777777" w:rsidR="004F6168" w:rsidRDefault="004F6168" w:rsidP="004F6168"/>
    <w:p w14:paraId="23B0437C" w14:textId="77777777" w:rsidR="004F6168" w:rsidRDefault="004F6168" w:rsidP="004F6168">
      <w:r>
        <w:br w:type="page"/>
      </w:r>
    </w:p>
    <w:p w14:paraId="6EF51B98" w14:textId="77777777" w:rsidR="004F6168" w:rsidRDefault="004F6168" w:rsidP="004F6168">
      <w:pPr>
        <w:pStyle w:val="Heading2"/>
      </w:pPr>
      <w:bookmarkStart w:id="1951" w:name="_Toc207792960"/>
      <w:bookmarkStart w:id="1952" w:name="_Toc207794000"/>
      <w:bookmarkStart w:id="1953" w:name="_Toc207796175"/>
      <w:bookmarkStart w:id="1954" w:name="_Toc207797004"/>
      <w:bookmarkStart w:id="1955" w:name="_Toc207800307"/>
      <w:bookmarkStart w:id="1956" w:name="_Toc207810885"/>
      <w:bookmarkStart w:id="1957" w:name="_Toc208914165"/>
      <w:bookmarkStart w:id="1958" w:name="_Toc209424562"/>
      <w:r>
        <w:lastRenderedPageBreak/>
        <w:t>Managing uncertainties</w:t>
      </w:r>
      <w:bookmarkEnd w:id="1951"/>
      <w:bookmarkEnd w:id="1952"/>
      <w:bookmarkEnd w:id="1953"/>
      <w:bookmarkEnd w:id="1954"/>
      <w:bookmarkEnd w:id="1955"/>
      <w:bookmarkEnd w:id="1956"/>
      <w:bookmarkEnd w:id="1957"/>
      <w:bookmarkEnd w:id="1958"/>
    </w:p>
    <w:p w14:paraId="4C308962" w14:textId="77777777" w:rsidR="004F6168" w:rsidRPr="003B046E" w:rsidRDefault="004F6168" w:rsidP="004F6168">
      <w:pPr>
        <w:pStyle w:val="Heading3"/>
      </w:pPr>
      <w:bookmarkStart w:id="1959" w:name="_Toc207796176"/>
      <w:r>
        <w:t>Contingent assets and liabilities</w:t>
      </w:r>
      <w:bookmarkEnd w:id="1959"/>
    </w:p>
    <w:p w14:paraId="7D13557B" w14:textId="77777777" w:rsidR="004F6168" w:rsidRDefault="004F6168" w:rsidP="004F6168">
      <w:proofErr w:type="gramStart"/>
      <w:r w:rsidRPr="004D18F8">
        <w:t>At</w:t>
      </w:r>
      <w:proofErr w:type="gramEnd"/>
      <w:r w:rsidRPr="004D18F8">
        <w:t xml:space="preserve"> 30 June 2025, the AOFM had no departmental contingent assets or liabilities (2024: </w:t>
      </w:r>
      <w:r>
        <w:t>‍</w:t>
      </w:r>
      <w:r w:rsidRPr="004D18F8">
        <w:t>nil).</w:t>
      </w:r>
    </w:p>
    <w:tbl>
      <w:tblPr>
        <w:tblW w:w="0" w:type="auto"/>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00"/>
      </w:tblGrid>
      <w:tr w:rsidR="004F6168" w14:paraId="05FE7EDF" w14:textId="77777777" w:rsidTr="00630831">
        <w:tc>
          <w:tcPr>
            <w:tcW w:w="7700" w:type="dxa"/>
            <w:tcBorders>
              <w:bottom w:val="single" w:sz="24" w:space="0" w:color="472978" w:themeColor="accent1"/>
            </w:tcBorders>
            <w:shd w:val="clear" w:color="auto" w:fill="E7DCF7" w:themeFill="text2" w:themeFillTint="1A"/>
          </w:tcPr>
          <w:p w14:paraId="69C34A90" w14:textId="77777777" w:rsidR="004F6168" w:rsidRDefault="004F6168" w:rsidP="00630831">
            <w:pPr>
              <w:pStyle w:val="Boxheading"/>
            </w:pPr>
            <w:r>
              <w:t xml:space="preserve">Accounting Policy </w:t>
            </w:r>
          </w:p>
          <w:p w14:paraId="04107253" w14:textId="77777777" w:rsidR="004F6168" w:rsidRPr="006574CB" w:rsidRDefault="004F6168" w:rsidP="00630831">
            <w:pPr>
              <w:pStyle w:val="BoxText"/>
            </w:pPr>
            <w:r>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tc>
      </w:tr>
    </w:tbl>
    <w:p w14:paraId="0F55E4A4" w14:textId="77777777" w:rsidR="004F6168" w:rsidRDefault="004F6168" w:rsidP="004F6168">
      <w:pPr>
        <w:pStyle w:val="Heading2"/>
      </w:pPr>
      <w:bookmarkStart w:id="1960" w:name="_Toc204874170"/>
      <w:bookmarkStart w:id="1961" w:name="_Toc207792961"/>
      <w:bookmarkStart w:id="1962" w:name="_Toc207794001"/>
      <w:bookmarkStart w:id="1963" w:name="_Toc207796177"/>
      <w:bookmarkStart w:id="1964" w:name="_Toc207797005"/>
      <w:bookmarkStart w:id="1965" w:name="_Toc207800308"/>
      <w:bookmarkStart w:id="1966" w:name="_Toc207810886"/>
      <w:bookmarkStart w:id="1967" w:name="_Toc208914166"/>
      <w:bookmarkStart w:id="1968" w:name="_Toc209424563"/>
      <w:r>
        <w:t>Litigation – Kathleen O’Donnell V Commonwealth of Australia and Others</w:t>
      </w:r>
      <w:bookmarkEnd w:id="1960"/>
      <w:bookmarkEnd w:id="1961"/>
      <w:bookmarkEnd w:id="1962"/>
      <w:bookmarkEnd w:id="1963"/>
      <w:bookmarkEnd w:id="1964"/>
      <w:bookmarkEnd w:id="1965"/>
      <w:bookmarkEnd w:id="1966"/>
      <w:bookmarkEnd w:id="1967"/>
      <w:bookmarkEnd w:id="1968"/>
    </w:p>
    <w:p w14:paraId="6D3120D2" w14:textId="177C5E8A" w:rsidR="004F6168" w:rsidRPr="000E4E33" w:rsidRDefault="004F6168" w:rsidP="004F6168">
      <w:r w:rsidRPr="000E4E33">
        <w:t>On 22 July 2020 the Applicant lodged in the Federal Court of Australia (FCA) proceedings against the Commonwealth, the Secretary to the Treasury and the Chief</w:t>
      </w:r>
      <w:r w:rsidR="00ED4FA6">
        <w:t> </w:t>
      </w:r>
      <w:r w:rsidRPr="000E4E33">
        <w:t>Executive of the AOFM for failure of fiduciary duties, failure of duties of care, and</w:t>
      </w:r>
      <w:r w:rsidR="00ED4FA6">
        <w:t> </w:t>
      </w:r>
      <w:r w:rsidRPr="000E4E33">
        <w:t xml:space="preserve">breaches of the </w:t>
      </w:r>
      <w:r w:rsidRPr="000E4E33">
        <w:rPr>
          <w:i/>
          <w:iCs/>
        </w:rPr>
        <w:t>Australian Securities and Investments Commission Act 2001</w:t>
      </w:r>
      <w:r w:rsidRPr="000E4E33">
        <w:t xml:space="preserve"> (ASIC Act), for not disclosing climate change risks in retail investor product disclosure documents for Australian Government Bonds. The Applicant lodged the pleadings as a class action. The Applicant was seeking injunctive relief only.</w:t>
      </w:r>
    </w:p>
    <w:p w14:paraId="10C50FCE" w14:textId="77777777" w:rsidR="004F6168" w:rsidRDefault="004F6168" w:rsidP="004F6168">
      <w:r w:rsidRPr="000E4E33">
        <w:t>On 11 October 2023, the parties agreed that the Applicant w</w:t>
      </w:r>
      <w:r>
        <w:t>ould</w:t>
      </w:r>
      <w:r w:rsidRPr="000E4E33">
        <w:t xml:space="preserve"> discontinue the proceedings with no order as to costs. As part of the non</w:t>
      </w:r>
      <w:r>
        <w:noBreakHyphen/>
      </w:r>
      <w:r w:rsidRPr="000E4E33">
        <w:t>monetary settlement, the parties agreed to make a public statement on the matter. The statement was published on the Treasury website on 16 October 2023. It was also published on the website of the Applicant</w:t>
      </w:r>
      <w:r>
        <w:t>’</w:t>
      </w:r>
      <w:r w:rsidRPr="000E4E33">
        <w:t>s lawyers, Equity Generation Lawyers.</w:t>
      </w:r>
    </w:p>
    <w:p w14:paraId="72FBFA85" w14:textId="77777777" w:rsidR="004F6168" w:rsidRDefault="004F6168" w:rsidP="004F6168">
      <w:pPr>
        <w:spacing w:after="0" w:line="240" w:lineRule="auto"/>
      </w:pPr>
      <w:r>
        <w:br w:type="page"/>
      </w:r>
    </w:p>
    <w:p w14:paraId="5B76EB15" w14:textId="77777777" w:rsidR="004F6168" w:rsidRDefault="004F6168" w:rsidP="004F6168">
      <w:pPr>
        <w:pStyle w:val="Heading3"/>
      </w:pPr>
      <w:bookmarkStart w:id="1969" w:name="_Toc207796178"/>
      <w:r>
        <w:lastRenderedPageBreak/>
        <w:t>Financial instruments</w:t>
      </w:r>
      <w:bookmarkEnd w:id="1969"/>
    </w:p>
    <w:tbl>
      <w:tblPr>
        <w:tblStyle w:val="AOFMTablemain"/>
        <w:tblW w:w="5000" w:type="pct"/>
        <w:tblLook w:val="06A0" w:firstRow="1" w:lastRow="0" w:firstColumn="1" w:lastColumn="0" w:noHBand="1" w:noVBand="1"/>
      </w:tblPr>
      <w:tblGrid>
        <w:gridCol w:w="5203"/>
        <w:gridCol w:w="1254"/>
        <w:gridCol w:w="1254"/>
      </w:tblGrid>
      <w:tr w:rsidR="00E15250" w:rsidRPr="00B84A8D" w14:paraId="5A63D097" w14:textId="77777777" w:rsidTr="002E2826">
        <w:trPr>
          <w:cnfStyle w:val="100000000000" w:firstRow="1" w:lastRow="0" w:firstColumn="0" w:lastColumn="0" w:oddVBand="0" w:evenVBand="0" w:oddHBand="0" w:evenHBand="0" w:firstRowFirstColumn="0" w:firstRowLastColumn="0" w:lastRowFirstColumn="0" w:lastRowLastColumn="0"/>
        </w:trPr>
        <w:tc>
          <w:tcPr>
            <w:tcW w:w="3374" w:type="pct"/>
            <w:tcBorders>
              <w:bottom w:val="single" w:sz="4" w:space="0" w:color="29114B" w:themeColor="text2"/>
            </w:tcBorders>
            <w:noWrap/>
            <w:hideMark/>
          </w:tcPr>
          <w:p w14:paraId="7C257A43" w14:textId="77777777" w:rsidR="004F6168" w:rsidRPr="00B84A8D" w:rsidRDefault="004F6168" w:rsidP="00630831">
            <w:pPr>
              <w:pStyle w:val="TableColumnHeadingRight"/>
            </w:pPr>
            <w:r w:rsidRPr="00B84A8D">
              <w:t> </w:t>
            </w:r>
          </w:p>
        </w:tc>
        <w:tc>
          <w:tcPr>
            <w:tcW w:w="813" w:type="pct"/>
            <w:tcBorders>
              <w:bottom w:val="single" w:sz="4" w:space="0" w:color="29114B" w:themeColor="text2"/>
            </w:tcBorders>
            <w:noWrap/>
            <w:hideMark/>
          </w:tcPr>
          <w:p w14:paraId="44D06349" w14:textId="77777777" w:rsidR="004F6168" w:rsidRDefault="004F6168" w:rsidP="00630831">
            <w:pPr>
              <w:pStyle w:val="TableColumnHeadingRight"/>
              <w:rPr>
                <w:bCs/>
              </w:rPr>
            </w:pPr>
            <w:r w:rsidRPr="00077DB0">
              <w:rPr>
                <w:bCs/>
              </w:rPr>
              <w:t>202</w:t>
            </w:r>
            <w:r>
              <w:rPr>
                <w:bCs/>
              </w:rPr>
              <w:t>5</w:t>
            </w:r>
          </w:p>
          <w:p w14:paraId="097DC69B" w14:textId="77777777" w:rsidR="004F6168" w:rsidRPr="00B84A8D" w:rsidRDefault="004F6168" w:rsidP="00630831">
            <w:pPr>
              <w:pStyle w:val="TableColumnHeadingRight"/>
              <w:rPr>
                <w:bCs/>
              </w:rPr>
            </w:pPr>
            <w:r>
              <w:rPr>
                <w:bCs/>
              </w:rPr>
              <w:t>$’000</w:t>
            </w:r>
          </w:p>
        </w:tc>
        <w:tc>
          <w:tcPr>
            <w:tcW w:w="813" w:type="pct"/>
            <w:tcBorders>
              <w:bottom w:val="single" w:sz="4" w:space="0" w:color="29114B" w:themeColor="text2"/>
            </w:tcBorders>
            <w:noWrap/>
            <w:hideMark/>
          </w:tcPr>
          <w:p w14:paraId="3938EF0B" w14:textId="77777777" w:rsidR="004F6168" w:rsidRDefault="004F6168" w:rsidP="00630831">
            <w:pPr>
              <w:pStyle w:val="TableColumnHeadingRight"/>
            </w:pPr>
            <w:r w:rsidRPr="00077DB0">
              <w:t>202</w:t>
            </w:r>
            <w:r>
              <w:t xml:space="preserve">4 </w:t>
            </w:r>
          </w:p>
          <w:p w14:paraId="58373E74" w14:textId="77777777" w:rsidR="004F6168" w:rsidRPr="00B84A8D" w:rsidRDefault="004F6168" w:rsidP="00630831">
            <w:pPr>
              <w:pStyle w:val="TableColumnHeadingRight"/>
            </w:pPr>
            <w:r>
              <w:t>$’000</w:t>
            </w:r>
            <w:r w:rsidRPr="00077DB0">
              <w:t xml:space="preserve"> </w:t>
            </w:r>
          </w:p>
        </w:tc>
      </w:tr>
      <w:tr w:rsidR="004F6168" w:rsidRPr="006534F5" w14:paraId="6035B691" w14:textId="77777777" w:rsidTr="00592520">
        <w:tc>
          <w:tcPr>
            <w:tcW w:w="3374" w:type="pct"/>
            <w:tcBorders>
              <w:top w:val="single" w:sz="4" w:space="0" w:color="29114B" w:themeColor="text2"/>
              <w:right w:val="single" w:sz="4" w:space="0" w:color="FFFFFF" w:themeColor="background1"/>
            </w:tcBorders>
            <w:shd w:val="clear" w:color="auto" w:fill="auto"/>
            <w:noWrap/>
            <w:hideMark/>
          </w:tcPr>
          <w:p w14:paraId="424612A3" w14:textId="77777777" w:rsidR="004F6168" w:rsidRPr="00592520" w:rsidRDefault="004F6168" w:rsidP="00630831">
            <w:pPr>
              <w:pStyle w:val="TableSecondHeading"/>
              <w:rPr>
                <w:b/>
              </w:rPr>
            </w:pPr>
            <w:r w:rsidRPr="00592520">
              <w:rPr>
                <w:b/>
              </w:rPr>
              <w:t xml:space="preserve">Financial assets </w:t>
            </w:r>
          </w:p>
        </w:tc>
        <w:tc>
          <w:tcPr>
            <w:tcW w:w="813"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1545D2A1" w14:textId="77777777" w:rsidR="004F6168" w:rsidRPr="00592520" w:rsidRDefault="004F6168" w:rsidP="00630831">
            <w:pPr>
              <w:pStyle w:val="TableTextRight"/>
              <w:rPr>
                <w:b/>
              </w:rPr>
            </w:pPr>
          </w:p>
        </w:tc>
        <w:tc>
          <w:tcPr>
            <w:tcW w:w="813" w:type="pct"/>
            <w:tcBorders>
              <w:top w:val="single" w:sz="4" w:space="0" w:color="29114B" w:themeColor="text2"/>
              <w:left w:val="single" w:sz="4" w:space="0" w:color="FFFFFF" w:themeColor="background1"/>
            </w:tcBorders>
            <w:shd w:val="clear" w:color="auto" w:fill="auto"/>
            <w:noWrap/>
            <w:hideMark/>
          </w:tcPr>
          <w:p w14:paraId="32AE350B" w14:textId="77777777" w:rsidR="004F6168" w:rsidRPr="00592520" w:rsidRDefault="004F6168" w:rsidP="00630831">
            <w:pPr>
              <w:pStyle w:val="TableTextRight"/>
              <w:rPr>
                <w:b/>
              </w:rPr>
            </w:pPr>
          </w:p>
        </w:tc>
      </w:tr>
      <w:tr w:rsidR="004F6168" w:rsidRPr="006534F5" w14:paraId="567995DB" w14:textId="77777777" w:rsidTr="006A715B">
        <w:tc>
          <w:tcPr>
            <w:tcW w:w="3374" w:type="pct"/>
            <w:noWrap/>
          </w:tcPr>
          <w:p w14:paraId="07A9D523" w14:textId="77777777" w:rsidR="004F6168" w:rsidRPr="0098751F" w:rsidRDefault="004F6168" w:rsidP="00630831">
            <w:pPr>
              <w:pStyle w:val="TableTextLeft"/>
            </w:pPr>
            <w:r w:rsidRPr="0098751F">
              <w:t>Cash</w:t>
            </w:r>
          </w:p>
        </w:tc>
        <w:tc>
          <w:tcPr>
            <w:tcW w:w="813" w:type="pct"/>
            <w:shd w:val="clear" w:color="auto" w:fill="E7DCF7" w:themeFill="text2" w:themeFillTint="1A"/>
            <w:noWrap/>
          </w:tcPr>
          <w:p w14:paraId="196247E1" w14:textId="77777777" w:rsidR="004F6168" w:rsidRPr="0098751F" w:rsidRDefault="004F6168" w:rsidP="00630831">
            <w:pPr>
              <w:pStyle w:val="TableTextRight"/>
            </w:pPr>
            <w:r w:rsidRPr="0098751F">
              <w:t>207</w:t>
            </w:r>
          </w:p>
        </w:tc>
        <w:tc>
          <w:tcPr>
            <w:tcW w:w="813" w:type="pct"/>
            <w:noWrap/>
          </w:tcPr>
          <w:p w14:paraId="6A6C4400" w14:textId="77777777" w:rsidR="004F6168" w:rsidRPr="0098751F" w:rsidRDefault="004F6168" w:rsidP="00630831">
            <w:pPr>
              <w:pStyle w:val="TableTextRight"/>
            </w:pPr>
            <w:r w:rsidRPr="0098751F">
              <w:t>100</w:t>
            </w:r>
          </w:p>
        </w:tc>
      </w:tr>
      <w:tr w:rsidR="004F6168" w:rsidRPr="006534F5" w14:paraId="353CA0B5" w14:textId="77777777" w:rsidTr="006A715B">
        <w:tc>
          <w:tcPr>
            <w:tcW w:w="3374" w:type="pct"/>
            <w:noWrap/>
          </w:tcPr>
          <w:p w14:paraId="1176D4F1" w14:textId="77777777" w:rsidR="004F6168" w:rsidRPr="0098751F" w:rsidRDefault="004F6168" w:rsidP="00630831">
            <w:pPr>
              <w:pStyle w:val="TableTextLeft"/>
            </w:pPr>
            <w:r w:rsidRPr="0098751F">
              <w:t>Goods and services receivable</w:t>
            </w:r>
          </w:p>
        </w:tc>
        <w:tc>
          <w:tcPr>
            <w:tcW w:w="813" w:type="pct"/>
            <w:shd w:val="clear" w:color="auto" w:fill="E7DCF7" w:themeFill="text2" w:themeFillTint="1A"/>
            <w:noWrap/>
          </w:tcPr>
          <w:p w14:paraId="16D3E7FC" w14:textId="77777777" w:rsidR="004F6168" w:rsidRPr="0098751F" w:rsidRDefault="004F6168" w:rsidP="00630831">
            <w:pPr>
              <w:pStyle w:val="TableTextRight"/>
            </w:pPr>
            <w:r w:rsidRPr="0098751F">
              <w:t>15</w:t>
            </w:r>
          </w:p>
        </w:tc>
        <w:tc>
          <w:tcPr>
            <w:tcW w:w="813" w:type="pct"/>
            <w:noWrap/>
          </w:tcPr>
          <w:p w14:paraId="5A777E7E" w14:textId="77777777" w:rsidR="004F6168" w:rsidRPr="0098751F" w:rsidRDefault="004F6168" w:rsidP="00630831">
            <w:pPr>
              <w:pStyle w:val="TableTextRight"/>
            </w:pPr>
            <w:r w:rsidRPr="0098751F">
              <w:t>27</w:t>
            </w:r>
          </w:p>
        </w:tc>
      </w:tr>
      <w:tr w:rsidR="004F6168" w:rsidRPr="006534F5" w14:paraId="67BD6D01" w14:textId="77777777" w:rsidTr="006A715B">
        <w:tc>
          <w:tcPr>
            <w:tcW w:w="3374" w:type="pct"/>
            <w:tcBorders>
              <w:bottom w:val="single" w:sz="4" w:space="0" w:color="29114B" w:themeColor="text2"/>
            </w:tcBorders>
            <w:noWrap/>
          </w:tcPr>
          <w:p w14:paraId="71EE2009" w14:textId="77777777" w:rsidR="004F6168" w:rsidRPr="0098751F" w:rsidRDefault="004F6168" w:rsidP="00630831">
            <w:pPr>
              <w:pStyle w:val="TableTextLeft"/>
              <w:rPr>
                <w:b/>
                <w:bCs/>
              </w:rPr>
            </w:pPr>
            <w:r w:rsidRPr="0098751F">
              <w:rPr>
                <w:b/>
                <w:bCs/>
              </w:rPr>
              <w:t>Total financial assets</w:t>
            </w:r>
          </w:p>
        </w:tc>
        <w:tc>
          <w:tcPr>
            <w:tcW w:w="813" w:type="pct"/>
            <w:tcBorders>
              <w:bottom w:val="single" w:sz="4" w:space="0" w:color="29114B" w:themeColor="text2"/>
            </w:tcBorders>
            <w:shd w:val="clear" w:color="auto" w:fill="E7DCF7" w:themeFill="text2" w:themeFillTint="1A"/>
            <w:noWrap/>
          </w:tcPr>
          <w:p w14:paraId="574FE2C4" w14:textId="77777777" w:rsidR="004F6168" w:rsidRPr="0098751F" w:rsidRDefault="004F6168" w:rsidP="00630831">
            <w:pPr>
              <w:pStyle w:val="TableTextRight"/>
              <w:rPr>
                <w:b/>
                <w:bCs/>
              </w:rPr>
            </w:pPr>
            <w:r w:rsidRPr="0098751F">
              <w:rPr>
                <w:b/>
                <w:bCs/>
              </w:rPr>
              <w:t>222</w:t>
            </w:r>
          </w:p>
        </w:tc>
        <w:tc>
          <w:tcPr>
            <w:tcW w:w="813" w:type="pct"/>
            <w:tcBorders>
              <w:bottom w:val="single" w:sz="4" w:space="0" w:color="29114B" w:themeColor="text2"/>
            </w:tcBorders>
            <w:noWrap/>
          </w:tcPr>
          <w:p w14:paraId="2EBB6FD1" w14:textId="77777777" w:rsidR="004F6168" w:rsidRPr="0098751F" w:rsidRDefault="004F6168" w:rsidP="00630831">
            <w:pPr>
              <w:pStyle w:val="TableTextRight"/>
              <w:rPr>
                <w:b/>
                <w:bCs/>
              </w:rPr>
            </w:pPr>
            <w:r w:rsidRPr="0098751F">
              <w:rPr>
                <w:b/>
                <w:bCs/>
              </w:rPr>
              <w:t>127</w:t>
            </w:r>
          </w:p>
        </w:tc>
      </w:tr>
      <w:tr w:rsidR="004F6168" w:rsidRPr="006534F5" w14:paraId="2845702D" w14:textId="77777777" w:rsidTr="00592520">
        <w:tc>
          <w:tcPr>
            <w:tcW w:w="3374" w:type="pct"/>
            <w:tcBorders>
              <w:top w:val="single" w:sz="4" w:space="0" w:color="29114B" w:themeColor="text2"/>
              <w:right w:val="single" w:sz="4" w:space="0" w:color="FFFFFF" w:themeColor="background1"/>
            </w:tcBorders>
            <w:shd w:val="clear" w:color="auto" w:fill="auto"/>
            <w:noWrap/>
          </w:tcPr>
          <w:p w14:paraId="776E5B20" w14:textId="77777777" w:rsidR="004F6168" w:rsidRPr="00592520" w:rsidRDefault="004F6168" w:rsidP="00630831">
            <w:pPr>
              <w:pStyle w:val="TableSecondHeading"/>
              <w:rPr>
                <w:b/>
              </w:rPr>
            </w:pPr>
            <w:r w:rsidRPr="00592520">
              <w:rPr>
                <w:b/>
              </w:rPr>
              <w:t>Financial liabilities</w:t>
            </w:r>
          </w:p>
        </w:tc>
        <w:tc>
          <w:tcPr>
            <w:tcW w:w="813" w:type="pct"/>
            <w:tcBorders>
              <w:top w:val="single" w:sz="4" w:space="0" w:color="29114B" w:themeColor="text2"/>
              <w:left w:val="single" w:sz="4" w:space="0" w:color="FFFFFF" w:themeColor="background1"/>
              <w:right w:val="single" w:sz="4" w:space="0" w:color="FFFFFF" w:themeColor="background1"/>
            </w:tcBorders>
            <w:shd w:val="clear" w:color="auto" w:fill="auto"/>
            <w:noWrap/>
          </w:tcPr>
          <w:p w14:paraId="5FAAD2F1" w14:textId="77777777" w:rsidR="004F6168" w:rsidRPr="00592520" w:rsidRDefault="004F6168" w:rsidP="00630831">
            <w:pPr>
              <w:pStyle w:val="TableTextRight"/>
              <w:rPr>
                <w:b/>
              </w:rPr>
            </w:pPr>
          </w:p>
        </w:tc>
        <w:tc>
          <w:tcPr>
            <w:tcW w:w="813" w:type="pct"/>
            <w:tcBorders>
              <w:top w:val="single" w:sz="4" w:space="0" w:color="29114B" w:themeColor="text2"/>
              <w:left w:val="single" w:sz="4" w:space="0" w:color="FFFFFF" w:themeColor="background1"/>
            </w:tcBorders>
            <w:shd w:val="clear" w:color="auto" w:fill="auto"/>
            <w:noWrap/>
          </w:tcPr>
          <w:p w14:paraId="376B3E65" w14:textId="77777777" w:rsidR="004F6168" w:rsidRPr="00592520" w:rsidRDefault="004F6168" w:rsidP="00630831">
            <w:pPr>
              <w:pStyle w:val="TableTextRight"/>
              <w:rPr>
                <w:b/>
              </w:rPr>
            </w:pPr>
          </w:p>
        </w:tc>
      </w:tr>
      <w:tr w:rsidR="004F6168" w:rsidRPr="006534F5" w14:paraId="75AA7A52" w14:textId="77777777" w:rsidTr="006A715B">
        <w:tc>
          <w:tcPr>
            <w:tcW w:w="3374" w:type="pct"/>
            <w:noWrap/>
          </w:tcPr>
          <w:p w14:paraId="0AED2CC4" w14:textId="77777777" w:rsidR="004F6168" w:rsidRPr="0098751F" w:rsidRDefault="004F6168" w:rsidP="00630831">
            <w:pPr>
              <w:pStyle w:val="TableTextLeft"/>
            </w:pPr>
            <w:r w:rsidRPr="0098751F">
              <w:t>Trade creditors and accruals</w:t>
            </w:r>
          </w:p>
        </w:tc>
        <w:tc>
          <w:tcPr>
            <w:tcW w:w="813" w:type="pct"/>
            <w:shd w:val="clear" w:color="auto" w:fill="E7DCF7" w:themeFill="text2" w:themeFillTint="1A"/>
            <w:noWrap/>
          </w:tcPr>
          <w:p w14:paraId="47DB1A71" w14:textId="77777777" w:rsidR="004F6168" w:rsidRPr="0098751F" w:rsidRDefault="004F6168" w:rsidP="00630831">
            <w:pPr>
              <w:pStyle w:val="TableTextRight"/>
            </w:pPr>
            <w:r w:rsidRPr="0098751F">
              <w:t>778</w:t>
            </w:r>
          </w:p>
        </w:tc>
        <w:tc>
          <w:tcPr>
            <w:tcW w:w="813" w:type="pct"/>
            <w:noWrap/>
          </w:tcPr>
          <w:p w14:paraId="3B924694" w14:textId="77777777" w:rsidR="004F6168" w:rsidRPr="0098751F" w:rsidRDefault="004F6168" w:rsidP="00630831">
            <w:pPr>
              <w:pStyle w:val="TableTextRight"/>
            </w:pPr>
            <w:r w:rsidRPr="0098751F">
              <w:t>869</w:t>
            </w:r>
          </w:p>
        </w:tc>
      </w:tr>
      <w:tr w:rsidR="004F6168" w:rsidRPr="006534F5" w14:paraId="5E8B1960" w14:textId="77777777" w:rsidTr="006A715B">
        <w:tc>
          <w:tcPr>
            <w:tcW w:w="3374" w:type="pct"/>
            <w:noWrap/>
            <w:hideMark/>
          </w:tcPr>
          <w:p w14:paraId="2823A4D6" w14:textId="77777777" w:rsidR="004F6168" w:rsidRPr="0098751F" w:rsidRDefault="004F6168" w:rsidP="00630831">
            <w:pPr>
              <w:pStyle w:val="TableTextLeft"/>
              <w:rPr>
                <w:b/>
                <w:bCs/>
              </w:rPr>
            </w:pPr>
            <w:r w:rsidRPr="0098751F">
              <w:rPr>
                <w:b/>
                <w:bCs/>
              </w:rPr>
              <w:t>Total financial liabilities</w:t>
            </w:r>
          </w:p>
        </w:tc>
        <w:tc>
          <w:tcPr>
            <w:tcW w:w="813" w:type="pct"/>
            <w:shd w:val="clear" w:color="auto" w:fill="E7DCF7" w:themeFill="text2" w:themeFillTint="1A"/>
            <w:noWrap/>
          </w:tcPr>
          <w:p w14:paraId="7A7761C2" w14:textId="77777777" w:rsidR="004F6168" w:rsidRPr="0098751F" w:rsidRDefault="004F6168" w:rsidP="00630831">
            <w:pPr>
              <w:pStyle w:val="TableTextRight"/>
              <w:rPr>
                <w:b/>
                <w:bCs/>
              </w:rPr>
            </w:pPr>
            <w:r w:rsidRPr="0098751F">
              <w:rPr>
                <w:b/>
                <w:bCs/>
              </w:rPr>
              <w:t>778</w:t>
            </w:r>
          </w:p>
        </w:tc>
        <w:tc>
          <w:tcPr>
            <w:tcW w:w="813" w:type="pct"/>
            <w:noWrap/>
            <w:hideMark/>
          </w:tcPr>
          <w:p w14:paraId="50EE3C46" w14:textId="77777777" w:rsidR="004F6168" w:rsidRPr="0098751F" w:rsidRDefault="004F6168" w:rsidP="00630831">
            <w:pPr>
              <w:pStyle w:val="TableTextRight"/>
              <w:rPr>
                <w:b/>
                <w:bCs/>
              </w:rPr>
            </w:pPr>
            <w:r w:rsidRPr="0098751F">
              <w:rPr>
                <w:b/>
                <w:bCs/>
              </w:rPr>
              <w:t>869</w:t>
            </w:r>
          </w:p>
        </w:tc>
      </w:tr>
    </w:tbl>
    <w:p w14:paraId="195970D0" w14:textId="77777777" w:rsidR="004F6168" w:rsidRDefault="004F6168" w:rsidP="004F6168">
      <w:pPr>
        <w:rPr>
          <w:rFonts w:eastAsiaTheme="majorEastAsia" w:cs="Open Sans Semibold"/>
          <w:color w:val="29114B" w:themeColor="text2"/>
          <w:sz w:val="18"/>
          <w:szCs w:val="18"/>
        </w:rPr>
      </w:pPr>
    </w:p>
    <w:tbl>
      <w:tblPr>
        <w:tblW w:w="5000" w:type="pct"/>
        <w:tblBorders>
          <w:bottom w:val="single" w:sz="24" w:space="0" w:color="295B7F"/>
        </w:tblBorders>
        <w:shd w:val="clear" w:color="auto" w:fill="EEEEF2"/>
        <w:tblCellMar>
          <w:top w:w="284" w:type="dxa"/>
          <w:left w:w="284" w:type="dxa"/>
          <w:bottom w:w="142" w:type="dxa"/>
          <w:right w:w="284" w:type="dxa"/>
        </w:tblCellMar>
        <w:tblLook w:val="04A0" w:firstRow="1" w:lastRow="0" w:firstColumn="1" w:lastColumn="0" w:noHBand="0" w:noVBand="1"/>
      </w:tblPr>
      <w:tblGrid>
        <w:gridCol w:w="7711"/>
      </w:tblGrid>
      <w:tr w:rsidR="004F6168" w14:paraId="5AB0FDB5" w14:textId="77777777" w:rsidTr="00630831">
        <w:tc>
          <w:tcPr>
            <w:tcW w:w="7700" w:type="dxa"/>
            <w:tcBorders>
              <w:bottom w:val="single" w:sz="24" w:space="0" w:color="472978" w:themeColor="accent1"/>
            </w:tcBorders>
            <w:shd w:val="clear" w:color="auto" w:fill="E7DCF7" w:themeFill="text2" w:themeFillTint="1A"/>
          </w:tcPr>
          <w:p w14:paraId="1749957C" w14:textId="77777777" w:rsidR="004F6168" w:rsidRDefault="004F6168" w:rsidP="00630831">
            <w:pPr>
              <w:pStyle w:val="Boxheading"/>
            </w:pPr>
            <w:r>
              <w:t xml:space="preserve">Accounting Policy </w:t>
            </w:r>
          </w:p>
          <w:p w14:paraId="7CF8792E" w14:textId="77777777" w:rsidR="004F6168" w:rsidRDefault="004F6168" w:rsidP="00630831">
            <w:pPr>
              <w:pStyle w:val="BoxText"/>
            </w:pPr>
            <w:r>
              <w:t xml:space="preserve">In accordance with AASB9 Financial Instruments, the AOFM classifies its financial assets in the following categories: </w:t>
            </w:r>
          </w:p>
          <w:p w14:paraId="634DD052" w14:textId="77777777" w:rsidR="004F6168" w:rsidRDefault="004F6168" w:rsidP="006D2EDF">
            <w:pPr>
              <w:pStyle w:val="Boxbullet0"/>
              <w:numPr>
                <w:ilvl w:val="0"/>
                <w:numId w:val="45"/>
              </w:numPr>
            </w:pPr>
            <w:r>
              <w:t xml:space="preserve">financial assets at fair value through profit or </w:t>
            </w:r>
            <w:proofErr w:type="gramStart"/>
            <w:r>
              <w:t>loss;</w:t>
            </w:r>
            <w:proofErr w:type="gramEnd"/>
            <w:r>
              <w:t xml:space="preserve"> </w:t>
            </w:r>
          </w:p>
          <w:p w14:paraId="3B3DC84F" w14:textId="77777777" w:rsidR="004F6168" w:rsidRDefault="004F6168" w:rsidP="006D2EDF">
            <w:pPr>
              <w:pStyle w:val="Boxbullet0"/>
              <w:numPr>
                <w:ilvl w:val="0"/>
                <w:numId w:val="45"/>
              </w:numPr>
            </w:pPr>
            <w:r>
              <w:t xml:space="preserve">financial assets at fair value through other comprehensive income; and </w:t>
            </w:r>
          </w:p>
          <w:p w14:paraId="4C3A5577" w14:textId="77777777" w:rsidR="004F6168" w:rsidRDefault="004F6168" w:rsidP="006D2EDF">
            <w:pPr>
              <w:pStyle w:val="Boxbullet0"/>
              <w:numPr>
                <w:ilvl w:val="0"/>
                <w:numId w:val="45"/>
              </w:numPr>
              <w:spacing w:after="240"/>
              <w:ind w:left="357" w:hanging="357"/>
            </w:pPr>
            <w:r>
              <w:t xml:space="preserve">financial assets measured at amortised cost. </w:t>
            </w:r>
          </w:p>
          <w:p w14:paraId="4AD2AE33" w14:textId="77777777" w:rsidR="004F6168" w:rsidRDefault="004F6168" w:rsidP="00630831">
            <w:pPr>
              <w:pStyle w:val="BoxText"/>
            </w:pPr>
            <w:r>
              <w:t xml:space="preserve">The classification depends on both the AOFM’s business model for managing the financial assets and contractual cash flow characteristics at the time of initial recognition. Financial assets are recognised when the AOFM becomes a party to the contract and, </w:t>
            </w:r>
            <w:proofErr w:type="gramStart"/>
            <w:r>
              <w:t>as a consequence</w:t>
            </w:r>
            <w:proofErr w:type="gramEnd"/>
            <w:r>
              <w:t xml:space="preserve">, has a legal right to receive or a legal obligation to pay cash and derecognised when the contractual rights to the cash flows from the financial asset expire or are transferred upon trade date. </w:t>
            </w:r>
          </w:p>
          <w:p w14:paraId="0F71AFE0" w14:textId="77777777" w:rsidR="00084ABC" w:rsidRPr="008C54B5" w:rsidRDefault="00084ABC" w:rsidP="00084ABC">
            <w:pPr>
              <w:pStyle w:val="BoxSecondHeading"/>
            </w:pPr>
            <w:r w:rsidRPr="00311520">
              <w:t>Impairment</w:t>
            </w:r>
            <w:r w:rsidRPr="008C54B5">
              <w:t xml:space="preserve"> of Financial Assets </w:t>
            </w:r>
          </w:p>
          <w:p w14:paraId="1774D395" w14:textId="77777777" w:rsidR="00084ABC" w:rsidRPr="00311520" w:rsidRDefault="00084ABC" w:rsidP="00084ABC">
            <w:pPr>
              <w:pStyle w:val="BoxText"/>
            </w:pPr>
            <w:r w:rsidRPr="00311520">
              <w:t>Financial assets are assessed for impairment at the end of each reporting period based on Expected Credit Losses, using the general approach which measures the loss allowance based on an amount equal to lifetime expected credit losses where risk has significantly increased, or an amount equal to 12</w:t>
            </w:r>
            <w:r w:rsidRPr="00311520">
              <w:rPr>
                <w:rFonts w:ascii="Cambria Math" w:hAnsi="Cambria Math" w:cs="Cambria Math"/>
              </w:rPr>
              <w:t>‐</w:t>
            </w:r>
            <w:r w:rsidRPr="00311520">
              <w:t xml:space="preserve">month expected credit losses if risk has not increased. </w:t>
            </w:r>
          </w:p>
          <w:p w14:paraId="77E5BF3C" w14:textId="77777777" w:rsidR="00084ABC" w:rsidRPr="00311520" w:rsidRDefault="00084ABC" w:rsidP="00084ABC">
            <w:pPr>
              <w:pStyle w:val="BoxText"/>
            </w:pPr>
            <w:r w:rsidRPr="00311520">
              <w:lastRenderedPageBreak/>
              <w:t xml:space="preserve">The simplified approach for trade, contract and lease receivables is used. This approach always measures the loss allowance as the amount equal to the lifetime expected credit losses. </w:t>
            </w:r>
          </w:p>
          <w:p w14:paraId="0B1E3682" w14:textId="77777777" w:rsidR="00084ABC" w:rsidRDefault="00084ABC" w:rsidP="00084ABC">
            <w:pPr>
              <w:pStyle w:val="BoxText"/>
            </w:pPr>
            <w:r>
              <w:t>A write</w:t>
            </w:r>
            <w:r>
              <w:noBreakHyphen/>
              <w:t>off constitutes a derecognition event where the write</w:t>
            </w:r>
            <w:r>
              <w:noBreakHyphen/>
              <w:t>off directly reduces the gross carrying amount of the financial asset.</w:t>
            </w:r>
          </w:p>
          <w:p w14:paraId="0EF19FF7" w14:textId="77777777" w:rsidR="00084ABC" w:rsidRPr="008C54B5" w:rsidRDefault="00084ABC" w:rsidP="00084ABC">
            <w:pPr>
              <w:pStyle w:val="BoxSecondHeading"/>
            </w:pPr>
            <w:r w:rsidRPr="008C54B5">
              <w:t xml:space="preserve">Financial </w:t>
            </w:r>
            <w:r w:rsidRPr="00311520">
              <w:t>liabilities</w:t>
            </w:r>
            <w:r w:rsidRPr="008C54B5">
              <w:t xml:space="preserve"> </w:t>
            </w:r>
          </w:p>
          <w:p w14:paraId="74ED9D1B" w14:textId="66926F90" w:rsidR="00084ABC" w:rsidRPr="006574CB" w:rsidRDefault="00084ABC" w:rsidP="00084ABC">
            <w:pPr>
              <w:pStyle w:val="BoxText"/>
            </w:pPr>
            <w:r>
              <w:t>Financial liabilities are classified as either financial liabilities ‘at fair value through profit or loss’ or other financial liabilities. Financial liabilities are recognised and derecognised upon ‘trade date’. Supplier payables are recognised at amortised cost. Liabilities are recognised to the extent that the goods or service have been received (and irrespective of having been invoiced).</w:t>
            </w:r>
          </w:p>
        </w:tc>
      </w:tr>
    </w:tbl>
    <w:p w14:paraId="5301EDFB" w14:textId="77777777" w:rsidR="004F6168" w:rsidRDefault="004F6168" w:rsidP="004F6168">
      <w:pPr>
        <w:rPr>
          <w:rFonts w:eastAsiaTheme="majorEastAsia" w:cs="Open Sans Semibold"/>
          <w:color w:val="29114B" w:themeColor="text2"/>
          <w:sz w:val="18"/>
          <w:szCs w:val="18"/>
        </w:rPr>
      </w:pPr>
    </w:p>
    <w:p w14:paraId="0C139F3D" w14:textId="77777777" w:rsidR="004F6168" w:rsidRDefault="004F6168" w:rsidP="004F6168">
      <w:pPr>
        <w:spacing w:after="0" w:line="240" w:lineRule="auto"/>
        <w:rPr>
          <w:rFonts w:eastAsiaTheme="majorEastAsia" w:cs="Open Sans Semibold"/>
          <w:color w:val="29114B" w:themeColor="text2"/>
          <w:sz w:val="18"/>
          <w:szCs w:val="18"/>
        </w:rPr>
      </w:pPr>
      <w:r>
        <w:rPr>
          <w:rFonts w:eastAsiaTheme="majorEastAsia" w:cs="Open Sans Semibold"/>
          <w:color w:val="29114B" w:themeColor="text2"/>
          <w:sz w:val="18"/>
          <w:szCs w:val="18"/>
        </w:rPr>
        <w:br w:type="page"/>
      </w:r>
    </w:p>
    <w:p w14:paraId="3D7FBB4A" w14:textId="77777777" w:rsidR="009954EA" w:rsidRDefault="009954EA" w:rsidP="009954EA">
      <w:pPr>
        <w:pStyle w:val="Heading2"/>
      </w:pPr>
      <w:bookmarkStart w:id="1970" w:name="_Toc207792962"/>
      <w:bookmarkStart w:id="1971" w:name="_Toc207794002"/>
      <w:bookmarkStart w:id="1972" w:name="_Toc207796179"/>
      <w:bookmarkStart w:id="1973" w:name="_Toc207797006"/>
      <w:bookmarkStart w:id="1974" w:name="_Toc207800309"/>
      <w:bookmarkStart w:id="1975" w:name="_Toc207810887"/>
      <w:bookmarkStart w:id="1976" w:name="_Toc208914167"/>
      <w:bookmarkStart w:id="1977" w:name="_Toc209424564"/>
      <w:r>
        <w:lastRenderedPageBreak/>
        <w:t>Other information</w:t>
      </w:r>
      <w:bookmarkEnd w:id="1970"/>
      <w:bookmarkEnd w:id="1971"/>
      <w:bookmarkEnd w:id="1972"/>
      <w:bookmarkEnd w:id="1973"/>
      <w:bookmarkEnd w:id="1974"/>
      <w:bookmarkEnd w:id="1975"/>
      <w:bookmarkEnd w:id="1976"/>
      <w:bookmarkEnd w:id="1977"/>
    </w:p>
    <w:p w14:paraId="6840E3EA" w14:textId="77777777" w:rsidR="009954EA" w:rsidRPr="00366DA3" w:rsidRDefault="009954EA" w:rsidP="009954EA">
      <w:pPr>
        <w:pStyle w:val="TableMainHeading"/>
      </w:pPr>
      <w:r w:rsidRPr="00366DA3">
        <w:t>Current/</w:t>
      </w:r>
      <w:r>
        <w:t>n</w:t>
      </w:r>
      <w:r w:rsidRPr="00366DA3">
        <w:t>on</w:t>
      </w:r>
      <w:r>
        <w:noBreakHyphen/>
        <w:t>c</w:t>
      </w:r>
      <w:r w:rsidRPr="00366DA3">
        <w:t xml:space="preserve">urrent </w:t>
      </w:r>
      <w:r>
        <w:t>d</w:t>
      </w:r>
      <w:r w:rsidRPr="00366DA3">
        <w:t xml:space="preserve">istinction for </w:t>
      </w:r>
      <w:r>
        <w:t>a</w:t>
      </w:r>
      <w:r w:rsidRPr="00366DA3">
        <w:t xml:space="preserve">ssets and </w:t>
      </w:r>
      <w:r>
        <w:t>l</w:t>
      </w:r>
      <w:r w:rsidRPr="00366DA3">
        <w:t>iabilities</w:t>
      </w:r>
    </w:p>
    <w:tbl>
      <w:tblPr>
        <w:tblStyle w:val="AOFMTablemain"/>
        <w:tblW w:w="5000" w:type="pct"/>
        <w:tblLayout w:type="fixed"/>
        <w:tblLook w:val="06A0" w:firstRow="1" w:lastRow="0" w:firstColumn="1" w:lastColumn="0" w:noHBand="1" w:noVBand="1"/>
      </w:tblPr>
      <w:tblGrid>
        <w:gridCol w:w="5105"/>
        <w:gridCol w:w="1277"/>
        <w:gridCol w:w="1329"/>
      </w:tblGrid>
      <w:tr w:rsidR="00E15250" w:rsidRPr="00B93507" w14:paraId="68F0CFCC" w14:textId="77777777" w:rsidTr="002E2826">
        <w:trPr>
          <w:cnfStyle w:val="100000000000" w:firstRow="1" w:lastRow="0" w:firstColumn="0" w:lastColumn="0" w:oddVBand="0" w:evenVBand="0" w:oddHBand="0" w:evenHBand="0" w:firstRowFirstColumn="0" w:firstRowLastColumn="0" w:lastRowFirstColumn="0" w:lastRowLastColumn="0"/>
        </w:trPr>
        <w:tc>
          <w:tcPr>
            <w:tcW w:w="3310" w:type="pct"/>
            <w:tcBorders>
              <w:bottom w:val="single" w:sz="4" w:space="0" w:color="29114B" w:themeColor="text2"/>
            </w:tcBorders>
            <w:noWrap/>
            <w:tcMar>
              <w:top w:w="57" w:type="dxa"/>
              <w:bottom w:w="57" w:type="dxa"/>
            </w:tcMar>
            <w:hideMark/>
          </w:tcPr>
          <w:p w14:paraId="1C7486A4" w14:textId="77777777" w:rsidR="009954EA" w:rsidRPr="005C7E14" w:rsidRDefault="009954EA" w:rsidP="00630831">
            <w:pPr>
              <w:pStyle w:val="TableColumnHeadingRight"/>
            </w:pPr>
          </w:p>
        </w:tc>
        <w:tc>
          <w:tcPr>
            <w:tcW w:w="828" w:type="pct"/>
            <w:tcBorders>
              <w:bottom w:val="single" w:sz="4" w:space="0" w:color="29114B" w:themeColor="text2"/>
            </w:tcBorders>
            <w:noWrap/>
            <w:tcMar>
              <w:top w:w="57" w:type="dxa"/>
              <w:bottom w:w="57" w:type="dxa"/>
            </w:tcMar>
            <w:hideMark/>
          </w:tcPr>
          <w:p w14:paraId="3D5DF401" w14:textId="77777777" w:rsidR="009954EA" w:rsidRPr="005C7E14" w:rsidRDefault="009954EA" w:rsidP="00630831">
            <w:pPr>
              <w:pStyle w:val="TableColumnHeadingRight"/>
            </w:pPr>
            <w:r w:rsidRPr="005C7E14">
              <w:t xml:space="preserve">2025 </w:t>
            </w:r>
          </w:p>
          <w:p w14:paraId="64D39208" w14:textId="0BC5CD55" w:rsidR="009954EA" w:rsidRPr="005C7E14" w:rsidRDefault="009954EA" w:rsidP="009954EA">
            <w:pPr>
              <w:pStyle w:val="TableColumnHeadingRight"/>
            </w:pPr>
            <w:r w:rsidRPr="005C7E14">
              <w:t xml:space="preserve">$’000 </w:t>
            </w:r>
          </w:p>
        </w:tc>
        <w:tc>
          <w:tcPr>
            <w:tcW w:w="862" w:type="pct"/>
            <w:tcBorders>
              <w:bottom w:val="single" w:sz="4" w:space="0" w:color="29114B" w:themeColor="text2"/>
            </w:tcBorders>
            <w:noWrap/>
            <w:tcMar>
              <w:top w:w="57" w:type="dxa"/>
              <w:bottom w:w="57" w:type="dxa"/>
            </w:tcMar>
            <w:hideMark/>
          </w:tcPr>
          <w:p w14:paraId="23963A1D" w14:textId="77777777" w:rsidR="009954EA" w:rsidRPr="005C7E14" w:rsidRDefault="009954EA" w:rsidP="00630831">
            <w:pPr>
              <w:pStyle w:val="TableColumnHeadingRight"/>
            </w:pPr>
            <w:r w:rsidRPr="005C7E14">
              <w:t xml:space="preserve">2024 </w:t>
            </w:r>
          </w:p>
          <w:p w14:paraId="1201C50A" w14:textId="72BC03F2" w:rsidR="009954EA" w:rsidRPr="005C7E14" w:rsidRDefault="009954EA" w:rsidP="009954EA">
            <w:pPr>
              <w:pStyle w:val="TableColumnHeadingRight"/>
            </w:pPr>
            <w:r w:rsidRPr="005C7E14">
              <w:t xml:space="preserve">$’000 </w:t>
            </w:r>
          </w:p>
        </w:tc>
      </w:tr>
      <w:tr w:rsidR="009954EA" w:rsidRPr="006534F5" w14:paraId="6751CAFD" w14:textId="77777777" w:rsidTr="00592520">
        <w:tc>
          <w:tcPr>
            <w:tcW w:w="3310"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7960A3AA" w14:textId="77777777" w:rsidR="009954EA" w:rsidRPr="00592520" w:rsidRDefault="009954EA" w:rsidP="00630831">
            <w:pPr>
              <w:pStyle w:val="TableSecondHeading"/>
              <w:rPr>
                <w:b/>
              </w:rPr>
            </w:pPr>
            <w:r w:rsidRPr="00592520">
              <w:rPr>
                <w:b/>
              </w:rPr>
              <w:t>Assets expected to be recovered in:</w:t>
            </w:r>
          </w:p>
        </w:tc>
        <w:tc>
          <w:tcPr>
            <w:tcW w:w="828"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hideMark/>
          </w:tcPr>
          <w:p w14:paraId="0B73B9CE" w14:textId="77777777" w:rsidR="009954EA" w:rsidRPr="00592520" w:rsidRDefault="009954EA" w:rsidP="00630831">
            <w:pPr>
              <w:pStyle w:val="TableSecondHeading"/>
              <w:rPr>
                <w:b/>
              </w:rPr>
            </w:pPr>
            <w:r w:rsidRPr="00592520">
              <w:rPr>
                <w:b/>
              </w:rPr>
              <w:t> </w:t>
            </w:r>
          </w:p>
        </w:tc>
        <w:tc>
          <w:tcPr>
            <w:tcW w:w="862" w:type="pct"/>
            <w:tcBorders>
              <w:top w:val="single" w:sz="4" w:space="0" w:color="29114B" w:themeColor="text2"/>
              <w:left w:val="single" w:sz="4" w:space="0" w:color="FFFFFF" w:themeColor="background1"/>
            </w:tcBorders>
            <w:shd w:val="clear" w:color="auto" w:fill="auto"/>
            <w:noWrap/>
            <w:tcMar>
              <w:top w:w="57" w:type="dxa"/>
              <w:bottom w:w="57" w:type="dxa"/>
            </w:tcMar>
            <w:hideMark/>
          </w:tcPr>
          <w:p w14:paraId="71ABCFDA" w14:textId="77777777" w:rsidR="009954EA" w:rsidRPr="00592520" w:rsidRDefault="009954EA" w:rsidP="00630831">
            <w:pPr>
              <w:pStyle w:val="TableSecondHeading"/>
              <w:rPr>
                <w:b/>
              </w:rPr>
            </w:pPr>
            <w:r w:rsidRPr="00592520">
              <w:rPr>
                <w:b/>
              </w:rPr>
              <w:t> </w:t>
            </w:r>
          </w:p>
        </w:tc>
      </w:tr>
      <w:tr w:rsidR="009954EA" w:rsidRPr="006534F5" w14:paraId="45AC0567" w14:textId="77777777" w:rsidTr="006A715B">
        <w:tc>
          <w:tcPr>
            <w:tcW w:w="3310" w:type="pct"/>
            <w:noWrap/>
            <w:tcMar>
              <w:top w:w="57" w:type="dxa"/>
              <w:bottom w:w="57" w:type="dxa"/>
            </w:tcMar>
            <w:hideMark/>
          </w:tcPr>
          <w:p w14:paraId="47E54239" w14:textId="77777777" w:rsidR="009954EA" w:rsidRPr="00BB42D1" w:rsidRDefault="009954EA" w:rsidP="00630831">
            <w:pPr>
              <w:pStyle w:val="TableTextLeft"/>
              <w:rPr>
                <w:b/>
                <w:bCs/>
              </w:rPr>
            </w:pPr>
            <w:r w:rsidRPr="005C7E14">
              <w:rPr>
                <w:b/>
                <w:bCs/>
              </w:rPr>
              <w:t>No more than 12 months</w:t>
            </w:r>
          </w:p>
        </w:tc>
        <w:tc>
          <w:tcPr>
            <w:tcW w:w="828" w:type="pct"/>
            <w:shd w:val="clear" w:color="auto" w:fill="E7DCF7" w:themeFill="text2" w:themeFillTint="1A"/>
            <w:noWrap/>
            <w:tcMar>
              <w:top w:w="57" w:type="dxa"/>
              <w:bottom w:w="57" w:type="dxa"/>
            </w:tcMar>
            <w:hideMark/>
          </w:tcPr>
          <w:p w14:paraId="412A5747" w14:textId="77777777" w:rsidR="009954EA" w:rsidRPr="006534F5" w:rsidRDefault="009954EA" w:rsidP="00630831">
            <w:pPr>
              <w:pStyle w:val="TableTextRight"/>
            </w:pPr>
            <w:r w:rsidRPr="006534F5">
              <w:t> </w:t>
            </w:r>
          </w:p>
        </w:tc>
        <w:tc>
          <w:tcPr>
            <w:tcW w:w="862" w:type="pct"/>
            <w:noWrap/>
            <w:tcMar>
              <w:top w:w="57" w:type="dxa"/>
              <w:bottom w:w="57" w:type="dxa"/>
            </w:tcMar>
            <w:hideMark/>
          </w:tcPr>
          <w:p w14:paraId="10631F14" w14:textId="77777777" w:rsidR="009954EA" w:rsidRPr="006534F5" w:rsidRDefault="009954EA" w:rsidP="00630831">
            <w:pPr>
              <w:pStyle w:val="TableTextRight"/>
            </w:pPr>
            <w:r w:rsidRPr="006534F5">
              <w:t>  </w:t>
            </w:r>
          </w:p>
        </w:tc>
      </w:tr>
      <w:tr w:rsidR="009954EA" w:rsidRPr="006534F5" w14:paraId="01ACF4AE" w14:textId="77777777" w:rsidTr="006A715B">
        <w:tc>
          <w:tcPr>
            <w:tcW w:w="3310" w:type="pct"/>
            <w:noWrap/>
            <w:tcMar>
              <w:top w:w="57" w:type="dxa"/>
              <w:bottom w:w="57" w:type="dxa"/>
            </w:tcMar>
            <w:hideMark/>
          </w:tcPr>
          <w:p w14:paraId="735810AA" w14:textId="77777777" w:rsidR="009954EA" w:rsidRPr="006534F5" w:rsidRDefault="009954EA" w:rsidP="00630831">
            <w:pPr>
              <w:pStyle w:val="TableTextLeft"/>
            </w:pPr>
            <w:r w:rsidRPr="006534F5">
              <w:t xml:space="preserve">Cash and cash equivalents </w:t>
            </w:r>
          </w:p>
        </w:tc>
        <w:tc>
          <w:tcPr>
            <w:tcW w:w="828" w:type="pct"/>
            <w:shd w:val="clear" w:color="auto" w:fill="E7DCF7" w:themeFill="text2" w:themeFillTint="1A"/>
            <w:noWrap/>
            <w:tcMar>
              <w:top w:w="57" w:type="dxa"/>
              <w:bottom w:w="57" w:type="dxa"/>
            </w:tcMar>
          </w:tcPr>
          <w:p w14:paraId="14843835" w14:textId="77777777" w:rsidR="009954EA" w:rsidRPr="006534F5" w:rsidRDefault="009954EA" w:rsidP="00630831">
            <w:pPr>
              <w:pStyle w:val="TableTextRight"/>
            </w:pPr>
            <w:r>
              <w:t>207</w:t>
            </w:r>
          </w:p>
        </w:tc>
        <w:tc>
          <w:tcPr>
            <w:tcW w:w="862" w:type="pct"/>
            <w:noWrap/>
            <w:tcMar>
              <w:top w:w="57" w:type="dxa"/>
              <w:bottom w:w="57" w:type="dxa"/>
            </w:tcMar>
          </w:tcPr>
          <w:p w14:paraId="2F6CF2D7" w14:textId="77777777" w:rsidR="009954EA" w:rsidRPr="006534F5" w:rsidRDefault="009954EA" w:rsidP="00630831">
            <w:pPr>
              <w:pStyle w:val="TableTextRight"/>
            </w:pPr>
            <w:r>
              <w:t>100</w:t>
            </w:r>
          </w:p>
        </w:tc>
      </w:tr>
      <w:tr w:rsidR="009954EA" w:rsidRPr="006534F5" w14:paraId="3FAD3AC6" w14:textId="77777777" w:rsidTr="006A715B">
        <w:tc>
          <w:tcPr>
            <w:tcW w:w="3310" w:type="pct"/>
            <w:noWrap/>
            <w:tcMar>
              <w:top w:w="57" w:type="dxa"/>
              <w:bottom w:w="57" w:type="dxa"/>
            </w:tcMar>
            <w:hideMark/>
          </w:tcPr>
          <w:p w14:paraId="63337121" w14:textId="77777777" w:rsidR="009954EA" w:rsidRPr="006534F5" w:rsidRDefault="009954EA" w:rsidP="00630831">
            <w:pPr>
              <w:pStyle w:val="TableTextLeft"/>
            </w:pPr>
            <w:r w:rsidRPr="006534F5">
              <w:t>Receivables</w:t>
            </w:r>
          </w:p>
        </w:tc>
        <w:tc>
          <w:tcPr>
            <w:tcW w:w="828" w:type="pct"/>
            <w:shd w:val="clear" w:color="auto" w:fill="E7DCF7" w:themeFill="text2" w:themeFillTint="1A"/>
            <w:noWrap/>
            <w:tcMar>
              <w:top w:w="57" w:type="dxa"/>
              <w:bottom w:w="57" w:type="dxa"/>
            </w:tcMar>
          </w:tcPr>
          <w:p w14:paraId="4787E87D" w14:textId="77777777" w:rsidR="009954EA" w:rsidRPr="006534F5" w:rsidRDefault="009954EA" w:rsidP="00630831">
            <w:pPr>
              <w:pStyle w:val="TableTextRight"/>
            </w:pPr>
            <w:r>
              <w:t>18,962</w:t>
            </w:r>
          </w:p>
        </w:tc>
        <w:tc>
          <w:tcPr>
            <w:tcW w:w="862" w:type="pct"/>
            <w:noWrap/>
            <w:tcMar>
              <w:top w:w="57" w:type="dxa"/>
              <w:bottom w:w="57" w:type="dxa"/>
            </w:tcMar>
          </w:tcPr>
          <w:p w14:paraId="43EEEAA9" w14:textId="77777777" w:rsidR="009954EA" w:rsidRPr="006534F5" w:rsidRDefault="009954EA" w:rsidP="00630831">
            <w:pPr>
              <w:pStyle w:val="TableTextRight"/>
            </w:pPr>
            <w:r>
              <w:t xml:space="preserve">16,890 </w:t>
            </w:r>
          </w:p>
        </w:tc>
      </w:tr>
      <w:tr w:rsidR="009954EA" w:rsidRPr="006534F5" w14:paraId="6CFD7173" w14:textId="77777777" w:rsidTr="006A715B">
        <w:tc>
          <w:tcPr>
            <w:tcW w:w="3310" w:type="pct"/>
            <w:noWrap/>
            <w:tcMar>
              <w:top w:w="57" w:type="dxa"/>
              <w:bottom w:w="57" w:type="dxa"/>
            </w:tcMar>
          </w:tcPr>
          <w:p w14:paraId="73B48E8D" w14:textId="77777777" w:rsidR="009954EA" w:rsidRPr="006534F5" w:rsidRDefault="009954EA" w:rsidP="00630831">
            <w:pPr>
              <w:pStyle w:val="TableTextLeft"/>
            </w:pPr>
            <w:r>
              <w:t>Prepayments</w:t>
            </w:r>
          </w:p>
        </w:tc>
        <w:tc>
          <w:tcPr>
            <w:tcW w:w="828" w:type="pct"/>
            <w:shd w:val="clear" w:color="auto" w:fill="E7DCF7" w:themeFill="text2" w:themeFillTint="1A"/>
            <w:noWrap/>
            <w:tcMar>
              <w:top w:w="57" w:type="dxa"/>
              <w:bottom w:w="57" w:type="dxa"/>
            </w:tcMar>
          </w:tcPr>
          <w:p w14:paraId="70CDA225" w14:textId="77777777" w:rsidR="009954EA" w:rsidRPr="006534F5" w:rsidRDefault="009954EA" w:rsidP="00630831">
            <w:pPr>
              <w:pStyle w:val="TableTextRight"/>
            </w:pPr>
            <w:r>
              <w:t>230</w:t>
            </w:r>
          </w:p>
        </w:tc>
        <w:tc>
          <w:tcPr>
            <w:tcW w:w="862" w:type="pct"/>
            <w:noWrap/>
            <w:tcMar>
              <w:top w:w="57" w:type="dxa"/>
              <w:bottom w:w="57" w:type="dxa"/>
            </w:tcMar>
          </w:tcPr>
          <w:p w14:paraId="1BD24713" w14:textId="77777777" w:rsidR="009954EA" w:rsidRDefault="009954EA" w:rsidP="00630831">
            <w:pPr>
              <w:pStyle w:val="TableTextRight"/>
            </w:pPr>
            <w:r>
              <w:t>494</w:t>
            </w:r>
          </w:p>
        </w:tc>
      </w:tr>
      <w:tr w:rsidR="009954EA" w:rsidRPr="006534F5" w14:paraId="1D22443C" w14:textId="77777777" w:rsidTr="006A715B">
        <w:tc>
          <w:tcPr>
            <w:tcW w:w="3310" w:type="pct"/>
            <w:noWrap/>
            <w:tcMar>
              <w:top w:w="57" w:type="dxa"/>
              <w:bottom w:w="57" w:type="dxa"/>
            </w:tcMar>
            <w:hideMark/>
          </w:tcPr>
          <w:p w14:paraId="51F648E7" w14:textId="77777777" w:rsidR="009954EA" w:rsidRPr="005C7E14" w:rsidRDefault="009954EA" w:rsidP="00630831">
            <w:pPr>
              <w:pStyle w:val="TableTextLeft"/>
              <w:rPr>
                <w:b/>
                <w:bCs/>
              </w:rPr>
            </w:pPr>
            <w:r w:rsidRPr="005C7E14">
              <w:rPr>
                <w:b/>
                <w:bCs/>
              </w:rPr>
              <w:t>Total no more than 12 months</w:t>
            </w:r>
          </w:p>
        </w:tc>
        <w:tc>
          <w:tcPr>
            <w:tcW w:w="828" w:type="pct"/>
            <w:shd w:val="clear" w:color="auto" w:fill="E7DCF7" w:themeFill="text2" w:themeFillTint="1A"/>
            <w:noWrap/>
            <w:tcMar>
              <w:top w:w="57" w:type="dxa"/>
              <w:bottom w:w="57" w:type="dxa"/>
            </w:tcMar>
          </w:tcPr>
          <w:p w14:paraId="7057B722" w14:textId="77777777" w:rsidR="009954EA" w:rsidRPr="00BF62BA" w:rsidRDefault="009954EA" w:rsidP="00630831">
            <w:pPr>
              <w:pStyle w:val="TableTextRight"/>
              <w:rPr>
                <w:b/>
                <w:bCs/>
              </w:rPr>
            </w:pPr>
            <w:r w:rsidRPr="00BF62BA">
              <w:rPr>
                <w:b/>
                <w:bCs/>
              </w:rPr>
              <w:t> 19,</w:t>
            </w:r>
            <w:r>
              <w:rPr>
                <w:b/>
                <w:bCs/>
              </w:rPr>
              <w:t>399</w:t>
            </w:r>
          </w:p>
        </w:tc>
        <w:tc>
          <w:tcPr>
            <w:tcW w:w="862" w:type="pct"/>
            <w:noWrap/>
            <w:tcMar>
              <w:top w:w="57" w:type="dxa"/>
              <w:bottom w:w="57" w:type="dxa"/>
            </w:tcMar>
          </w:tcPr>
          <w:p w14:paraId="70197ECC" w14:textId="77777777" w:rsidR="009954EA" w:rsidRPr="00361348" w:rsidRDefault="009954EA" w:rsidP="00630831">
            <w:pPr>
              <w:pStyle w:val="TableTextRight"/>
              <w:rPr>
                <w:b/>
                <w:bCs/>
              </w:rPr>
            </w:pPr>
            <w:r w:rsidRPr="00361348">
              <w:rPr>
                <w:b/>
                <w:bCs/>
              </w:rPr>
              <w:t>17,484 </w:t>
            </w:r>
          </w:p>
        </w:tc>
      </w:tr>
      <w:tr w:rsidR="009954EA" w:rsidRPr="006534F5" w14:paraId="7FD17152" w14:textId="77777777" w:rsidTr="006A715B">
        <w:tc>
          <w:tcPr>
            <w:tcW w:w="3310" w:type="pct"/>
            <w:noWrap/>
            <w:tcMar>
              <w:top w:w="57" w:type="dxa"/>
              <w:bottom w:w="57" w:type="dxa"/>
            </w:tcMar>
          </w:tcPr>
          <w:p w14:paraId="46A06978" w14:textId="77777777" w:rsidR="009954EA" w:rsidRPr="005C7E14" w:rsidRDefault="009954EA" w:rsidP="00630831">
            <w:pPr>
              <w:pStyle w:val="TableTextLeft"/>
              <w:rPr>
                <w:b/>
                <w:bCs/>
              </w:rPr>
            </w:pPr>
            <w:r w:rsidRPr="005C7E14">
              <w:rPr>
                <w:b/>
                <w:bCs/>
              </w:rPr>
              <w:t>More than 12 months</w:t>
            </w:r>
          </w:p>
        </w:tc>
        <w:tc>
          <w:tcPr>
            <w:tcW w:w="828" w:type="pct"/>
            <w:shd w:val="clear" w:color="auto" w:fill="E7DCF7" w:themeFill="text2" w:themeFillTint="1A"/>
            <w:noWrap/>
            <w:tcMar>
              <w:top w:w="57" w:type="dxa"/>
              <w:bottom w:w="57" w:type="dxa"/>
            </w:tcMar>
          </w:tcPr>
          <w:p w14:paraId="12FAF8DD" w14:textId="77777777" w:rsidR="009954EA" w:rsidRDefault="009954EA" w:rsidP="00630831">
            <w:pPr>
              <w:pStyle w:val="TableTextRight"/>
            </w:pPr>
          </w:p>
        </w:tc>
        <w:tc>
          <w:tcPr>
            <w:tcW w:w="862" w:type="pct"/>
            <w:noWrap/>
            <w:tcMar>
              <w:top w:w="57" w:type="dxa"/>
              <w:bottom w:w="57" w:type="dxa"/>
            </w:tcMar>
          </w:tcPr>
          <w:p w14:paraId="4129E8B6" w14:textId="77777777" w:rsidR="009954EA" w:rsidRDefault="009954EA" w:rsidP="00630831">
            <w:pPr>
              <w:pStyle w:val="TableTextRight"/>
            </w:pPr>
          </w:p>
        </w:tc>
      </w:tr>
      <w:tr w:rsidR="009954EA" w:rsidRPr="006534F5" w14:paraId="570D53E2" w14:textId="77777777" w:rsidTr="006A715B">
        <w:tc>
          <w:tcPr>
            <w:tcW w:w="3310" w:type="pct"/>
            <w:noWrap/>
            <w:tcMar>
              <w:top w:w="57" w:type="dxa"/>
              <w:bottom w:w="57" w:type="dxa"/>
            </w:tcMar>
          </w:tcPr>
          <w:p w14:paraId="20F54383" w14:textId="77777777" w:rsidR="009954EA" w:rsidRPr="005C7E14" w:rsidRDefault="009954EA" w:rsidP="00630831">
            <w:pPr>
              <w:pStyle w:val="TableTextLeft"/>
            </w:pPr>
            <w:r w:rsidRPr="005C7E14">
              <w:t>Receivables</w:t>
            </w:r>
          </w:p>
        </w:tc>
        <w:tc>
          <w:tcPr>
            <w:tcW w:w="828" w:type="pct"/>
            <w:shd w:val="clear" w:color="auto" w:fill="E7DCF7" w:themeFill="text2" w:themeFillTint="1A"/>
            <w:noWrap/>
            <w:tcMar>
              <w:top w:w="57" w:type="dxa"/>
              <w:bottom w:w="57" w:type="dxa"/>
            </w:tcMar>
          </w:tcPr>
          <w:p w14:paraId="7C2BC1A4" w14:textId="77777777" w:rsidR="009954EA" w:rsidRDefault="009954EA" w:rsidP="00630831">
            <w:pPr>
              <w:pStyle w:val="TableTextRight"/>
            </w:pPr>
            <w:r>
              <w:t>17,294</w:t>
            </w:r>
          </w:p>
        </w:tc>
        <w:tc>
          <w:tcPr>
            <w:tcW w:w="862" w:type="pct"/>
            <w:noWrap/>
            <w:tcMar>
              <w:top w:w="57" w:type="dxa"/>
              <w:bottom w:w="57" w:type="dxa"/>
            </w:tcMar>
          </w:tcPr>
          <w:p w14:paraId="35B0B49A" w14:textId="77777777" w:rsidR="009954EA" w:rsidRDefault="009954EA" w:rsidP="00630831">
            <w:pPr>
              <w:pStyle w:val="TableTextRight"/>
            </w:pPr>
            <w:r>
              <w:t>19,688</w:t>
            </w:r>
          </w:p>
        </w:tc>
      </w:tr>
      <w:tr w:rsidR="009954EA" w:rsidRPr="006534F5" w14:paraId="3D538121" w14:textId="77777777" w:rsidTr="006A715B">
        <w:tc>
          <w:tcPr>
            <w:tcW w:w="3310" w:type="pct"/>
            <w:noWrap/>
            <w:tcMar>
              <w:top w:w="57" w:type="dxa"/>
              <w:bottom w:w="57" w:type="dxa"/>
            </w:tcMar>
            <w:hideMark/>
          </w:tcPr>
          <w:p w14:paraId="3557DA12" w14:textId="77777777" w:rsidR="009954EA" w:rsidRPr="005C7E14" w:rsidRDefault="009954EA" w:rsidP="00630831">
            <w:pPr>
              <w:pStyle w:val="TableTextLeft"/>
            </w:pPr>
            <w:r w:rsidRPr="005C7E14">
              <w:t>Property, plant, and equipment</w:t>
            </w:r>
          </w:p>
        </w:tc>
        <w:tc>
          <w:tcPr>
            <w:tcW w:w="828" w:type="pct"/>
            <w:shd w:val="clear" w:color="auto" w:fill="E7DCF7" w:themeFill="text2" w:themeFillTint="1A"/>
            <w:noWrap/>
            <w:tcMar>
              <w:top w:w="57" w:type="dxa"/>
              <w:bottom w:w="57" w:type="dxa"/>
            </w:tcMar>
          </w:tcPr>
          <w:p w14:paraId="0655BDA2" w14:textId="77777777" w:rsidR="009954EA" w:rsidRPr="006534F5" w:rsidRDefault="009954EA" w:rsidP="00630831">
            <w:pPr>
              <w:pStyle w:val="TableTextRight"/>
            </w:pPr>
            <w:r>
              <w:t>5,281</w:t>
            </w:r>
          </w:p>
        </w:tc>
        <w:tc>
          <w:tcPr>
            <w:tcW w:w="862" w:type="pct"/>
            <w:noWrap/>
            <w:tcMar>
              <w:top w:w="57" w:type="dxa"/>
              <w:bottom w:w="57" w:type="dxa"/>
            </w:tcMar>
          </w:tcPr>
          <w:p w14:paraId="2258A235" w14:textId="77777777" w:rsidR="009954EA" w:rsidRPr="006534F5" w:rsidRDefault="009954EA" w:rsidP="00630831">
            <w:pPr>
              <w:pStyle w:val="TableTextRight"/>
            </w:pPr>
            <w:r>
              <w:t xml:space="preserve">5,417 </w:t>
            </w:r>
          </w:p>
        </w:tc>
      </w:tr>
      <w:tr w:rsidR="009954EA" w:rsidRPr="006534F5" w14:paraId="5A76EE2C" w14:textId="77777777" w:rsidTr="006A715B">
        <w:tc>
          <w:tcPr>
            <w:tcW w:w="3310" w:type="pct"/>
            <w:noWrap/>
            <w:tcMar>
              <w:top w:w="57" w:type="dxa"/>
              <w:bottom w:w="57" w:type="dxa"/>
            </w:tcMar>
            <w:hideMark/>
          </w:tcPr>
          <w:p w14:paraId="478D9978" w14:textId="77777777" w:rsidR="009954EA" w:rsidRPr="00BA1E81" w:rsidRDefault="009954EA" w:rsidP="00630831">
            <w:pPr>
              <w:pStyle w:val="TableTextLeft"/>
              <w:rPr>
                <w:b/>
                <w:bCs/>
              </w:rPr>
            </w:pPr>
            <w:r w:rsidRPr="00BA1E81">
              <w:rPr>
                <w:b/>
                <w:bCs/>
              </w:rPr>
              <w:t>Total more than 12 months</w:t>
            </w:r>
          </w:p>
        </w:tc>
        <w:tc>
          <w:tcPr>
            <w:tcW w:w="828" w:type="pct"/>
            <w:shd w:val="clear" w:color="auto" w:fill="E7DCF7" w:themeFill="text2" w:themeFillTint="1A"/>
            <w:noWrap/>
            <w:tcMar>
              <w:top w:w="57" w:type="dxa"/>
              <w:bottom w:w="57" w:type="dxa"/>
            </w:tcMar>
          </w:tcPr>
          <w:p w14:paraId="1E455934" w14:textId="77777777" w:rsidR="009954EA" w:rsidRPr="006534F5" w:rsidRDefault="009954EA" w:rsidP="00630831">
            <w:pPr>
              <w:pStyle w:val="TableTextRight"/>
              <w:rPr>
                <w:b/>
                <w:bCs/>
              </w:rPr>
            </w:pPr>
            <w:r>
              <w:rPr>
                <w:b/>
                <w:bCs/>
              </w:rPr>
              <w:t>22,575</w:t>
            </w:r>
          </w:p>
        </w:tc>
        <w:tc>
          <w:tcPr>
            <w:tcW w:w="862" w:type="pct"/>
            <w:noWrap/>
            <w:tcMar>
              <w:top w:w="57" w:type="dxa"/>
              <w:bottom w:w="57" w:type="dxa"/>
            </w:tcMar>
          </w:tcPr>
          <w:p w14:paraId="657BD3BD" w14:textId="77777777" w:rsidR="009954EA" w:rsidRPr="006534F5" w:rsidRDefault="009954EA" w:rsidP="00630831">
            <w:pPr>
              <w:pStyle w:val="TableTextRight"/>
              <w:rPr>
                <w:b/>
                <w:bCs/>
              </w:rPr>
            </w:pPr>
            <w:r>
              <w:rPr>
                <w:b/>
                <w:bCs/>
              </w:rPr>
              <w:t xml:space="preserve">25,105 </w:t>
            </w:r>
          </w:p>
        </w:tc>
      </w:tr>
      <w:tr w:rsidR="009954EA" w:rsidRPr="006534F5" w14:paraId="321AF990" w14:textId="77777777" w:rsidTr="006A715B">
        <w:tc>
          <w:tcPr>
            <w:tcW w:w="3310" w:type="pct"/>
            <w:tcBorders>
              <w:bottom w:val="single" w:sz="4" w:space="0" w:color="29114B" w:themeColor="text2"/>
            </w:tcBorders>
            <w:noWrap/>
            <w:tcMar>
              <w:top w:w="57" w:type="dxa"/>
              <w:bottom w:w="57" w:type="dxa"/>
            </w:tcMar>
          </w:tcPr>
          <w:p w14:paraId="1F9BF922" w14:textId="77777777" w:rsidR="009954EA" w:rsidRPr="00BA1E81" w:rsidRDefault="009954EA" w:rsidP="00630831">
            <w:pPr>
              <w:pStyle w:val="TableTextLeft"/>
              <w:rPr>
                <w:b/>
                <w:bCs/>
              </w:rPr>
            </w:pPr>
            <w:r w:rsidRPr="00BA1E81">
              <w:rPr>
                <w:b/>
                <w:bCs/>
              </w:rPr>
              <w:t>Total assets</w:t>
            </w:r>
          </w:p>
        </w:tc>
        <w:tc>
          <w:tcPr>
            <w:tcW w:w="828" w:type="pct"/>
            <w:tcBorders>
              <w:bottom w:val="single" w:sz="4" w:space="0" w:color="29114B" w:themeColor="text2"/>
            </w:tcBorders>
            <w:shd w:val="clear" w:color="auto" w:fill="E7DCF7" w:themeFill="text2" w:themeFillTint="1A"/>
            <w:noWrap/>
            <w:tcMar>
              <w:top w:w="57" w:type="dxa"/>
              <w:bottom w:w="57" w:type="dxa"/>
            </w:tcMar>
          </w:tcPr>
          <w:p w14:paraId="3DB15D73" w14:textId="77777777" w:rsidR="009954EA" w:rsidRPr="006534F5" w:rsidRDefault="009954EA" w:rsidP="00630831">
            <w:pPr>
              <w:pStyle w:val="TableTextRight"/>
              <w:rPr>
                <w:b/>
                <w:bCs/>
              </w:rPr>
            </w:pPr>
            <w:r>
              <w:rPr>
                <w:b/>
                <w:bCs/>
              </w:rPr>
              <w:t>41,974</w:t>
            </w:r>
          </w:p>
        </w:tc>
        <w:tc>
          <w:tcPr>
            <w:tcW w:w="862" w:type="pct"/>
            <w:tcBorders>
              <w:bottom w:val="single" w:sz="4" w:space="0" w:color="29114B" w:themeColor="text2"/>
            </w:tcBorders>
            <w:noWrap/>
            <w:tcMar>
              <w:top w:w="57" w:type="dxa"/>
              <w:bottom w:w="57" w:type="dxa"/>
            </w:tcMar>
          </w:tcPr>
          <w:p w14:paraId="585AE549" w14:textId="77777777" w:rsidR="009954EA" w:rsidRDefault="009954EA" w:rsidP="00630831">
            <w:pPr>
              <w:pStyle w:val="TableTextRight"/>
              <w:rPr>
                <w:b/>
                <w:bCs/>
              </w:rPr>
            </w:pPr>
            <w:r>
              <w:rPr>
                <w:b/>
                <w:bCs/>
              </w:rPr>
              <w:t>42,589</w:t>
            </w:r>
          </w:p>
        </w:tc>
      </w:tr>
      <w:tr w:rsidR="009954EA" w:rsidRPr="006534F5" w14:paraId="7DE957F3" w14:textId="77777777" w:rsidTr="00592520">
        <w:tc>
          <w:tcPr>
            <w:tcW w:w="3310" w:type="pct"/>
            <w:tcBorders>
              <w:top w:val="single" w:sz="4" w:space="0" w:color="29114B" w:themeColor="text2"/>
              <w:right w:val="single" w:sz="4" w:space="0" w:color="FFFFFF" w:themeColor="background1"/>
            </w:tcBorders>
            <w:shd w:val="clear" w:color="auto" w:fill="auto"/>
            <w:noWrap/>
            <w:tcMar>
              <w:top w:w="57" w:type="dxa"/>
              <w:bottom w:w="57" w:type="dxa"/>
            </w:tcMar>
            <w:hideMark/>
          </w:tcPr>
          <w:p w14:paraId="4FE4CD32" w14:textId="77777777" w:rsidR="009954EA" w:rsidRPr="00592520" w:rsidRDefault="009954EA" w:rsidP="00630831">
            <w:pPr>
              <w:pStyle w:val="TableSecondHeading"/>
              <w:rPr>
                <w:b/>
              </w:rPr>
            </w:pPr>
            <w:r w:rsidRPr="00592520">
              <w:rPr>
                <w:b/>
              </w:rPr>
              <w:t>Liabilities expected to be recovered in:</w:t>
            </w:r>
          </w:p>
        </w:tc>
        <w:tc>
          <w:tcPr>
            <w:tcW w:w="828" w:type="pct"/>
            <w:tcBorders>
              <w:top w:val="single" w:sz="4" w:space="0" w:color="29114B" w:themeColor="text2"/>
              <w:left w:val="single" w:sz="4" w:space="0" w:color="FFFFFF" w:themeColor="background1"/>
              <w:right w:val="single" w:sz="4" w:space="0" w:color="FFFFFF" w:themeColor="background1"/>
            </w:tcBorders>
            <w:shd w:val="clear" w:color="auto" w:fill="auto"/>
            <w:noWrap/>
            <w:tcMar>
              <w:top w:w="57" w:type="dxa"/>
              <w:bottom w:w="57" w:type="dxa"/>
            </w:tcMar>
          </w:tcPr>
          <w:p w14:paraId="17A0E6BC" w14:textId="77777777" w:rsidR="009954EA" w:rsidRPr="00592520" w:rsidRDefault="009954EA" w:rsidP="00630831">
            <w:pPr>
              <w:pStyle w:val="TableTextRight"/>
              <w:rPr>
                <w:b/>
              </w:rPr>
            </w:pPr>
            <w:r w:rsidRPr="00592520">
              <w:rPr>
                <w:b/>
              </w:rPr>
              <w:t> </w:t>
            </w:r>
          </w:p>
        </w:tc>
        <w:tc>
          <w:tcPr>
            <w:tcW w:w="862" w:type="pct"/>
            <w:tcBorders>
              <w:top w:val="single" w:sz="4" w:space="0" w:color="29114B" w:themeColor="text2"/>
              <w:left w:val="single" w:sz="4" w:space="0" w:color="FFFFFF" w:themeColor="background1"/>
            </w:tcBorders>
            <w:shd w:val="clear" w:color="auto" w:fill="auto"/>
            <w:noWrap/>
            <w:tcMar>
              <w:top w:w="57" w:type="dxa"/>
              <w:bottom w:w="57" w:type="dxa"/>
            </w:tcMar>
          </w:tcPr>
          <w:p w14:paraId="12C07F89" w14:textId="77777777" w:rsidR="009954EA" w:rsidRPr="00592520" w:rsidRDefault="009954EA" w:rsidP="00630831">
            <w:pPr>
              <w:pStyle w:val="TableTextRight"/>
              <w:rPr>
                <w:b/>
              </w:rPr>
            </w:pPr>
            <w:r w:rsidRPr="00592520">
              <w:rPr>
                <w:b/>
              </w:rPr>
              <w:t> </w:t>
            </w:r>
          </w:p>
        </w:tc>
      </w:tr>
      <w:tr w:rsidR="009954EA" w:rsidRPr="006534F5" w14:paraId="4FEEA1CA" w14:textId="77777777" w:rsidTr="006A715B">
        <w:tc>
          <w:tcPr>
            <w:tcW w:w="3310" w:type="pct"/>
            <w:noWrap/>
            <w:tcMar>
              <w:top w:w="57" w:type="dxa"/>
              <w:bottom w:w="57" w:type="dxa"/>
            </w:tcMar>
            <w:hideMark/>
          </w:tcPr>
          <w:p w14:paraId="7BDFF36B" w14:textId="77777777" w:rsidR="009954EA" w:rsidRPr="00B93507" w:rsidRDefault="009954EA" w:rsidP="00630831">
            <w:pPr>
              <w:pStyle w:val="TableTextLeft"/>
              <w:rPr>
                <w:rStyle w:val="Strong"/>
              </w:rPr>
            </w:pPr>
            <w:r w:rsidRPr="00BA1E81">
              <w:rPr>
                <w:b/>
                <w:bCs/>
              </w:rPr>
              <w:t>No more than 12 months</w:t>
            </w:r>
          </w:p>
        </w:tc>
        <w:tc>
          <w:tcPr>
            <w:tcW w:w="828" w:type="pct"/>
            <w:shd w:val="clear" w:color="auto" w:fill="E7DCF7" w:themeFill="text2" w:themeFillTint="1A"/>
            <w:noWrap/>
            <w:tcMar>
              <w:top w:w="57" w:type="dxa"/>
              <w:bottom w:w="57" w:type="dxa"/>
            </w:tcMar>
          </w:tcPr>
          <w:p w14:paraId="598A50AC" w14:textId="77777777" w:rsidR="009954EA" w:rsidRPr="006534F5" w:rsidRDefault="009954EA" w:rsidP="00630831">
            <w:pPr>
              <w:pStyle w:val="TableTextRight"/>
            </w:pPr>
            <w:r w:rsidRPr="006534F5">
              <w:t> </w:t>
            </w:r>
          </w:p>
        </w:tc>
        <w:tc>
          <w:tcPr>
            <w:tcW w:w="862" w:type="pct"/>
            <w:noWrap/>
            <w:tcMar>
              <w:top w:w="57" w:type="dxa"/>
              <w:bottom w:w="57" w:type="dxa"/>
            </w:tcMar>
          </w:tcPr>
          <w:p w14:paraId="2A45B99E" w14:textId="77777777" w:rsidR="009954EA" w:rsidRPr="006534F5" w:rsidRDefault="009954EA" w:rsidP="00630831">
            <w:pPr>
              <w:pStyle w:val="TableTextRight"/>
            </w:pPr>
            <w:r w:rsidRPr="006534F5">
              <w:t> </w:t>
            </w:r>
          </w:p>
        </w:tc>
      </w:tr>
      <w:tr w:rsidR="009954EA" w:rsidRPr="006534F5" w14:paraId="2A4F8E52" w14:textId="77777777" w:rsidTr="006A715B">
        <w:tc>
          <w:tcPr>
            <w:tcW w:w="3310" w:type="pct"/>
            <w:noWrap/>
            <w:tcMar>
              <w:top w:w="57" w:type="dxa"/>
              <w:bottom w:w="57" w:type="dxa"/>
            </w:tcMar>
            <w:hideMark/>
          </w:tcPr>
          <w:p w14:paraId="10C18F7D" w14:textId="77777777" w:rsidR="009954EA" w:rsidRPr="006534F5" w:rsidRDefault="009954EA" w:rsidP="00630831">
            <w:pPr>
              <w:pStyle w:val="TableTextLeft"/>
            </w:pPr>
            <w:r>
              <w:t>Supplier payables</w:t>
            </w:r>
          </w:p>
        </w:tc>
        <w:tc>
          <w:tcPr>
            <w:tcW w:w="828" w:type="pct"/>
            <w:shd w:val="clear" w:color="auto" w:fill="E7DCF7" w:themeFill="text2" w:themeFillTint="1A"/>
            <w:noWrap/>
            <w:tcMar>
              <w:top w:w="57" w:type="dxa"/>
              <w:bottom w:w="57" w:type="dxa"/>
            </w:tcMar>
          </w:tcPr>
          <w:p w14:paraId="6CAA5E5D" w14:textId="77777777" w:rsidR="009954EA" w:rsidRPr="006534F5" w:rsidRDefault="009954EA" w:rsidP="00630831">
            <w:pPr>
              <w:pStyle w:val="TableTextRight"/>
            </w:pPr>
            <w:r>
              <w:t>778</w:t>
            </w:r>
          </w:p>
        </w:tc>
        <w:tc>
          <w:tcPr>
            <w:tcW w:w="862" w:type="pct"/>
            <w:noWrap/>
            <w:tcMar>
              <w:top w:w="57" w:type="dxa"/>
              <w:bottom w:w="57" w:type="dxa"/>
            </w:tcMar>
          </w:tcPr>
          <w:p w14:paraId="5EF2F937" w14:textId="77777777" w:rsidR="009954EA" w:rsidRPr="006534F5" w:rsidRDefault="009954EA" w:rsidP="00630831">
            <w:pPr>
              <w:pStyle w:val="TableTextRight"/>
            </w:pPr>
            <w:r>
              <w:t>869</w:t>
            </w:r>
          </w:p>
        </w:tc>
      </w:tr>
      <w:tr w:rsidR="009954EA" w:rsidRPr="006534F5" w14:paraId="64BF9785" w14:textId="77777777" w:rsidTr="006A715B">
        <w:tc>
          <w:tcPr>
            <w:tcW w:w="3310" w:type="pct"/>
            <w:noWrap/>
            <w:tcMar>
              <w:top w:w="57" w:type="dxa"/>
              <w:bottom w:w="57" w:type="dxa"/>
            </w:tcMar>
            <w:hideMark/>
          </w:tcPr>
          <w:p w14:paraId="4913A360" w14:textId="77777777" w:rsidR="009954EA" w:rsidRPr="006534F5" w:rsidRDefault="009954EA" w:rsidP="00630831">
            <w:pPr>
              <w:pStyle w:val="TableTextLeft"/>
            </w:pPr>
            <w:r>
              <w:t>Employee payables</w:t>
            </w:r>
          </w:p>
        </w:tc>
        <w:tc>
          <w:tcPr>
            <w:tcW w:w="828" w:type="pct"/>
            <w:shd w:val="clear" w:color="auto" w:fill="E7DCF7" w:themeFill="text2" w:themeFillTint="1A"/>
            <w:noWrap/>
            <w:tcMar>
              <w:top w:w="57" w:type="dxa"/>
              <w:bottom w:w="57" w:type="dxa"/>
            </w:tcMar>
          </w:tcPr>
          <w:p w14:paraId="116F6D93" w14:textId="77777777" w:rsidR="009954EA" w:rsidRPr="006534F5" w:rsidRDefault="009954EA" w:rsidP="00630831">
            <w:pPr>
              <w:pStyle w:val="TableTextRight"/>
            </w:pPr>
            <w:r>
              <w:t>292</w:t>
            </w:r>
          </w:p>
        </w:tc>
        <w:tc>
          <w:tcPr>
            <w:tcW w:w="862" w:type="pct"/>
            <w:noWrap/>
            <w:tcMar>
              <w:top w:w="57" w:type="dxa"/>
              <w:bottom w:w="57" w:type="dxa"/>
            </w:tcMar>
          </w:tcPr>
          <w:p w14:paraId="7ACB4FC1" w14:textId="77777777" w:rsidR="009954EA" w:rsidRPr="006534F5" w:rsidRDefault="009954EA" w:rsidP="00630831">
            <w:pPr>
              <w:pStyle w:val="TableTextRight"/>
            </w:pPr>
            <w:r>
              <w:t xml:space="preserve">264 </w:t>
            </w:r>
          </w:p>
        </w:tc>
      </w:tr>
      <w:tr w:rsidR="009954EA" w:rsidRPr="006534F5" w14:paraId="7673C8A7" w14:textId="77777777" w:rsidTr="006A715B">
        <w:tc>
          <w:tcPr>
            <w:tcW w:w="3310" w:type="pct"/>
            <w:noWrap/>
            <w:tcMar>
              <w:top w:w="57" w:type="dxa"/>
              <w:bottom w:w="57" w:type="dxa"/>
            </w:tcMar>
          </w:tcPr>
          <w:p w14:paraId="2524C5A0" w14:textId="77777777" w:rsidR="009954EA" w:rsidRPr="00011057" w:rsidRDefault="009954EA" w:rsidP="00630831">
            <w:pPr>
              <w:pStyle w:val="TableTextLeft"/>
              <w:rPr>
                <w:b/>
                <w:bCs/>
              </w:rPr>
            </w:pPr>
            <w:r w:rsidRPr="00011057">
              <w:rPr>
                <w:rStyle w:val="Strong"/>
                <w:b w:val="0"/>
                <w:bCs w:val="0"/>
              </w:rPr>
              <w:t>Employee provisions</w:t>
            </w:r>
          </w:p>
        </w:tc>
        <w:tc>
          <w:tcPr>
            <w:tcW w:w="828" w:type="pct"/>
            <w:shd w:val="clear" w:color="auto" w:fill="E7DCF7" w:themeFill="text2" w:themeFillTint="1A"/>
            <w:noWrap/>
            <w:tcMar>
              <w:top w:w="57" w:type="dxa"/>
              <w:bottom w:w="57" w:type="dxa"/>
            </w:tcMar>
          </w:tcPr>
          <w:p w14:paraId="0EBE4BB7" w14:textId="77777777" w:rsidR="009954EA" w:rsidRPr="006534F5" w:rsidRDefault="009954EA" w:rsidP="00630831">
            <w:pPr>
              <w:pStyle w:val="TableTextRight"/>
            </w:pPr>
            <w:r>
              <w:t>1,018</w:t>
            </w:r>
          </w:p>
        </w:tc>
        <w:tc>
          <w:tcPr>
            <w:tcW w:w="862" w:type="pct"/>
            <w:noWrap/>
            <w:tcMar>
              <w:top w:w="57" w:type="dxa"/>
              <w:bottom w:w="57" w:type="dxa"/>
            </w:tcMar>
          </w:tcPr>
          <w:p w14:paraId="356B74FC" w14:textId="77777777" w:rsidR="009954EA" w:rsidRDefault="009954EA" w:rsidP="00630831">
            <w:pPr>
              <w:pStyle w:val="TableTextRight"/>
            </w:pPr>
            <w:r>
              <w:t>974</w:t>
            </w:r>
          </w:p>
        </w:tc>
      </w:tr>
      <w:tr w:rsidR="009954EA" w:rsidRPr="006534F5" w14:paraId="7EBC0A34" w14:textId="77777777" w:rsidTr="006A715B">
        <w:tc>
          <w:tcPr>
            <w:tcW w:w="3310" w:type="pct"/>
            <w:noWrap/>
            <w:tcMar>
              <w:top w:w="57" w:type="dxa"/>
              <w:bottom w:w="57" w:type="dxa"/>
            </w:tcMar>
          </w:tcPr>
          <w:p w14:paraId="52E59817" w14:textId="77777777" w:rsidR="009954EA" w:rsidRDefault="009954EA" w:rsidP="00630831">
            <w:pPr>
              <w:pStyle w:val="TableTextLeft"/>
            </w:pPr>
            <w:r>
              <w:t>Lease liabilities</w:t>
            </w:r>
          </w:p>
        </w:tc>
        <w:tc>
          <w:tcPr>
            <w:tcW w:w="828" w:type="pct"/>
            <w:shd w:val="clear" w:color="auto" w:fill="E7DCF7" w:themeFill="text2" w:themeFillTint="1A"/>
            <w:noWrap/>
            <w:tcMar>
              <w:top w:w="57" w:type="dxa"/>
              <w:bottom w:w="57" w:type="dxa"/>
            </w:tcMar>
          </w:tcPr>
          <w:p w14:paraId="4D089A13" w14:textId="77777777" w:rsidR="009954EA" w:rsidRPr="006534F5" w:rsidRDefault="009954EA" w:rsidP="00630831">
            <w:pPr>
              <w:pStyle w:val="TableTextRight"/>
            </w:pPr>
            <w:r>
              <w:t>323</w:t>
            </w:r>
          </w:p>
        </w:tc>
        <w:tc>
          <w:tcPr>
            <w:tcW w:w="862" w:type="pct"/>
            <w:noWrap/>
            <w:tcMar>
              <w:top w:w="57" w:type="dxa"/>
              <w:bottom w:w="57" w:type="dxa"/>
            </w:tcMar>
          </w:tcPr>
          <w:p w14:paraId="5E0B9E12" w14:textId="77777777" w:rsidR="009954EA" w:rsidRDefault="009954EA" w:rsidP="00630831">
            <w:pPr>
              <w:pStyle w:val="TableTextRight"/>
            </w:pPr>
            <w:r>
              <w:t>261</w:t>
            </w:r>
          </w:p>
        </w:tc>
      </w:tr>
      <w:tr w:rsidR="009954EA" w:rsidRPr="006534F5" w14:paraId="06B5BE3C" w14:textId="77777777" w:rsidTr="006A715B">
        <w:tc>
          <w:tcPr>
            <w:tcW w:w="3310" w:type="pct"/>
            <w:noWrap/>
            <w:tcMar>
              <w:top w:w="57" w:type="dxa"/>
              <w:bottom w:w="57" w:type="dxa"/>
            </w:tcMar>
          </w:tcPr>
          <w:p w14:paraId="0EE05BCA" w14:textId="77777777" w:rsidR="009954EA" w:rsidRPr="00BA1E81" w:rsidRDefault="009954EA" w:rsidP="00630831">
            <w:pPr>
              <w:pStyle w:val="TableTextLeft"/>
              <w:rPr>
                <w:b/>
                <w:bCs/>
              </w:rPr>
            </w:pPr>
            <w:r w:rsidRPr="00BA1E81">
              <w:rPr>
                <w:b/>
                <w:bCs/>
              </w:rPr>
              <w:t>Total no more than 12 months</w:t>
            </w:r>
          </w:p>
        </w:tc>
        <w:tc>
          <w:tcPr>
            <w:tcW w:w="828" w:type="pct"/>
            <w:shd w:val="clear" w:color="auto" w:fill="E7DCF7" w:themeFill="text2" w:themeFillTint="1A"/>
            <w:noWrap/>
            <w:tcMar>
              <w:top w:w="57" w:type="dxa"/>
              <w:bottom w:w="57" w:type="dxa"/>
            </w:tcMar>
          </w:tcPr>
          <w:p w14:paraId="502E0144" w14:textId="77777777" w:rsidR="009954EA" w:rsidRPr="00BF62BA" w:rsidRDefault="009954EA" w:rsidP="00630831">
            <w:pPr>
              <w:pStyle w:val="TableTextRight"/>
              <w:rPr>
                <w:b/>
                <w:bCs/>
              </w:rPr>
            </w:pPr>
            <w:r>
              <w:rPr>
                <w:b/>
                <w:bCs/>
              </w:rPr>
              <w:t>2,411</w:t>
            </w:r>
            <w:r w:rsidRPr="00BF62BA">
              <w:rPr>
                <w:b/>
                <w:bCs/>
              </w:rPr>
              <w:t> </w:t>
            </w:r>
          </w:p>
        </w:tc>
        <w:tc>
          <w:tcPr>
            <w:tcW w:w="862" w:type="pct"/>
            <w:noWrap/>
            <w:tcMar>
              <w:top w:w="57" w:type="dxa"/>
              <w:bottom w:w="57" w:type="dxa"/>
            </w:tcMar>
          </w:tcPr>
          <w:p w14:paraId="0FF35FFA" w14:textId="77777777" w:rsidR="009954EA" w:rsidRDefault="009954EA" w:rsidP="00630831">
            <w:pPr>
              <w:pStyle w:val="TableTextRight"/>
            </w:pPr>
            <w:r>
              <w:rPr>
                <w:b/>
                <w:bCs/>
              </w:rPr>
              <w:t>2,368</w:t>
            </w:r>
            <w:r w:rsidRPr="00361348">
              <w:rPr>
                <w:b/>
                <w:bCs/>
              </w:rPr>
              <w:t> </w:t>
            </w:r>
          </w:p>
        </w:tc>
      </w:tr>
      <w:tr w:rsidR="009954EA" w:rsidRPr="006534F5" w14:paraId="7CDE7F22" w14:textId="77777777" w:rsidTr="006A715B">
        <w:tc>
          <w:tcPr>
            <w:tcW w:w="3310" w:type="pct"/>
            <w:noWrap/>
            <w:tcMar>
              <w:top w:w="57" w:type="dxa"/>
              <w:bottom w:w="57" w:type="dxa"/>
            </w:tcMar>
            <w:hideMark/>
          </w:tcPr>
          <w:p w14:paraId="054FB10F" w14:textId="77777777" w:rsidR="009954EA" w:rsidRPr="00BA1E81" w:rsidRDefault="009954EA" w:rsidP="00630831">
            <w:pPr>
              <w:pStyle w:val="TableTextLeft"/>
              <w:rPr>
                <w:b/>
                <w:bCs/>
              </w:rPr>
            </w:pPr>
            <w:r w:rsidRPr="00BA1E81">
              <w:rPr>
                <w:b/>
                <w:bCs/>
              </w:rPr>
              <w:t>More than 12 months</w:t>
            </w:r>
          </w:p>
        </w:tc>
        <w:tc>
          <w:tcPr>
            <w:tcW w:w="828" w:type="pct"/>
            <w:shd w:val="clear" w:color="auto" w:fill="E7DCF7" w:themeFill="text2" w:themeFillTint="1A"/>
            <w:noWrap/>
            <w:tcMar>
              <w:top w:w="57" w:type="dxa"/>
              <w:bottom w:w="57" w:type="dxa"/>
            </w:tcMar>
          </w:tcPr>
          <w:p w14:paraId="5D4834D6" w14:textId="77777777" w:rsidR="009954EA" w:rsidRPr="00311520" w:rsidRDefault="009954EA" w:rsidP="00630831">
            <w:pPr>
              <w:pStyle w:val="TableTextRight"/>
            </w:pPr>
          </w:p>
        </w:tc>
        <w:tc>
          <w:tcPr>
            <w:tcW w:w="862" w:type="pct"/>
            <w:noWrap/>
            <w:tcMar>
              <w:top w:w="57" w:type="dxa"/>
              <w:bottom w:w="57" w:type="dxa"/>
            </w:tcMar>
          </w:tcPr>
          <w:p w14:paraId="361FCBE9" w14:textId="77777777" w:rsidR="009954EA" w:rsidRPr="00311520" w:rsidRDefault="009954EA" w:rsidP="00630831">
            <w:pPr>
              <w:pStyle w:val="TableTextRight"/>
            </w:pPr>
          </w:p>
        </w:tc>
      </w:tr>
      <w:tr w:rsidR="009954EA" w:rsidRPr="006534F5" w14:paraId="65F69F66" w14:textId="77777777" w:rsidTr="006A715B">
        <w:tc>
          <w:tcPr>
            <w:tcW w:w="3310" w:type="pct"/>
            <w:noWrap/>
            <w:tcMar>
              <w:top w:w="57" w:type="dxa"/>
              <w:bottom w:w="57" w:type="dxa"/>
            </w:tcMar>
          </w:tcPr>
          <w:p w14:paraId="7EC04537" w14:textId="77777777" w:rsidR="009954EA" w:rsidRPr="00BA1E81" w:rsidRDefault="009954EA" w:rsidP="00630831">
            <w:pPr>
              <w:pStyle w:val="TableTextLeft"/>
            </w:pPr>
            <w:r w:rsidRPr="00BA1E81">
              <w:t>Employee provisions</w:t>
            </w:r>
          </w:p>
        </w:tc>
        <w:tc>
          <w:tcPr>
            <w:tcW w:w="828" w:type="pct"/>
            <w:shd w:val="clear" w:color="auto" w:fill="E7DCF7" w:themeFill="text2" w:themeFillTint="1A"/>
            <w:noWrap/>
            <w:tcMar>
              <w:top w:w="57" w:type="dxa"/>
              <w:bottom w:w="57" w:type="dxa"/>
            </w:tcMar>
          </w:tcPr>
          <w:p w14:paraId="312C5793" w14:textId="77777777" w:rsidR="009954EA" w:rsidRPr="00011057" w:rsidRDefault="009954EA" w:rsidP="00630831">
            <w:pPr>
              <w:pStyle w:val="TableTextRight"/>
              <w:rPr>
                <w:rStyle w:val="Strong"/>
                <w:b w:val="0"/>
                <w:bCs w:val="0"/>
              </w:rPr>
            </w:pPr>
            <w:r w:rsidRPr="00011057">
              <w:rPr>
                <w:rStyle w:val="Strong"/>
                <w:b w:val="0"/>
                <w:bCs w:val="0"/>
              </w:rPr>
              <w:t>1,649</w:t>
            </w:r>
          </w:p>
        </w:tc>
        <w:tc>
          <w:tcPr>
            <w:tcW w:w="862" w:type="pct"/>
            <w:noWrap/>
            <w:tcMar>
              <w:top w:w="57" w:type="dxa"/>
              <w:bottom w:w="57" w:type="dxa"/>
            </w:tcMar>
          </w:tcPr>
          <w:p w14:paraId="0D288157" w14:textId="77777777" w:rsidR="009954EA" w:rsidRDefault="009954EA" w:rsidP="00630831">
            <w:pPr>
              <w:pStyle w:val="TableTextRight"/>
            </w:pPr>
            <w:r>
              <w:t>2,301</w:t>
            </w:r>
          </w:p>
        </w:tc>
      </w:tr>
      <w:tr w:rsidR="009954EA" w:rsidRPr="006534F5" w14:paraId="3262480B" w14:textId="77777777" w:rsidTr="006A715B">
        <w:tc>
          <w:tcPr>
            <w:tcW w:w="3310" w:type="pct"/>
            <w:noWrap/>
            <w:tcMar>
              <w:top w:w="57" w:type="dxa"/>
              <w:bottom w:w="57" w:type="dxa"/>
            </w:tcMar>
            <w:hideMark/>
          </w:tcPr>
          <w:p w14:paraId="414E001E" w14:textId="77777777" w:rsidR="009954EA" w:rsidRPr="00BA1E81" w:rsidRDefault="009954EA" w:rsidP="00630831">
            <w:pPr>
              <w:pStyle w:val="TableTextLeft"/>
            </w:pPr>
            <w:r w:rsidRPr="00BA1E81">
              <w:t>Lease liabilities</w:t>
            </w:r>
          </w:p>
        </w:tc>
        <w:tc>
          <w:tcPr>
            <w:tcW w:w="828" w:type="pct"/>
            <w:shd w:val="clear" w:color="auto" w:fill="E7DCF7" w:themeFill="text2" w:themeFillTint="1A"/>
            <w:noWrap/>
            <w:tcMar>
              <w:top w:w="57" w:type="dxa"/>
              <w:bottom w:w="57" w:type="dxa"/>
            </w:tcMar>
          </w:tcPr>
          <w:p w14:paraId="68676699" w14:textId="77777777" w:rsidR="009954EA" w:rsidRPr="006534F5" w:rsidRDefault="009954EA" w:rsidP="00630831">
            <w:pPr>
              <w:pStyle w:val="TableTextRight"/>
            </w:pPr>
            <w:r>
              <w:t>3,196</w:t>
            </w:r>
          </w:p>
        </w:tc>
        <w:tc>
          <w:tcPr>
            <w:tcW w:w="862" w:type="pct"/>
            <w:noWrap/>
            <w:tcMar>
              <w:top w:w="57" w:type="dxa"/>
              <w:bottom w:w="57" w:type="dxa"/>
            </w:tcMar>
          </w:tcPr>
          <w:p w14:paraId="61D7E468" w14:textId="77777777" w:rsidR="009954EA" w:rsidRPr="006534F5" w:rsidRDefault="009954EA" w:rsidP="00630831">
            <w:pPr>
              <w:pStyle w:val="TableTextRight"/>
            </w:pPr>
            <w:r>
              <w:t xml:space="preserve">3,388 </w:t>
            </w:r>
          </w:p>
        </w:tc>
      </w:tr>
      <w:tr w:rsidR="009954EA" w:rsidRPr="006534F5" w14:paraId="7E341F46" w14:textId="77777777" w:rsidTr="006A715B">
        <w:tc>
          <w:tcPr>
            <w:tcW w:w="3310" w:type="pct"/>
            <w:noWrap/>
            <w:tcMar>
              <w:top w:w="57" w:type="dxa"/>
              <w:bottom w:w="57" w:type="dxa"/>
            </w:tcMar>
            <w:hideMark/>
          </w:tcPr>
          <w:p w14:paraId="7F7294CD" w14:textId="77777777" w:rsidR="009954EA" w:rsidRPr="00BA1E81" w:rsidRDefault="009954EA" w:rsidP="00630831">
            <w:pPr>
              <w:pStyle w:val="TableTextLeft"/>
            </w:pPr>
            <w:r w:rsidRPr="00BA1E81">
              <w:t>Other provisions</w:t>
            </w:r>
          </w:p>
        </w:tc>
        <w:tc>
          <w:tcPr>
            <w:tcW w:w="828" w:type="pct"/>
            <w:shd w:val="clear" w:color="auto" w:fill="E7DCF7" w:themeFill="text2" w:themeFillTint="1A"/>
            <w:noWrap/>
            <w:tcMar>
              <w:top w:w="57" w:type="dxa"/>
              <w:bottom w:w="57" w:type="dxa"/>
            </w:tcMar>
          </w:tcPr>
          <w:p w14:paraId="69C36F43" w14:textId="77777777" w:rsidR="009954EA" w:rsidRPr="006534F5" w:rsidRDefault="009954EA" w:rsidP="00630831">
            <w:pPr>
              <w:pStyle w:val="TableTextRight"/>
            </w:pPr>
            <w:r>
              <w:t>623</w:t>
            </w:r>
          </w:p>
        </w:tc>
        <w:tc>
          <w:tcPr>
            <w:tcW w:w="862" w:type="pct"/>
            <w:noWrap/>
            <w:tcMar>
              <w:top w:w="57" w:type="dxa"/>
              <w:bottom w:w="57" w:type="dxa"/>
            </w:tcMar>
          </w:tcPr>
          <w:p w14:paraId="099041AC" w14:textId="77777777" w:rsidR="009954EA" w:rsidRPr="006534F5" w:rsidRDefault="009954EA" w:rsidP="00630831">
            <w:pPr>
              <w:pStyle w:val="TableTextRight"/>
            </w:pPr>
            <w:r>
              <w:t xml:space="preserve">603 </w:t>
            </w:r>
          </w:p>
        </w:tc>
      </w:tr>
      <w:tr w:rsidR="009954EA" w:rsidRPr="006534F5" w14:paraId="55DBD362" w14:textId="77777777" w:rsidTr="006A715B">
        <w:tc>
          <w:tcPr>
            <w:tcW w:w="3310" w:type="pct"/>
            <w:noWrap/>
            <w:tcMar>
              <w:top w:w="57" w:type="dxa"/>
              <w:bottom w:w="57" w:type="dxa"/>
            </w:tcMar>
            <w:hideMark/>
          </w:tcPr>
          <w:p w14:paraId="30A0BEAF" w14:textId="77777777" w:rsidR="009954EA" w:rsidRPr="00BA1E81" w:rsidRDefault="009954EA" w:rsidP="00630831">
            <w:pPr>
              <w:pStyle w:val="TableTextLeft"/>
              <w:rPr>
                <w:b/>
                <w:bCs/>
              </w:rPr>
            </w:pPr>
            <w:r w:rsidRPr="00BA1E81">
              <w:rPr>
                <w:b/>
                <w:bCs/>
              </w:rPr>
              <w:t>Total more than 12 months</w:t>
            </w:r>
          </w:p>
        </w:tc>
        <w:tc>
          <w:tcPr>
            <w:tcW w:w="828" w:type="pct"/>
            <w:shd w:val="clear" w:color="auto" w:fill="E7DCF7" w:themeFill="text2" w:themeFillTint="1A"/>
            <w:noWrap/>
            <w:tcMar>
              <w:top w:w="57" w:type="dxa"/>
              <w:bottom w:w="57" w:type="dxa"/>
            </w:tcMar>
          </w:tcPr>
          <w:p w14:paraId="21C01BF7" w14:textId="77777777" w:rsidR="009954EA" w:rsidRPr="00BF62BA" w:rsidRDefault="009954EA" w:rsidP="00630831">
            <w:pPr>
              <w:pStyle w:val="TableTextRight"/>
              <w:rPr>
                <w:b/>
                <w:bCs/>
              </w:rPr>
            </w:pPr>
            <w:r w:rsidRPr="00BF62BA">
              <w:rPr>
                <w:b/>
                <w:bCs/>
              </w:rPr>
              <w:t>5,</w:t>
            </w:r>
            <w:r>
              <w:rPr>
                <w:b/>
                <w:bCs/>
              </w:rPr>
              <w:t>468</w:t>
            </w:r>
          </w:p>
        </w:tc>
        <w:tc>
          <w:tcPr>
            <w:tcW w:w="862" w:type="pct"/>
            <w:noWrap/>
            <w:tcMar>
              <w:top w:w="57" w:type="dxa"/>
              <w:bottom w:w="57" w:type="dxa"/>
            </w:tcMar>
          </w:tcPr>
          <w:p w14:paraId="61FD84C8" w14:textId="77777777" w:rsidR="009954EA" w:rsidRPr="006534F5" w:rsidRDefault="009954EA" w:rsidP="00630831">
            <w:pPr>
              <w:pStyle w:val="TableTextRight"/>
            </w:pPr>
            <w:r>
              <w:rPr>
                <w:b/>
                <w:bCs/>
              </w:rPr>
              <w:t xml:space="preserve">6,292 </w:t>
            </w:r>
          </w:p>
        </w:tc>
      </w:tr>
      <w:tr w:rsidR="009954EA" w:rsidRPr="006534F5" w14:paraId="111208B9" w14:textId="77777777" w:rsidTr="006A715B">
        <w:tc>
          <w:tcPr>
            <w:tcW w:w="3310" w:type="pct"/>
            <w:noWrap/>
            <w:tcMar>
              <w:top w:w="57" w:type="dxa"/>
              <w:bottom w:w="57" w:type="dxa"/>
            </w:tcMar>
            <w:hideMark/>
          </w:tcPr>
          <w:p w14:paraId="6D493190" w14:textId="77777777" w:rsidR="009954EA" w:rsidRPr="00BA1E81" w:rsidRDefault="009954EA" w:rsidP="00630831">
            <w:pPr>
              <w:pStyle w:val="TableTextLeft"/>
              <w:rPr>
                <w:b/>
                <w:bCs/>
              </w:rPr>
            </w:pPr>
            <w:r w:rsidRPr="00BA1E81">
              <w:rPr>
                <w:b/>
                <w:bCs/>
              </w:rPr>
              <w:t>Total liabilities</w:t>
            </w:r>
          </w:p>
        </w:tc>
        <w:tc>
          <w:tcPr>
            <w:tcW w:w="828" w:type="pct"/>
            <w:shd w:val="clear" w:color="auto" w:fill="E7DCF7" w:themeFill="text2" w:themeFillTint="1A"/>
            <w:noWrap/>
            <w:tcMar>
              <w:top w:w="57" w:type="dxa"/>
              <w:bottom w:w="57" w:type="dxa"/>
            </w:tcMar>
          </w:tcPr>
          <w:p w14:paraId="2BFF4EC9" w14:textId="77777777" w:rsidR="009954EA" w:rsidRPr="006534F5" w:rsidRDefault="009954EA" w:rsidP="00630831">
            <w:pPr>
              <w:pStyle w:val="TableTextRight"/>
              <w:rPr>
                <w:b/>
                <w:bCs/>
              </w:rPr>
            </w:pPr>
            <w:r>
              <w:rPr>
                <w:b/>
                <w:bCs/>
              </w:rPr>
              <w:t>7,879</w:t>
            </w:r>
          </w:p>
        </w:tc>
        <w:tc>
          <w:tcPr>
            <w:tcW w:w="862" w:type="pct"/>
            <w:noWrap/>
            <w:tcMar>
              <w:top w:w="57" w:type="dxa"/>
              <w:bottom w:w="57" w:type="dxa"/>
            </w:tcMar>
          </w:tcPr>
          <w:p w14:paraId="7C7E3707" w14:textId="77777777" w:rsidR="009954EA" w:rsidRPr="006534F5" w:rsidRDefault="009954EA" w:rsidP="00630831">
            <w:pPr>
              <w:pStyle w:val="TableTextRight"/>
              <w:rPr>
                <w:b/>
                <w:bCs/>
              </w:rPr>
            </w:pPr>
            <w:r>
              <w:rPr>
                <w:b/>
                <w:bCs/>
              </w:rPr>
              <w:t>8,660</w:t>
            </w:r>
          </w:p>
        </w:tc>
      </w:tr>
    </w:tbl>
    <w:p w14:paraId="7761639B" w14:textId="7BE55A60" w:rsidR="004F6168" w:rsidRDefault="009954EA" w:rsidP="008A6ADC">
      <w:r>
        <w:br w:type="page"/>
      </w:r>
    </w:p>
    <w:p w14:paraId="2C085C76" w14:textId="0023479F" w:rsidR="009954EA" w:rsidRPr="00A63668" w:rsidRDefault="00592520" w:rsidP="009954EA">
      <w:pPr>
        <w:pStyle w:val="Heading1"/>
      </w:pPr>
      <w:bookmarkStart w:id="1978" w:name="_Toc204874171"/>
      <w:bookmarkStart w:id="1979" w:name="_Toc207792963"/>
      <w:bookmarkStart w:id="1980" w:name="_Toc207794003"/>
      <w:bookmarkStart w:id="1981" w:name="_Toc207796180"/>
      <w:bookmarkStart w:id="1982" w:name="_Toc207797007"/>
      <w:bookmarkStart w:id="1983" w:name="_Toc207797315"/>
      <w:bookmarkStart w:id="1984" w:name="_Toc207800310"/>
      <w:bookmarkStart w:id="1985" w:name="_Toc208913990"/>
      <w:bookmarkStart w:id="1986" w:name="_Toc208914168"/>
      <w:bookmarkStart w:id="1987" w:name="_Toc209424565"/>
      <w:bookmarkStart w:id="1988" w:name="_Toc209424608"/>
      <w:r>
        <w:rPr>
          <w:noProof/>
        </w:rPr>
        <w:lastRenderedPageBreak/>
        <w:drawing>
          <wp:anchor distT="0" distB="0" distL="114300" distR="114300" simplePos="0" relativeHeight="251659267" behindDoc="0" locked="0" layoutInCell="1" allowOverlap="1" wp14:anchorId="5A358203" wp14:editId="2D1D942C">
            <wp:simplePos x="0" y="0"/>
            <wp:positionH relativeFrom="column">
              <wp:posOffset>61595</wp:posOffset>
            </wp:positionH>
            <wp:positionV relativeFrom="paragraph">
              <wp:posOffset>342900</wp:posOffset>
            </wp:positionV>
            <wp:extent cx="4772025" cy="6748780"/>
            <wp:effectExtent l="0" t="0" r="9525" b="0"/>
            <wp:wrapTopAndBottom/>
            <wp:docPr id="186428616" name="Picture 2"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8616" name="Picture 2"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772025" cy="6748780"/>
                    </a:xfrm>
                    <a:prstGeom prst="rect">
                      <a:avLst/>
                    </a:prstGeom>
                  </pic:spPr>
                </pic:pic>
              </a:graphicData>
            </a:graphic>
            <wp14:sizeRelH relativeFrom="page">
              <wp14:pctWidth>0</wp14:pctWidth>
            </wp14:sizeRelH>
            <wp14:sizeRelV relativeFrom="page">
              <wp14:pctHeight>0</wp14:pctHeight>
            </wp14:sizeRelV>
          </wp:anchor>
        </w:drawing>
      </w:r>
      <w:r w:rsidR="009954EA">
        <w:t>ANAO audit opinion</w:t>
      </w:r>
      <w:bookmarkEnd w:id="1978"/>
      <w:bookmarkEnd w:id="1979"/>
      <w:bookmarkEnd w:id="1980"/>
      <w:bookmarkEnd w:id="1981"/>
      <w:bookmarkEnd w:id="1982"/>
      <w:bookmarkEnd w:id="1983"/>
      <w:bookmarkEnd w:id="1984"/>
      <w:bookmarkEnd w:id="1985"/>
      <w:bookmarkEnd w:id="1986"/>
      <w:bookmarkEnd w:id="1987"/>
      <w:bookmarkEnd w:id="1988"/>
    </w:p>
    <w:p w14:paraId="3A795D45" w14:textId="48AE091C" w:rsidR="00702225" w:rsidRDefault="00702225">
      <w:pPr>
        <w:spacing w:after="0" w:line="240" w:lineRule="auto"/>
        <w:rPr>
          <w:rFonts w:eastAsiaTheme="majorEastAsia"/>
        </w:rPr>
      </w:pPr>
      <w:r>
        <w:rPr>
          <w:rFonts w:eastAsiaTheme="majorEastAsia"/>
        </w:rPr>
        <w:br w:type="page"/>
      </w:r>
    </w:p>
    <w:p w14:paraId="4B3C7300" w14:textId="77777777" w:rsidR="00702225" w:rsidRDefault="00702225" w:rsidP="00592520">
      <w:pPr>
        <w:spacing w:after="0" w:line="240" w:lineRule="auto"/>
        <w:jc w:val="center"/>
        <w:rPr>
          <w:rFonts w:eastAsiaTheme="majorEastAsia"/>
        </w:rPr>
      </w:pPr>
      <w:r>
        <w:rPr>
          <w:rFonts w:eastAsiaTheme="majorEastAsia"/>
          <w:noProof/>
        </w:rPr>
        <w:lastRenderedPageBreak/>
        <w:drawing>
          <wp:anchor distT="0" distB="0" distL="114300" distR="114300" simplePos="0" relativeHeight="251660291" behindDoc="0" locked="0" layoutInCell="1" allowOverlap="1" wp14:anchorId="241E465A" wp14:editId="76B6D9DE">
            <wp:simplePos x="0" y="0"/>
            <wp:positionH relativeFrom="column">
              <wp:posOffset>58420</wp:posOffset>
            </wp:positionH>
            <wp:positionV relativeFrom="paragraph">
              <wp:posOffset>170815</wp:posOffset>
            </wp:positionV>
            <wp:extent cx="4773600" cy="6750770"/>
            <wp:effectExtent l="0" t="0" r="8255" b="0"/>
            <wp:wrapTopAndBottom/>
            <wp:docPr id="1551605950" name="Picture 3"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05950" name="Picture 3"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4773600" cy="6750770"/>
                    </a:xfrm>
                    <a:prstGeom prst="rect">
                      <a:avLst/>
                    </a:prstGeom>
                  </pic:spPr>
                </pic:pic>
              </a:graphicData>
            </a:graphic>
            <wp14:sizeRelH relativeFrom="page">
              <wp14:pctWidth>0</wp14:pctWidth>
            </wp14:sizeRelH>
            <wp14:sizeRelV relativeFrom="page">
              <wp14:pctHeight>0</wp14:pctHeight>
            </wp14:sizeRelV>
          </wp:anchor>
        </w:drawing>
      </w:r>
    </w:p>
    <w:p w14:paraId="28469CB8" w14:textId="7F2861CA" w:rsidR="00702225" w:rsidRDefault="00702225">
      <w:pPr>
        <w:spacing w:after="0" w:line="240" w:lineRule="auto"/>
        <w:rPr>
          <w:rFonts w:eastAsiaTheme="majorEastAsia"/>
        </w:rPr>
      </w:pPr>
      <w:r>
        <w:rPr>
          <w:rFonts w:eastAsiaTheme="majorEastAsia"/>
        </w:rPr>
        <w:br w:type="page"/>
      </w:r>
    </w:p>
    <w:p w14:paraId="1CA60CD2" w14:textId="592EABC7" w:rsidR="00362CC3" w:rsidRDefault="00702225" w:rsidP="00C37D3A">
      <w:pPr>
        <w:spacing w:after="0" w:line="240" w:lineRule="auto"/>
        <w:jc w:val="center"/>
        <w:rPr>
          <w:rFonts w:eastAsiaTheme="majorEastAsia"/>
        </w:rPr>
      </w:pPr>
      <w:r>
        <w:rPr>
          <w:rFonts w:eastAsiaTheme="majorEastAsia"/>
          <w:noProof/>
        </w:rPr>
        <w:lastRenderedPageBreak/>
        <w:drawing>
          <wp:anchor distT="0" distB="0" distL="114300" distR="114300" simplePos="0" relativeHeight="251661315" behindDoc="0" locked="0" layoutInCell="1" allowOverlap="1" wp14:anchorId="7E48383E" wp14:editId="7C679720">
            <wp:simplePos x="0" y="0"/>
            <wp:positionH relativeFrom="column">
              <wp:posOffset>59690</wp:posOffset>
            </wp:positionH>
            <wp:positionV relativeFrom="paragraph">
              <wp:posOffset>170815</wp:posOffset>
            </wp:positionV>
            <wp:extent cx="4773600" cy="6750770"/>
            <wp:effectExtent l="0" t="0" r="8255" b="0"/>
            <wp:wrapTopAndBottom/>
            <wp:docPr id="1333201766" name="Picture 4"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01766" name="Picture 4" descr="Independent Auditor's Report from the Australian National Audit Office stating AOFM's financial statements comply with PGPA (Financial Reporting) Rule 2015 and provide a fair reflection of AOFM's financial position as at 30 June 2024 and its financial performance and cash flows for the year."/>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773600" cy="6750770"/>
                    </a:xfrm>
                    <a:prstGeom prst="rect">
                      <a:avLst/>
                    </a:prstGeom>
                  </pic:spPr>
                </pic:pic>
              </a:graphicData>
            </a:graphic>
            <wp14:sizeRelH relativeFrom="page">
              <wp14:pctWidth>0</wp14:pctWidth>
            </wp14:sizeRelH>
            <wp14:sizeRelV relativeFrom="page">
              <wp14:pctHeight>0</wp14:pctHeight>
            </wp14:sizeRelV>
          </wp:anchor>
        </w:drawing>
      </w:r>
    </w:p>
    <w:p w14:paraId="5F6AB899" w14:textId="77777777" w:rsidR="00702225" w:rsidRDefault="00702225">
      <w:pPr>
        <w:spacing w:after="0" w:line="240" w:lineRule="auto"/>
        <w:rPr>
          <w:rFonts w:eastAsiaTheme="majorEastAsia"/>
        </w:rPr>
      </w:pPr>
    </w:p>
    <w:p w14:paraId="11D371C8" w14:textId="77777777" w:rsidR="00362CC3" w:rsidRDefault="00362CC3">
      <w:pPr>
        <w:spacing w:after="0" w:line="240" w:lineRule="auto"/>
        <w:rPr>
          <w:rFonts w:eastAsiaTheme="majorEastAsia"/>
        </w:rPr>
        <w:sectPr w:rsidR="00362CC3" w:rsidSect="001E2AEB">
          <w:headerReference w:type="even" r:id="rId147"/>
          <w:headerReference w:type="default" r:id="rId148"/>
          <w:footerReference w:type="even" r:id="rId149"/>
          <w:footerReference w:type="default" r:id="rId150"/>
          <w:pgSz w:w="11907" w:h="16840" w:code="9"/>
          <w:pgMar w:top="2835" w:right="2098" w:bottom="2466" w:left="2098" w:header="1814" w:footer="1814" w:gutter="0"/>
          <w:cols w:space="708"/>
          <w:docGrid w:linePitch="360"/>
        </w:sectPr>
      </w:pPr>
    </w:p>
    <w:p w14:paraId="4A6EDAC0" w14:textId="0CBFE037" w:rsidR="00046B08" w:rsidRDefault="00804C6F" w:rsidP="00804C6F">
      <w:pPr>
        <w:pStyle w:val="PartTitle"/>
      </w:pPr>
      <w:bookmarkStart w:id="1989" w:name="_Toc178060779"/>
      <w:bookmarkStart w:id="1990" w:name="_Toc178060817"/>
      <w:bookmarkStart w:id="1991" w:name="Part5"/>
      <w:bookmarkStart w:id="1992" w:name="_Toc209424566"/>
      <w:r>
        <w:lastRenderedPageBreak/>
        <w:t>P</w:t>
      </w:r>
      <w:r w:rsidR="00D05422">
        <w:t>art</w:t>
      </w:r>
      <w:r>
        <w:t xml:space="preserve"> 5: Aids to access</w:t>
      </w:r>
      <w:bookmarkEnd w:id="1989"/>
      <w:bookmarkEnd w:id="1990"/>
      <w:bookmarkEnd w:id="1991"/>
      <w:bookmarkEnd w:id="1992"/>
      <w:r>
        <w:t xml:space="preserve"> </w:t>
      </w:r>
      <w:r>
        <w:fldChar w:fldCharType="begin"/>
      </w:r>
      <w:r>
        <w:instrText xml:space="preserve"> TOC \o "2-2" \h \z \t "Heading 1,1,Heading 1 - alpha,1" </w:instrText>
      </w:r>
      <w:r>
        <w:fldChar w:fldCharType="separate"/>
      </w:r>
    </w:p>
    <w:p w14:paraId="3157BA56" w14:textId="316F89A5" w:rsidR="00046B08" w:rsidRDefault="00046B08">
      <w:pPr>
        <w:pStyle w:val="TOC1"/>
        <w:rPr>
          <w:rFonts w:asciiTheme="minorHAnsi" w:hAnsiTheme="minorHAnsi" w:cstheme="minorBidi"/>
          <w:b w:val="0"/>
          <w:color w:val="auto"/>
          <w:kern w:val="2"/>
          <w:sz w:val="24"/>
          <w:szCs w:val="24"/>
          <w14:ligatures w14:val="standardContextual"/>
        </w:rPr>
      </w:pPr>
      <w:hyperlink w:anchor="_Toc207792964" w:history="1">
        <w:r w:rsidRPr="00E25854">
          <w:rPr>
            <w:rStyle w:val="Hyperlink"/>
          </w:rPr>
          <w:t>Glossary of abbreviations</w:t>
        </w:r>
        <w:r>
          <w:rPr>
            <w:webHidden/>
          </w:rPr>
          <w:tab/>
        </w:r>
        <w:r>
          <w:rPr>
            <w:webHidden/>
          </w:rPr>
          <w:fldChar w:fldCharType="begin"/>
        </w:r>
        <w:r>
          <w:rPr>
            <w:webHidden/>
          </w:rPr>
          <w:instrText xml:space="preserve"> PAGEREF _Toc207792964 \h </w:instrText>
        </w:r>
        <w:r>
          <w:rPr>
            <w:webHidden/>
          </w:rPr>
        </w:r>
        <w:r>
          <w:rPr>
            <w:webHidden/>
          </w:rPr>
          <w:fldChar w:fldCharType="separate"/>
        </w:r>
        <w:r w:rsidR="00F60EAA">
          <w:rPr>
            <w:webHidden/>
          </w:rPr>
          <w:t>185</w:t>
        </w:r>
        <w:r>
          <w:rPr>
            <w:webHidden/>
          </w:rPr>
          <w:fldChar w:fldCharType="end"/>
        </w:r>
      </w:hyperlink>
    </w:p>
    <w:p w14:paraId="0D943D7A" w14:textId="6827872F" w:rsidR="00046B08" w:rsidRDefault="00046B08">
      <w:pPr>
        <w:pStyle w:val="TOC1"/>
        <w:rPr>
          <w:rFonts w:asciiTheme="minorHAnsi" w:hAnsiTheme="minorHAnsi" w:cstheme="minorBidi"/>
          <w:b w:val="0"/>
          <w:color w:val="auto"/>
          <w:kern w:val="2"/>
          <w:sz w:val="24"/>
          <w:szCs w:val="24"/>
          <w14:ligatures w14:val="standardContextual"/>
        </w:rPr>
      </w:pPr>
      <w:hyperlink w:anchor="_Toc207792965" w:history="1">
        <w:r w:rsidRPr="00E25854">
          <w:rPr>
            <w:rStyle w:val="Hyperlink"/>
          </w:rPr>
          <w:t>Compliance with annual report requirements</w:t>
        </w:r>
        <w:r>
          <w:rPr>
            <w:webHidden/>
          </w:rPr>
          <w:tab/>
        </w:r>
        <w:r>
          <w:rPr>
            <w:webHidden/>
          </w:rPr>
          <w:fldChar w:fldCharType="begin"/>
        </w:r>
        <w:r>
          <w:rPr>
            <w:webHidden/>
          </w:rPr>
          <w:instrText xml:space="preserve"> PAGEREF _Toc207792965 \h </w:instrText>
        </w:r>
        <w:r>
          <w:rPr>
            <w:webHidden/>
          </w:rPr>
        </w:r>
        <w:r>
          <w:rPr>
            <w:webHidden/>
          </w:rPr>
          <w:fldChar w:fldCharType="separate"/>
        </w:r>
        <w:r w:rsidR="00F60EAA">
          <w:rPr>
            <w:webHidden/>
          </w:rPr>
          <w:t>187</w:t>
        </w:r>
        <w:r>
          <w:rPr>
            <w:webHidden/>
          </w:rPr>
          <w:fldChar w:fldCharType="end"/>
        </w:r>
      </w:hyperlink>
    </w:p>
    <w:p w14:paraId="0B0728B2" w14:textId="176DEDB9" w:rsidR="00046B08" w:rsidRDefault="00046B08">
      <w:pPr>
        <w:pStyle w:val="TOC1"/>
        <w:rPr>
          <w:rFonts w:asciiTheme="minorHAnsi" w:hAnsiTheme="minorHAnsi" w:cstheme="minorBidi"/>
          <w:b w:val="0"/>
          <w:color w:val="auto"/>
          <w:kern w:val="2"/>
          <w:sz w:val="24"/>
          <w:szCs w:val="24"/>
          <w14:ligatures w14:val="standardContextual"/>
        </w:rPr>
      </w:pPr>
      <w:hyperlink w:anchor="_Toc207792966" w:history="1">
        <w:r w:rsidRPr="00E25854">
          <w:rPr>
            <w:rStyle w:val="Hyperlink"/>
          </w:rPr>
          <w:t>Alphabetical index</w:t>
        </w:r>
        <w:r>
          <w:rPr>
            <w:webHidden/>
          </w:rPr>
          <w:tab/>
        </w:r>
        <w:r>
          <w:rPr>
            <w:webHidden/>
          </w:rPr>
          <w:fldChar w:fldCharType="begin"/>
        </w:r>
        <w:r>
          <w:rPr>
            <w:webHidden/>
          </w:rPr>
          <w:instrText xml:space="preserve"> PAGEREF _Toc207792966 \h </w:instrText>
        </w:r>
        <w:r>
          <w:rPr>
            <w:webHidden/>
          </w:rPr>
        </w:r>
        <w:r>
          <w:rPr>
            <w:webHidden/>
          </w:rPr>
          <w:fldChar w:fldCharType="separate"/>
        </w:r>
        <w:r w:rsidR="00F60EAA">
          <w:rPr>
            <w:webHidden/>
          </w:rPr>
          <w:t>195</w:t>
        </w:r>
        <w:r>
          <w:rPr>
            <w:webHidden/>
          </w:rPr>
          <w:fldChar w:fldCharType="end"/>
        </w:r>
      </w:hyperlink>
    </w:p>
    <w:p w14:paraId="277C3F4A" w14:textId="77777777" w:rsidR="00365E03" w:rsidRDefault="00804C6F" w:rsidP="00804C6F">
      <w:pPr>
        <w:sectPr w:rsidR="00365E03" w:rsidSect="001E2AEB">
          <w:type w:val="oddPage"/>
          <w:pgSz w:w="11907" w:h="16840" w:code="9"/>
          <w:pgMar w:top="2835" w:right="2098" w:bottom="2466" w:left="2098" w:header="1814" w:footer="1814" w:gutter="0"/>
          <w:cols w:space="708"/>
          <w:docGrid w:linePitch="360"/>
        </w:sectPr>
      </w:pPr>
      <w:r>
        <w:fldChar w:fldCharType="end"/>
      </w:r>
    </w:p>
    <w:p w14:paraId="67E13C83" w14:textId="77777777" w:rsidR="00B26031" w:rsidRDefault="00B26031" w:rsidP="00CE0BF9">
      <w:pPr>
        <w:pStyle w:val="Heading1"/>
      </w:pPr>
      <w:bookmarkStart w:id="1993" w:name="_Toc175906703"/>
      <w:bookmarkStart w:id="1994" w:name="_Toc176163247"/>
      <w:bookmarkStart w:id="1995" w:name="_Toc205474345"/>
      <w:bookmarkStart w:id="1996" w:name="_Toc207792964"/>
      <w:bookmarkStart w:id="1997" w:name="_Toc207794005"/>
      <w:bookmarkStart w:id="1998" w:name="_Toc207795666"/>
      <w:bookmarkStart w:id="1999" w:name="_Toc207796181"/>
      <w:bookmarkStart w:id="2000" w:name="_Toc207797008"/>
      <w:bookmarkStart w:id="2001" w:name="_Toc207797316"/>
      <w:bookmarkStart w:id="2002" w:name="_Toc207800312"/>
      <w:bookmarkStart w:id="2003" w:name="_Toc207810890"/>
      <w:bookmarkStart w:id="2004" w:name="_Toc208913991"/>
      <w:bookmarkStart w:id="2005" w:name="_Toc208914170"/>
      <w:bookmarkStart w:id="2006" w:name="_Toc209424567"/>
      <w:bookmarkStart w:id="2007" w:name="_Toc209424609"/>
      <w:bookmarkStart w:id="2008" w:name="_Toc202192259"/>
      <w:bookmarkStart w:id="2009" w:name="_Toc202192977"/>
      <w:bookmarkStart w:id="2010" w:name="_Toc202193298"/>
      <w:r>
        <w:lastRenderedPageBreak/>
        <w:t xml:space="preserve">Glossary of </w:t>
      </w:r>
      <w:r w:rsidRPr="00217CA3">
        <w:t>abbreviations</w:t>
      </w:r>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p>
    <w:tbl>
      <w:tblPr>
        <w:tblStyle w:val="AOFMTablemain"/>
        <w:tblW w:w="5000" w:type="pct"/>
        <w:tblLook w:val="04A0" w:firstRow="1" w:lastRow="0" w:firstColumn="1" w:lastColumn="0" w:noHBand="0" w:noVBand="1"/>
      </w:tblPr>
      <w:tblGrid>
        <w:gridCol w:w="965"/>
        <w:gridCol w:w="6746"/>
      </w:tblGrid>
      <w:tr w:rsidR="00F865CB" w:rsidRPr="00E04634" w14:paraId="504F1649" w14:textId="77777777" w:rsidTr="00D84C5C">
        <w:trPr>
          <w:cnfStyle w:val="100000000000" w:firstRow="1" w:lastRow="0" w:firstColumn="0" w:lastColumn="0" w:oddVBand="0" w:evenVBand="0" w:oddHBand="0" w:evenHBand="0" w:firstRowFirstColumn="0" w:firstRowLastColumn="0" w:lastRowFirstColumn="0" w:lastRowLastColumn="0"/>
          <w:trHeight w:val="267"/>
        </w:trPr>
        <w:tc>
          <w:tcPr>
            <w:tcW w:w="626" w:type="pct"/>
            <w:shd w:val="clear" w:color="auto" w:fill="BDE2F8"/>
            <w:tcMar>
              <w:top w:w="57" w:type="dxa"/>
              <w:bottom w:w="57" w:type="dxa"/>
            </w:tcMar>
          </w:tcPr>
          <w:bookmarkEnd w:id="2008"/>
          <w:bookmarkEnd w:id="2009"/>
          <w:bookmarkEnd w:id="2010"/>
          <w:p w14:paraId="06FA817E" w14:textId="77777777" w:rsidR="00F865CB" w:rsidRPr="00177F8F" w:rsidRDefault="00F865CB" w:rsidP="00177F8F">
            <w:pPr>
              <w:pStyle w:val="TableTextLeft"/>
              <w:rPr>
                <w:b/>
                <w:bCs/>
              </w:rPr>
            </w:pPr>
            <w:r w:rsidRPr="00177F8F">
              <w:rPr>
                <w:b/>
                <w:bCs/>
              </w:rPr>
              <w:t>AASB</w:t>
            </w:r>
          </w:p>
        </w:tc>
        <w:tc>
          <w:tcPr>
            <w:tcW w:w="4374" w:type="pct"/>
            <w:shd w:val="clear" w:color="auto" w:fill="BDE2F8"/>
            <w:tcMar>
              <w:top w:w="57" w:type="dxa"/>
              <w:bottom w:w="57" w:type="dxa"/>
            </w:tcMar>
          </w:tcPr>
          <w:p w14:paraId="5346704D" w14:textId="77777777" w:rsidR="00F865CB" w:rsidRPr="00E04634" w:rsidRDefault="00F865CB" w:rsidP="00177F8F">
            <w:pPr>
              <w:pStyle w:val="TableTextLeft"/>
            </w:pPr>
            <w:r w:rsidRPr="00E04634">
              <w:t>Australian Accounting Standards Board</w:t>
            </w:r>
          </w:p>
        </w:tc>
      </w:tr>
      <w:tr w:rsidR="00F865CB" w:rsidRPr="00E04634" w14:paraId="3079755B" w14:textId="77777777" w:rsidTr="00D84C5C">
        <w:tc>
          <w:tcPr>
            <w:tcW w:w="626" w:type="pct"/>
            <w:shd w:val="clear" w:color="auto" w:fill="auto"/>
            <w:tcMar>
              <w:top w:w="57" w:type="dxa"/>
              <w:bottom w:w="57" w:type="dxa"/>
            </w:tcMar>
          </w:tcPr>
          <w:p w14:paraId="0516BFF8" w14:textId="77777777" w:rsidR="00F865CB" w:rsidRPr="00177F8F" w:rsidRDefault="00F865CB" w:rsidP="00177F8F">
            <w:pPr>
              <w:pStyle w:val="TableTextLeft"/>
              <w:rPr>
                <w:b/>
                <w:bCs/>
              </w:rPr>
            </w:pPr>
            <w:r w:rsidRPr="00177F8F">
              <w:rPr>
                <w:b/>
                <w:bCs/>
              </w:rPr>
              <w:t>ABS</w:t>
            </w:r>
          </w:p>
        </w:tc>
        <w:tc>
          <w:tcPr>
            <w:tcW w:w="4374" w:type="pct"/>
            <w:shd w:val="clear" w:color="auto" w:fill="auto"/>
            <w:tcMar>
              <w:top w:w="57" w:type="dxa"/>
              <w:bottom w:w="57" w:type="dxa"/>
            </w:tcMar>
          </w:tcPr>
          <w:p w14:paraId="54CF5194" w14:textId="2714665A" w:rsidR="00F865CB" w:rsidRPr="00E04634" w:rsidRDefault="007508DB" w:rsidP="00177F8F">
            <w:pPr>
              <w:pStyle w:val="TableTextLeft"/>
            </w:pPr>
            <w:r>
              <w:t>a</w:t>
            </w:r>
            <w:r w:rsidR="00F865CB" w:rsidRPr="00E04634">
              <w:t>sset</w:t>
            </w:r>
            <w:r w:rsidR="00B84FF2">
              <w:noBreakHyphen/>
            </w:r>
            <w:r w:rsidR="00F865CB" w:rsidRPr="00E04634">
              <w:t>backed securities</w:t>
            </w:r>
          </w:p>
        </w:tc>
      </w:tr>
      <w:tr w:rsidR="00F865CB" w:rsidRPr="00E04634" w14:paraId="2C61BCA8"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E97EEB0" w14:textId="77777777" w:rsidR="00F865CB" w:rsidRPr="00177F8F" w:rsidRDefault="00F865CB" w:rsidP="00177F8F">
            <w:pPr>
              <w:pStyle w:val="TableTextLeft"/>
              <w:rPr>
                <w:b/>
                <w:bCs/>
              </w:rPr>
            </w:pPr>
            <w:r w:rsidRPr="00177F8F">
              <w:rPr>
                <w:b/>
                <w:bCs/>
              </w:rPr>
              <w:t>ABSF</w:t>
            </w:r>
          </w:p>
        </w:tc>
        <w:tc>
          <w:tcPr>
            <w:tcW w:w="4374" w:type="pct"/>
            <w:tcMar>
              <w:top w:w="57" w:type="dxa"/>
              <w:bottom w:w="57" w:type="dxa"/>
            </w:tcMar>
          </w:tcPr>
          <w:p w14:paraId="65ACAC7A" w14:textId="77777777" w:rsidR="00F865CB" w:rsidRPr="00E04634" w:rsidRDefault="00F865CB" w:rsidP="00177F8F">
            <w:pPr>
              <w:pStyle w:val="TableTextLeft"/>
            </w:pPr>
            <w:r w:rsidRPr="00E04634">
              <w:t>Australian Business Securitisation Fund</w:t>
            </w:r>
          </w:p>
        </w:tc>
      </w:tr>
      <w:tr w:rsidR="00F865CB" w:rsidRPr="00E04634" w14:paraId="7DC3DCEC" w14:textId="77777777" w:rsidTr="00D84C5C">
        <w:tc>
          <w:tcPr>
            <w:tcW w:w="626" w:type="pct"/>
            <w:tcMar>
              <w:top w:w="57" w:type="dxa"/>
              <w:bottom w:w="57" w:type="dxa"/>
            </w:tcMar>
          </w:tcPr>
          <w:p w14:paraId="3C8F47EE" w14:textId="77777777" w:rsidR="00F865CB" w:rsidRPr="00177F8F" w:rsidRDefault="00F865CB" w:rsidP="00177F8F">
            <w:pPr>
              <w:pStyle w:val="TableTextLeft"/>
              <w:rPr>
                <w:b/>
                <w:bCs/>
              </w:rPr>
            </w:pPr>
            <w:r w:rsidRPr="00177F8F">
              <w:rPr>
                <w:b/>
                <w:bCs/>
              </w:rPr>
              <w:t>ACT</w:t>
            </w:r>
          </w:p>
        </w:tc>
        <w:tc>
          <w:tcPr>
            <w:tcW w:w="4374" w:type="pct"/>
            <w:tcMar>
              <w:top w:w="57" w:type="dxa"/>
              <w:bottom w:w="57" w:type="dxa"/>
            </w:tcMar>
          </w:tcPr>
          <w:p w14:paraId="5FC75990" w14:textId="77777777" w:rsidR="00F865CB" w:rsidRPr="00E04634" w:rsidRDefault="00F865CB" w:rsidP="00177F8F">
            <w:pPr>
              <w:pStyle w:val="TableTextLeft"/>
            </w:pPr>
            <w:r w:rsidRPr="00E04634">
              <w:t>Australian Capital Territory</w:t>
            </w:r>
          </w:p>
        </w:tc>
      </w:tr>
      <w:tr w:rsidR="00F865CB" w:rsidRPr="00E04634" w14:paraId="572D08DB"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5DFF545A" w14:textId="77777777" w:rsidR="00F865CB" w:rsidRPr="00177F8F" w:rsidRDefault="00F865CB" w:rsidP="00177F8F">
            <w:pPr>
              <w:pStyle w:val="TableTextLeft"/>
              <w:rPr>
                <w:b/>
                <w:bCs/>
              </w:rPr>
            </w:pPr>
            <w:r w:rsidRPr="00177F8F">
              <w:rPr>
                <w:b/>
                <w:bCs/>
              </w:rPr>
              <w:t>ADB</w:t>
            </w:r>
          </w:p>
        </w:tc>
        <w:tc>
          <w:tcPr>
            <w:tcW w:w="4374" w:type="pct"/>
            <w:tcMar>
              <w:top w:w="57" w:type="dxa"/>
              <w:bottom w:w="57" w:type="dxa"/>
            </w:tcMar>
          </w:tcPr>
          <w:p w14:paraId="2753DC09" w14:textId="77777777" w:rsidR="00F865CB" w:rsidRPr="00E04634" w:rsidRDefault="00F865CB" w:rsidP="00177F8F">
            <w:pPr>
              <w:pStyle w:val="TableTextLeft"/>
            </w:pPr>
            <w:r w:rsidRPr="00E04634">
              <w:t>Asian Development Bank</w:t>
            </w:r>
          </w:p>
        </w:tc>
      </w:tr>
      <w:tr w:rsidR="00F865CB" w:rsidRPr="00E04634" w14:paraId="0700A3DA" w14:textId="77777777" w:rsidTr="00D84C5C">
        <w:tc>
          <w:tcPr>
            <w:tcW w:w="626" w:type="pct"/>
            <w:tcMar>
              <w:top w:w="57" w:type="dxa"/>
              <w:bottom w:w="57" w:type="dxa"/>
            </w:tcMar>
          </w:tcPr>
          <w:p w14:paraId="54951BF7" w14:textId="77777777" w:rsidR="00F865CB" w:rsidRPr="00177F8F" w:rsidRDefault="00F865CB" w:rsidP="00177F8F">
            <w:pPr>
              <w:pStyle w:val="TableTextLeft"/>
              <w:rPr>
                <w:b/>
                <w:bCs/>
              </w:rPr>
            </w:pPr>
            <w:r w:rsidRPr="00177F8F">
              <w:rPr>
                <w:b/>
                <w:bCs/>
              </w:rPr>
              <w:t>AGS</w:t>
            </w:r>
          </w:p>
        </w:tc>
        <w:tc>
          <w:tcPr>
            <w:tcW w:w="4374" w:type="pct"/>
            <w:tcMar>
              <w:top w:w="57" w:type="dxa"/>
              <w:bottom w:w="57" w:type="dxa"/>
            </w:tcMar>
          </w:tcPr>
          <w:p w14:paraId="775EB2DC" w14:textId="77777777" w:rsidR="00F865CB" w:rsidRPr="00E04634" w:rsidRDefault="00F865CB" w:rsidP="00177F8F">
            <w:pPr>
              <w:pStyle w:val="TableTextLeft"/>
            </w:pPr>
            <w:r w:rsidRPr="00E04634">
              <w:t>Australian Government Securities</w:t>
            </w:r>
          </w:p>
        </w:tc>
      </w:tr>
      <w:tr w:rsidR="00F865CB" w:rsidRPr="00E04634" w14:paraId="40A16EAC"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E9A9479" w14:textId="77777777" w:rsidR="00F865CB" w:rsidRPr="00177F8F" w:rsidRDefault="00F865CB" w:rsidP="00177F8F">
            <w:pPr>
              <w:pStyle w:val="TableTextLeft"/>
              <w:rPr>
                <w:b/>
                <w:bCs/>
              </w:rPr>
            </w:pPr>
            <w:r w:rsidRPr="00177F8F">
              <w:rPr>
                <w:b/>
                <w:bCs/>
              </w:rPr>
              <w:t>ANAO</w:t>
            </w:r>
          </w:p>
        </w:tc>
        <w:tc>
          <w:tcPr>
            <w:tcW w:w="4374" w:type="pct"/>
            <w:tcMar>
              <w:top w:w="57" w:type="dxa"/>
              <w:bottom w:w="57" w:type="dxa"/>
            </w:tcMar>
          </w:tcPr>
          <w:p w14:paraId="4B3EBB3A" w14:textId="77777777" w:rsidR="00F865CB" w:rsidRPr="00E04634" w:rsidRDefault="00F865CB" w:rsidP="00177F8F">
            <w:pPr>
              <w:pStyle w:val="TableTextLeft"/>
            </w:pPr>
            <w:r w:rsidRPr="00E04634">
              <w:t>Australian National Audit Office</w:t>
            </w:r>
          </w:p>
        </w:tc>
      </w:tr>
      <w:tr w:rsidR="00F865CB" w:rsidRPr="00E04634" w14:paraId="38E6A6BD" w14:textId="77777777" w:rsidTr="00D84C5C">
        <w:tc>
          <w:tcPr>
            <w:tcW w:w="626" w:type="pct"/>
            <w:tcMar>
              <w:top w:w="57" w:type="dxa"/>
              <w:bottom w:w="57" w:type="dxa"/>
            </w:tcMar>
          </w:tcPr>
          <w:p w14:paraId="0C1F84B8" w14:textId="77777777" w:rsidR="00F865CB" w:rsidRPr="00177F8F" w:rsidRDefault="00F865CB" w:rsidP="00177F8F">
            <w:pPr>
              <w:pStyle w:val="TableTextLeft"/>
              <w:rPr>
                <w:b/>
                <w:bCs/>
              </w:rPr>
            </w:pPr>
            <w:r w:rsidRPr="00177F8F">
              <w:rPr>
                <w:b/>
                <w:bCs/>
              </w:rPr>
              <w:t>ANZ</w:t>
            </w:r>
          </w:p>
        </w:tc>
        <w:tc>
          <w:tcPr>
            <w:tcW w:w="4374" w:type="pct"/>
            <w:tcMar>
              <w:top w:w="57" w:type="dxa"/>
              <w:bottom w:w="57" w:type="dxa"/>
            </w:tcMar>
          </w:tcPr>
          <w:p w14:paraId="30333E38" w14:textId="77777777" w:rsidR="00F865CB" w:rsidRPr="00E04634" w:rsidRDefault="00F865CB" w:rsidP="00177F8F">
            <w:pPr>
              <w:pStyle w:val="TableTextLeft"/>
            </w:pPr>
            <w:r w:rsidRPr="00E04634">
              <w:t>Australia and New Zealand Banking Group Limited</w:t>
            </w:r>
          </w:p>
        </w:tc>
      </w:tr>
      <w:tr w:rsidR="00F865CB" w:rsidRPr="00E04634" w14:paraId="1289A8D6"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03976393" w14:textId="77777777" w:rsidR="00F865CB" w:rsidRPr="00177F8F" w:rsidRDefault="00F865CB" w:rsidP="00177F8F">
            <w:pPr>
              <w:pStyle w:val="TableTextLeft"/>
              <w:rPr>
                <w:b/>
                <w:bCs/>
              </w:rPr>
            </w:pPr>
            <w:r w:rsidRPr="00177F8F">
              <w:rPr>
                <w:b/>
                <w:bCs/>
              </w:rPr>
              <w:t>AOFM</w:t>
            </w:r>
          </w:p>
        </w:tc>
        <w:tc>
          <w:tcPr>
            <w:tcW w:w="4374" w:type="pct"/>
            <w:tcMar>
              <w:top w:w="57" w:type="dxa"/>
              <w:bottom w:w="57" w:type="dxa"/>
            </w:tcMar>
          </w:tcPr>
          <w:p w14:paraId="61D3B9BE" w14:textId="77777777" w:rsidR="00F865CB" w:rsidRPr="00E04634" w:rsidRDefault="00F865CB" w:rsidP="00177F8F">
            <w:pPr>
              <w:pStyle w:val="TableTextLeft"/>
            </w:pPr>
            <w:r w:rsidRPr="00E04634">
              <w:t>Australian Office of Financial Management</w:t>
            </w:r>
          </w:p>
        </w:tc>
      </w:tr>
      <w:tr w:rsidR="00F865CB" w:rsidRPr="00E04634" w14:paraId="27526423" w14:textId="77777777" w:rsidTr="00D84C5C">
        <w:tc>
          <w:tcPr>
            <w:tcW w:w="626" w:type="pct"/>
            <w:tcMar>
              <w:top w:w="57" w:type="dxa"/>
              <w:bottom w:w="57" w:type="dxa"/>
            </w:tcMar>
          </w:tcPr>
          <w:p w14:paraId="461EC20E" w14:textId="77777777" w:rsidR="00F865CB" w:rsidRPr="00177F8F" w:rsidRDefault="00F865CB" w:rsidP="00177F8F">
            <w:pPr>
              <w:pStyle w:val="TableTextLeft"/>
              <w:rPr>
                <w:b/>
                <w:bCs/>
              </w:rPr>
            </w:pPr>
            <w:r w:rsidRPr="00177F8F">
              <w:rPr>
                <w:b/>
                <w:bCs/>
              </w:rPr>
              <w:t>APS</w:t>
            </w:r>
          </w:p>
        </w:tc>
        <w:tc>
          <w:tcPr>
            <w:tcW w:w="4374" w:type="pct"/>
            <w:tcMar>
              <w:top w:w="57" w:type="dxa"/>
              <w:bottom w:w="57" w:type="dxa"/>
            </w:tcMar>
          </w:tcPr>
          <w:p w14:paraId="2507624A" w14:textId="77777777" w:rsidR="00F865CB" w:rsidRPr="00E04634" w:rsidRDefault="00F865CB" w:rsidP="00177F8F">
            <w:pPr>
              <w:pStyle w:val="TableTextLeft"/>
            </w:pPr>
            <w:r w:rsidRPr="00E04634">
              <w:t>Australian Public Service</w:t>
            </w:r>
          </w:p>
        </w:tc>
      </w:tr>
      <w:tr w:rsidR="00F865CB" w:rsidRPr="00E04634" w14:paraId="772020C9"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ED84F7C" w14:textId="77777777" w:rsidR="00F865CB" w:rsidRPr="00177F8F" w:rsidRDefault="00F865CB" w:rsidP="00177F8F">
            <w:pPr>
              <w:pStyle w:val="TableTextLeft"/>
              <w:rPr>
                <w:b/>
                <w:bCs/>
              </w:rPr>
            </w:pPr>
            <w:r w:rsidRPr="00177F8F">
              <w:rPr>
                <w:b/>
                <w:bCs/>
              </w:rPr>
              <w:t>ASF</w:t>
            </w:r>
          </w:p>
        </w:tc>
        <w:tc>
          <w:tcPr>
            <w:tcW w:w="4374" w:type="pct"/>
            <w:tcMar>
              <w:top w:w="57" w:type="dxa"/>
              <w:bottom w:w="57" w:type="dxa"/>
            </w:tcMar>
          </w:tcPr>
          <w:p w14:paraId="6B6E076F" w14:textId="77777777" w:rsidR="00F865CB" w:rsidRPr="00E04634" w:rsidRDefault="00F865CB" w:rsidP="00177F8F">
            <w:pPr>
              <w:pStyle w:val="TableTextLeft"/>
            </w:pPr>
            <w:r w:rsidRPr="00E04634">
              <w:t>Australian Securitisation Forum</w:t>
            </w:r>
          </w:p>
        </w:tc>
      </w:tr>
      <w:tr w:rsidR="00F865CB" w:rsidRPr="00E04634" w14:paraId="65409E87" w14:textId="77777777" w:rsidTr="00D84C5C">
        <w:tc>
          <w:tcPr>
            <w:tcW w:w="626" w:type="pct"/>
            <w:tcMar>
              <w:top w:w="57" w:type="dxa"/>
              <w:bottom w:w="57" w:type="dxa"/>
            </w:tcMar>
          </w:tcPr>
          <w:p w14:paraId="2696BBC7" w14:textId="77777777" w:rsidR="00F865CB" w:rsidRPr="00177F8F" w:rsidRDefault="00F865CB" w:rsidP="00177F8F">
            <w:pPr>
              <w:pStyle w:val="TableTextLeft"/>
              <w:rPr>
                <w:b/>
                <w:bCs/>
              </w:rPr>
            </w:pPr>
            <w:r w:rsidRPr="00177F8F">
              <w:rPr>
                <w:b/>
                <w:bCs/>
              </w:rPr>
              <w:t>ASX</w:t>
            </w:r>
          </w:p>
        </w:tc>
        <w:tc>
          <w:tcPr>
            <w:tcW w:w="4374" w:type="pct"/>
            <w:tcMar>
              <w:top w:w="57" w:type="dxa"/>
              <w:bottom w:w="57" w:type="dxa"/>
            </w:tcMar>
          </w:tcPr>
          <w:p w14:paraId="7FAE8566" w14:textId="77777777" w:rsidR="00F865CB" w:rsidRPr="00E04634" w:rsidRDefault="00F865CB" w:rsidP="00177F8F">
            <w:pPr>
              <w:pStyle w:val="TableTextLeft"/>
            </w:pPr>
            <w:r w:rsidRPr="00E04634">
              <w:t>Australian Securities Exchange</w:t>
            </w:r>
          </w:p>
        </w:tc>
      </w:tr>
      <w:tr w:rsidR="00F865CB" w:rsidRPr="00E04634" w14:paraId="4157AA99"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7B0E8046" w14:textId="77777777" w:rsidR="00F865CB" w:rsidRPr="00177F8F" w:rsidRDefault="00F865CB" w:rsidP="00177F8F">
            <w:pPr>
              <w:pStyle w:val="TableTextLeft"/>
              <w:rPr>
                <w:b/>
                <w:bCs/>
              </w:rPr>
            </w:pPr>
            <w:r w:rsidRPr="00177F8F">
              <w:rPr>
                <w:b/>
                <w:bCs/>
              </w:rPr>
              <w:t>bps</w:t>
            </w:r>
          </w:p>
        </w:tc>
        <w:tc>
          <w:tcPr>
            <w:tcW w:w="4374" w:type="pct"/>
            <w:tcMar>
              <w:top w:w="57" w:type="dxa"/>
              <w:bottom w:w="57" w:type="dxa"/>
            </w:tcMar>
          </w:tcPr>
          <w:p w14:paraId="765BF875" w14:textId="3EF8E281" w:rsidR="00F865CB" w:rsidRPr="00E04634" w:rsidRDefault="007508DB" w:rsidP="00177F8F">
            <w:pPr>
              <w:pStyle w:val="TableTextLeft"/>
            </w:pPr>
            <w:r>
              <w:t>b</w:t>
            </w:r>
            <w:r w:rsidR="00F865CB" w:rsidRPr="00E04634">
              <w:t>asis points</w:t>
            </w:r>
          </w:p>
        </w:tc>
      </w:tr>
      <w:tr w:rsidR="00F865CB" w:rsidRPr="00E04634" w14:paraId="253F8BCB" w14:textId="77777777" w:rsidTr="00D84C5C">
        <w:tc>
          <w:tcPr>
            <w:tcW w:w="626" w:type="pct"/>
            <w:tcMar>
              <w:top w:w="57" w:type="dxa"/>
              <w:bottom w:w="57" w:type="dxa"/>
            </w:tcMar>
          </w:tcPr>
          <w:p w14:paraId="5B38806E" w14:textId="77777777" w:rsidR="00F865CB" w:rsidRPr="00177F8F" w:rsidRDefault="00F865CB" w:rsidP="00177F8F">
            <w:pPr>
              <w:pStyle w:val="TableTextLeft"/>
              <w:rPr>
                <w:b/>
                <w:bCs/>
              </w:rPr>
            </w:pPr>
            <w:r w:rsidRPr="00177F8F">
              <w:rPr>
                <w:b/>
                <w:bCs/>
              </w:rPr>
              <w:t>CEO</w:t>
            </w:r>
          </w:p>
        </w:tc>
        <w:tc>
          <w:tcPr>
            <w:tcW w:w="4374" w:type="pct"/>
            <w:tcMar>
              <w:top w:w="57" w:type="dxa"/>
              <w:bottom w:w="57" w:type="dxa"/>
            </w:tcMar>
          </w:tcPr>
          <w:p w14:paraId="21A3D56D" w14:textId="77777777" w:rsidR="00F865CB" w:rsidRPr="00177F8F" w:rsidRDefault="00F865CB" w:rsidP="00177F8F">
            <w:pPr>
              <w:pStyle w:val="TableTextLeft"/>
            </w:pPr>
            <w:r w:rsidRPr="00177F8F">
              <w:t>Chief Executive Officer</w:t>
            </w:r>
          </w:p>
        </w:tc>
      </w:tr>
      <w:tr w:rsidR="00F865CB" w:rsidRPr="00E04634" w14:paraId="39172138"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1E2B261" w14:textId="77777777" w:rsidR="00F865CB" w:rsidRPr="00177F8F" w:rsidRDefault="00F865CB" w:rsidP="00177F8F">
            <w:pPr>
              <w:pStyle w:val="TableTextLeft"/>
              <w:rPr>
                <w:b/>
                <w:bCs/>
              </w:rPr>
            </w:pPr>
            <w:r w:rsidRPr="00177F8F">
              <w:rPr>
                <w:b/>
                <w:bCs/>
              </w:rPr>
              <w:t>CMA</w:t>
            </w:r>
          </w:p>
        </w:tc>
        <w:tc>
          <w:tcPr>
            <w:tcW w:w="4374" w:type="pct"/>
            <w:tcMar>
              <w:top w:w="57" w:type="dxa"/>
              <w:bottom w:w="57" w:type="dxa"/>
            </w:tcMar>
          </w:tcPr>
          <w:p w14:paraId="40E1FF97" w14:textId="044044B9" w:rsidR="00F865CB" w:rsidRPr="00177F8F" w:rsidRDefault="007508DB" w:rsidP="00177F8F">
            <w:pPr>
              <w:pStyle w:val="TableTextLeft"/>
            </w:pPr>
            <w:r w:rsidRPr="00177F8F">
              <w:t>c</w:t>
            </w:r>
            <w:r w:rsidR="00F865CB" w:rsidRPr="00177F8F">
              <w:t>ash management account</w:t>
            </w:r>
          </w:p>
        </w:tc>
      </w:tr>
      <w:tr w:rsidR="00F865CB" w:rsidRPr="00E04634" w14:paraId="6F8C999B" w14:textId="77777777" w:rsidTr="00D84C5C">
        <w:tc>
          <w:tcPr>
            <w:tcW w:w="626" w:type="pct"/>
            <w:tcMar>
              <w:top w:w="57" w:type="dxa"/>
              <w:bottom w:w="57" w:type="dxa"/>
            </w:tcMar>
          </w:tcPr>
          <w:p w14:paraId="47622142" w14:textId="77777777" w:rsidR="00F865CB" w:rsidRPr="00177F8F" w:rsidRDefault="00F865CB" w:rsidP="00177F8F">
            <w:pPr>
              <w:pStyle w:val="TableTextLeft"/>
              <w:rPr>
                <w:b/>
                <w:bCs/>
              </w:rPr>
            </w:pPr>
            <w:r w:rsidRPr="00177F8F">
              <w:rPr>
                <w:b/>
                <w:bCs/>
              </w:rPr>
              <w:t>CMP</w:t>
            </w:r>
          </w:p>
        </w:tc>
        <w:tc>
          <w:tcPr>
            <w:tcW w:w="4374" w:type="pct"/>
            <w:tcMar>
              <w:top w:w="57" w:type="dxa"/>
              <w:bottom w:w="57" w:type="dxa"/>
            </w:tcMar>
          </w:tcPr>
          <w:p w14:paraId="1AA2B87F" w14:textId="77777777" w:rsidR="00F865CB" w:rsidRPr="00177F8F" w:rsidRDefault="00F865CB" w:rsidP="00177F8F">
            <w:pPr>
              <w:pStyle w:val="TableTextLeft"/>
            </w:pPr>
            <w:r w:rsidRPr="00177F8F">
              <w:t>Cash Management Portfolio</w:t>
            </w:r>
          </w:p>
        </w:tc>
      </w:tr>
      <w:tr w:rsidR="00F865CB" w:rsidRPr="00E04634" w14:paraId="658495B4"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7FEDB55B" w14:textId="77777777" w:rsidR="00F865CB" w:rsidRPr="00177F8F" w:rsidRDefault="00F865CB" w:rsidP="00177F8F">
            <w:pPr>
              <w:pStyle w:val="TableTextLeft"/>
              <w:rPr>
                <w:b/>
                <w:bCs/>
              </w:rPr>
            </w:pPr>
            <w:r w:rsidRPr="00177F8F">
              <w:rPr>
                <w:b/>
                <w:bCs/>
              </w:rPr>
              <w:t>COFO</w:t>
            </w:r>
          </w:p>
        </w:tc>
        <w:tc>
          <w:tcPr>
            <w:tcW w:w="4374" w:type="pct"/>
            <w:tcMar>
              <w:top w:w="57" w:type="dxa"/>
              <w:bottom w:w="57" w:type="dxa"/>
            </w:tcMar>
          </w:tcPr>
          <w:p w14:paraId="5D53738B" w14:textId="77777777" w:rsidR="00F865CB" w:rsidRPr="00177F8F" w:rsidRDefault="00F865CB" w:rsidP="00177F8F">
            <w:pPr>
              <w:pStyle w:val="TableTextLeft"/>
            </w:pPr>
            <w:r w:rsidRPr="00177F8F">
              <w:t>Chief Operating and Finance Officer</w:t>
            </w:r>
          </w:p>
        </w:tc>
      </w:tr>
      <w:tr w:rsidR="00F865CB" w:rsidRPr="00E04634" w14:paraId="1C180DE1" w14:textId="77777777" w:rsidTr="00D84C5C">
        <w:tc>
          <w:tcPr>
            <w:tcW w:w="626" w:type="pct"/>
            <w:tcMar>
              <w:top w:w="57" w:type="dxa"/>
              <w:bottom w:w="57" w:type="dxa"/>
            </w:tcMar>
          </w:tcPr>
          <w:p w14:paraId="2A6FFE0C" w14:textId="77777777" w:rsidR="00F865CB" w:rsidRPr="00177F8F" w:rsidRDefault="00F865CB" w:rsidP="00177F8F">
            <w:pPr>
              <w:pStyle w:val="TableTextLeft"/>
              <w:rPr>
                <w:b/>
                <w:bCs/>
              </w:rPr>
            </w:pPr>
            <w:r w:rsidRPr="00177F8F">
              <w:rPr>
                <w:b/>
                <w:bCs/>
              </w:rPr>
              <w:t>CPA</w:t>
            </w:r>
          </w:p>
        </w:tc>
        <w:tc>
          <w:tcPr>
            <w:tcW w:w="4374" w:type="pct"/>
            <w:tcMar>
              <w:top w:w="57" w:type="dxa"/>
              <w:bottom w:w="57" w:type="dxa"/>
            </w:tcMar>
          </w:tcPr>
          <w:p w14:paraId="2571DC2A" w14:textId="77777777" w:rsidR="00F865CB" w:rsidRPr="00177F8F" w:rsidRDefault="00F865CB" w:rsidP="00177F8F">
            <w:pPr>
              <w:pStyle w:val="TableTextLeft"/>
            </w:pPr>
            <w:r w:rsidRPr="00177F8F">
              <w:t>Certified Public Accountant</w:t>
            </w:r>
          </w:p>
        </w:tc>
      </w:tr>
      <w:tr w:rsidR="00F865CB" w:rsidRPr="00E04634" w14:paraId="65CAA05E"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61D92350" w14:textId="77777777" w:rsidR="00F865CB" w:rsidRPr="00177F8F" w:rsidRDefault="00F865CB" w:rsidP="00177F8F">
            <w:pPr>
              <w:pStyle w:val="TableTextLeft"/>
              <w:rPr>
                <w:b/>
                <w:bCs/>
              </w:rPr>
            </w:pPr>
            <w:r w:rsidRPr="00177F8F">
              <w:rPr>
                <w:b/>
                <w:bCs/>
              </w:rPr>
              <w:t>CPI</w:t>
            </w:r>
          </w:p>
        </w:tc>
        <w:tc>
          <w:tcPr>
            <w:tcW w:w="4374" w:type="pct"/>
            <w:tcMar>
              <w:top w:w="57" w:type="dxa"/>
              <w:bottom w:w="57" w:type="dxa"/>
            </w:tcMar>
          </w:tcPr>
          <w:p w14:paraId="622CA534" w14:textId="77777777" w:rsidR="00F865CB" w:rsidRPr="00177F8F" w:rsidRDefault="00F865CB" w:rsidP="00177F8F">
            <w:pPr>
              <w:pStyle w:val="TableTextLeft"/>
            </w:pPr>
            <w:r w:rsidRPr="00177F8F">
              <w:t>Consumer Price Index</w:t>
            </w:r>
          </w:p>
        </w:tc>
      </w:tr>
      <w:tr w:rsidR="00F865CB" w:rsidRPr="00E04634" w14:paraId="1991BD0C" w14:textId="77777777" w:rsidTr="00D84C5C">
        <w:tc>
          <w:tcPr>
            <w:tcW w:w="626" w:type="pct"/>
            <w:tcMar>
              <w:top w:w="57" w:type="dxa"/>
              <w:bottom w:w="57" w:type="dxa"/>
            </w:tcMar>
          </w:tcPr>
          <w:p w14:paraId="2977263E" w14:textId="77777777" w:rsidR="00F865CB" w:rsidRPr="00177F8F" w:rsidRDefault="00F865CB" w:rsidP="00177F8F">
            <w:pPr>
              <w:pStyle w:val="TableTextLeft"/>
              <w:rPr>
                <w:b/>
                <w:bCs/>
              </w:rPr>
            </w:pPr>
            <w:r w:rsidRPr="00177F8F">
              <w:rPr>
                <w:b/>
                <w:bCs/>
              </w:rPr>
              <w:t>CPRs</w:t>
            </w:r>
          </w:p>
        </w:tc>
        <w:tc>
          <w:tcPr>
            <w:tcW w:w="4374" w:type="pct"/>
            <w:tcMar>
              <w:top w:w="57" w:type="dxa"/>
              <w:bottom w:w="57" w:type="dxa"/>
            </w:tcMar>
          </w:tcPr>
          <w:p w14:paraId="5B02E82C" w14:textId="77777777" w:rsidR="00F865CB" w:rsidRPr="00E04634" w:rsidRDefault="00F865CB" w:rsidP="00177F8F">
            <w:pPr>
              <w:pStyle w:val="TableTextLeft"/>
            </w:pPr>
            <w:r w:rsidRPr="00E04634">
              <w:t>Commonwealth Procurement Rules</w:t>
            </w:r>
          </w:p>
        </w:tc>
      </w:tr>
      <w:tr w:rsidR="00F865CB" w:rsidRPr="00E04634" w14:paraId="49ED2D71"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070E3FC4" w14:textId="77777777" w:rsidR="00F865CB" w:rsidRPr="00177F8F" w:rsidRDefault="00F865CB" w:rsidP="00177F8F">
            <w:pPr>
              <w:pStyle w:val="TableTextLeft"/>
              <w:rPr>
                <w:b/>
                <w:bCs/>
              </w:rPr>
            </w:pPr>
            <w:r w:rsidRPr="00177F8F">
              <w:rPr>
                <w:b/>
                <w:bCs/>
              </w:rPr>
              <w:t>CRAO</w:t>
            </w:r>
          </w:p>
        </w:tc>
        <w:tc>
          <w:tcPr>
            <w:tcW w:w="4374" w:type="pct"/>
            <w:tcMar>
              <w:top w:w="57" w:type="dxa"/>
              <w:bottom w:w="57" w:type="dxa"/>
            </w:tcMar>
          </w:tcPr>
          <w:p w14:paraId="48B103D7" w14:textId="77777777" w:rsidR="00F865CB" w:rsidRPr="00E04634" w:rsidRDefault="00F865CB" w:rsidP="00177F8F">
            <w:pPr>
              <w:pStyle w:val="TableTextLeft"/>
            </w:pPr>
            <w:r w:rsidRPr="00E04634">
              <w:t>Chief Risk and Assurance Officer</w:t>
            </w:r>
          </w:p>
        </w:tc>
      </w:tr>
      <w:tr w:rsidR="00F865CB" w:rsidRPr="00E04634" w14:paraId="6D24E47E" w14:textId="77777777" w:rsidTr="00D84C5C">
        <w:tc>
          <w:tcPr>
            <w:tcW w:w="626" w:type="pct"/>
            <w:tcMar>
              <w:top w:w="57" w:type="dxa"/>
              <w:bottom w:w="57" w:type="dxa"/>
            </w:tcMar>
          </w:tcPr>
          <w:p w14:paraId="2AF515D4" w14:textId="77777777" w:rsidR="00F865CB" w:rsidRPr="00177F8F" w:rsidRDefault="00F865CB" w:rsidP="00177F8F">
            <w:pPr>
              <w:pStyle w:val="TableTextLeft"/>
              <w:rPr>
                <w:b/>
                <w:bCs/>
              </w:rPr>
            </w:pPr>
            <w:proofErr w:type="spellStart"/>
            <w:r w:rsidRPr="00177F8F">
              <w:rPr>
                <w:b/>
                <w:bCs/>
              </w:rPr>
              <w:t>Cth</w:t>
            </w:r>
            <w:proofErr w:type="spellEnd"/>
          </w:p>
        </w:tc>
        <w:tc>
          <w:tcPr>
            <w:tcW w:w="4374" w:type="pct"/>
            <w:tcMar>
              <w:top w:w="57" w:type="dxa"/>
              <w:bottom w:w="57" w:type="dxa"/>
            </w:tcMar>
          </w:tcPr>
          <w:p w14:paraId="17532E53" w14:textId="77777777" w:rsidR="00F865CB" w:rsidRPr="00E04634" w:rsidRDefault="00F865CB" w:rsidP="00177F8F">
            <w:pPr>
              <w:pStyle w:val="TableTextLeft"/>
            </w:pPr>
            <w:r w:rsidRPr="00E04634">
              <w:t>Commonwealth</w:t>
            </w:r>
          </w:p>
        </w:tc>
      </w:tr>
      <w:tr w:rsidR="00F865CB" w:rsidRPr="00E04634" w14:paraId="0BDA9105"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B5E9469" w14:textId="77777777" w:rsidR="00F865CB" w:rsidRPr="00177F8F" w:rsidRDefault="00F865CB" w:rsidP="00177F8F">
            <w:pPr>
              <w:pStyle w:val="TableTextLeft"/>
              <w:rPr>
                <w:b/>
                <w:bCs/>
              </w:rPr>
            </w:pPr>
            <w:r w:rsidRPr="00177F8F">
              <w:rPr>
                <w:b/>
                <w:bCs/>
              </w:rPr>
              <w:t>DFAT</w:t>
            </w:r>
          </w:p>
        </w:tc>
        <w:tc>
          <w:tcPr>
            <w:tcW w:w="4374" w:type="pct"/>
            <w:tcMar>
              <w:top w:w="57" w:type="dxa"/>
              <w:bottom w:w="57" w:type="dxa"/>
            </w:tcMar>
          </w:tcPr>
          <w:p w14:paraId="36704382" w14:textId="77777777" w:rsidR="00F865CB" w:rsidRPr="00E04634" w:rsidRDefault="00F865CB" w:rsidP="00177F8F">
            <w:pPr>
              <w:pStyle w:val="TableTextLeft"/>
            </w:pPr>
            <w:r w:rsidRPr="00E04634">
              <w:t>Department of Foreign Affairs and Trade</w:t>
            </w:r>
          </w:p>
        </w:tc>
      </w:tr>
      <w:tr w:rsidR="00F865CB" w:rsidRPr="00E04634" w14:paraId="5F45C6BB" w14:textId="77777777" w:rsidTr="00D84C5C">
        <w:tc>
          <w:tcPr>
            <w:tcW w:w="626" w:type="pct"/>
            <w:tcMar>
              <w:top w:w="57" w:type="dxa"/>
              <w:bottom w:w="57" w:type="dxa"/>
            </w:tcMar>
          </w:tcPr>
          <w:p w14:paraId="5AFA2888" w14:textId="77777777" w:rsidR="00F865CB" w:rsidRPr="00177F8F" w:rsidRDefault="00F865CB" w:rsidP="00177F8F">
            <w:pPr>
              <w:pStyle w:val="TableTextLeft"/>
              <w:rPr>
                <w:b/>
                <w:bCs/>
              </w:rPr>
            </w:pPr>
            <w:r w:rsidRPr="00177F8F">
              <w:rPr>
                <w:b/>
                <w:bCs/>
              </w:rPr>
              <w:t>ECL</w:t>
            </w:r>
          </w:p>
        </w:tc>
        <w:tc>
          <w:tcPr>
            <w:tcW w:w="4374" w:type="pct"/>
            <w:tcMar>
              <w:top w:w="57" w:type="dxa"/>
              <w:bottom w:w="57" w:type="dxa"/>
            </w:tcMar>
          </w:tcPr>
          <w:p w14:paraId="49F1E0B1" w14:textId="0EE427B8" w:rsidR="00F865CB" w:rsidRPr="00E04634" w:rsidRDefault="007508DB" w:rsidP="00177F8F">
            <w:pPr>
              <w:pStyle w:val="TableTextLeft"/>
              <w:rPr>
                <w:i/>
                <w:iCs/>
              </w:rPr>
            </w:pPr>
            <w:r>
              <w:t>e</w:t>
            </w:r>
            <w:r w:rsidR="00F865CB" w:rsidRPr="00E04634">
              <w:t>xpected credit losses</w:t>
            </w:r>
          </w:p>
        </w:tc>
      </w:tr>
      <w:tr w:rsidR="00F865CB" w:rsidRPr="00E04634" w14:paraId="608DAE25"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2E5EB5F" w14:textId="77777777" w:rsidR="00F865CB" w:rsidRPr="00177F8F" w:rsidRDefault="00F865CB" w:rsidP="00177F8F">
            <w:pPr>
              <w:pStyle w:val="TableTextLeft"/>
              <w:rPr>
                <w:b/>
                <w:bCs/>
              </w:rPr>
            </w:pPr>
            <w:r w:rsidRPr="00177F8F">
              <w:rPr>
                <w:b/>
                <w:bCs/>
              </w:rPr>
              <w:t>ELG</w:t>
            </w:r>
          </w:p>
        </w:tc>
        <w:tc>
          <w:tcPr>
            <w:tcW w:w="4374" w:type="pct"/>
            <w:tcMar>
              <w:top w:w="57" w:type="dxa"/>
              <w:bottom w:w="57" w:type="dxa"/>
            </w:tcMar>
          </w:tcPr>
          <w:p w14:paraId="19836385" w14:textId="77777777" w:rsidR="00F865CB" w:rsidRPr="00E04634" w:rsidRDefault="00F865CB" w:rsidP="00177F8F">
            <w:pPr>
              <w:pStyle w:val="TableTextLeft"/>
            </w:pPr>
            <w:r w:rsidRPr="00E04634">
              <w:t>Executive Leadership Group</w:t>
            </w:r>
          </w:p>
        </w:tc>
      </w:tr>
      <w:tr w:rsidR="00F865CB" w:rsidRPr="00E04634" w14:paraId="7796195A" w14:textId="77777777" w:rsidTr="00D84C5C">
        <w:tc>
          <w:tcPr>
            <w:tcW w:w="626" w:type="pct"/>
            <w:tcMar>
              <w:top w:w="57" w:type="dxa"/>
              <w:bottom w:w="57" w:type="dxa"/>
            </w:tcMar>
          </w:tcPr>
          <w:p w14:paraId="365EB090" w14:textId="77777777" w:rsidR="00F865CB" w:rsidRPr="00177F8F" w:rsidRDefault="00F865CB" w:rsidP="00177F8F">
            <w:pPr>
              <w:pStyle w:val="TableTextLeft"/>
              <w:rPr>
                <w:b/>
                <w:bCs/>
              </w:rPr>
            </w:pPr>
            <w:r w:rsidRPr="00177F8F">
              <w:rPr>
                <w:b/>
                <w:bCs/>
              </w:rPr>
              <w:t>ESG</w:t>
            </w:r>
          </w:p>
        </w:tc>
        <w:tc>
          <w:tcPr>
            <w:tcW w:w="4374" w:type="pct"/>
            <w:tcMar>
              <w:top w:w="57" w:type="dxa"/>
              <w:bottom w:w="57" w:type="dxa"/>
            </w:tcMar>
          </w:tcPr>
          <w:p w14:paraId="69A84619" w14:textId="12DE020F" w:rsidR="00F865CB" w:rsidRPr="00E04634" w:rsidRDefault="007508DB" w:rsidP="00177F8F">
            <w:pPr>
              <w:pStyle w:val="TableTextLeft"/>
              <w:rPr>
                <w:i/>
                <w:iCs/>
              </w:rPr>
            </w:pPr>
            <w:r>
              <w:t>e</w:t>
            </w:r>
            <w:r w:rsidR="00F865CB" w:rsidRPr="00E04634">
              <w:t>nvironmental, social and governance</w:t>
            </w:r>
          </w:p>
        </w:tc>
      </w:tr>
      <w:tr w:rsidR="00F865CB" w:rsidRPr="00E04634" w14:paraId="515CD017"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54577D97" w14:textId="77777777" w:rsidR="00F865CB" w:rsidRPr="00177F8F" w:rsidRDefault="00F865CB" w:rsidP="00177F8F">
            <w:pPr>
              <w:pStyle w:val="TableTextLeft"/>
              <w:rPr>
                <w:b/>
                <w:bCs/>
              </w:rPr>
            </w:pPr>
            <w:r w:rsidRPr="00177F8F">
              <w:rPr>
                <w:b/>
                <w:bCs/>
              </w:rPr>
              <w:t>FA Act</w:t>
            </w:r>
          </w:p>
        </w:tc>
        <w:tc>
          <w:tcPr>
            <w:tcW w:w="4374" w:type="pct"/>
            <w:tcMar>
              <w:top w:w="57" w:type="dxa"/>
              <w:bottom w:w="57" w:type="dxa"/>
            </w:tcMar>
          </w:tcPr>
          <w:p w14:paraId="3B79F946" w14:textId="77777777" w:rsidR="00F865CB" w:rsidRPr="00E04634" w:rsidRDefault="00F865CB" w:rsidP="00177F8F">
            <w:pPr>
              <w:pStyle w:val="TableTextLeft"/>
              <w:rPr>
                <w:iCs/>
              </w:rPr>
            </w:pPr>
            <w:r w:rsidRPr="00E04634">
              <w:t>Financial Agreement Act 1994</w:t>
            </w:r>
          </w:p>
        </w:tc>
      </w:tr>
      <w:tr w:rsidR="00F865CB" w:rsidRPr="00E04634" w14:paraId="2DA61B4A" w14:textId="77777777" w:rsidTr="00D84C5C">
        <w:tc>
          <w:tcPr>
            <w:tcW w:w="626" w:type="pct"/>
            <w:tcMar>
              <w:top w:w="57" w:type="dxa"/>
              <w:bottom w:w="57" w:type="dxa"/>
            </w:tcMar>
          </w:tcPr>
          <w:p w14:paraId="70A7DE24" w14:textId="77777777" w:rsidR="00F865CB" w:rsidRPr="00177F8F" w:rsidRDefault="00F865CB" w:rsidP="00177F8F">
            <w:pPr>
              <w:pStyle w:val="TableTextLeft"/>
              <w:rPr>
                <w:b/>
                <w:bCs/>
              </w:rPr>
            </w:pPr>
            <w:r w:rsidRPr="00177F8F">
              <w:rPr>
                <w:b/>
                <w:bCs/>
              </w:rPr>
              <w:t>FCA</w:t>
            </w:r>
          </w:p>
        </w:tc>
        <w:tc>
          <w:tcPr>
            <w:tcW w:w="4374" w:type="pct"/>
            <w:tcMar>
              <w:top w:w="57" w:type="dxa"/>
              <w:bottom w:w="57" w:type="dxa"/>
            </w:tcMar>
          </w:tcPr>
          <w:p w14:paraId="7301F878" w14:textId="77777777" w:rsidR="00F865CB" w:rsidRPr="00E04634" w:rsidRDefault="00F865CB" w:rsidP="00177F8F">
            <w:pPr>
              <w:pStyle w:val="TableTextLeft"/>
            </w:pPr>
            <w:r w:rsidRPr="00E04634">
              <w:t>Federal Court of Australia</w:t>
            </w:r>
          </w:p>
        </w:tc>
      </w:tr>
      <w:tr w:rsidR="00F865CB" w:rsidRPr="00E04634" w14:paraId="469E0985"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5081FD59" w14:textId="77777777" w:rsidR="00F865CB" w:rsidRPr="00177F8F" w:rsidRDefault="00F865CB" w:rsidP="00177F8F">
            <w:pPr>
              <w:pStyle w:val="TableTextLeft"/>
              <w:rPr>
                <w:b/>
                <w:bCs/>
              </w:rPr>
            </w:pPr>
            <w:r w:rsidRPr="00177F8F">
              <w:rPr>
                <w:b/>
                <w:bCs/>
              </w:rPr>
              <w:t>FOI Act</w:t>
            </w:r>
          </w:p>
        </w:tc>
        <w:tc>
          <w:tcPr>
            <w:tcW w:w="4374" w:type="pct"/>
            <w:tcMar>
              <w:top w:w="57" w:type="dxa"/>
              <w:bottom w:w="57" w:type="dxa"/>
            </w:tcMar>
          </w:tcPr>
          <w:p w14:paraId="25E112E1" w14:textId="77777777" w:rsidR="00F865CB" w:rsidRPr="00E04634" w:rsidRDefault="00F865CB" w:rsidP="00177F8F">
            <w:pPr>
              <w:pStyle w:val="TableTextLeft"/>
              <w:rPr>
                <w:iCs/>
              </w:rPr>
            </w:pPr>
            <w:r w:rsidRPr="00E04634">
              <w:t>Freedom of Information Act 1982</w:t>
            </w:r>
          </w:p>
        </w:tc>
      </w:tr>
      <w:tr w:rsidR="00F865CB" w:rsidRPr="00E04634" w14:paraId="4CF3E4A0" w14:textId="77777777" w:rsidTr="00D84C5C">
        <w:tc>
          <w:tcPr>
            <w:tcW w:w="626" w:type="pct"/>
            <w:tcMar>
              <w:top w:w="57" w:type="dxa"/>
              <w:bottom w:w="57" w:type="dxa"/>
            </w:tcMar>
          </w:tcPr>
          <w:p w14:paraId="37E00D9B" w14:textId="77777777" w:rsidR="00F865CB" w:rsidRPr="00177F8F" w:rsidRDefault="00F865CB" w:rsidP="00177F8F">
            <w:pPr>
              <w:pStyle w:val="TableTextLeft"/>
              <w:rPr>
                <w:b/>
                <w:bCs/>
              </w:rPr>
            </w:pPr>
            <w:proofErr w:type="spellStart"/>
            <w:r w:rsidRPr="00177F8F">
              <w:rPr>
                <w:b/>
                <w:bCs/>
              </w:rPr>
              <w:lastRenderedPageBreak/>
              <w:t>fSPV</w:t>
            </w:r>
            <w:proofErr w:type="spellEnd"/>
          </w:p>
        </w:tc>
        <w:tc>
          <w:tcPr>
            <w:tcW w:w="4374" w:type="pct"/>
            <w:tcMar>
              <w:top w:w="57" w:type="dxa"/>
              <w:bottom w:w="57" w:type="dxa"/>
            </w:tcMar>
          </w:tcPr>
          <w:p w14:paraId="2976C86E" w14:textId="180B1648" w:rsidR="00F865CB" w:rsidRPr="00E04634" w:rsidRDefault="007508DB" w:rsidP="00177F8F">
            <w:pPr>
              <w:pStyle w:val="TableTextLeft"/>
              <w:rPr>
                <w:i/>
                <w:iCs/>
              </w:rPr>
            </w:pPr>
            <w:r>
              <w:t>f</w:t>
            </w:r>
            <w:r w:rsidR="00F865CB" w:rsidRPr="00E04634">
              <w:t>orbearance Special Purpose Vehicle</w:t>
            </w:r>
          </w:p>
        </w:tc>
      </w:tr>
      <w:tr w:rsidR="00F865CB" w:rsidRPr="00E04634" w14:paraId="6D071479"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43969E99" w14:textId="77777777" w:rsidR="00F865CB" w:rsidRPr="00177F8F" w:rsidRDefault="00F865CB" w:rsidP="00177F8F">
            <w:pPr>
              <w:pStyle w:val="TableTextLeft"/>
              <w:rPr>
                <w:b/>
                <w:bCs/>
              </w:rPr>
            </w:pPr>
            <w:r w:rsidRPr="00177F8F">
              <w:rPr>
                <w:b/>
                <w:bCs/>
              </w:rPr>
              <w:t>FTE</w:t>
            </w:r>
          </w:p>
        </w:tc>
        <w:tc>
          <w:tcPr>
            <w:tcW w:w="4374" w:type="pct"/>
            <w:tcMar>
              <w:top w:w="57" w:type="dxa"/>
              <w:bottom w:w="57" w:type="dxa"/>
            </w:tcMar>
          </w:tcPr>
          <w:p w14:paraId="044F3092" w14:textId="3119D7DD" w:rsidR="00F865CB" w:rsidRPr="00E04634" w:rsidRDefault="007508DB" w:rsidP="00177F8F">
            <w:pPr>
              <w:pStyle w:val="TableTextLeft"/>
              <w:rPr>
                <w:i/>
                <w:iCs/>
              </w:rPr>
            </w:pPr>
            <w:r>
              <w:t>f</w:t>
            </w:r>
            <w:r w:rsidR="00F865CB" w:rsidRPr="00E04634">
              <w:t>ull</w:t>
            </w:r>
            <w:r w:rsidR="00B84FF2">
              <w:noBreakHyphen/>
            </w:r>
            <w:r w:rsidR="00F865CB" w:rsidRPr="00E04634">
              <w:t>time equivalent</w:t>
            </w:r>
          </w:p>
        </w:tc>
      </w:tr>
      <w:tr w:rsidR="00F865CB" w:rsidRPr="00E04634" w14:paraId="1A250D3E" w14:textId="77777777" w:rsidTr="00D84C5C">
        <w:tc>
          <w:tcPr>
            <w:tcW w:w="626" w:type="pct"/>
            <w:tcMar>
              <w:top w:w="57" w:type="dxa"/>
              <w:bottom w:w="57" w:type="dxa"/>
            </w:tcMar>
          </w:tcPr>
          <w:p w14:paraId="43A95214" w14:textId="77777777" w:rsidR="00F865CB" w:rsidRPr="00177F8F" w:rsidRDefault="00F865CB" w:rsidP="00177F8F">
            <w:pPr>
              <w:pStyle w:val="TableTextLeft"/>
              <w:rPr>
                <w:b/>
                <w:bCs/>
              </w:rPr>
            </w:pPr>
            <w:r w:rsidRPr="00177F8F">
              <w:rPr>
                <w:b/>
                <w:bCs/>
              </w:rPr>
              <w:t>FV</w:t>
            </w:r>
          </w:p>
        </w:tc>
        <w:tc>
          <w:tcPr>
            <w:tcW w:w="4374" w:type="pct"/>
            <w:tcMar>
              <w:top w:w="57" w:type="dxa"/>
              <w:bottom w:w="57" w:type="dxa"/>
            </w:tcMar>
          </w:tcPr>
          <w:p w14:paraId="51BEA74D" w14:textId="0FA3DF05" w:rsidR="00F865CB" w:rsidRPr="00E04634" w:rsidRDefault="007508DB" w:rsidP="00177F8F">
            <w:pPr>
              <w:pStyle w:val="TableTextLeft"/>
            </w:pPr>
            <w:r>
              <w:t>f</w:t>
            </w:r>
            <w:r w:rsidR="00F865CB" w:rsidRPr="00E04634">
              <w:t>ace value</w:t>
            </w:r>
          </w:p>
        </w:tc>
      </w:tr>
      <w:tr w:rsidR="00F865CB" w:rsidRPr="00E04634" w14:paraId="7CA67167"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A79B5F4" w14:textId="77777777" w:rsidR="00F865CB" w:rsidRPr="00177F8F" w:rsidRDefault="00F865CB" w:rsidP="00177F8F">
            <w:pPr>
              <w:pStyle w:val="TableTextLeft"/>
              <w:rPr>
                <w:b/>
                <w:bCs/>
              </w:rPr>
            </w:pPr>
            <w:r w:rsidRPr="00177F8F">
              <w:rPr>
                <w:b/>
                <w:bCs/>
              </w:rPr>
              <w:t>GST</w:t>
            </w:r>
          </w:p>
        </w:tc>
        <w:tc>
          <w:tcPr>
            <w:tcW w:w="4374" w:type="pct"/>
            <w:tcMar>
              <w:top w:w="57" w:type="dxa"/>
              <w:bottom w:w="57" w:type="dxa"/>
            </w:tcMar>
          </w:tcPr>
          <w:p w14:paraId="4A460E7B" w14:textId="77777777" w:rsidR="00F865CB" w:rsidRPr="00E04634" w:rsidRDefault="00F865CB" w:rsidP="00177F8F">
            <w:pPr>
              <w:pStyle w:val="TableTextLeft"/>
              <w:rPr>
                <w:i/>
                <w:iCs/>
              </w:rPr>
            </w:pPr>
            <w:r w:rsidRPr="00E04634">
              <w:t>Goods and Services Tax</w:t>
            </w:r>
          </w:p>
        </w:tc>
      </w:tr>
      <w:tr w:rsidR="00F865CB" w:rsidRPr="00E04634" w14:paraId="2EDC770F" w14:textId="77777777" w:rsidTr="00D84C5C">
        <w:tc>
          <w:tcPr>
            <w:tcW w:w="626" w:type="pct"/>
            <w:tcMar>
              <w:top w:w="57" w:type="dxa"/>
              <w:bottom w:w="57" w:type="dxa"/>
            </w:tcMar>
          </w:tcPr>
          <w:p w14:paraId="18596BC4" w14:textId="77777777" w:rsidR="00F865CB" w:rsidRPr="00177F8F" w:rsidRDefault="00F865CB" w:rsidP="00177F8F">
            <w:pPr>
              <w:pStyle w:val="TableTextLeft"/>
              <w:rPr>
                <w:b/>
                <w:bCs/>
              </w:rPr>
            </w:pPr>
            <w:r w:rsidRPr="00177F8F">
              <w:rPr>
                <w:b/>
                <w:bCs/>
              </w:rPr>
              <w:t>IMF</w:t>
            </w:r>
          </w:p>
        </w:tc>
        <w:tc>
          <w:tcPr>
            <w:tcW w:w="4374" w:type="pct"/>
            <w:tcMar>
              <w:top w:w="57" w:type="dxa"/>
              <w:bottom w:w="57" w:type="dxa"/>
            </w:tcMar>
          </w:tcPr>
          <w:p w14:paraId="3987EEAF" w14:textId="77777777" w:rsidR="00F865CB" w:rsidRPr="00E04634" w:rsidRDefault="00F865CB" w:rsidP="00177F8F">
            <w:pPr>
              <w:pStyle w:val="TableTextLeft"/>
              <w:rPr>
                <w:i/>
                <w:iCs/>
              </w:rPr>
            </w:pPr>
            <w:r w:rsidRPr="00E04634">
              <w:t>International Monetary Fund</w:t>
            </w:r>
          </w:p>
        </w:tc>
      </w:tr>
      <w:tr w:rsidR="00F865CB" w:rsidRPr="00E04634" w14:paraId="1E2BF8FF"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5AD038DD" w14:textId="77777777" w:rsidR="00F865CB" w:rsidRPr="00177F8F" w:rsidRDefault="00F865CB" w:rsidP="00177F8F">
            <w:pPr>
              <w:pStyle w:val="TableTextLeft"/>
              <w:rPr>
                <w:b/>
                <w:bCs/>
              </w:rPr>
            </w:pPr>
            <w:r w:rsidRPr="00177F8F">
              <w:rPr>
                <w:b/>
                <w:bCs/>
              </w:rPr>
              <w:t>IPS</w:t>
            </w:r>
          </w:p>
        </w:tc>
        <w:tc>
          <w:tcPr>
            <w:tcW w:w="4374" w:type="pct"/>
            <w:tcMar>
              <w:top w:w="57" w:type="dxa"/>
              <w:bottom w:w="57" w:type="dxa"/>
            </w:tcMar>
          </w:tcPr>
          <w:p w14:paraId="01225BE4" w14:textId="77777777" w:rsidR="00F865CB" w:rsidRPr="00E04634" w:rsidRDefault="00F865CB" w:rsidP="00177F8F">
            <w:pPr>
              <w:pStyle w:val="TableTextLeft"/>
              <w:rPr>
                <w:i/>
                <w:iCs/>
              </w:rPr>
            </w:pPr>
            <w:r w:rsidRPr="00E04634">
              <w:t>Information Publication Scheme</w:t>
            </w:r>
          </w:p>
        </w:tc>
      </w:tr>
      <w:tr w:rsidR="00F865CB" w:rsidRPr="00E04634" w14:paraId="01F1E9E8" w14:textId="77777777" w:rsidTr="00D84C5C">
        <w:tc>
          <w:tcPr>
            <w:tcW w:w="626" w:type="pct"/>
            <w:tcMar>
              <w:top w:w="57" w:type="dxa"/>
              <w:bottom w:w="57" w:type="dxa"/>
            </w:tcMar>
          </w:tcPr>
          <w:p w14:paraId="17FC06D6" w14:textId="77777777" w:rsidR="00F865CB" w:rsidRPr="00177F8F" w:rsidRDefault="00F865CB" w:rsidP="00177F8F">
            <w:pPr>
              <w:pStyle w:val="TableTextLeft"/>
              <w:rPr>
                <w:b/>
                <w:bCs/>
              </w:rPr>
            </w:pPr>
            <w:r w:rsidRPr="00177F8F">
              <w:rPr>
                <w:b/>
                <w:bCs/>
              </w:rPr>
              <w:t>IT</w:t>
            </w:r>
          </w:p>
        </w:tc>
        <w:tc>
          <w:tcPr>
            <w:tcW w:w="4374" w:type="pct"/>
            <w:tcMar>
              <w:top w:w="57" w:type="dxa"/>
              <w:bottom w:w="57" w:type="dxa"/>
            </w:tcMar>
          </w:tcPr>
          <w:p w14:paraId="3A9F0790" w14:textId="77777777" w:rsidR="00F865CB" w:rsidRPr="00E04634" w:rsidRDefault="00F865CB" w:rsidP="00177F8F">
            <w:pPr>
              <w:pStyle w:val="TableTextLeft"/>
              <w:rPr>
                <w:i/>
                <w:iCs/>
              </w:rPr>
            </w:pPr>
            <w:r w:rsidRPr="00E04634">
              <w:t>Information Technology</w:t>
            </w:r>
          </w:p>
        </w:tc>
      </w:tr>
      <w:tr w:rsidR="00F865CB" w:rsidRPr="00E04634" w14:paraId="0365B229"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8A7291F" w14:textId="77777777" w:rsidR="00F865CB" w:rsidRPr="00177F8F" w:rsidRDefault="00F865CB" w:rsidP="00177F8F">
            <w:pPr>
              <w:pStyle w:val="TableTextLeft"/>
              <w:rPr>
                <w:b/>
                <w:bCs/>
              </w:rPr>
            </w:pPr>
            <w:r w:rsidRPr="00177F8F">
              <w:rPr>
                <w:b/>
                <w:bCs/>
              </w:rPr>
              <w:t>KMP</w:t>
            </w:r>
          </w:p>
        </w:tc>
        <w:tc>
          <w:tcPr>
            <w:tcW w:w="4374" w:type="pct"/>
            <w:tcMar>
              <w:top w:w="57" w:type="dxa"/>
              <w:bottom w:w="57" w:type="dxa"/>
            </w:tcMar>
          </w:tcPr>
          <w:p w14:paraId="7FE15ACF" w14:textId="77777777" w:rsidR="00F865CB" w:rsidRPr="00E04634" w:rsidRDefault="00F865CB" w:rsidP="00177F8F">
            <w:pPr>
              <w:pStyle w:val="TableTextLeft"/>
              <w:rPr>
                <w:i/>
                <w:iCs/>
              </w:rPr>
            </w:pPr>
            <w:r w:rsidRPr="00E04634">
              <w:t>Key management personnel</w:t>
            </w:r>
          </w:p>
        </w:tc>
      </w:tr>
      <w:tr w:rsidR="00F865CB" w:rsidRPr="00E04634" w14:paraId="63BFC44F" w14:textId="77777777" w:rsidTr="00D84C5C">
        <w:tc>
          <w:tcPr>
            <w:tcW w:w="626" w:type="pct"/>
            <w:tcMar>
              <w:top w:w="57" w:type="dxa"/>
              <w:bottom w:w="57" w:type="dxa"/>
            </w:tcMar>
          </w:tcPr>
          <w:p w14:paraId="6F708537" w14:textId="77777777" w:rsidR="00F865CB" w:rsidRPr="00177F8F" w:rsidRDefault="00F865CB" w:rsidP="00177F8F">
            <w:pPr>
              <w:pStyle w:val="TableTextLeft"/>
              <w:rPr>
                <w:b/>
                <w:bCs/>
              </w:rPr>
            </w:pPr>
            <w:r w:rsidRPr="00177F8F">
              <w:rPr>
                <w:b/>
                <w:bCs/>
              </w:rPr>
              <w:t>LTDP</w:t>
            </w:r>
          </w:p>
        </w:tc>
        <w:tc>
          <w:tcPr>
            <w:tcW w:w="4374" w:type="pct"/>
            <w:tcMar>
              <w:top w:w="57" w:type="dxa"/>
              <w:bottom w:w="57" w:type="dxa"/>
            </w:tcMar>
          </w:tcPr>
          <w:p w14:paraId="4AB38345" w14:textId="532177C5" w:rsidR="00F865CB" w:rsidRPr="00E04634" w:rsidRDefault="00F865CB" w:rsidP="00177F8F">
            <w:pPr>
              <w:pStyle w:val="TableTextLeft"/>
              <w:rPr>
                <w:i/>
                <w:iCs/>
              </w:rPr>
            </w:pPr>
            <w:r w:rsidRPr="00E04634">
              <w:t>Long</w:t>
            </w:r>
            <w:r w:rsidR="00B84FF2">
              <w:noBreakHyphen/>
            </w:r>
            <w:r w:rsidRPr="00E04634">
              <w:t>Term Debt Portfolio</w:t>
            </w:r>
          </w:p>
        </w:tc>
      </w:tr>
      <w:tr w:rsidR="00F865CB" w:rsidRPr="00E04634" w14:paraId="23025967"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4EDAE729" w14:textId="77777777" w:rsidR="00F865CB" w:rsidRPr="00177F8F" w:rsidRDefault="00F865CB" w:rsidP="00177F8F">
            <w:pPr>
              <w:pStyle w:val="TableTextLeft"/>
              <w:rPr>
                <w:b/>
                <w:bCs/>
              </w:rPr>
            </w:pPr>
            <w:r w:rsidRPr="00177F8F">
              <w:rPr>
                <w:b/>
                <w:bCs/>
              </w:rPr>
              <w:t>MYEFO</w:t>
            </w:r>
          </w:p>
        </w:tc>
        <w:tc>
          <w:tcPr>
            <w:tcW w:w="4374" w:type="pct"/>
            <w:tcMar>
              <w:top w:w="57" w:type="dxa"/>
              <w:bottom w:w="57" w:type="dxa"/>
            </w:tcMar>
          </w:tcPr>
          <w:p w14:paraId="3EE2EF47" w14:textId="0540EA87" w:rsidR="00F865CB" w:rsidRPr="00E04634" w:rsidRDefault="00F865CB" w:rsidP="00177F8F">
            <w:pPr>
              <w:pStyle w:val="TableTextLeft"/>
              <w:rPr>
                <w:i/>
                <w:iCs/>
              </w:rPr>
            </w:pPr>
            <w:r w:rsidRPr="00E04634">
              <w:t>Mid</w:t>
            </w:r>
            <w:r w:rsidR="00B84FF2">
              <w:noBreakHyphen/>
            </w:r>
            <w:r w:rsidRPr="00E04634">
              <w:t>Year Economic and Fiscal Outlook</w:t>
            </w:r>
          </w:p>
        </w:tc>
      </w:tr>
      <w:tr w:rsidR="00F865CB" w:rsidRPr="00E04634" w14:paraId="639E067C" w14:textId="77777777" w:rsidTr="00D84C5C">
        <w:tc>
          <w:tcPr>
            <w:tcW w:w="626" w:type="pct"/>
            <w:tcMar>
              <w:top w:w="57" w:type="dxa"/>
              <w:bottom w:w="57" w:type="dxa"/>
            </w:tcMar>
          </w:tcPr>
          <w:p w14:paraId="2C2C7965" w14:textId="77777777" w:rsidR="00F865CB" w:rsidRPr="00177F8F" w:rsidRDefault="00F865CB" w:rsidP="00177F8F">
            <w:pPr>
              <w:pStyle w:val="TableTextLeft"/>
              <w:rPr>
                <w:b/>
                <w:bCs/>
              </w:rPr>
            </w:pPr>
            <w:r w:rsidRPr="00177F8F">
              <w:rPr>
                <w:b/>
                <w:bCs/>
              </w:rPr>
              <w:t>NAB</w:t>
            </w:r>
          </w:p>
        </w:tc>
        <w:tc>
          <w:tcPr>
            <w:tcW w:w="4374" w:type="pct"/>
            <w:tcMar>
              <w:top w:w="57" w:type="dxa"/>
              <w:bottom w:w="57" w:type="dxa"/>
            </w:tcMar>
          </w:tcPr>
          <w:p w14:paraId="4139DB47" w14:textId="77777777" w:rsidR="00F865CB" w:rsidRPr="00E04634" w:rsidRDefault="00F865CB" w:rsidP="00177F8F">
            <w:pPr>
              <w:pStyle w:val="TableTextLeft"/>
              <w:rPr>
                <w:i/>
                <w:iCs/>
              </w:rPr>
            </w:pPr>
            <w:r w:rsidRPr="00E04634">
              <w:t>National Australia Bank</w:t>
            </w:r>
          </w:p>
        </w:tc>
      </w:tr>
      <w:tr w:rsidR="00F865CB" w:rsidRPr="00E04634" w14:paraId="35365A23"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406BBF21" w14:textId="77777777" w:rsidR="00F865CB" w:rsidRPr="00177F8F" w:rsidRDefault="00F865CB" w:rsidP="00177F8F">
            <w:pPr>
              <w:pStyle w:val="TableTextLeft"/>
              <w:rPr>
                <w:b/>
                <w:bCs/>
              </w:rPr>
            </w:pPr>
            <w:r w:rsidRPr="00177F8F">
              <w:rPr>
                <w:b/>
                <w:bCs/>
              </w:rPr>
              <w:t>NSW</w:t>
            </w:r>
          </w:p>
        </w:tc>
        <w:tc>
          <w:tcPr>
            <w:tcW w:w="4374" w:type="pct"/>
            <w:tcMar>
              <w:top w:w="57" w:type="dxa"/>
              <w:bottom w:w="57" w:type="dxa"/>
            </w:tcMar>
          </w:tcPr>
          <w:p w14:paraId="0090270A" w14:textId="77777777" w:rsidR="00F865CB" w:rsidRPr="00E04634" w:rsidRDefault="00F865CB" w:rsidP="00177F8F">
            <w:pPr>
              <w:pStyle w:val="TableTextLeft"/>
              <w:rPr>
                <w:i/>
                <w:iCs/>
              </w:rPr>
            </w:pPr>
            <w:r w:rsidRPr="00E04634">
              <w:t>New South Wales</w:t>
            </w:r>
          </w:p>
        </w:tc>
      </w:tr>
      <w:tr w:rsidR="00F865CB" w:rsidRPr="00E04634" w14:paraId="0DC3938E" w14:textId="77777777" w:rsidTr="00D84C5C">
        <w:tc>
          <w:tcPr>
            <w:tcW w:w="626" w:type="pct"/>
            <w:tcMar>
              <w:top w:w="57" w:type="dxa"/>
              <w:bottom w:w="57" w:type="dxa"/>
            </w:tcMar>
          </w:tcPr>
          <w:p w14:paraId="012CD0B4" w14:textId="77777777" w:rsidR="00F865CB" w:rsidRPr="00177F8F" w:rsidRDefault="00F865CB" w:rsidP="00177F8F">
            <w:pPr>
              <w:pStyle w:val="TableTextLeft"/>
              <w:rPr>
                <w:b/>
                <w:bCs/>
              </w:rPr>
            </w:pPr>
            <w:r w:rsidRPr="00177F8F">
              <w:rPr>
                <w:b/>
                <w:bCs/>
              </w:rPr>
              <w:t>NT</w:t>
            </w:r>
          </w:p>
        </w:tc>
        <w:tc>
          <w:tcPr>
            <w:tcW w:w="4374" w:type="pct"/>
            <w:tcMar>
              <w:top w:w="57" w:type="dxa"/>
              <w:bottom w:w="57" w:type="dxa"/>
            </w:tcMar>
          </w:tcPr>
          <w:p w14:paraId="2F4F3C28" w14:textId="77777777" w:rsidR="00F865CB" w:rsidRPr="00E04634" w:rsidRDefault="00F865CB" w:rsidP="00177F8F">
            <w:pPr>
              <w:pStyle w:val="TableTextLeft"/>
              <w:rPr>
                <w:i/>
                <w:iCs/>
              </w:rPr>
            </w:pPr>
            <w:r w:rsidRPr="00E04634">
              <w:t>Northern Territory</w:t>
            </w:r>
          </w:p>
        </w:tc>
      </w:tr>
      <w:tr w:rsidR="00F865CB" w:rsidRPr="00E04634" w14:paraId="5C82D226"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23005AB9" w14:textId="77777777" w:rsidR="00F865CB" w:rsidRPr="00177F8F" w:rsidRDefault="00F865CB" w:rsidP="00177F8F">
            <w:pPr>
              <w:pStyle w:val="TableTextLeft"/>
              <w:rPr>
                <w:b/>
                <w:bCs/>
              </w:rPr>
            </w:pPr>
            <w:r w:rsidRPr="00177F8F">
              <w:rPr>
                <w:b/>
                <w:bCs/>
              </w:rPr>
              <w:t>OIS</w:t>
            </w:r>
          </w:p>
        </w:tc>
        <w:tc>
          <w:tcPr>
            <w:tcW w:w="4374" w:type="pct"/>
            <w:tcMar>
              <w:top w:w="57" w:type="dxa"/>
              <w:bottom w:w="57" w:type="dxa"/>
            </w:tcMar>
          </w:tcPr>
          <w:p w14:paraId="5FA51E28" w14:textId="2DC98298" w:rsidR="00F865CB" w:rsidRPr="00E04634" w:rsidRDefault="007508DB" w:rsidP="00177F8F">
            <w:pPr>
              <w:pStyle w:val="TableTextLeft"/>
              <w:rPr>
                <w:i/>
                <w:iCs/>
              </w:rPr>
            </w:pPr>
            <w:r>
              <w:t>o</w:t>
            </w:r>
            <w:r w:rsidR="00F865CB" w:rsidRPr="00E04634">
              <w:t xml:space="preserve">vernight indexed swap </w:t>
            </w:r>
          </w:p>
        </w:tc>
      </w:tr>
      <w:tr w:rsidR="00F865CB" w:rsidRPr="00E04634" w14:paraId="0C74E0FD" w14:textId="77777777" w:rsidTr="00D84C5C">
        <w:tc>
          <w:tcPr>
            <w:tcW w:w="626" w:type="pct"/>
            <w:tcMar>
              <w:top w:w="57" w:type="dxa"/>
              <w:bottom w:w="57" w:type="dxa"/>
            </w:tcMar>
          </w:tcPr>
          <w:p w14:paraId="21C4F20B" w14:textId="77777777" w:rsidR="00F865CB" w:rsidRPr="00177F8F" w:rsidRDefault="00F865CB" w:rsidP="00177F8F">
            <w:pPr>
              <w:pStyle w:val="TableTextLeft"/>
              <w:rPr>
                <w:b/>
                <w:bCs/>
              </w:rPr>
            </w:pPr>
            <w:r w:rsidRPr="00177F8F">
              <w:rPr>
                <w:b/>
                <w:bCs/>
              </w:rPr>
              <w:t>OPA</w:t>
            </w:r>
          </w:p>
        </w:tc>
        <w:tc>
          <w:tcPr>
            <w:tcW w:w="4374" w:type="pct"/>
            <w:tcMar>
              <w:top w:w="57" w:type="dxa"/>
              <w:bottom w:w="57" w:type="dxa"/>
            </w:tcMar>
          </w:tcPr>
          <w:p w14:paraId="1B865B9A" w14:textId="77777777" w:rsidR="00F865CB" w:rsidRPr="00E04634" w:rsidRDefault="00F865CB" w:rsidP="00177F8F">
            <w:pPr>
              <w:pStyle w:val="TableTextLeft"/>
            </w:pPr>
            <w:r w:rsidRPr="00E04634">
              <w:t>Official Public Account</w:t>
            </w:r>
          </w:p>
        </w:tc>
      </w:tr>
      <w:tr w:rsidR="00F865CB" w:rsidRPr="00E04634" w14:paraId="189BEEB8"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8192FA4" w14:textId="77777777" w:rsidR="00F865CB" w:rsidRPr="00177F8F" w:rsidRDefault="00F865CB" w:rsidP="00177F8F">
            <w:pPr>
              <w:pStyle w:val="TableTextLeft"/>
              <w:rPr>
                <w:b/>
                <w:bCs/>
              </w:rPr>
            </w:pPr>
            <w:r w:rsidRPr="00177F8F">
              <w:rPr>
                <w:b/>
                <w:bCs/>
              </w:rPr>
              <w:t>PGPA Act</w:t>
            </w:r>
          </w:p>
        </w:tc>
        <w:tc>
          <w:tcPr>
            <w:tcW w:w="4374" w:type="pct"/>
            <w:tcMar>
              <w:top w:w="57" w:type="dxa"/>
              <w:bottom w:w="57" w:type="dxa"/>
            </w:tcMar>
          </w:tcPr>
          <w:p w14:paraId="194574BB" w14:textId="77777777" w:rsidR="00F865CB" w:rsidRPr="00E04634" w:rsidRDefault="00F865CB" w:rsidP="00177F8F">
            <w:pPr>
              <w:pStyle w:val="TableTextLeft"/>
              <w:rPr>
                <w:iCs/>
              </w:rPr>
            </w:pPr>
            <w:r w:rsidRPr="00E04634">
              <w:t>Public Governance, Performance and Accountability Act 2013</w:t>
            </w:r>
          </w:p>
        </w:tc>
      </w:tr>
      <w:tr w:rsidR="00F865CB" w:rsidRPr="00E04634" w14:paraId="7999F57D" w14:textId="77777777" w:rsidTr="00D84C5C">
        <w:tc>
          <w:tcPr>
            <w:tcW w:w="626" w:type="pct"/>
            <w:tcMar>
              <w:top w:w="57" w:type="dxa"/>
              <w:bottom w:w="57" w:type="dxa"/>
            </w:tcMar>
          </w:tcPr>
          <w:p w14:paraId="3121D8F1" w14:textId="77777777" w:rsidR="00F865CB" w:rsidRPr="00177F8F" w:rsidRDefault="00F865CB" w:rsidP="00177F8F">
            <w:pPr>
              <w:pStyle w:val="TableTextLeft"/>
              <w:rPr>
                <w:b/>
                <w:bCs/>
              </w:rPr>
            </w:pPr>
            <w:r w:rsidRPr="00177F8F">
              <w:rPr>
                <w:b/>
                <w:bCs/>
              </w:rPr>
              <w:t>PS Act</w:t>
            </w:r>
          </w:p>
        </w:tc>
        <w:tc>
          <w:tcPr>
            <w:tcW w:w="4374" w:type="pct"/>
            <w:tcMar>
              <w:top w:w="57" w:type="dxa"/>
              <w:bottom w:w="57" w:type="dxa"/>
            </w:tcMar>
          </w:tcPr>
          <w:p w14:paraId="7A8C760E" w14:textId="77777777" w:rsidR="00F865CB" w:rsidRPr="00E04634" w:rsidRDefault="00F865CB" w:rsidP="00177F8F">
            <w:pPr>
              <w:pStyle w:val="TableTextLeft"/>
              <w:rPr>
                <w:iCs/>
              </w:rPr>
            </w:pPr>
            <w:r w:rsidRPr="00E04634">
              <w:t>Public Service Act 1999</w:t>
            </w:r>
          </w:p>
        </w:tc>
      </w:tr>
      <w:tr w:rsidR="00F865CB" w:rsidRPr="00E04634" w14:paraId="6880A4F0"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226BA6BC" w14:textId="77777777" w:rsidR="00F865CB" w:rsidRPr="00177F8F" w:rsidRDefault="00F865CB" w:rsidP="00177F8F">
            <w:pPr>
              <w:pStyle w:val="TableTextLeft"/>
              <w:rPr>
                <w:b/>
                <w:bCs/>
              </w:rPr>
            </w:pPr>
            <w:r w:rsidRPr="00177F8F">
              <w:rPr>
                <w:b/>
                <w:bCs/>
              </w:rPr>
              <w:t>Qld</w:t>
            </w:r>
          </w:p>
        </w:tc>
        <w:tc>
          <w:tcPr>
            <w:tcW w:w="4374" w:type="pct"/>
            <w:tcMar>
              <w:top w:w="57" w:type="dxa"/>
              <w:bottom w:w="57" w:type="dxa"/>
            </w:tcMar>
          </w:tcPr>
          <w:p w14:paraId="16E84A8C" w14:textId="77777777" w:rsidR="00F865CB" w:rsidRPr="00E04634" w:rsidRDefault="00F865CB" w:rsidP="00177F8F">
            <w:pPr>
              <w:pStyle w:val="TableTextLeft"/>
              <w:rPr>
                <w:i/>
                <w:iCs/>
              </w:rPr>
            </w:pPr>
            <w:r w:rsidRPr="00E04634">
              <w:t>Queensland</w:t>
            </w:r>
          </w:p>
        </w:tc>
      </w:tr>
      <w:tr w:rsidR="00F865CB" w:rsidRPr="00E04634" w14:paraId="5B4F650A" w14:textId="77777777" w:rsidTr="00D84C5C">
        <w:tc>
          <w:tcPr>
            <w:tcW w:w="626" w:type="pct"/>
            <w:tcMar>
              <w:top w:w="57" w:type="dxa"/>
              <w:bottom w:w="57" w:type="dxa"/>
            </w:tcMar>
          </w:tcPr>
          <w:p w14:paraId="2A44815A" w14:textId="77777777" w:rsidR="00F865CB" w:rsidRPr="00177F8F" w:rsidRDefault="00F865CB" w:rsidP="00177F8F">
            <w:pPr>
              <w:pStyle w:val="TableTextLeft"/>
              <w:rPr>
                <w:b/>
                <w:bCs/>
              </w:rPr>
            </w:pPr>
            <w:r w:rsidRPr="00177F8F">
              <w:rPr>
                <w:b/>
                <w:bCs/>
              </w:rPr>
              <w:t>RBA</w:t>
            </w:r>
          </w:p>
        </w:tc>
        <w:tc>
          <w:tcPr>
            <w:tcW w:w="4374" w:type="pct"/>
            <w:tcMar>
              <w:top w:w="57" w:type="dxa"/>
              <w:bottom w:w="57" w:type="dxa"/>
            </w:tcMar>
          </w:tcPr>
          <w:p w14:paraId="21231E55" w14:textId="77777777" w:rsidR="00F865CB" w:rsidRPr="00E04634" w:rsidRDefault="00F865CB" w:rsidP="00177F8F">
            <w:pPr>
              <w:pStyle w:val="TableTextLeft"/>
              <w:rPr>
                <w:i/>
                <w:iCs/>
              </w:rPr>
            </w:pPr>
            <w:r w:rsidRPr="00E04634">
              <w:t>Reserve Bank of Australia</w:t>
            </w:r>
          </w:p>
        </w:tc>
      </w:tr>
      <w:tr w:rsidR="00F865CB" w:rsidRPr="00E04634" w14:paraId="119F6B1F"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0FE41963" w14:textId="77777777" w:rsidR="00F865CB" w:rsidRPr="00177F8F" w:rsidRDefault="00F865CB" w:rsidP="00177F8F">
            <w:pPr>
              <w:pStyle w:val="TableTextLeft"/>
              <w:rPr>
                <w:b/>
                <w:bCs/>
              </w:rPr>
            </w:pPr>
            <w:r w:rsidRPr="00177F8F">
              <w:rPr>
                <w:b/>
                <w:bCs/>
              </w:rPr>
              <w:t>SA</w:t>
            </w:r>
          </w:p>
        </w:tc>
        <w:tc>
          <w:tcPr>
            <w:tcW w:w="4374" w:type="pct"/>
            <w:tcMar>
              <w:top w:w="57" w:type="dxa"/>
              <w:bottom w:w="57" w:type="dxa"/>
            </w:tcMar>
          </w:tcPr>
          <w:p w14:paraId="3CAE9BE5" w14:textId="77777777" w:rsidR="00F865CB" w:rsidRPr="00E04634" w:rsidRDefault="00F865CB" w:rsidP="00177F8F">
            <w:pPr>
              <w:pStyle w:val="TableTextLeft"/>
              <w:rPr>
                <w:i/>
                <w:iCs/>
              </w:rPr>
            </w:pPr>
            <w:r w:rsidRPr="00E04634">
              <w:t>South Australia</w:t>
            </w:r>
          </w:p>
        </w:tc>
      </w:tr>
      <w:tr w:rsidR="00F865CB" w:rsidRPr="00E04634" w14:paraId="29E68568" w14:textId="77777777" w:rsidTr="00D84C5C">
        <w:tc>
          <w:tcPr>
            <w:tcW w:w="626" w:type="pct"/>
            <w:tcMar>
              <w:top w:w="57" w:type="dxa"/>
              <w:bottom w:w="57" w:type="dxa"/>
            </w:tcMar>
          </w:tcPr>
          <w:p w14:paraId="2BDD5051" w14:textId="77777777" w:rsidR="00F865CB" w:rsidRPr="00177F8F" w:rsidRDefault="00F865CB" w:rsidP="00177F8F">
            <w:pPr>
              <w:pStyle w:val="TableTextLeft"/>
              <w:rPr>
                <w:b/>
                <w:bCs/>
              </w:rPr>
            </w:pPr>
            <w:r w:rsidRPr="00177F8F">
              <w:rPr>
                <w:b/>
                <w:bCs/>
              </w:rPr>
              <w:t>SES</w:t>
            </w:r>
          </w:p>
        </w:tc>
        <w:tc>
          <w:tcPr>
            <w:tcW w:w="4374" w:type="pct"/>
            <w:tcMar>
              <w:top w:w="57" w:type="dxa"/>
              <w:bottom w:w="57" w:type="dxa"/>
            </w:tcMar>
          </w:tcPr>
          <w:p w14:paraId="645EF4E9" w14:textId="77777777" w:rsidR="00F865CB" w:rsidRPr="00E04634" w:rsidRDefault="00F865CB" w:rsidP="00177F8F">
            <w:pPr>
              <w:pStyle w:val="TableTextLeft"/>
              <w:rPr>
                <w:i/>
                <w:iCs/>
              </w:rPr>
            </w:pPr>
            <w:r w:rsidRPr="00E04634">
              <w:t>Senior Executive Service</w:t>
            </w:r>
          </w:p>
        </w:tc>
      </w:tr>
      <w:tr w:rsidR="00F865CB" w:rsidRPr="00E04634" w14:paraId="1093144B"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0B98BCCD" w14:textId="77777777" w:rsidR="00F865CB" w:rsidRPr="00177F8F" w:rsidRDefault="00F865CB" w:rsidP="00177F8F">
            <w:pPr>
              <w:pStyle w:val="TableTextLeft"/>
              <w:rPr>
                <w:b/>
                <w:bCs/>
              </w:rPr>
            </w:pPr>
            <w:r w:rsidRPr="00177F8F">
              <w:rPr>
                <w:b/>
                <w:bCs/>
              </w:rPr>
              <w:t>SFSF</w:t>
            </w:r>
          </w:p>
        </w:tc>
        <w:tc>
          <w:tcPr>
            <w:tcW w:w="4374" w:type="pct"/>
            <w:tcMar>
              <w:top w:w="57" w:type="dxa"/>
              <w:bottom w:w="57" w:type="dxa"/>
            </w:tcMar>
          </w:tcPr>
          <w:p w14:paraId="7D8FCC07" w14:textId="77777777" w:rsidR="00F865CB" w:rsidRPr="00E04634" w:rsidRDefault="00F865CB" w:rsidP="00177F8F">
            <w:pPr>
              <w:pStyle w:val="TableTextLeft"/>
              <w:rPr>
                <w:i/>
                <w:iCs/>
              </w:rPr>
            </w:pPr>
            <w:r w:rsidRPr="00E04634">
              <w:t>Structured Finance Support Fund</w:t>
            </w:r>
          </w:p>
        </w:tc>
      </w:tr>
      <w:tr w:rsidR="00F865CB" w:rsidRPr="00E04634" w14:paraId="027A8BE9" w14:textId="77777777" w:rsidTr="00D84C5C">
        <w:tc>
          <w:tcPr>
            <w:tcW w:w="626" w:type="pct"/>
            <w:tcMar>
              <w:top w:w="57" w:type="dxa"/>
              <w:bottom w:w="57" w:type="dxa"/>
            </w:tcMar>
          </w:tcPr>
          <w:p w14:paraId="757E3C83" w14:textId="77777777" w:rsidR="00F865CB" w:rsidRPr="00177F8F" w:rsidRDefault="00F865CB" w:rsidP="00177F8F">
            <w:pPr>
              <w:pStyle w:val="TableTextLeft"/>
              <w:rPr>
                <w:b/>
                <w:bCs/>
              </w:rPr>
            </w:pPr>
            <w:r w:rsidRPr="00177F8F">
              <w:rPr>
                <w:b/>
                <w:bCs/>
              </w:rPr>
              <w:t>SMEs</w:t>
            </w:r>
          </w:p>
        </w:tc>
        <w:tc>
          <w:tcPr>
            <w:tcW w:w="4374" w:type="pct"/>
            <w:tcMar>
              <w:top w:w="57" w:type="dxa"/>
              <w:bottom w:w="57" w:type="dxa"/>
            </w:tcMar>
          </w:tcPr>
          <w:p w14:paraId="06E4616F" w14:textId="086E3B84" w:rsidR="00F865CB" w:rsidRPr="00E04634" w:rsidRDefault="007508DB" w:rsidP="00177F8F">
            <w:pPr>
              <w:pStyle w:val="TableTextLeft"/>
              <w:rPr>
                <w:i/>
                <w:iCs/>
              </w:rPr>
            </w:pPr>
            <w:r>
              <w:t>s</w:t>
            </w:r>
            <w:r w:rsidR="00F865CB" w:rsidRPr="00E04634">
              <w:t>mall and medium enterprises</w:t>
            </w:r>
          </w:p>
        </w:tc>
      </w:tr>
      <w:tr w:rsidR="00F865CB" w:rsidRPr="00E04634" w14:paraId="10CC85F5"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256200B" w14:textId="77777777" w:rsidR="00F865CB" w:rsidRPr="00177F8F" w:rsidRDefault="00F865CB" w:rsidP="00177F8F">
            <w:pPr>
              <w:pStyle w:val="TableTextLeft"/>
              <w:rPr>
                <w:b/>
                <w:bCs/>
              </w:rPr>
            </w:pPr>
            <w:r w:rsidRPr="00177F8F">
              <w:rPr>
                <w:b/>
                <w:bCs/>
              </w:rPr>
              <w:t>Tas</w:t>
            </w:r>
          </w:p>
        </w:tc>
        <w:tc>
          <w:tcPr>
            <w:tcW w:w="4374" w:type="pct"/>
            <w:tcMar>
              <w:top w:w="57" w:type="dxa"/>
              <w:bottom w:w="57" w:type="dxa"/>
            </w:tcMar>
          </w:tcPr>
          <w:p w14:paraId="2D181AE5" w14:textId="77777777" w:rsidR="00F865CB" w:rsidRPr="00E04634" w:rsidRDefault="00F865CB" w:rsidP="00177F8F">
            <w:pPr>
              <w:pStyle w:val="TableTextLeft"/>
              <w:rPr>
                <w:i/>
                <w:iCs/>
              </w:rPr>
            </w:pPr>
            <w:r w:rsidRPr="00E04634">
              <w:t>Tasmania</w:t>
            </w:r>
          </w:p>
        </w:tc>
      </w:tr>
      <w:tr w:rsidR="00F865CB" w:rsidRPr="00E04634" w14:paraId="5AA20E4E" w14:textId="77777777" w:rsidTr="00D84C5C">
        <w:tc>
          <w:tcPr>
            <w:tcW w:w="626" w:type="pct"/>
            <w:tcMar>
              <w:top w:w="57" w:type="dxa"/>
              <w:bottom w:w="57" w:type="dxa"/>
            </w:tcMar>
          </w:tcPr>
          <w:p w14:paraId="113BB56A" w14:textId="77777777" w:rsidR="00F865CB" w:rsidRPr="00177F8F" w:rsidRDefault="00F865CB" w:rsidP="00177F8F">
            <w:pPr>
              <w:pStyle w:val="TableTextLeft"/>
              <w:rPr>
                <w:b/>
                <w:bCs/>
              </w:rPr>
            </w:pPr>
            <w:r w:rsidRPr="00177F8F">
              <w:rPr>
                <w:b/>
                <w:bCs/>
              </w:rPr>
              <w:t>TIBs</w:t>
            </w:r>
          </w:p>
        </w:tc>
        <w:tc>
          <w:tcPr>
            <w:tcW w:w="4374" w:type="pct"/>
            <w:tcMar>
              <w:top w:w="57" w:type="dxa"/>
              <w:bottom w:w="57" w:type="dxa"/>
            </w:tcMar>
          </w:tcPr>
          <w:p w14:paraId="3AAB59D5" w14:textId="77777777" w:rsidR="00F865CB" w:rsidRPr="00E04634" w:rsidRDefault="00F865CB" w:rsidP="00177F8F">
            <w:pPr>
              <w:pStyle w:val="TableTextLeft"/>
              <w:rPr>
                <w:i/>
                <w:iCs/>
              </w:rPr>
            </w:pPr>
            <w:r w:rsidRPr="00E04634">
              <w:t>Treasury Indexed Bonds</w:t>
            </w:r>
          </w:p>
        </w:tc>
      </w:tr>
      <w:tr w:rsidR="00F865CB" w:rsidRPr="00E04634" w14:paraId="6F95AE74"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160B9C95" w14:textId="7D1C24DD" w:rsidR="00F865CB" w:rsidRPr="00177F8F" w:rsidRDefault="00F865CB" w:rsidP="00177F8F">
            <w:pPr>
              <w:pStyle w:val="TableTextLeft"/>
              <w:rPr>
                <w:b/>
                <w:bCs/>
              </w:rPr>
            </w:pPr>
            <w:r w:rsidRPr="00177F8F">
              <w:rPr>
                <w:b/>
                <w:bCs/>
              </w:rPr>
              <w:t>T</w:t>
            </w:r>
            <w:r w:rsidR="00B84FF2" w:rsidRPr="00177F8F">
              <w:rPr>
                <w:b/>
                <w:bCs/>
              </w:rPr>
              <w:noBreakHyphen/>
            </w:r>
            <w:r w:rsidRPr="00177F8F">
              <w:rPr>
                <w:b/>
                <w:bCs/>
              </w:rPr>
              <w:t>Notes</w:t>
            </w:r>
          </w:p>
        </w:tc>
        <w:tc>
          <w:tcPr>
            <w:tcW w:w="4374" w:type="pct"/>
            <w:tcMar>
              <w:top w:w="57" w:type="dxa"/>
              <w:bottom w:w="57" w:type="dxa"/>
            </w:tcMar>
          </w:tcPr>
          <w:p w14:paraId="5682B63A" w14:textId="77777777" w:rsidR="00F865CB" w:rsidRPr="00E04634" w:rsidRDefault="00F865CB" w:rsidP="00177F8F">
            <w:pPr>
              <w:pStyle w:val="TableTextLeft"/>
              <w:rPr>
                <w:i/>
                <w:iCs/>
              </w:rPr>
            </w:pPr>
            <w:r w:rsidRPr="00E04634">
              <w:t>Treasury Notes</w:t>
            </w:r>
          </w:p>
        </w:tc>
      </w:tr>
      <w:tr w:rsidR="00F865CB" w:rsidRPr="00E04634" w14:paraId="2BBA626E" w14:textId="77777777" w:rsidTr="00D84C5C">
        <w:tc>
          <w:tcPr>
            <w:tcW w:w="626" w:type="pct"/>
            <w:tcMar>
              <w:top w:w="57" w:type="dxa"/>
              <w:bottom w:w="57" w:type="dxa"/>
            </w:tcMar>
          </w:tcPr>
          <w:p w14:paraId="4497353A" w14:textId="77777777" w:rsidR="00F865CB" w:rsidRPr="00177F8F" w:rsidRDefault="00F865CB" w:rsidP="00177F8F">
            <w:pPr>
              <w:pStyle w:val="TableTextLeft"/>
              <w:rPr>
                <w:b/>
                <w:bCs/>
              </w:rPr>
            </w:pPr>
            <w:r w:rsidRPr="00177F8F">
              <w:rPr>
                <w:b/>
                <w:bCs/>
              </w:rPr>
              <w:t>US</w:t>
            </w:r>
          </w:p>
        </w:tc>
        <w:tc>
          <w:tcPr>
            <w:tcW w:w="4374" w:type="pct"/>
            <w:tcMar>
              <w:top w:w="57" w:type="dxa"/>
              <w:bottom w:w="57" w:type="dxa"/>
            </w:tcMar>
          </w:tcPr>
          <w:p w14:paraId="77E1C7C9" w14:textId="77777777" w:rsidR="00F865CB" w:rsidRPr="00E04634" w:rsidRDefault="00F865CB" w:rsidP="00177F8F">
            <w:pPr>
              <w:pStyle w:val="TableTextLeft"/>
              <w:rPr>
                <w:i/>
                <w:iCs/>
              </w:rPr>
            </w:pPr>
            <w:r w:rsidRPr="00E04634">
              <w:t>United States of America</w:t>
            </w:r>
          </w:p>
        </w:tc>
      </w:tr>
      <w:tr w:rsidR="00F865CB" w:rsidRPr="00E04634" w14:paraId="240EAB85"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285EEBE8" w14:textId="77777777" w:rsidR="00F865CB" w:rsidRPr="00177F8F" w:rsidRDefault="00F865CB" w:rsidP="00177F8F">
            <w:pPr>
              <w:pStyle w:val="TableTextLeft"/>
              <w:rPr>
                <w:b/>
                <w:bCs/>
              </w:rPr>
            </w:pPr>
            <w:r w:rsidRPr="00177F8F">
              <w:rPr>
                <w:b/>
                <w:bCs/>
              </w:rPr>
              <w:t>Vic</w:t>
            </w:r>
          </w:p>
        </w:tc>
        <w:tc>
          <w:tcPr>
            <w:tcW w:w="4374" w:type="pct"/>
            <w:tcMar>
              <w:top w:w="57" w:type="dxa"/>
              <w:bottom w:w="57" w:type="dxa"/>
            </w:tcMar>
          </w:tcPr>
          <w:p w14:paraId="5C8CE3DE" w14:textId="77777777" w:rsidR="00F865CB" w:rsidRPr="00E04634" w:rsidRDefault="00F865CB" w:rsidP="00177F8F">
            <w:pPr>
              <w:pStyle w:val="TableTextLeft"/>
              <w:rPr>
                <w:i/>
                <w:iCs/>
              </w:rPr>
            </w:pPr>
            <w:r w:rsidRPr="00E04634">
              <w:t>Victoria</w:t>
            </w:r>
          </w:p>
        </w:tc>
      </w:tr>
      <w:tr w:rsidR="00F865CB" w:rsidRPr="00E04634" w14:paraId="4AEAEAA8" w14:textId="77777777" w:rsidTr="00D84C5C">
        <w:tc>
          <w:tcPr>
            <w:tcW w:w="626" w:type="pct"/>
            <w:tcMar>
              <w:top w:w="57" w:type="dxa"/>
              <w:bottom w:w="57" w:type="dxa"/>
            </w:tcMar>
          </w:tcPr>
          <w:p w14:paraId="61D6C80F" w14:textId="77777777" w:rsidR="00F865CB" w:rsidRPr="00177F8F" w:rsidRDefault="00F865CB" w:rsidP="00177F8F">
            <w:pPr>
              <w:pStyle w:val="TableTextLeft"/>
              <w:rPr>
                <w:b/>
                <w:bCs/>
              </w:rPr>
            </w:pPr>
            <w:r w:rsidRPr="00177F8F">
              <w:rPr>
                <w:b/>
                <w:bCs/>
              </w:rPr>
              <w:t>WA</w:t>
            </w:r>
          </w:p>
        </w:tc>
        <w:tc>
          <w:tcPr>
            <w:tcW w:w="4374" w:type="pct"/>
            <w:tcMar>
              <w:top w:w="57" w:type="dxa"/>
              <w:bottom w:w="57" w:type="dxa"/>
            </w:tcMar>
          </w:tcPr>
          <w:p w14:paraId="07C5D0E1" w14:textId="77777777" w:rsidR="00F865CB" w:rsidRPr="00E04634" w:rsidRDefault="00F865CB" w:rsidP="00177F8F">
            <w:pPr>
              <w:pStyle w:val="TableTextLeft"/>
              <w:rPr>
                <w:i/>
                <w:iCs/>
              </w:rPr>
            </w:pPr>
            <w:r w:rsidRPr="00E04634">
              <w:t>Western Australia</w:t>
            </w:r>
          </w:p>
        </w:tc>
      </w:tr>
      <w:tr w:rsidR="00F865CB" w:rsidRPr="00E04634" w14:paraId="2A7ADEDD" w14:textId="77777777" w:rsidTr="00D84C5C">
        <w:trPr>
          <w:cnfStyle w:val="000000010000" w:firstRow="0" w:lastRow="0" w:firstColumn="0" w:lastColumn="0" w:oddVBand="0" w:evenVBand="0" w:oddHBand="0" w:evenHBand="1" w:firstRowFirstColumn="0" w:firstRowLastColumn="0" w:lastRowFirstColumn="0" w:lastRowLastColumn="0"/>
        </w:trPr>
        <w:tc>
          <w:tcPr>
            <w:tcW w:w="626" w:type="pct"/>
            <w:tcMar>
              <w:top w:w="57" w:type="dxa"/>
              <w:bottom w:w="57" w:type="dxa"/>
            </w:tcMar>
          </w:tcPr>
          <w:p w14:paraId="3138FB3C" w14:textId="77777777" w:rsidR="00F865CB" w:rsidRPr="00177F8F" w:rsidRDefault="00F865CB" w:rsidP="00177F8F">
            <w:pPr>
              <w:pStyle w:val="TableTextLeft"/>
              <w:rPr>
                <w:b/>
                <w:bCs/>
              </w:rPr>
            </w:pPr>
            <w:r w:rsidRPr="00177F8F">
              <w:rPr>
                <w:b/>
                <w:bCs/>
              </w:rPr>
              <w:t>WAM</w:t>
            </w:r>
          </w:p>
        </w:tc>
        <w:tc>
          <w:tcPr>
            <w:tcW w:w="4374" w:type="pct"/>
            <w:tcMar>
              <w:top w:w="57" w:type="dxa"/>
              <w:bottom w:w="57" w:type="dxa"/>
            </w:tcMar>
          </w:tcPr>
          <w:p w14:paraId="720AFC38" w14:textId="4576A155" w:rsidR="00F865CB" w:rsidRPr="00E04634" w:rsidRDefault="00BF6AB7" w:rsidP="00177F8F">
            <w:pPr>
              <w:pStyle w:val="TableTextLeft"/>
              <w:rPr>
                <w:i/>
                <w:iCs/>
              </w:rPr>
            </w:pPr>
            <w:r>
              <w:t>w</w:t>
            </w:r>
            <w:r w:rsidRPr="00E04634">
              <w:t xml:space="preserve">eighted </w:t>
            </w:r>
            <w:r w:rsidR="00F865CB" w:rsidRPr="00E04634">
              <w:t>average maturity</w:t>
            </w:r>
          </w:p>
        </w:tc>
      </w:tr>
    </w:tbl>
    <w:p w14:paraId="1C2A7F14" w14:textId="77777777" w:rsidR="00E87E9F" w:rsidRDefault="00E87E9F" w:rsidP="00406B6D">
      <w:pPr>
        <w:sectPr w:rsidR="00E87E9F" w:rsidSect="001E2AEB">
          <w:type w:val="oddPage"/>
          <w:pgSz w:w="11907" w:h="16840" w:code="9"/>
          <w:pgMar w:top="2835" w:right="2098" w:bottom="2466" w:left="2098" w:header="1814" w:footer="1814" w:gutter="0"/>
          <w:cols w:space="708"/>
          <w:docGrid w:linePitch="360"/>
        </w:sectPr>
      </w:pPr>
    </w:p>
    <w:p w14:paraId="5772666A" w14:textId="40FBB170" w:rsidR="00D30A4D" w:rsidRDefault="00D30A4D" w:rsidP="001C0165">
      <w:pPr>
        <w:pStyle w:val="Heading1"/>
      </w:pPr>
      <w:bookmarkStart w:id="2011" w:name="_Toc205474346"/>
      <w:bookmarkStart w:id="2012" w:name="_Toc207792965"/>
      <w:bookmarkStart w:id="2013" w:name="_Toc207794006"/>
      <w:bookmarkStart w:id="2014" w:name="_Toc207795667"/>
      <w:bookmarkStart w:id="2015" w:name="_Toc207796182"/>
      <w:bookmarkStart w:id="2016" w:name="_Toc207797009"/>
      <w:bookmarkStart w:id="2017" w:name="_Toc207797317"/>
      <w:bookmarkStart w:id="2018" w:name="_Toc207800313"/>
      <w:bookmarkStart w:id="2019" w:name="_Toc207810891"/>
      <w:bookmarkStart w:id="2020" w:name="_Toc208913992"/>
      <w:bookmarkStart w:id="2021" w:name="_Toc208914171"/>
      <w:bookmarkStart w:id="2022" w:name="_Toc209424568"/>
      <w:bookmarkStart w:id="2023" w:name="_Toc209424610"/>
      <w:bookmarkEnd w:id="1552"/>
      <w:bookmarkEnd w:id="1553"/>
      <w:bookmarkEnd w:id="1554"/>
      <w:r>
        <w:lastRenderedPageBreak/>
        <w:t>Compliance with annual report requirements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p>
    <w:tbl>
      <w:tblPr>
        <w:tblStyle w:val="AOFMTablemain"/>
        <w:tblW w:w="5000" w:type="pct"/>
        <w:tblLayout w:type="fixed"/>
        <w:tblLook w:val="06A0" w:firstRow="1" w:lastRow="0" w:firstColumn="1" w:lastColumn="0" w:noHBand="1" w:noVBand="1"/>
      </w:tblPr>
      <w:tblGrid>
        <w:gridCol w:w="1360"/>
        <w:gridCol w:w="1537"/>
        <w:gridCol w:w="3482"/>
        <w:gridCol w:w="1332"/>
      </w:tblGrid>
      <w:tr w:rsidR="006C235E" w:rsidRPr="00C71B8C" w14:paraId="67CC3381"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360" w:type="dxa"/>
            <w:tcBorders>
              <w:bottom w:val="single" w:sz="4" w:space="0" w:color="29114B" w:themeColor="text2"/>
            </w:tcBorders>
            <w:tcMar>
              <w:top w:w="57" w:type="dxa"/>
              <w:bottom w:w="57" w:type="dxa"/>
            </w:tcMar>
            <w:vAlign w:val="bottom"/>
            <w:hideMark/>
          </w:tcPr>
          <w:p w14:paraId="2799BBFC" w14:textId="77777777" w:rsidR="009301C6" w:rsidRPr="00177F8F" w:rsidRDefault="009301C6" w:rsidP="00E46CBD">
            <w:pPr>
              <w:pStyle w:val="TableColumnHeadingLeft"/>
            </w:pPr>
            <w:r w:rsidRPr="00177F8F">
              <w:t>PGPA rule reference</w:t>
            </w:r>
          </w:p>
        </w:tc>
        <w:tc>
          <w:tcPr>
            <w:tcW w:w="1537" w:type="dxa"/>
            <w:tcBorders>
              <w:bottom w:val="single" w:sz="4" w:space="0" w:color="29114B" w:themeColor="text2"/>
            </w:tcBorders>
            <w:tcMar>
              <w:top w:w="57" w:type="dxa"/>
              <w:bottom w:w="57" w:type="dxa"/>
            </w:tcMar>
            <w:vAlign w:val="bottom"/>
            <w:hideMark/>
          </w:tcPr>
          <w:p w14:paraId="4FCD7B60" w14:textId="77777777" w:rsidR="009301C6" w:rsidRPr="00177F8F" w:rsidRDefault="009301C6" w:rsidP="00E46CBD">
            <w:pPr>
              <w:pStyle w:val="TableColumnHeadingLeft"/>
            </w:pPr>
            <w:r w:rsidRPr="00177F8F">
              <w:t>Part of report</w:t>
            </w:r>
          </w:p>
        </w:tc>
        <w:tc>
          <w:tcPr>
            <w:tcW w:w="3482" w:type="dxa"/>
            <w:tcBorders>
              <w:bottom w:val="single" w:sz="4" w:space="0" w:color="29114B" w:themeColor="text2"/>
            </w:tcBorders>
            <w:tcMar>
              <w:top w:w="57" w:type="dxa"/>
              <w:bottom w:w="57" w:type="dxa"/>
            </w:tcMar>
            <w:vAlign w:val="bottom"/>
            <w:hideMark/>
          </w:tcPr>
          <w:p w14:paraId="190300FF" w14:textId="77777777" w:rsidR="009301C6" w:rsidRPr="00177F8F" w:rsidRDefault="009301C6" w:rsidP="00E46CBD">
            <w:pPr>
              <w:pStyle w:val="TableColumnHeadingLeft"/>
            </w:pPr>
            <w:r w:rsidRPr="00177F8F">
              <w:t>Description</w:t>
            </w:r>
          </w:p>
        </w:tc>
        <w:tc>
          <w:tcPr>
            <w:tcW w:w="1332" w:type="dxa"/>
            <w:tcBorders>
              <w:bottom w:val="single" w:sz="4" w:space="0" w:color="29114B" w:themeColor="text2"/>
            </w:tcBorders>
            <w:tcMar>
              <w:top w:w="57" w:type="dxa"/>
              <w:bottom w:w="57" w:type="dxa"/>
            </w:tcMar>
            <w:vAlign w:val="bottom"/>
            <w:hideMark/>
          </w:tcPr>
          <w:p w14:paraId="2349F86D" w14:textId="77777777" w:rsidR="009301C6" w:rsidRPr="00177F8F" w:rsidRDefault="009301C6" w:rsidP="00E46CBD">
            <w:pPr>
              <w:pStyle w:val="TableColumnHeadingLeft"/>
            </w:pPr>
            <w:r w:rsidRPr="00177F8F">
              <w:t>Requirement</w:t>
            </w:r>
          </w:p>
        </w:tc>
      </w:tr>
      <w:tr w:rsidR="00583E03" w:rsidRPr="00C71B8C" w14:paraId="4ACC9CE5" w14:textId="77777777" w:rsidTr="00592520">
        <w:trPr>
          <w:trHeight w:val="20"/>
        </w:trPr>
        <w:tc>
          <w:tcPr>
            <w:tcW w:w="1360" w:type="dxa"/>
            <w:tcBorders>
              <w:top w:val="single" w:sz="4" w:space="0" w:color="29114B" w:themeColor="text2"/>
              <w:right w:val="nil"/>
            </w:tcBorders>
            <w:shd w:val="clear" w:color="auto" w:fill="CAE6F2" w:themeFill="accent3" w:themeFillTint="33"/>
            <w:tcMar>
              <w:top w:w="57" w:type="dxa"/>
              <w:bottom w:w="57" w:type="dxa"/>
            </w:tcMar>
          </w:tcPr>
          <w:p w14:paraId="521835E0" w14:textId="098E1788" w:rsidR="00583E03" w:rsidRPr="00177F8F" w:rsidRDefault="00583E03" w:rsidP="00177F8F">
            <w:pPr>
              <w:pStyle w:val="TableTextLeft"/>
              <w:rPr>
                <w:b/>
                <w:bCs/>
              </w:rPr>
            </w:pPr>
            <w:r w:rsidRPr="00177F8F">
              <w:rPr>
                <w:b/>
                <w:bCs/>
              </w:rPr>
              <w:t>17AD(g)</w:t>
            </w:r>
          </w:p>
        </w:tc>
        <w:tc>
          <w:tcPr>
            <w:tcW w:w="5019"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414C453E" w14:textId="26677FDD" w:rsidR="00583E03" w:rsidRPr="00177F8F" w:rsidRDefault="00583E03" w:rsidP="00177F8F">
            <w:pPr>
              <w:pStyle w:val="TableTextLeft"/>
              <w:rPr>
                <w:b/>
                <w:bCs/>
              </w:rPr>
            </w:pPr>
            <w:r w:rsidRPr="00177F8F">
              <w:rPr>
                <w:b/>
                <w:bCs/>
              </w:rPr>
              <w:t>Letter of transmittal</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26093896" w14:textId="77777777" w:rsidR="00583E03" w:rsidRPr="00177F8F" w:rsidRDefault="00583E03" w:rsidP="00177F8F">
            <w:pPr>
              <w:pStyle w:val="TableTextLeft"/>
              <w:rPr>
                <w:b/>
                <w:bCs/>
              </w:rPr>
            </w:pPr>
          </w:p>
        </w:tc>
      </w:tr>
      <w:tr w:rsidR="009301C6" w:rsidRPr="00C71B8C" w14:paraId="4F3F3841" w14:textId="77777777" w:rsidTr="00592520">
        <w:trPr>
          <w:trHeight w:val="20"/>
        </w:trPr>
        <w:tc>
          <w:tcPr>
            <w:tcW w:w="1360" w:type="dxa"/>
            <w:tcBorders>
              <w:bottom w:val="single" w:sz="4" w:space="0" w:color="29114B" w:themeColor="text2"/>
            </w:tcBorders>
            <w:tcMar>
              <w:top w:w="57" w:type="dxa"/>
              <w:bottom w:w="57" w:type="dxa"/>
            </w:tcMar>
            <w:hideMark/>
          </w:tcPr>
          <w:p w14:paraId="3DCED294" w14:textId="77777777" w:rsidR="009301C6" w:rsidRPr="005C332C" w:rsidRDefault="009301C6" w:rsidP="00177F8F">
            <w:pPr>
              <w:pStyle w:val="TableTextLeft"/>
            </w:pPr>
            <w:r w:rsidRPr="00C71B8C">
              <w:t>17AI</w:t>
            </w:r>
          </w:p>
        </w:tc>
        <w:tc>
          <w:tcPr>
            <w:tcW w:w="1537" w:type="dxa"/>
            <w:tcBorders>
              <w:bottom w:val="single" w:sz="4" w:space="0" w:color="29114B" w:themeColor="text2"/>
            </w:tcBorders>
            <w:tcMar>
              <w:top w:w="57" w:type="dxa"/>
              <w:bottom w:w="57" w:type="dxa"/>
            </w:tcMar>
            <w:hideMark/>
          </w:tcPr>
          <w:p w14:paraId="42715919" w14:textId="77777777" w:rsidR="009301C6" w:rsidRPr="005C332C" w:rsidRDefault="009301C6" w:rsidP="00177F8F">
            <w:pPr>
              <w:pStyle w:val="TableTextLeft"/>
            </w:pPr>
            <w:r w:rsidRPr="00C71B8C">
              <w:t>Letter of transmittal</w:t>
            </w:r>
          </w:p>
        </w:tc>
        <w:tc>
          <w:tcPr>
            <w:tcW w:w="3482" w:type="dxa"/>
            <w:tcBorders>
              <w:bottom w:val="single" w:sz="4" w:space="0" w:color="29114B" w:themeColor="text2"/>
            </w:tcBorders>
            <w:tcMar>
              <w:top w:w="57" w:type="dxa"/>
              <w:bottom w:w="57" w:type="dxa"/>
            </w:tcMar>
            <w:hideMark/>
          </w:tcPr>
          <w:p w14:paraId="1173EC0D" w14:textId="77777777" w:rsidR="009301C6" w:rsidRPr="005C332C" w:rsidRDefault="009301C6" w:rsidP="00177F8F">
            <w:pPr>
              <w:pStyle w:val="TableTextLeft"/>
            </w:pPr>
            <w:r w:rsidRPr="00C71B8C">
              <w:t>A copy of the letter of transmittal signed and dated by accountable authority on date final text approved, with statement that the report has been prepared in accordance with section 46 of the Act and any enabling legislation that specifies additional requirements in relation to the annual report.</w:t>
            </w:r>
          </w:p>
        </w:tc>
        <w:tc>
          <w:tcPr>
            <w:tcW w:w="1332" w:type="dxa"/>
            <w:tcBorders>
              <w:bottom w:val="single" w:sz="4" w:space="0" w:color="29114B" w:themeColor="text2"/>
            </w:tcBorders>
            <w:tcMar>
              <w:top w:w="57" w:type="dxa"/>
              <w:bottom w:w="57" w:type="dxa"/>
            </w:tcMar>
            <w:hideMark/>
          </w:tcPr>
          <w:p w14:paraId="27336BA4" w14:textId="77777777" w:rsidR="009301C6" w:rsidRPr="005C332C" w:rsidRDefault="009301C6" w:rsidP="00177F8F">
            <w:pPr>
              <w:pStyle w:val="TableTextLeft"/>
            </w:pPr>
            <w:r w:rsidRPr="00C71B8C">
              <w:t>Mandatory</w:t>
            </w:r>
          </w:p>
        </w:tc>
      </w:tr>
      <w:tr w:rsidR="00583E03" w:rsidRPr="00C71B8C" w14:paraId="6FD8CB8E" w14:textId="77777777" w:rsidTr="00592520">
        <w:trPr>
          <w:trHeight w:val="20"/>
        </w:trPr>
        <w:tc>
          <w:tcPr>
            <w:tcW w:w="1360" w:type="dxa"/>
            <w:tcBorders>
              <w:top w:val="single" w:sz="4" w:space="0" w:color="29114B" w:themeColor="text2"/>
              <w:right w:val="nil"/>
            </w:tcBorders>
            <w:shd w:val="clear" w:color="auto" w:fill="CAE6F2" w:themeFill="accent3" w:themeFillTint="33"/>
            <w:tcMar>
              <w:top w:w="57" w:type="dxa"/>
              <w:bottom w:w="57" w:type="dxa"/>
            </w:tcMar>
          </w:tcPr>
          <w:p w14:paraId="6B1E534D" w14:textId="046E3673" w:rsidR="00583E03" w:rsidRPr="005412ED" w:rsidRDefault="00583E03" w:rsidP="00177F8F">
            <w:pPr>
              <w:pStyle w:val="TableTextLeft"/>
              <w:rPr>
                <w:b/>
                <w:bCs/>
              </w:rPr>
            </w:pPr>
            <w:r w:rsidRPr="005412ED">
              <w:rPr>
                <w:b/>
                <w:bCs/>
              </w:rPr>
              <w:t>17AD(h)</w:t>
            </w:r>
          </w:p>
        </w:tc>
        <w:tc>
          <w:tcPr>
            <w:tcW w:w="5019"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7F7680C9" w14:textId="132B8DB5" w:rsidR="00583E03" w:rsidRPr="005412ED" w:rsidRDefault="00583E03" w:rsidP="00177F8F">
            <w:pPr>
              <w:pStyle w:val="TableTextLeft"/>
              <w:rPr>
                <w:b/>
                <w:bCs/>
              </w:rPr>
            </w:pPr>
            <w:r w:rsidRPr="005412ED">
              <w:rPr>
                <w:b/>
                <w:bCs/>
              </w:rPr>
              <w:t>Aids to access</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00379842" w14:textId="77777777" w:rsidR="00583E03" w:rsidRPr="005412ED" w:rsidRDefault="00583E03" w:rsidP="00177F8F">
            <w:pPr>
              <w:pStyle w:val="TableTextLeft"/>
              <w:rPr>
                <w:b/>
                <w:bCs/>
              </w:rPr>
            </w:pPr>
          </w:p>
        </w:tc>
      </w:tr>
      <w:tr w:rsidR="009301C6" w:rsidRPr="00C71B8C" w14:paraId="010BDA46" w14:textId="77777777" w:rsidTr="00592520">
        <w:trPr>
          <w:trHeight w:val="20"/>
        </w:trPr>
        <w:tc>
          <w:tcPr>
            <w:tcW w:w="1360" w:type="dxa"/>
            <w:tcMar>
              <w:top w:w="57" w:type="dxa"/>
              <w:bottom w:w="57" w:type="dxa"/>
            </w:tcMar>
            <w:hideMark/>
          </w:tcPr>
          <w:p w14:paraId="7FA2F2E3" w14:textId="77777777" w:rsidR="009301C6" w:rsidRPr="005C332C" w:rsidRDefault="009301C6" w:rsidP="00177F8F">
            <w:pPr>
              <w:pStyle w:val="TableTextLeft"/>
            </w:pPr>
            <w:r w:rsidRPr="00C71B8C">
              <w:t>17AJ(a)</w:t>
            </w:r>
          </w:p>
        </w:tc>
        <w:tc>
          <w:tcPr>
            <w:tcW w:w="1537" w:type="dxa"/>
            <w:tcMar>
              <w:top w:w="57" w:type="dxa"/>
              <w:bottom w:w="57" w:type="dxa"/>
            </w:tcMar>
            <w:hideMark/>
          </w:tcPr>
          <w:p w14:paraId="294CEC45" w14:textId="77777777" w:rsidR="009301C6" w:rsidRPr="005C332C" w:rsidRDefault="009301C6" w:rsidP="00177F8F">
            <w:pPr>
              <w:pStyle w:val="TableTextLeft"/>
            </w:pPr>
            <w:r w:rsidRPr="00C71B8C">
              <w:t>Table of contents</w:t>
            </w:r>
          </w:p>
        </w:tc>
        <w:tc>
          <w:tcPr>
            <w:tcW w:w="3482" w:type="dxa"/>
            <w:tcMar>
              <w:top w:w="57" w:type="dxa"/>
              <w:bottom w:w="57" w:type="dxa"/>
            </w:tcMar>
            <w:hideMark/>
          </w:tcPr>
          <w:p w14:paraId="0710EC03" w14:textId="77777777" w:rsidR="009301C6" w:rsidRPr="005C332C" w:rsidRDefault="009301C6" w:rsidP="00177F8F">
            <w:pPr>
              <w:pStyle w:val="TableTextLeft"/>
            </w:pPr>
            <w:r w:rsidRPr="00C71B8C">
              <w:t>Table of contents (print only).</w:t>
            </w:r>
          </w:p>
        </w:tc>
        <w:tc>
          <w:tcPr>
            <w:tcW w:w="1332" w:type="dxa"/>
            <w:tcMar>
              <w:top w:w="57" w:type="dxa"/>
              <w:bottom w:w="57" w:type="dxa"/>
            </w:tcMar>
            <w:hideMark/>
          </w:tcPr>
          <w:p w14:paraId="2F3AD382" w14:textId="77777777" w:rsidR="009301C6" w:rsidRPr="005C332C" w:rsidRDefault="009301C6" w:rsidP="00177F8F">
            <w:pPr>
              <w:pStyle w:val="TableTextLeft"/>
            </w:pPr>
            <w:r w:rsidRPr="00C71B8C">
              <w:t>Mandatory</w:t>
            </w:r>
          </w:p>
        </w:tc>
      </w:tr>
      <w:tr w:rsidR="009301C6" w:rsidRPr="00C71B8C" w14:paraId="3EB3195C" w14:textId="77777777" w:rsidTr="00592520">
        <w:trPr>
          <w:trHeight w:val="20"/>
        </w:trPr>
        <w:tc>
          <w:tcPr>
            <w:tcW w:w="1360" w:type="dxa"/>
            <w:tcMar>
              <w:top w:w="57" w:type="dxa"/>
              <w:bottom w:w="57" w:type="dxa"/>
            </w:tcMar>
            <w:hideMark/>
          </w:tcPr>
          <w:p w14:paraId="2E3B59B3" w14:textId="77777777" w:rsidR="009301C6" w:rsidRPr="005C332C" w:rsidRDefault="009301C6" w:rsidP="00177F8F">
            <w:pPr>
              <w:pStyle w:val="TableTextLeft"/>
            </w:pPr>
            <w:r w:rsidRPr="00C71B8C">
              <w:t>17AJ(b)</w:t>
            </w:r>
          </w:p>
        </w:tc>
        <w:tc>
          <w:tcPr>
            <w:tcW w:w="1537" w:type="dxa"/>
            <w:tcMar>
              <w:top w:w="57" w:type="dxa"/>
              <w:bottom w:w="57" w:type="dxa"/>
            </w:tcMar>
            <w:hideMark/>
          </w:tcPr>
          <w:p w14:paraId="35ECF7AD" w14:textId="77777777" w:rsidR="009301C6" w:rsidRPr="005C332C" w:rsidRDefault="009301C6" w:rsidP="00177F8F">
            <w:pPr>
              <w:pStyle w:val="TableTextLeft"/>
            </w:pPr>
            <w:r w:rsidRPr="00C71B8C">
              <w:t> Part 5</w:t>
            </w:r>
          </w:p>
        </w:tc>
        <w:tc>
          <w:tcPr>
            <w:tcW w:w="3482" w:type="dxa"/>
            <w:tcMar>
              <w:top w:w="57" w:type="dxa"/>
              <w:bottom w:w="57" w:type="dxa"/>
            </w:tcMar>
            <w:hideMark/>
          </w:tcPr>
          <w:p w14:paraId="5EE684E8" w14:textId="77777777" w:rsidR="009301C6" w:rsidRPr="005C332C" w:rsidRDefault="009301C6" w:rsidP="00177F8F">
            <w:pPr>
              <w:pStyle w:val="TableTextLeft"/>
            </w:pPr>
            <w:r w:rsidRPr="00C71B8C">
              <w:t>Alphabetical index (print only).</w:t>
            </w:r>
          </w:p>
        </w:tc>
        <w:tc>
          <w:tcPr>
            <w:tcW w:w="1332" w:type="dxa"/>
            <w:tcMar>
              <w:top w:w="57" w:type="dxa"/>
              <w:bottom w:w="57" w:type="dxa"/>
            </w:tcMar>
            <w:hideMark/>
          </w:tcPr>
          <w:p w14:paraId="4C85A90C" w14:textId="77777777" w:rsidR="009301C6" w:rsidRPr="005C332C" w:rsidRDefault="009301C6" w:rsidP="00177F8F">
            <w:pPr>
              <w:pStyle w:val="TableTextLeft"/>
            </w:pPr>
            <w:r w:rsidRPr="00C71B8C">
              <w:t>Mandatory</w:t>
            </w:r>
          </w:p>
        </w:tc>
      </w:tr>
      <w:tr w:rsidR="009301C6" w:rsidRPr="00C71B8C" w14:paraId="450D0078" w14:textId="77777777" w:rsidTr="00592520">
        <w:trPr>
          <w:trHeight w:val="20"/>
        </w:trPr>
        <w:tc>
          <w:tcPr>
            <w:tcW w:w="1360" w:type="dxa"/>
            <w:tcMar>
              <w:top w:w="57" w:type="dxa"/>
              <w:bottom w:w="57" w:type="dxa"/>
            </w:tcMar>
            <w:hideMark/>
          </w:tcPr>
          <w:p w14:paraId="77E0BCC1" w14:textId="77777777" w:rsidR="009301C6" w:rsidRPr="005C332C" w:rsidRDefault="009301C6" w:rsidP="00177F8F">
            <w:pPr>
              <w:pStyle w:val="TableTextLeft"/>
            </w:pPr>
            <w:r w:rsidRPr="00C71B8C">
              <w:t>17AJ(c)</w:t>
            </w:r>
          </w:p>
        </w:tc>
        <w:tc>
          <w:tcPr>
            <w:tcW w:w="1537" w:type="dxa"/>
            <w:tcMar>
              <w:top w:w="57" w:type="dxa"/>
              <w:bottom w:w="57" w:type="dxa"/>
            </w:tcMar>
            <w:hideMark/>
          </w:tcPr>
          <w:p w14:paraId="03B62C42" w14:textId="77777777" w:rsidR="009301C6" w:rsidRPr="005C332C" w:rsidRDefault="009301C6" w:rsidP="00177F8F">
            <w:pPr>
              <w:pStyle w:val="TableTextLeft"/>
            </w:pPr>
            <w:r w:rsidRPr="00C71B8C">
              <w:t> Part 5</w:t>
            </w:r>
          </w:p>
        </w:tc>
        <w:tc>
          <w:tcPr>
            <w:tcW w:w="3482" w:type="dxa"/>
            <w:tcMar>
              <w:top w:w="57" w:type="dxa"/>
              <w:bottom w:w="57" w:type="dxa"/>
            </w:tcMar>
            <w:hideMark/>
          </w:tcPr>
          <w:p w14:paraId="7ECC8211" w14:textId="77777777" w:rsidR="009301C6" w:rsidRPr="005C332C" w:rsidRDefault="009301C6" w:rsidP="00177F8F">
            <w:pPr>
              <w:pStyle w:val="TableTextLeft"/>
            </w:pPr>
            <w:r w:rsidRPr="00C71B8C">
              <w:t>Glossary of abbreviations and acronyms.</w:t>
            </w:r>
          </w:p>
        </w:tc>
        <w:tc>
          <w:tcPr>
            <w:tcW w:w="1332" w:type="dxa"/>
            <w:tcMar>
              <w:top w:w="57" w:type="dxa"/>
              <w:bottom w:w="57" w:type="dxa"/>
            </w:tcMar>
            <w:hideMark/>
          </w:tcPr>
          <w:p w14:paraId="06A6B8D2" w14:textId="77777777" w:rsidR="009301C6" w:rsidRPr="005C332C" w:rsidRDefault="009301C6" w:rsidP="00177F8F">
            <w:pPr>
              <w:pStyle w:val="TableTextLeft"/>
            </w:pPr>
            <w:r w:rsidRPr="00C71B8C">
              <w:t>Mandatory</w:t>
            </w:r>
          </w:p>
        </w:tc>
      </w:tr>
      <w:tr w:rsidR="009301C6" w:rsidRPr="00C71B8C" w14:paraId="3AD0E193" w14:textId="77777777" w:rsidTr="00592520">
        <w:trPr>
          <w:trHeight w:val="20"/>
        </w:trPr>
        <w:tc>
          <w:tcPr>
            <w:tcW w:w="1360" w:type="dxa"/>
            <w:tcMar>
              <w:top w:w="57" w:type="dxa"/>
              <w:bottom w:w="57" w:type="dxa"/>
            </w:tcMar>
            <w:hideMark/>
          </w:tcPr>
          <w:p w14:paraId="1ED7CD91" w14:textId="77777777" w:rsidR="009301C6" w:rsidRPr="005C332C" w:rsidRDefault="009301C6" w:rsidP="00177F8F">
            <w:pPr>
              <w:pStyle w:val="TableTextLeft"/>
            </w:pPr>
            <w:r w:rsidRPr="00C71B8C">
              <w:t>17AJ(d)</w:t>
            </w:r>
          </w:p>
        </w:tc>
        <w:tc>
          <w:tcPr>
            <w:tcW w:w="1537" w:type="dxa"/>
            <w:tcMar>
              <w:top w:w="57" w:type="dxa"/>
              <w:bottom w:w="57" w:type="dxa"/>
            </w:tcMar>
            <w:hideMark/>
          </w:tcPr>
          <w:p w14:paraId="57F60293" w14:textId="77777777" w:rsidR="009301C6" w:rsidRPr="005C332C" w:rsidRDefault="009301C6" w:rsidP="00177F8F">
            <w:pPr>
              <w:pStyle w:val="TableTextLeft"/>
            </w:pPr>
            <w:r w:rsidRPr="00C71B8C">
              <w:t> Part 5</w:t>
            </w:r>
          </w:p>
        </w:tc>
        <w:tc>
          <w:tcPr>
            <w:tcW w:w="3482" w:type="dxa"/>
            <w:tcMar>
              <w:top w:w="57" w:type="dxa"/>
              <w:bottom w:w="57" w:type="dxa"/>
            </w:tcMar>
            <w:hideMark/>
          </w:tcPr>
          <w:p w14:paraId="13CDA582" w14:textId="77777777" w:rsidR="009301C6" w:rsidRPr="005C332C" w:rsidRDefault="009301C6" w:rsidP="00177F8F">
            <w:pPr>
              <w:pStyle w:val="TableTextLeft"/>
            </w:pPr>
            <w:r w:rsidRPr="00C71B8C">
              <w:t>List of requirements.</w:t>
            </w:r>
          </w:p>
        </w:tc>
        <w:tc>
          <w:tcPr>
            <w:tcW w:w="1332" w:type="dxa"/>
            <w:tcMar>
              <w:top w:w="57" w:type="dxa"/>
              <w:bottom w:w="57" w:type="dxa"/>
            </w:tcMar>
            <w:hideMark/>
          </w:tcPr>
          <w:p w14:paraId="5353397A" w14:textId="77777777" w:rsidR="009301C6" w:rsidRPr="005C332C" w:rsidRDefault="009301C6" w:rsidP="00177F8F">
            <w:pPr>
              <w:pStyle w:val="TableTextLeft"/>
            </w:pPr>
            <w:r w:rsidRPr="00C71B8C">
              <w:t>Mandatory</w:t>
            </w:r>
          </w:p>
        </w:tc>
      </w:tr>
      <w:tr w:rsidR="009301C6" w:rsidRPr="00C71B8C" w14:paraId="251995F5" w14:textId="77777777" w:rsidTr="00592520">
        <w:trPr>
          <w:trHeight w:val="20"/>
        </w:trPr>
        <w:tc>
          <w:tcPr>
            <w:tcW w:w="1360" w:type="dxa"/>
            <w:tcMar>
              <w:top w:w="57" w:type="dxa"/>
              <w:bottom w:w="57" w:type="dxa"/>
            </w:tcMar>
            <w:hideMark/>
          </w:tcPr>
          <w:p w14:paraId="7A6A9F96" w14:textId="77777777" w:rsidR="009301C6" w:rsidRPr="005C332C" w:rsidRDefault="009301C6" w:rsidP="00177F8F">
            <w:pPr>
              <w:pStyle w:val="TableTextLeft"/>
            </w:pPr>
            <w:r w:rsidRPr="00C71B8C">
              <w:t>17AJ(e)</w:t>
            </w:r>
          </w:p>
        </w:tc>
        <w:tc>
          <w:tcPr>
            <w:tcW w:w="1537" w:type="dxa"/>
            <w:tcMar>
              <w:top w:w="57" w:type="dxa"/>
              <w:bottom w:w="57" w:type="dxa"/>
            </w:tcMar>
            <w:hideMark/>
          </w:tcPr>
          <w:p w14:paraId="67793FDE" w14:textId="77777777" w:rsidR="009301C6" w:rsidRPr="005C332C" w:rsidRDefault="009301C6" w:rsidP="00177F8F">
            <w:pPr>
              <w:pStyle w:val="TableTextLeft"/>
            </w:pPr>
            <w:r w:rsidRPr="00C71B8C">
              <w:t>About this report</w:t>
            </w:r>
          </w:p>
        </w:tc>
        <w:tc>
          <w:tcPr>
            <w:tcW w:w="3482" w:type="dxa"/>
            <w:tcMar>
              <w:top w:w="57" w:type="dxa"/>
              <w:bottom w:w="57" w:type="dxa"/>
            </w:tcMar>
            <w:hideMark/>
          </w:tcPr>
          <w:p w14:paraId="31940396" w14:textId="77777777" w:rsidR="009301C6" w:rsidRPr="005C332C" w:rsidRDefault="009301C6" w:rsidP="00177F8F">
            <w:pPr>
              <w:pStyle w:val="TableTextLeft"/>
            </w:pPr>
            <w:r w:rsidRPr="00C71B8C">
              <w:t>Details of contact officer.</w:t>
            </w:r>
          </w:p>
        </w:tc>
        <w:tc>
          <w:tcPr>
            <w:tcW w:w="1332" w:type="dxa"/>
            <w:tcMar>
              <w:top w:w="57" w:type="dxa"/>
              <w:bottom w:w="57" w:type="dxa"/>
            </w:tcMar>
            <w:hideMark/>
          </w:tcPr>
          <w:p w14:paraId="165A6677" w14:textId="77777777" w:rsidR="009301C6" w:rsidRPr="005C332C" w:rsidRDefault="009301C6" w:rsidP="00177F8F">
            <w:pPr>
              <w:pStyle w:val="TableTextLeft"/>
            </w:pPr>
            <w:r w:rsidRPr="00C71B8C">
              <w:t>Mandatory</w:t>
            </w:r>
          </w:p>
        </w:tc>
      </w:tr>
      <w:tr w:rsidR="009301C6" w:rsidRPr="00C71B8C" w14:paraId="10C0C983" w14:textId="77777777" w:rsidTr="00592520">
        <w:trPr>
          <w:trHeight w:val="20"/>
        </w:trPr>
        <w:tc>
          <w:tcPr>
            <w:tcW w:w="1360" w:type="dxa"/>
            <w:tcMar>
              <w:top w:w="57" w:type="dxa"/>
              <w:bottom w:w="57" w:type="dxa"/>
            </w:tcMar>
            <w:hideMark/>
          </w:tcPr>
          <w:p w14:paraId="619AB0B8" w14:textId="77777777" w:rsidR="009301C6" w:rsidRPr="005C332C" w:rsidRDefault="009301C6" w:rsidP="00177F8F">
            <w:pPr>
              <w:pStyle w:val="TableTextLeft"/>
            </w:pPr>
            <w:r w:rsidRPr="00C71B8C">
              <w:t>17AJ(f)</w:t>
            </w:r>
          </w:p>
        </w:tc>
        <w:tc>
          <w:tcPr>
            <w:tcW w:w="1537" w:type="dxa"/>
            <w:tcMar>
              <w:top w:w="57" w:type="dxa"/>
              <w:bottom w:w="57" w:type="dxa"/>
            </w:tcMar>
            <w:hideMark/>
          </w:tcPr>
          <w:p w14:paraId="067A5F16" w14:textId="77777777" w:rsidR="009301C6" w:rsidRPr="005C332C" w:rsidRDefault="009301C6" w:rsidP="00177F8F">
            <w:pPr>
              <w:pStyle w:val="TableTextLeft"/>
            </w:pPr>
            <w:r w:rsidRPr="00C71B8C">
              <w:t>About this report</w:t>
            </w:r>
          </w:p>
        </w:tc>
        <w:tc>
          <w:tcPr>
            <w:tcW w:w="3482" w:type="dxa"/>
            <w:tcMar>
              <w:top w:w="57" w:type="dxa"/>
              <w:bottom w:w="57" w:type="dxa"/>
            </w:tcMar>
            <w:hideMark/>
          </w:tcPr>
          <w:p w14:paraId="1F9E731C" w14:textId="017E25FF" w:rsidR="009301C6" w:rsidRPr="005C332C" w:rsidRDefault="009301C6" w:rsidP="00177F8F">
            <w:pPr>
              <w:pStyle w:val="TableTextLeft"/>
            </w:pPr>
            <w:r w:rsidRPr="00C71B8C">
              <w:t>Entity</w:t>
            </w:r>
            <w:r w:rsidR="00B84FF2">
              <w:t>’</w:t>
            </w:r>
            <w:r w:rsidRPr="00C71B8C">
              <w:t>s website address.</w:t>
            </w:r>
          </w:p>
        </w:tc>
        <w:tc>
          <w:tcPr>
            <w:tcW w:w="1332" w:type="dxa"/>
            <w:tcMar>
              <w:top w:w="57" w:type="dxa"/>
              <w:bottom w:w="57" w:type="dxa"/>
            </w:tcMar>
            <w:hideMark/>
          </w:tcPr>
          <w:p w14:paraId="1CB2C1C8" w14:textId="77777777" w:rsidR="009301C6" w:rsidRPr="005C332C" w:rsidRDefault="009301C6" w:rsidP="00177F8F">
            <w:pPr>
              <w:pStyle w:val="TableTextLeft"/>
            </w:pPr>
            <w:r w:rsidRPr="00C71B8C">
              <w:t>Mandatory</w:t>
            </w:r>
          </w:p>
        </w:tc>
      </w:tr>
      <w:tr w:rsidR="009301C6" w:rsidRPr="00C71B8C" w14:paraId="27AF82E5" w14:textId="77777777" w:rsidTr="00592520">
        <w:trPr>
          <w:trHeight w:val="20"/>
        </w:trPr>
        <w:tc>
          <w:tcPr>
            <w:tcW w:w="1360" w:type="dxa"/>
            <w:tcBorders>
              <w:bottom w:val="single" w:sz="4" w:space="0" w:color="29114B" w:themeColor="text2"/>
            </w:tcBorders>
            <w:tcMar>
              <w:top w:w="57" w:type="dxa"/>
              <w:bottom w:w="57" w:type="dxa"/>
            </w:tcMar>
            <w:hideMark/>
          </w:tcPr>
          <w:p w14:paraId="4EFF4E60" w14:textId="77777777" w:rsidR="009301C6" w:rsidRPr="005C332C" w:rsidRDefault="009301C6" w:rsidP="00177F8F">
            <w:pPr>
              <w:pStyle w:val="TableTextLeft"/>
            </w:pPr>
            <w:r w:rsidRPr="00C71B8C">
              <w:t>17AJ(g)</w:t>
            </w:r>
          </w:p>
        </w:tc>
        <w:tc>
          <w:tcPr>
            <w:tcW w:w="1537" w:type="dxa"/>
            <w:tcBorders>
              <w:bottom w:val="single" w:sz="4" w:space="0" w:color="29114B" w:themeColor="text2"/>
            </w:tcBorders>
            <w:tcMar>
              <w:top w:w="57" w:type="dxa"/>
              <w:bottom w:w="57" w:type="dxa"/>
            </w:tcMar>
            <w:hideMark/>
          </w:tcPr>
          <w:p w14:paraId="336EA406" w14:textId="77777777" w:rsidR="009301C6" w:rsidRPr="005C332C" w:rsidRDefault="009301C6" w:rsidP="00177F8F">
            <w:pPr>
              <w:pStyle w:val="TableTextLeft"/>
            </w:pPr>
            <w:r w:rsidRPr="00C71B8C">
              <w:t>About this report</w:t>
            </w:r>
          </w:p>
        </w:tc>
        <w:tc>
          <w:tcPr>
            <w:tcW w:w="3482" w:type="dxa"/>
            <w:tcBorders>
              <w:bottom w:val="single" w:sz="4" w:space="0" w:color="29114B" w:themeColor="text2"/>
            </w:tcBorders>
            <w:tcMar>
              <w:top w:w="57" w:type="dxa"/>
              <w:bottom w:w="57" w:type="dxa"/>
            </w:tcMar>
            <w:hideMark/>
          </w:tcPr>
          <w:p w14:paraId="36974A47" w14:textId="77777777" w:rsidR="009301C6" w:rsidRPr="005C332C" w:rsidRDefault="009301C6" w:rsidP="00177F8F">
            <w:pPr>
              <w:pStyle w:val="TableTextLeft"/>
            </w:pPr>
            <w:r w:rsidRPr="00C71B8C">
              <w:t>Electronic address of report.</w:t>
            </w:r>
          </w:p>
        </w:tc>
        <w:tc>
          <w:tcPr>
            <w:tcW w:w="1332" w:type="dxa"/>
            <w:tcBorders>
              <w:bottom w:val="single" w:sz="4" w:space="0" w:color="29114B" w:themeColor="text2"/>
            </w:tcBorders>
            <w:tcMar>
              <w:top w:w="57" w:type="dxa"/>
              <w:bottom w:w="57" w:type="dxa"/>
            </w:tcMar>
            <w:hideMark/>
          </w:tcPr>
          <w:p w14:paraId="6509664C" w14:textId="77777777" w:rsidR="009301C6" w:rsidRPr="005C332C" w:rsidRDefault="009301C6" w:rsidP="00177F8F">
            <w:pPr>
              <w:pStyle w:val="TableTextLeft"/>
            </w:pPr>
            <w:r w:rsidRPr="00C71B8C">
              <w:t>Mandatory</w:t>
            </w:r>
          </w:p>
        </w:tc>
      </w:tr>
      <w:tr w:rsidR="00583E03" w:rsidRPr="00C71B8C" w14:paraId="6B94AD78" w14:textId="77777777" w:rsidTr="00592520">
        <w:trPr>
          <w:trHeight w:val="20"/>
        </w:trPr>
        <w:tc>
          <w:tcPr>
            <w:tcW w:w="1360" w:type="dxa"/>
            <w:tcBorders>
              <w:top w:val="single" w:sz="4" w:space="0" w:color="29114B" w:themeColor="text2"/>
              <w:right w:val="nil"/>
            </w:tcBorders>
            <w:shd w:val="clear" w:color="auto" w:fill="CAE6F2" w:themeFill="accent3" w:themeFillTint="33"/>
            <w:tcMar>
              <w:top w:w="57" w:type="dxa"/>
              <w:bottom w:w="57" w:type="dxa"/>
            </w:tcMar>
          </w:tcPr>
          <w:p w14:paraId="1D52EE19" w14:textId="75D56238" w:rsidR="00583E03" w:rsidRPr="005412ED" w:rsidRDefault="00583E03" w:rsidP="00177F8F">
            <w:pPr>
              <w:pStyle w:val="TableTextLeft"/>
              <w:rPr>
                <w:b/>
                <w:bCs/>
              </w:rPr>
            </w:pPr>
            <w:r w:rsidRPr="005412ED">
              <w:rPr>
                <w:b/>
                <w:bCs/>
              </w:rPr>
              <w:t>17AD(a)</w:t>
            </w:r>
          </w:p>
        </w:tc>
        <w:tc>
          <w:tcPr>
            <w:tcW w:w="5019"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373B952F" w14:textId="1625F5B5" w:rsidR="00583E03" w:rsidRPr="005412ED" w:rsidRDefault="00583E03" w:rsidP="00177F8F">
            <w:pPr>
              <w:pStyle w:val="TableTextLeft"/>
              <w:rPr>
                <w:b/>
                <w:bCs/>
              </w:rPr>
            </w:pPr>
            <w:r w:rsidRPr="005412ED">
              <w:rPr>
                <w:b/>
                <w:bCs/>
              </w:rPr>
              <w:t>Review by accountable authority</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03D70984" w14:textId="77777777" w:rsidR="00583E03" w:rsidRPr="005412ED" w:rsidRDefault="00583E03" w:rsidP="00177F8F">
            <w:pPr>
              <w:pStyle w:val="TableTextLeft"/>
              <w:rPr>
                <w:b/>
                <w:bCs/>
              </w:rPr>
            </w:pPr>
          </w:p>
        </w:tc>
      </w:tr>
      <w:tr w:rsidR="009301C6" w:rsidRPr="00C71B8C" w14:paraId="180DB184" w14:textId="77777777" w:rsidTr="00592520">
        <w:trPr>
          <w:trHeight w:val="20"/>
        </w:trPr>
        <w:tc>
          <w:tcPr>
            <w:tcW w:w="1360" w:type="dxa"/>
            <w:tcBorders>
              <w:bottom w:val="single" w:sz="4" w:space="0" w:color="29114B" w:themeColor="text2"/>
            </w:tcBorders>
            <w:tcMar>
              <w:top w:w="57" w:type="dxa"/>
              <w:bottom w:w="57" w:type="dxa"/>
            </w:tcMar>
            <w:hideMark/>
          </w:tcPr>
          <w:p w14:paraId="271836B4" w14:textId="77777777" w:rsidR="009301C6" w:rsidRPr="005C332C" w:rsidRDefault="009301C6" w:rsidP="00177F8F">
            <w:pPr>
              <w:pStyle w:val="TableTextLeft"/>
            </w:pPr>
            <w:r w:rsidRPr="00C71B8C">
              <w:t>17AD(a)</w:t>
            </w:r>
          </w:p>
        </w:tc>
        <w:tc>
          <w:tcPr>
            <w:tcW w:w="1537" w:type="dxa"/>
            <w:tcBorders>
              <w:bottom w:val="single" w:sz="4" w:space="0" w:color="29114B" w:themeColor="text2"/>
            </w:tcBorders>
            <w:tcMar>
              <w:top w:w="57" w:type="dxa"/>
              <w:bottom w:w="57" w:type="dxa"/>
            </w:tcMar>
            <w:hideMark/>
          </w:tcPr>
          <w:p w14:paraId="66F7720D" w14:textId="77777777" w:rsidR="009301C6" w:rsidRPr="005C332C" w:rsidRDefault="009301C6" w:rsidP="00177F8F">
            <w:pPr>
              <w:pStyle w:val="TableTextLeft"/>
            </w:pPr>
            <w:r w:rsidRPr="00C71B8C">
              <w:t xml:space="preserve"> Part 1 (A) </w:t>
            </w:r>
          </w:p>
        </w:tc>
        <w:tc>
          <w:tcPr>
            <w:tcW w:w="3482" w:type="dxa"/>
            <w:tcBorders>
              <w:bottom w:val="single" w:sz="4" w:space="0" w:color="29114B" w:themeColor="text2"/>
            </w:tcBorders>
            <w:tcMar>
              <w:top w:w="57" w:type="dxa"/>
              <w:bottom w:w="57" w:type="dxa"/>
            </w:tcMar>
            <w:hideMark/>
          </w:tcPr>
          <w:p w14:paraId="3DDF54AF" w14:textId="77777777" w:rsidR="009301C6" w:rsidRPr="005C332C" w:rsidRDefault="009301C6" w:rsidP="00177F8F">
            <w:pPr>
              <w:pStyle w:val="TableTextLeft"/>
            </w:pPr>
            <w:r w:rsidRPr="00C71B8C">
              <w:t>A review by the accountable authority of the entity.</w:t>
            </w:r>
          </w:p>
        </w:tc>
        <w:tc>
          <w:tcPr>
            <w:tcW w:w="1332" w:type="dxa"/>
            <w:tcBorders>
              <w:bottom w:val="single" w:sz="4" w:space="0" w:color="29114B" w:themeColor="text2"/>
            </w:tcBorders>
            <w:tcMar>
              <w:top w:w="57" w:type="dxa"/>
              <w:bottom w:w="57" w:type="dxa"/>
            </w:tcMar>
            <w:hideMark/>
          </w:tcPr>
          <w:p w14:paraId="3BC08FFF" w14:textId="77777777" w:rsidR="009301C6" w:rsidRPr="005C332C" w:rsidRDefault="009301C6" w:rsidP="00177F8F">
            <w:pPr>
              <w:pStyle w:val="TableTextLeft"/>
            </w:pPr>
            <w:r w:rsidRPr="00C71B8C">
              <w:t>Mandatory</w:t>
            </w:r>
          </w:p>
        </w:tc>
      </w:tr>
      <w:tr w:rsidR="00583E03" w:rsidRPr="00C71B8C" w14:paraId="4295DA1A" w14:textId="77777777" w:rsidTr="00592520">
        <w:trPr>
          <w:trHeight w:val="20"/>
        </w:trPr>
        <w:tc>
          <w:tcPr>
            <w:tcW w:w="1360" w:type="dxa"/>
            <w:tcBorders>
              <w:top w:val="single" w:sz="4" w:space="0" w:color="29114B" w:themeColor="text2"/>
              <w:right w:val="nil"/>
            </w:tcBorders>
            <w:shd w:val="clear" w:color="auto" w:fill="CAE6F2" w:themeFill="accent3" w:themeFillTint="33"/>
            <w:tcMar>
              <w:top w:w="57" w:type="dxa"/>
              <w:bottom w:w="57" w:type="dxa"/>
            </w:tcMar>
          </w:tcPr>
          <w:p w14:paraId="7E608F54" w14:textId="7383EB04" w:rsidR="00583E03" w:rsidRPr="00046B08" w:rsidRDefault="00583E03" w:rsidP="00177F8F">
            <w:pPr>
              <w:pStyle w:val="TableTextLeft"/>
              <w:rPr>
                <w:b/>
                <w:bCs/>
              </w:rPr>
            </w:pPr>
            <w:r w:rsidRPr="00046B08">
              <w:rPr>
                <w:b/>
                <w:bCs/>
              </w:rPr>
              <w:t>17AD(b)</w:t>
            </w:r>
          </w:p>
        </w:tc>
        <w:tc>
          <w:tcPr>
            <w:tcW w:w="5019"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728E7B6F" w14:textId="26DBE5C6" w:rsidR="00583E03" w:rsidRPr="00046B08" w:rsidRDefault="00583E03" w:rsidP="00177F8F">
            <w:pPr>
              <w:pStyle w:val="TableTextLeft"/>
              <w:rPr>
                <w:b/>
                <w:bCs/>
              </w:rPr>
            </w:pPr>
            <w:r w:rsidRPr="00046B08">
              <w:rPr>
                <w:b/>
                <w:bCs/>
              </w:rPr>
              <w:t>Overview of the entity</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5F22514D" w14:textId="77777777" w:rsidR="00583E03" w:rsidRPr="00046B08" w:rsidRDefault="00583E03" w:rsidP="00177F8F">
            <w:pPr>
              <w:pStyle w:val="TableTextLeft"/>
              <w:rPr>
                <w:b/>
                <w:bCs/>
              </w:rPr>
            </w:pPr>
          </w:p>
        </w:tc>
      </w:tr>
      <w:tr w:rsidR="009301C6" w:rsidRPr="00C71B8C" w14:paraId="439E4A20" w14:textId="77777777" w:rsidTr="00592520">
        <w:trPr>
          <w:trHeight w:val="20"/>
        </w:trPr>
        <w:tc>
          <w:tcPr>
            <w:tcW w:w="1360" w:type="dxa"/>
            <w:tcMar>
              <w:top w:w="57" w:type="dxa"/>
              <w:bottom w:w="57" w:type="dxa"/>
            </w:tcMar>
            <w:hideMark/>
          </w:tcPr>
          <w:p w14:paraId="725A1A66" w14:textId="77777777" w:rsidR="009301C6" w:rsidRPr="005C332C" w:rsidRDefault="009301C6" w:rsidP="00177F8F">
            <w:pPr>
              <w:pStyle w:val="TableTextLeft"/>
            </w:pPr>
            <w:r w:rsidRPr="00C71B8C">
              <w:t>17AE(1)(a)(</w:t>
            </w:r>
            <w:proofErr w:type="spellStart"/>
            <w:r w:rsidRPr="00C71B8C">
              <w:t>i</w:t>
            </w:r>
            <w:proofErr w:type="spellEnd"/>
            <w:r w:rsidRPr="00C71B8C">
              <w:t>)</w:t>
            </w:r>
          </w:p>
        </w:tc>
        <w:tc>
          <w:tcPr>
            <w:tcW w:w="1537" w:type="dxa"/>
            <w:tcMar>
              <w:top w:w="57" w:type="dxa"/>
              <w:bottom w:w="57" w:type="dxa"/>
            </w:tcMar>
            <w:hideMark/>
          </w:tcPr>
          <w:p w14:paraId="05B3A24F" w14:textId="77777777" w:rsidR="009301C6" w:rsidRPr="00155302" w:rsidRDefault="009301C6" w:rsidP="00177F8F">
            <w:pPr>
              <w:pStyle w:val="TableTextLeft"/>
            </w:pPr>
            <w:r w:rsidRPr="00155302">
              <w:t xml:space="preserve"> Part 1 (B) </w:t>
            </w:r>
          </w:p>
        </w:tc>
        <w:tc>
          <w:tcPr>
            <w:tcW w:w="3482" w:type="dxa"/>
            <w:tcMar>
              <w:top w:w="57" w:type="dxa"/>
              <w:bottom w:w="57" w:type="dxa"/>
            </w:tcMar>
            <w:hideMark/>
          </w:tcPr>
          <w:p w14:paraId="57666FDD" w14:textId="77777777" w:rsidR="009301C6" w:rsidRPr="005C332C" w:rsidRDefault="009301C6" w:rsidP="00177F8F">
            <w:pPr>
              <w:pStyle w:val="TableTextLeft"/>
            </w:pPr>
            <w:r w:rsidRPr="00C71B8C">
              <w:t>A description of the role and functions of the entity.</w:t>
            </w:r>
          </w:p>
        </w:tc>
        <w:tc>
          <w:tcPr>
            <w:tcW w:w="1332" w:type="dxa"/>
            <w:tcMar>
              <w:top w:w="57" w:type="dxa"/>
              <w:bottom w:w="57" w:type="dxa"/>
            </w:tcMar>
            <w:hideMark/>
          </w:tcPr>
          <w:p w14:paraId="0FDE4FD9" w14:textId="77777777" w:rsidR="009301C6" w:rsidRPr="005C332C" w:rsidRDefault="009301C6" w:rsidP="00177F8F">
            <w:pPr>
              <w:pStyle w:val="TableTextLeft"/>
            </w:pPr>
            <w:r w:rsidRPr="00C71B8C">
              <w:t>Mandatory</w:t>
            </w:r>
          </w:p>
        </w:tc>
      </w:tr>
      <w:tr w:rsidR="009301C6" w:rsidRPr="00C71B8C" w14:paraId="274DA81A" w14:textId="77777777" w:rsidTr="00592520">
        <w:trPr>
          <w:trHeight w:val="20"/>
        </w:trPr>
        <w:tc>
          <w:tcPr>
            <w:tcW w:w="1360" w:type="dxa"/>
            <w:tcMar>
              <w:top w:w="57" w:type="dxa"/>
              <w:bottom w:w="57" w:type="dxa"/>
            </w:tcMar>
            <w:hideMark/>
          </w:tcPr>
          <w:p w14:paraId="3908381D" w14:textId="77777777" w:rsidR="009301C6" w:rsidRPr="005C332C" w:rsidRDefault="009301C6" w:rsidP="00177F8F">
            <w:pPr>
              <w:pStyle w:val="TableTextLeft"/>
            </w:pPr>
            <w:r w:rsidRPr="00C71B8C">
              <w:t>17AE(1)(a)(ii)</w:t>
            </w:r>
          </w:p>
        </w:tc>
        <w:tc>
          <w:tcPr>
            <w:tcW w:w="1537" w:type="dxa"/>
            <w:tcMar>
              <w:top w:w="57" w:type="dxa"/>
              <w:bottom w:w="57" w:type="dxa"/>
            </w:tcMar>
            <w:hideMark/>
          </w:tcPr>
          <w:p w14:paraId="0B5D7001" w14:textId="77777777" w:rsidR="009301C6" w:rsidRPr="00155302" w:rsidRDefault="009301C6" w:rsidP="00177F8F">
            <w:pPr>
              <w:pStyle w:val="TableTextLeft"/>
            </w:pPr>
            <w:r w:rsidRPr="00155302">
              <w:t> Part 1 (C)</w:t>
            </w:r>
          </w:p>
        </w:tc>
        <w:tc>
          <w:tcPr>
            <w:tcW w:w="3482" w:type="dxa"/>
            <w:tcMar>
              <w:top w:w="57" w:type="dxa"/>
              <w:bottom w:w="57" w:type="dxa"/>
            </w:tcMar>
            <w:hideMark/>
          </w:tcPr>
          <w:p w14:paraId="1A9E8412" w14:textId="77777777" w:rsidR="009301C6" w:rsidRPr="005C332C" w:rsidRDefault="009301C6" w:rsidP="00177F8F">
            <w:pPr>
              <w:pStyle w:val="TableTextLeft"/>
            </w:pPr>
            <w:r w:rsidRPr="00C71B8C">
              <w:t>A description of the organisational structure of the entity.</w:t>
            </w:r>
          </w:p>
        </w:tc>
        <w:tc>
          <w:tcPr>
            <w:tcW w:w="1332" w:type="dxa"/>
            <w:tcMar>
              <w:top w:w="57" w:type="dxa"/>
              <w:bottom w:w="57" w:type="dxa"/>
            </w:tcMar>
            <w:hideMark/>
          </w:tcPr>
          <w:p w14:paraId="4E3D78BC" w14:textId="77777777" w:rsidR="009301C6" w:rsidRPr="005C332C" w:rsidRDefault="009301C6" w:rsidP="00177F8F">
            <w:pPr>
              <w:pStyle w:val="TableTextLeft"/>
            </w:pPr>
            <w:r w:rsidRPr="00C71B8C">
              <w:t>Mandatory</w:t>
            </w:r>
          </w:p>
        </w:tc>
      </w:tr>
      <w:tr w:rsidR="009301C6" w:rsidRPr="00C71B8C" w14:paraId="3C46B1E9" w14:textId="77777777" w:rsidTr="00592520">
        <w:trPr>
          <w:trHeight w:val="20"/>
        </w:trPr>
        <w:tc>
          <w:tcPr>
            <w:tcW w:w="1360" w:type="dxa"/>
            <w:tcMar>
              <w:top w:w="57" w:type="dxa"/>
              <w:bottom w:w="57" w:type="dxa"/>
            </w:tcMar>
            <w:hideMark/>
          </w:tcPr>
          <w:p w14:paraId="6936C52F" w14:textId="77777777" w:rsidR="009301C6" w:rsidRPr="005C332C" w:rsidRDefault="009301C6" w:rsidP="00177F8F">
            <w:pPr>
              <w:pStyle w:val="TableTextLeft"/>
            </w:pPr>
            <w:r w:rsidRPr="00C71B8C">
              <w:t>17AE(1)(a)(iii)</w:t>
            </w:r>
          </w:p>
        </w:tc>
        <w:tc>
          <w:tcPr>
            <w:tcW w:w="1537" w:type="dxa"/>
            <w:tcMar>
              <w:top w:w="57" w:type="dxa"/>
              <w:bottom w:w="57" w:type="dxa"/>
            </w:tcMar>
            <w:hideMark/>
          </w:tcPr>
          <w:p w14:paraId="753790CF" w14:textId="77777777" w:rsidR="009301C6" w:rsidRPr="00155302" w:rsidRDefault="009301C6" w:rsidP="00177F8F">
            <w:pPr>
              <w:pStyle w:val="TableTextLeft"/>
            </w:pPr>
            <w:r w:rsidRPr="00155302">
              <w:t> Part 1 (B)</w:t>
            </w:r>
          </w:p>
        </w:tc>
        <w:tc>
          <w:tcPr>
            <w:tcW w:w="3482" w:type="dxa"/>
            <w:tcMar>
              <w:top w:w="57" w:type="dxa"/>
              <w:bottom w:w="57" w:type="dxa"/>
            </w:tcMar>
            <w:hideMark/>
          </w:tcPr>
          <w:p w14:paraId="6FBB5540" w14:textId="77777777" w:rsidR="009301C6" w:rsidRPr="005C332C" w:rsidRDefault="009301C6" w:rsidP="00177F8F">
            <w:pPr>
              <w:pStyle w:val="TableTextLeft"/>
            </w:pPr>
            <w:r w:rsidRPr="00C71B8C">
              <w:t>A description of the outcomes and programmes administered by the entity.</w:t>
            </w:r>
          </w:p>
        </w:tc>
        <w:tc>
          <w:tcPr>
            <w:tcW w:w="1332" w:type="dxa"/>
            <w:tcMar>
              <w:top w:w="57" w:type="dxa"/>
              <w:bottom w:w="57" w:type="dxa"/>
            </w:tcMar>
            <w:hideMark/>
          </w:tcPr>
          <w:p w14:paraId="00C2626D" w14:textId="77777777" w:rsidR="009301C6" w:rsidRPr="005C332C" w:rsidRDefault="009301C6" w:rsidP="00177F8F">
            <w:pPr>
              <w:pStyle w:val="TableTextLeft"/>
            </w:pPr>
            <w:r w:rsidRPr="00C71B8C">
              <w:t>Mandatory</w:t>
            </w:r>
          </w:p>
        </w:tc>
      </w:tr>
      <w:tr w:rsidR="009301C6" w:rsidRPr="00C71B8C" w14:paraId="2C209018" w14:textId="77777777" w:rsidTr="00592520">
        <w:trPr>
          <w:trHeight w:val="20"/>
        </w:trPr>
        <w:tc>
          <w:tcPr>
            <w:tcW w:w="1360" w:type="dxa"/>
            <w:tcMar>
              <w:top w:w="57" w:type="dxa"/>
              <w:bottom w:w="57" w:type="dxa"/>
            </w:tcMar>
            <w:hideMark/>
          </w:tcPr>
          <w:p w14:paraId="7F2407F7" w14:textId="77777777" w:rsidR="009301C6" w:rsidRPr="005C332C" w:rsidRDefault="009301C6" w:rsidP="00177F8F">
            <w:pPr>
              <w:pStyle w:val="TableTextLeft"/>
            </w:pPr>
            <w:r w:rsidRPr="00C71B8C">
              <w:t>17AE(1)(a)(iv)</w:t>
            </w:r>
          </w:p>
        </w:tc>
        <w:tc>
          <w:tcPr>
            <w:tcW w:w="1537" w:type="dxa"/>
            <w:tcMar>
              <w:top w:w="57" w:type="dxa"/>
              <w:bottom w:w="57" w:type="dxa"/>
            </w:tcMar>
            <w:hideMark/>
          </w:tcPr>
          <w:p w14:paraId="24528F9C" w14:textId="77777777" w:rsidR="009301C6" w:rsidRPr="00155302" w:rsidRDefault="009301C6" w:rsidP="00177F8F">
            <w:pPr>
              <w:pStyle w:val="TableTextLeft"/>
            </w:pPr>
            <w:r w:rsidRPr="00155302">
              <w:t> Part 1 (B)</w:t>
            </w:r>
          </w:p>
        </w:tc>
        <w:tc>
          <w:tcPr>
            <w:tcW w:w="3482" w:type="dxa"/>
            <w:tcMar>
              <w:top w:w="57" w:type="dxa"/>
              <w:bottom w:w="57" w:type="dxa"/>
            </w:tcMar>
            <w:hideMark/>
          </w:tcPr>
          <w:p w14:paraId="0E5C1756" w14:textId="77777777" w:rsidR="009301C6" w:rsidRPr="005C332C" w:rsidRDefault="009301C6" w:rsidP="00177F8F">
            <w:pPr>
              <w:pStyle w:val="TableTextLeft"/>
            </w:pPr>
            <w:r w:rsidRPr="00C71B8C">
              <w:t>A description of the purposes of the entity as included in corporate plan.</w:t>
            </w:r>
          </w:p>
        </w:tc>
        <w:tc>
          <w:tcPr>
            <w:tcW w:w="1332" w:type="dxa"/>
            <w:tcMar>
              <w:top w:w="57" w:type="dxa"/>
              <w:bottom w:w="57" w:type="dxa"/>
            </w:tcMar>
            <w:hideMark/>
          </w:tcPr>
          <w:p w14:paraId="7DF7F28A" w14:textId="77777777" w:rsidR="009301C6" w:rsidRPr="005C332C" w:rsidRDefault="009301C6" w:rsidP="00177F8F">
            <w:pPr>
              <w:pStyle w:val="TableTextLeft"/>
            </w:pPr>
            <w:r w:rsidRPr="00C71B8C">
              <w:t>Mandatory</w:t>
            </w:r>
          </w:p>
        </w:tc>
      </w:tr>
      <w:tr w:rsidR="009301C6" w:rsidRPr="00C71B8C" w14:paraId="728F1C26" w14:textId="77777777" w:rsidTr="00592520">
        <w:trPr>
          <w:trHeight w:val="20"/>
        </w:trPr>
        <w:tc>
          <w:tcPr>
            <w:tcW w:w="1360" w:type="dxa"/>
            <w:tcMar>
              <w:top w:w="57" w:type="dxa"/>
              <w:bottom w:w="57" w:type="dxa"/>
            </w:tcMar>
          </w:tcPr>
          <w:p w14:paraId="7844BB36" w14:textId="77777777" w:rsidR="009301C6" w:rsidRPr="005C332C" w:rsidRDefault="009301C6" w:rsidP="00177F8F">
            <w:pPr>
              <w:pStyle w:val="TableTextLeft"/>
            </w:pPr>
            <w:r w:rsidRPr="00C71B8C">
              <w:t>17AE(</w:t>
            </w:r>
            <w:proofErr w:type="gramStart"/>
            <w:r w:rsidRPr="00C71B8C">
              <w:t>1)(</w:t>
            </w:r>
            <w:proofErr w:type="gramEnd"/>
            <w:r w:rsidRPr="00C71B8C">
              <w:t>aa)(</w:t>
            </w:r>
            <w:proofErr w:type="spellStart"/>
            <w:r w:rsidRPr="00C71B8C">
              <w:t>i</w:t>
            </w:r>
            <w:proofErr w:type="spellEnd"/>
            <w:r w:rsidRPr="00C71B8C">
              <w:t>)</w:t>
            </w:r>
          </w:p>
        </w:tc>
        <w:tc>
          <w:tcPr>
            <w:tcW w:w="1537" w:type="dxa"/>
            <w:tcMar>
              <w:top w:w="57" w:type="dxa"/>
              <w:bottom w:w="57" w:type="dxa"/>
            </w:tcMar>
          </w:tcPr>
          <w:p w14:paraId="7FCF064B" w14:textId="77777777" w:rsidR="009301C6" w:rsidRPr="00155302" w:rsidRDefault="009301C6" w:rsidP="00177F8F">
            <w:pPr>
              <w:pStyle w:val="TableTextLeft"/>
            </w:pPr>
            <w:r w:rsidRPr="00155302">
              <w:t>Part 2 (A)</w:t>
            </w:r>
          </w:p>
        </w:tc>
        <w:tc>
          <w:tcPr>
            <w:tcW w:w="3482" w:type="dxa"/>
            <w:tcMar>
              <w:top w:w="57" w:type="dxa"/>
              <w:bottom w:w="57" w:type="dxa"/>
            </w:tcMar>
          </w:tcPr>
          <w:p w14:paraId="443158DE" w14:textId="77777777" w:rsidR="009301C6" w:rsidRPr="005C332C" w:rsidRDefault="009301C6" w:rsidP="00177F8F">
            <w:pPr>
              <w:pStyle w:val="TableTextLeft"/>
            </w:pPr>
            <w:r w:rsidRPr="00C71B8C">
              <w:t>Name of the accountable authority or each member of the accountable authority</w:t>
            </w:r>
          </w:p>
        </w:tc>
        <w:tc>
          <w:tcPr>
            <w:tcW w:w="1332" w:type="dxa"/>
            <w:tcMar>
              <w:top w:w="57" w:type="dxa"/>
              <w:bottom w:w="57" w:type="dxa"/>
            </w:tcMar>
          </w:tcPr>
          <w:p w14:paraId="342B0C99" w14:textId="77777777" w:rsidR="009301C6" w:rsidRPr="005C332C" w:rsidRDefault="009301C6" w:rsidP="00177F8F">
            <w:pPr>
              <w:pStyle w:val="TableTextLeft"/>
            </w:pPr>
            <w:r w:rsidRPr="00C71B8C">
              <w:t>Mandatory</w:t>
            </w:r>
          </w:p>
        </w:tc>
      </w:tr>
      <w:tr w:rsidR="009301C6" w:rsidRPr="00C71B8C" w14:paraId="0C1E7029" w14:textId="77777777" w:rsidTr="00592520">
        <w:trPr>
          <w:trHeight w:val="20"/>
        </w:trPr>
        <w:tc>
          <w:tcPr>
            <w:tcW w:w="1360" w:type="dxa"/>
            <w:tcMar>
              <w:top w:w="57" w:type="dxa"/>
              <w:bottom w:w="57" w:type="dxa"/>
            </w:tcMar>
          </w:tcPr>
          <w:p w14:paraId="7737E473" w14:textId="77777777" w:rsidR="009301C6" w:rsidRPr="005C332C" w:rsidRDefault="009301C6" w:rsidP="00177F8F">
            <w:pPr>
              <w:pStyle w:val="TableTextLeft"/>
            </w:pPr>
            <w:r w:rsidRPr="00C71B8C">
              <w:t>17AE(</w:t>
            </w:r>
            <w:proofErr w:type="gramStart"/>
            <w:r w:rsidRPr="00C71B8C">
              <w:t>1)(</w:t>
            </w:r>
            <w:proofErr w:type="gramEnd"/>
            <w:r w:rsidRPr="00C71B8C">
              <w:t>aa)(ii)</w:t>
            </w:r>
          </w:p>
        </w:tc>
        <w:tc>
          <w:tcPr>
            <w:tcW w:w="1537" w:type="dxa"/>
            <w:tcMar>
              <w:top w:w="57" w:type="dxa"/>
              <w:bottom w:w="57" w:type="dxa"/>
            </w:tcMar>
          </w:tcPr>
          <w:p w14:paraId="3643F95A" w14:textId="77777777" w:rsidR="009301C6" w:rsidRPr="00155302" w:rsidRDefault="009301C6" w:rsidP="00177F8F">
            <w:pPr>
              <w:pStyle w:val="TableTextLeft"/>
            </w:pPr>
            <w:r w:rsidRPr="00155302">
              <w:t>Part 2 (A)</w:t>
            </w:r>
          </w:p>
        </w:tc>
        <w:tc>
          <w:tcPr>
            <w:tcW w:w="3482" w:type="dxa"/>
            <w:tcMar>
              <w:top w:w="57" w:type="dxa"/>
              <w:bottom w:w="57" w:type="dxa"/>
            </w:tcMar>
          </w:tcPr>
          <w:p w14:paraId="68C1C8FC" w14:textId="77777777" w:rsidR="009301C6" w:rsidRPr="005C332C" w:rsidRDefault="009301C6" w:rsidP="00177F8F">
            <w:pPr>
              <w:pStyle w:val="TableTextLeft"/>
            </w:pPr>
            <w:r w:rsidRPr="00C71B8C">
              <w:t>Position title of the accountable authority or each member of the accountable authority</w:t>
            </w:r>
          </w:p>
        </w:tc>
        <w:tc>
          <w:tcPr>
            <w:tcW w:w="1332" w:type="dxa"/>
            <w:tcMar>
              <w:top w:w="57" w:type="dxa"/>
              <w:bottom w:w="57" w:type="dxa"/>
            </w:tcMar>
          </w:tcPr>
          <w:p w14:paraId="6D485CD6" w14:textId="77777777" w:rsidR="009301C6" w:rsidRPr="005C332C" w:rsidRDefault="009301C6" w:rsidP="00177F8F">
            <w:pPr>
              <w:pStyle w:val="TableTextLeft"/>
            </w:pPr>
            <w:r w:rsidRPr="00C71B8C">
              <w:t>Mandatory</w:t>
            </w:r>
          </w:p>
        </w:tc>
      </w:tr>
    </w:tbl>
    <w:p w14:paraId="126FA8B8" w14:textId="6FE0B69C" w:rsidR="005250BC" w:rsidRDefault="005250BC"/>
    <w:tbl>
      <w:tblPr>
        <w:tblStyle w:val="AOFMTablemain"/>
        <w:tblW w:w="5000" w:type="pct"/>
        <w:tblLayout w:type="fixed"/>
        <w:tblLook w:val="06A0" w:firstRow="1" w:lastRow="0" w:firstColumn="1" w:lastColumn="0" w:noHBand="1" w:noVBand="1"/>
      </w:tblPr>
      <w:tblGrid>
        <w:gridCol w:w="1360"/>
        <w:gridCol w:w="1537"/>
        <w:gridCol w:w="3482"/>
        <w:gridCol w:w="1332"/>
      </w:tblGrid>
      <w:tr w:rsidR="00E15250" w:rsidRPr="00C71B8C" w14:paraId="2DA0F587"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360" w:type="dxa"/>
            <w:tcMar>
              <w:top w:w="57" w:type="dxa"/>
              <w:bottom w:w="57" w:type="dxa"/>
            </w:tcMar>
            <w:vAlign w:val="bottom"/>
          </w:tcPr>
          <w:p w14:paraId="1386A647" w14:textId="0E77946F" w:rsidR="00820D6F" w:rsidRPr="00DF31C0" w:rsidRDefault="00820D6F" w:rsidP="00E46CBD">
            <w:pPr>
              <w:pStyle w:val="TableColumnHeadingLeft"/>
            </w:pPr>
            <w:r w:rsidRPr="00DF31C0">
              <w:lastRenderedPageBreak/>
              <w:t>PGPA rule reference</w:t>
            </w:r>
          </w:p>
        </w:tc>
        <w:tc>
          <w:tcPr>
            <w:tcW w:w="1537" w:type="dxa"/>
            <w:tcMar>
              <w:top w:w="57" w:type="dxa"/>
              <w:bottom w:w="57" w:type="dxa"/>
            </w:tcMar>
            <w:vAlign w:val="bottom"/>
          </w:tcPr>
          <w:p w14:paraId="2FA5BFB8" w14:textId="1C862365" w:rsidR="00820D6F" w:rsidRPr="00DF31C0" w:rsidRDefault="00820D6F" w:rsidP="00E46CBD">
            <w:pPr>
              <w:pStyle w:val="TableColumnHeadingLeft"/>
            </w:pPr>
            <w:r w:rsidRPr="00DF31C0">
              <w:t>Part of report</w:t>
            </w:r>
          </w:p>
        </w:tc>
        <w:tc>
          <w:tcPr>
            <w:tcW w:w="3482" w:type="dxa"/>
            <w:tcMar>
              <w:top w:w="57" w:type="dxa"/>
              <w:bottom w:w="57" w:type="dxa"/>
            </w:tcMar>
            <w:vAlign w:val="bottom"/>
          </w:tcPr>
          <w:p w14:paraId="04B8CC17" w14:textId="61088E97" w:rsidR="00820D6F" w:rsidRPr="00DF31C0" w:rsidRDefault="00820D6F" w:rsidP="00E46CBD">
            <w:pPr>
              <w:pStyle w:val="TableColumnHeadingLeft"/>
            </w:pPr>
            <w:r w:rsidRPr="00DF31C0">
              <w:t>Description</w:t>
            </w:r>
          </w:p>
        </w:tc>
        <w:tc>
          <w:tcPr>
            <w:tcW w:w="1332" w:type="dxa"/>
            <w:tcMar>
              <w:top w:w="57" w:type="dxa"/>
              <w:bottom w:w="57" w:type="dxa"/>
            </w:tcMar>
            <w:vAlign w:val="bottom"/>
          </w:tcPr>
          <w:p w14:paraId="407A4474" w14:textId="205319D7" w:rsidR="00820D6F" w:rsidRPr="00DF31C0" w:rsidRDefault="00820D6F" w:rsidP="00E46CBD">
            <w:pPr>
              <w:pStyle w:val="TableColumnHeadingLeft"/>
            </w:pPr>
            <w:r w:rsidRPr="00DF31C0">
              <w:t>Requirement</w:t>
            </w:r>
          </w:p>
        </w:tc>
      </w:tr>
      <w:tr w:rsidR="009301C6" w:rsidRPr="00C71B8C" w14:paraId="03B106A2" w14:textId="77777777" w:rsidTr="00592520">
        <w:trPr>
          <w:trHeight w:val="20"/>
        </w:trPr>
        <w:tc>
          <w:tcPr>
            <w:tcW w:w="1360" w:type="dxa"/>
            <w:tcMar>
              <w:top w:w="57" w:type="dxa"/>
              <w:bottom w:w="57" w:type="dxa"/>
            </w:tcMar>
          </w:tcPr>
          <w:p w14:paraId="06C19676" w14:textId="77777777" w:rsidR="009301C6" w:rsidRPr="005C332C" w:rsidRDefault="009301C6" w:rsidP="0048098F">
            <w:pPr>
              <w:pStyle w:val="TableTextLeft"/>
            </w:pPr>
            <w:r w:rsidRPr="00C71B8C">
              <w:t>17AE(</w:t>
            </w:r>
            <w:proofErr w:type="gramStart"/>
            <w:r w:rsidRPr="00C71B8C">
              <w:t>1)(</w:t>
            </w:r>
            <w:proofErr w:type="gramEnd"/>
            <w:r w:rsidRPr="00C71B8C">
              <w:t>aa)(iii)</w:t>
            </w:r>
          </w:p>
        </w:tc>
        <w:tc>
          <w:tcPr>
            <w:tcW w:w="1537" w:type="dxa"/>
            <w:tcMar>
              <w:top w:w="57" w:type="dxa"/>
              <w:bottom w:w="57" w:type="dxa"/>
            </w:tcMar>
          </w:tcPr>
          <w:p w14:paraId="4BB5DDDF" w14:textId="77777777" w:rsidR="009301C6" w:rsidRPr="005C332C" w:rsidRDefault="009301C6" w:rsidP="0048098F">
            <w:pPr>
              <w:pStyle w:val="TableTextLeft"/>
              <w:rPr>
                <w:highlight w:val="yellow"/>
              </w:rPr>
            </w:pPr>
            <w:r w:rsidRPr="00155302">
              <w:t>Part 1 (C)</w:t>
            </w:r>
          </w:p>
        </w:tc>
        <w:tc>
          <w:tcPr>
            <w:tcW w:w="3482" w:type="dxa"/>
            <w:tcMar>
              <w:top w:w="57" w:type="dxa"/>
              <w:bottom w:w="57" w:type="dxa"/>
            </w:tcMar>
          </w:tcPr>
          <w:p w14:paraId="1B0D85E9" w14:textId="77777777" w:rsidR="009301C6" w:rsidRPr="005C332C" w:rsidRDefault="009301C6" w:rsidP="0048098F">
            <w:pPr>
              <w:pStyle w:val="TableTextLeft"/>
            </w:pPr>
            <w:r w:rsidRPr="00C71B8C">
              <w:t>Period as the accountable authority or member of the accountable authority within the reporting period</w:t>
            </w:r>
          </w:p>
        </w:tc>
        <w:tc>
          <w:tcPr>
            <w:tcW w:w="1332" w:type="dxa"/>
            <w:tcMar>
              <w:top w:w="57" w:type="dxa"/>
              <w:bottom w:w="57" w:type="dxa"/>
            </w:tcMar>
          </w:tcPr>
          <w:p w14:paraId="70D70393" w14:textId="77777777" w:rsidR="009301C6" w:rsidRPr="005C332C" w:rsidRDefault="009301C6" w:rsidP="0048098F">
            <w:pPr>
              <w:pStyle w:val="TableTextLeft"/>
            </w:pPr>
            <w:r w:rsidRPr="00C71B8C">
              <w:t>Mandatory</w:t>
            </w:r>
          </w:p>
        </w:tc>
      </w:tr>
      <w:tr w:rsidR="005C332C" w:rsidRPr="00C71B8C" w14:paraId="09F653D0" w14:textId="77777777" w:rsidTr="00592520">
        <w:trPr>
          <w:trHeight w:val="20"/>
        </w:trPr>
        <w:tc>
          <w:tcPr>
            <w:tcW w:w="1360" w:type="dxa"/>
            <w:tcMar>
              <w:top w:w="57" w:type="dxa"/>
              <w:bottom w:w="57" w:type="dxa"/>
            </w:tcMar>
            <w:hideMark/>
          </w:tcPr>
          <w:p w14:paraId="39581B71" w14:textId="77777777" w:rsidR="009301C6" w:rsidRPr="005C332C" w:rsidRDefault="009301C6" w:rsidP="0048098F">
            <w:pPr>
              <w:pStyle w:val="TableTextLeft"/>
            </w:pPr>
            <w:r w:rsidRPr="00C71B8C">
              <w:t>17AE(1)(b)</w:t>
            </w:r>
          </w:p>
        </w:tc>
        <w:tc>
          <w:tcPr>
            <w:tcW w:w="1537" w:type="dxa"/>
            <w:tcMar>
              <w:top w:w="57" w:type="dxa"/>
              <w:bottom w:w="57" w:type="dxa"/>
            </w:tcMar>
            <w:hideMark/>
          </w:tcPr>
          <w:p w14:paraId="0421866F" w14:textId="77777777" w:rsidR="009301C6" w:rsidRPr="007C42BA" w:rsidRDefault="009301C6" w:rsidP="0048098F">
            <w:pPr>
              <w:pStyle w:val="TableTextLeft"/>
            </w:pPr>
            <w:r w:rsidRPr="00C71B8C">
              <w:t> Not applicable</w:t>
            </w:r>
          </w:p>
        </w:tc>
        <w:tc>
          <w:tcPr>
            <w:tcW w:w="3482" w:type="dxa"/>
            <w:tcMar>
              <w:top w:w="57" w:type="dxa"/>
              <w:bottom w:w="57" w:type="dxa"/>
            </w:tcMar>
            <w:hideMark/>
          </w:tcPr>
          <w:p w14:paraId="152F15A3" w14:textId="77777777" w:rsidR="009301C6" w:rsidRPr="007C42BA" w:rsidRDefault="009301C6" w:rsidP="0048098F">
            <w:pPr>
              <w:pStyle w:val="TableTextLeft"/>
            </w:pPr>
            <w:r w:rsidRPr="00C71B8C">
              <w:t>An outline of the structure of the portfolio of the entity.</w:t>
            </w:r>
          </w:p>
        </w:tc>
        <w:tc>
          <w:tcPr>
            <w:tcW w:w="1332" w:type="dxa"/>
            <w:tcMar>
              <w:top w:w="57" w:type="dxa"/>
              <w:bottom w:w="57" w:type="dxa"/>
            </w:tcMar>
            <w:hideMark/>
          </w:tcPr>
          <w:p w14:paraId="4A5DC25D" w14:textId="77777777" w:rsidR="009301C6" w:rsidRPr="007C42BA" w:rsidRDefault="009301C6" w:rsidP="0048098F">
            <w:pPr>
              <w:pStyle w:val="TableTextLeft"/>
            </w:pPr>
            <w:r w:rsidRPr="00C71B8C">
              <w:t>Portfolio departments – mandatory</w:t>
            </w:r>
          </w:p>
        </w:tc>
      </w:tr>
      <w:tr w:rsidR="009301C6" w:rsidRPr="00C71B8C" w14:paraId="1D0A8400" w14:textId="77777777" w:rsidTr="00592520">
        <w:trPr>
          <w:trHeight w:val="20"/>
        </w:trPr>
        <w:tc>
          <w:tcPr>
            <w:tcW w:w="1360" w:type="dxa"/>
            <w:tcBorders>
              <w:bottom w:val="single" w:sz="4" w:space="0" w:color="29114B" w:themeColor="text2"/>
            </w:tcBorders>
            <w:tcMar>
              <w:top w:w="57" w:type="dxa"/>
              <w:bottom w:w="57" w:type="dxa"/>
            </w:tcMar>
            <w:hideMark/>
          </w:tcPr>
          <w:p w14:paraId="49FA06DD" w14:textId="77777777" w:rsidR="009301C6" w:rsidRPr="007C42BA" w:rsidRDefault="009301C6" w:rsidP="0048098F">
            <w:pPr>
              <w:pStyle w:val="TableTextLeft"/>
            </w:pPr>
            <w:r w:rsidRPr="00C71B8C">
              <w:t>17</w:t>
            </w:r>
            <w:proofErr w:type="gramStart"/>
            <w:r w:rsidRPr="00C71B8C">
              <w:t>AE(</w:t>
            </w:r>
            <w:proofErr w:type="gramEnd"/>
            <w:r w:rsidRPr="00C71B8C">
              <w:t>2)</w:t>
            </w:r>
          </w:p>
        </w:tc>
        <w:tc>
          <w:tcPr>
            <w:tcW w:w="1537" w:type="dxa"/>
            <w:tcBorders>
              <w:bottom w:val="single" w:sz="4" w:space="0" w:color="29114B" w:themeColor="text2"/>
            </w:tcBorders>
            <w:tcMar>
              <w:top w:w="57" w:type="dxa"/>
              <w:bottom w:w="57" w:type="dxa"/>
            </w:tcMar>
            <w:hideMark/>
          </w:tcPr>
          <w:p w14:paraId="17E61DE3" w14:textId="77777777" w:rsidR="009301C6" w:rsidRPr="007C42BA" w:rsidRDefault="009301C6" w:rsidP="0048098F">
            <w:pPr>
              <w:pStyle w:val="TableTextLeft"/>
            </w:pPr>
            <w:r w:rsidRPr="00C71B8C">
              <w:t> Not applicable</w:t>
            </w:r>
          </w:p>
        </w:tc>
        <w:tc>
          <w:tcPr>
            <w:tcW w:w="3482" w:type="dxa"/>
            <w:tcBorders>
              <w:bottom w:val="single" w:sz="4" w:space="0" w:color="29114B" w:themeColor="text2"/>
            </w:tcBorders>
            <w:tcMar>
              <w:top w:w="57" w:type="dxa"/>
              <w:bottom w:w="57" w:type="dxa"/>
            </w:tcMar>
            <w:hideMark/>
          </w:tcPr>
          <w:p w14:paraId="72153985" w14:textId="77777777" w:rsidR="009301C6" w:rsidRPr="007C42BA" w:rsidRDefault="009301C6" w:rsidP="0048098F">
            <w:pPr>
              <w:pStyle w:val="TableTextLeft"/>
            </w:pPr>
            <w:r w:rsidRPr="00C71B8C">
              <w:t>Where the outcomes and programs administered by the entity differ from any Portfolio Budget Statement, Portfolio Additional Estimates Statement or other portfolio estimates statement that was prepared for the entity for the period, include details of variation and reasons for change.</w:t>
            </w:r>
          </w:p>
        </w:tc>
        <w:tc>
          <w:tcPr>
            <w:tcW w:w="1332" w:type="dxa"/>
            <w:tcBorders>
              <w:bottom w:val="single" w:sz="4" w:space="0" w:color="29114B" w:themeColor="text2"/>
            </w:tcBorders>
            <w:tcMar>
              <w:top w:w="57" w:type="dxa"/>
              <w:bottom w:w="57" w:type="dxa"/>
            </w:tcMar>
            <w:hideMark/>
          </w:tcPr>
          <w:p w14:paraId="334C9C07" w14:textId="4AABCB8B" w:rsidR="009301C6" w:rsidRPr="007C42BA" w:rsidRDefault="009301C6" w:rsidP="0048098F">
            <w:pPr>
              <w:pStyle w:val="TableTextLeft"/>
            </w:pPr>
            <w:r w:rsidRPr="00C71B8C">
              <w:t xml:space="preserve">If applicable, </w:t>
            </w:r>
            <w:r w:rsidR="00343772">
              <w:t>m</w:t>
            </w:r>
            <w:r w:rsidR="00343772" w:rsidRPr="00C71B8C">
              <w:t>andatory</w:t>
            </w:r>
          </w:p>
        </w:tc>
      </w:tr>
      <w:tr w:rsidR="00F25A68" w:rsidRPr="00046B08" w14:paraId="74EB777E" w14:textId="77777777" w:rsidTr="00592520">
        <w:trPr>
          <w:trHeight w:val="20"/>
        </w:trPr>
        <w:tc>
          <w:tcPr>
            <w:tcW w:w="1360" w:type="dxa"/>
            <w:tcBorders>
              <w:top w:val="single" w:sz="4" w:space="0" w:color="29114B" w:themeColor="text2"/>
              <w:bottom w:val="nil"/>
              <w:right w:val="nil"/>
            </w:tcBorders>
            <w:shd w:val="clear" w:color="auto" w:fill="CAE6F2" w:themeFill="accent3" w:themeFillTint="33"/>
            <w:tcMar>
              <w:top w:w="57" w:type="dxa"/>
              <w:bottom w:w="57" w:type="dxa"/>
            </w:tcMar>
          </w:tcPr>
          <w:p w14:paraId="6DAE1C03" w14:textId="5C97E32F" w:rsidR="00F25A68" w:rsidRPr="00046B08" w:rsidRDefault="00F25A68" w:rsidP="0048098F">
            <w:pPr>
              <w:pStyle w:val="TableTextLeft"/>
              <w:rPr>
                <w:b/>
                <w:bCs/>
              </w:rPr>
            </w:pPr>
            <w:r w:rsidRPr="00046B08">
              <w:rPr>
                <w:b/>
                <w:bCs/>
              </w:rPr>
              <w:t>17AD(c)</w:t>
            </w:r>
          </w:p>
        </w:tc>
        <w:tc>
          <w:tcPr>
            <w:tcW w:w="5019" w:type="dxa"/>
            <w:gridSpan w:val="2"/>
            <w:tcBorders>
              <w:top w:val="single" w:sz="4" w:space="0" w:color="29114B" w:themeColor="text2"/>
              <w:left w:val="nil"/>
              <w:bottom w:val="nil"/>
              <w:right w:val="nil"/>
            </w:tcBorders>
            <w:shd w:val="clear" w:color="auto" w:fill="CAE6F2" w:themeFill="accent3" w:themeFillTint="33"/>
            <w:tcMar>
              <w:top w:w="57" w:type="dxa"/>
              <w:bottom w:w="57" w:type="dxa"/>
            </w:tcMar>
          </w:tcPr>
          <w:p w14:paraId="79F1377A" w14:textId="49F37115" w:rsidR="00F25A68" w:rsidRPr="00046B08" w:rsidRDefault="00F25A68" w:rsidP="0048098F">
            <w:pPr>
              <w:pStyle w:val="TableTextLeft"/>
              <w:rPr>
                <w:b/>
                <w:bCs/>
              </w:rPr>
            </w:pPr>
            <w:r w:rsidRPr="00046B08">
              <w:rPr>
                <w:b/>
                <w:bCs/>
              </w:rPr>
              <w:t>Report on the performance of the entity</w:t>
            </w:r>
          </w:p>
        </w:tc>
        <w:tc>
          <w:tcPr>
            <w:tcW w:w="1332" w:type="dxa"/>
            <w:tcBorders>
              <w:top w:val="single" w:sz="4" w:space="0" w:color="29114B" w:themeColor="text2"/>
              <w:left w:val="nil"/>
              <w:bottom w:val="nil"/>
            </w:tcBorders>
            <w:shd w:val="clear" w:color="auto" w:fill="CAE6F2" w:themeFill="accent3" w:themeFillTint="33"/>
            <w:tcMar>
              <w:top w:w="57" w:type="dxa"/>
              <w:bottom w:w="57" w:type="dxa"/>
            </w:tcMar>
          </w:tcPr>
          <w:p w14:paraId="35EA3477" w14:textId="77777777" w:rsidR="00F25A68" w:rsidRPr="00046B08" w:rsidRDefault="00F25A68" w:rsidP="0048098F">
            <w:pPr>
              <w:pStyle w:val="TableTextLeft"/>
              <w:rPr>
                <w:b/>
                <w:bCs/>
              </w:rPr>
            </w:pPr>
          </w:p>
        </w:tc>
      </w:tr>
      <w:tr w:rsidR="00F25A68" w:rsidRPr="00046B08" w14:paraId="0760AD40" w14:textId="77777777" w:rsidTr="00592520">
        <w:trPr>
          <w:trHeight w:val="20"/>
        </w:trPr>
        <w:tc>
          <w:tcPr>
            <w:tcW w:w="1360" w:type="dxa"/>
            <w:tcBorders>
              <w:top w:val="nil"/>
              <w:right w:val="nil"/>
            </w:tcBorders>
            <w:shd w:val="clear" w:color="auto" w:fill="CAE6F2" w:themeFill="accent3" w:themeFillTint="33"/>
            <w:tcMar>
              <w:top w:w="57" w:type="dxa"/>
              <w:bottom w:w="57" w:type="dxa"/>
            </w:tcMar>
          </w:tcPr>
          <w:p w14:paraId="575C87D8" w14:textId="77777777" w:rsidR="00F25A68" w:rsidRPr="00046B08" w:rsidRDefault="00F25A68" w:rsidP="0048098F">
            <w:pPr>
              <w:pStyle w:val="TableTextLeft"/>
              <w:rPr>
                <w:b/>
                <w:bCs/>
              </w:rPr>
            </w:pPr>
          </w:p>
        </w:tc>
        <w:tc>
          <w:tcPr>
            <w:tcW w:w="5019" w:type="dxa"/>
            <w:gridSpan w:val="2"/>
            <w:tcBorders>
              <w:top w:val="nil"/>
              <w:left w:val="nil"/>
              <w:right w:val="nil"/>
            </w:tcBorders>
            <w:shd w:val="clear" w:color="auto" w:fill="CAE6F2" w:themeFill="accent3" w:themeFillTint="33"/>
            <w:tcMar>
              <w:top w:w="57" w:type="dxa"/>
              <w:bottom w:w="57" w:type="dxa"/>
            </w:tcMar>
          </w:tcPr>
          <w:p w14:paraId="13D4488E" w14:textId="2D44165F" w:rsidR="00F25A68" w:rsidRPr="00046B08" w:rsidRDefault="00F25A68" w:rsidP="0048098F">
            <w:pPr>
              <w:pStyle w:val="TableTextLeft"/>
              <w:rPr>
                <w:b/>
                <w:bCs/>
              </w:rPr>
            </w:pPr>
            <w:r w:rsidRPr="00046B08">
              <w:rPr>
                <w:b/>
                <w:bCs/>
              </w:rPr>
              <w:t>Annual performance statements</w:t>
            </w:r>
          </w:p>
        </w:tc>
        <w:tc>
          <w:tcPr>
            <w:tcW w:w="1332" w:type="dxa"/>
            <w:tcBorders>
              <w:top w:val="nil"/>
              <w:left w:val="nil"/>
            </w:tcBorders>
            <w:shd w:val="clear" w:color="auto" w:fill="CAE6F2" w:themeFill="accent3" w:themeFillTint="33"/>
            <w:tcMar>
              <w:top w:w="57" w:type="dxa"/>
              <w:bottom w:w="57" w:type="dxa"/>
            </w:tcMar>
          </w:tcPr>
          <w:p w14:paraId="51F03651" w14:textId="77777777" w:rsidR="00F25A68" w:rsidRPr="00046B08" w:rsidRDefault="00F25A68" w:rsidP="0048098F">
            <w:pPr>
              <w:pStyle w:val="TableTextLeft"/>
              <w:rPr>
                <w:b/>
                <w:bCs/>
              </w:rPr>
            </w:pPr>
          </w:p>
        </w:tc>
      </w:tr>
      <w:tr w:rsidR="009301C6" w:rsidRPr="00C71B8C" w14:paraId="51941E4D" w14:textId="77777777" w:rsidTr="00592520">
        <w:trPr>
          <w:trHeight w:val="20"/>
        </w:trPr>
        <w:tc>
          <w:tcPr>
            <w:tcW w:w="1360" w:type="dxa"/>
            <w:tcMar>
              <w:top w:w="57" w:type="dxa"/>
              <w:bottom w:w="57" w:type="dxa"/>
            </w:tcMar>
            <w:hideMark/>
          </w:tcPr>
          <w:p w14:paraId="2AB25A7D" w14:textId="77777777" w:rsidR="009301C6" w:rsidRPr="007C42BA" w:rsidRDefault="009301C6" w:rsidP="0048098F">
            <w:pPr>
              <w:pStyle w:val="TableTextLeft"/>
            </w:pPr>
            <w:r w:rsidRPr="00C71B8C">
              <w:t>17AD(c)(</w:t>
            </w:r>
            <w:proofErr w:type="spellStart"/>
            <w:r w:rsidRPr="00C71B8C">
              <w:t>i</w:t>
            </w:r>
            <w:proofErr w:type="spellEnd"/>
            <w:r w:rsidRPr="00C71B8C">
              <w:t>); 16F</w:t>
            </w:r>
          </w:p>
        </w:tc>
        <w:tc>
          <w:tcPr>
            <w:tcW w:w="1537" w:type="dxa"/>
            <w:tcMar>
              <w:top w:w="57" w:type="dxa"/>
              <w:bottom w:w="57" w:type="dxa"/>
            </w:tcMar>
            <w:hideMark/>
          </w:tcPr>
          <w:p w14:paraId="174646A7" w14:textId="77777777" w:rsidR="009301C6" w:rsidRPr="007C42BA" w:rsidRDefault="009301C6" w:rsidP="0048098F">
            <w:pPr>
              <w:pStyle w:val="TableTextLeft"/>
              <w:rPr>
                <w:highlight w:val="yellow"/>
              </w:rPr>
            </w:pPr>
            <w:r w:rsidRPr="00DF31C0">
              <w:t> Part 2 (C)</w:t>
            </w:r>
          </w:p>
        </w:tc>
        <w:tc>
          <w:tcPr>
            <w:tcW w:w="3482" w:type="dxa"/>
            <w:tcMar>
              <w:top w:w="57" w:type="dxa"/>
              <w:bottom w:w="57" w:type="dxa"/>
            </w:tcMar>
            <w:hideMark/>
          </w:tcPr>
          <w:p w14:paraId="7E1134F4" w14:textId="77777777" w:rsidR="009301C6" w:rsidRPr="007C42BA" w:rsidRDefault="009301C6" w:rsidP="0048098F">
            <w:pPr>
              <w:pStyle w:val="TableTextLeft"/>
            </w:pPr>
            <w:r w:rsidRPr="00C71B8C">
              <w:t>Annual performance statement in accordance with paragraph 39(1)(b) of the Act and section 16F of the Rule.</w:t>
            </w:r>
          </w:p>
        </w:tc>
        <w:tc>
          <w:tcPr>
            <w:tcW w:w="1332" w:type="dxa"/>
            <w:tcMar>
              <w:top w:w="57" w:type="dxa"/>
              <w:bottom w:w="57" w:type="dxa"/>
            </w:tcMar>
            <w:hideMark/>
          </w:tcPr>
          <w:p w14:paraId="75296EFF" w14:textId="77777777" w:rsidR="009301C6" w:rsidRPr="007C42BA" w:rsidRDefault="009301C6" w:rsidP="0048098F">
            <w:pPr>
              <w:pStyle w:val="TableTextLeft"/>
            </w:pPr>
            <w:r w:rsidRPr="00C71B8C">
              <w:t>Mandatory</w:t>
            </w:r>
          </w:p>
        </w:tc>
      </w:tr>
      <w:tr w:rsidR="00F25A68" w:rsidRPr="00C71B8C" w14:paraId="75E40ECA" w14:textId="77777777" w:rsidTr="00592520">
        <w:trPr>
          <w:trHeight w:val="20"/>
        </w:trPr>
        <w:tc>
          <w:tcPr>
            <w:tcW w:w="1360" w:type="dxa"/>
            <w:tcMar>
              <w:top w:w="57" w:type="dxa"/>
              <w:bottom w:w="57" w:type="dxa"/>
            </w:tcMar>
          </w:tcPr>
          <w:p w14:paraId="0B775E0F" w14:textId="0B4B25CB" w:rsidR="00F25A68" w:rsidRPr="00C71B8C" w:rsidRDefault="00F25A68" w:rsidP="0048098F">
            <w:pPr>
              <w:pStyle w:val="TableTextLeft"/>
            </w:pPr>
            <w:r w:rsidRPr="00C71B8C">
              <w:t>17AD(c)(ii)</w:t>
            </w:r>
          </w:p>
        </w:tc>
        <w:tc>
          <w:tcPr>
            <w:tcW w:w="5019" w:type="dxa"/>
            <w:gridSpan w:val="2"/>
            <w:tcMar>
              <w:top w:w="57" w:type="dxa"/>
              <w:bottom w:w="57" w:type="dxa"/>
            </w:tcMar>
          </w:tcPr>
          <w:p w14:paraId="6C5B1A3D" w14:textId="5CF59EFB" w:rsidR="00F25A68" w:rsidRPr="00C71B8C" w:rsidRDefault="00F25A68" w:rsidP="0048098F">
            <w:pPr>
              <w:pStyle w:val="TableTextLeft"/>
            </w:pPr>
            <w:r w:rsidRPr="00C71B8C">
              <w:t>Report on financial performance</w:t>
            </w:r>
          </w:p>
        </w:tc>
        <w:tc>
          <w:tcPr>
            <w:tcW w:w="1332" w:type="dxa"/>
            <w:tcMar>
              <w:top w:w="57" w:type="dxa"/>
              <w:bottom w:w="57" w:type="dxa"/>
            </w:tcMar>
          </w:tcPr>
          <w:p w14:paraId="7E0A8D84" w14:textId="77777777" w:rsidR="00F25A68" w:rsidRPr="00C71B8C" w:rsidRDefault="00F25A68" w:rsidP="0048098F">
            <w:pPr>
              <w:pStyle w:val="TableTextLeft"/>
            </w:pPr>
          </w:p>
        </w:tc>
      </w:tr>
      <w:tr w:rsidR="009301C6" w:rsidRPr="00C71B8C" w14:paraId="3678E7C9" w14:textId="77777777" w:rsidTr="00592520">
        <w:trPr>
          <w:trHeight w:val="20"/>
        </w:trPr>
        <w:tc>
          <w:tcPr>
            <w:tcW w:w="1360" w:type="dxa"/>
            <w:tcMar>
              <w:top w:w="57" w:type="dxa"/>
              <w:bottom w:w="57" w:type="dxa"/>
            </w:tcMar>
            <w:hideMark/>
          </w:tcPr>
          <w:p w14:paraId="042085D9" w14:textId="77777777" w:rsidR="009301C6" w:rsidRPr="007C42BA" w:rsidRDefault="009301C6" w:rsidP="0048098F">
            <w:pPr>
              <w:pStyle w:val="TableTextLeft"/>
            </w:pPr>
            <w:r w:rsidRPr="00C71B8C">
              <w:t>17AF(1)(a)</w:t>
            </w:r>
          </w:p>
        </w:tc>
        <w:tc>
          <w:tcPr>
            <w:tcW w:w="1537" w:type="dxa"/>
            <w:tcMar>
              <w:top w:w="57" w:type="dxa"/>
              <w:bottom w:w="57" w:type="dxa"/>
            </w:tcMar>
            <w:hideMark/>
          </w:tcPr>
          <w:p w14:paraId="6EBB7F91" w14:textId="77777777" w:rsidR="009301C6" w:rsidRPr="007C42BA" w:rsidRDefault="009301C6" w:rsidP="0048098F">
            <w:pPr>
              <w:pStyle w:val="TableTextLeft"/>
              <w:rPr>
                <w:highlight w:val="yellow"/>
              </w:rPr>
            </w:pPr>
            <w:r w:rsidRPr="00DF31C0">
              <w:t>Part 2 – Performance assessment by purpose</w:t>
            </w:r>
          </w:p>
        </w:tc>
        <w:tc>
          <w:tcPr>
            <w:tcW w:w="3482" w:type="dxa"/>
            <w:tcMar>
              <w:top w:w="57" w:type="dxa"/>
              <w:bottom w:w="57" w:type="dxa"/>
            </w:tcMar>
            <w:hideMark/>
          </w:tcPr>
          <w:p w14:paraId="2A19BE2F" w14:textId="7600FE2D" w:rsidR="009301C6" w:rsidRPr="007C42BA" w:rsidRDefault="009301C6" w:rsidP="0048098F">
            <w:pPr>
              <w:pStyle w:val="TableTextLeft"/>
            </w:pPr>
            <w:r w:rsidRPr="00C71B8C">
              <w:t>A discussion and analysis of the entity</w:t>
            </w:r>
            <w:r w:rsidR="00B84FF2">
              <w:t>’</w:t>
            </w:r>
            <w:r w:rsidRPr="00C71B8C">
              <w:t>s financial performance.</w:t>
            </w:r>
          </w:p>
        </w:tc>
        <w:tc>
          <w:tcPr>
            <w:tcW w:w="1332" w:type="dxa"/>
            <w:tcMar>
              <w:top w:w="57" w:type="dxa"/>
              <w:bottom w:w="57" w:type="dxa"/>
            </w:tcMar>
            <w:hideMark/>
          </w:tcPr>
          <w:p w14:paraId="38A1E91E" w14:textId="77777777" w:rsidR="009301C6" w:rsidRPr="007C42BA" w:rsidRDefault="009301C6" w:rsidP="0048098F">
            <w:pPr>
              <w:pStyle w:val="TableTextLeft"/>
            </w:pPr>
            <w:r w:rsidRPr="00C71B8C">
              <w:t>Mandatory</w:t>
            </w:r>
          </w:p>
        </w:tc>
      </w:tr>
      <w:tr w:rsidR="009301C6" w:rsidRPr="00C71B8C" w14:paraId="3C211564" w14:textId="77777777" w:rsidTr="00592520">
        <w:trPr>
          <w:trHeight w:val="20"/>
        </w:trPr>
        <w:tc>
          <w:tcPr>
            <w:tcW w:w="1360" w:type="dxa"/>
            <w:tcMar>
              <w:top w:w="57" w:type="dxa"/>
              <w:bottom w:w="57" w:type="dxa"/>
            </w:tcMar>
            <w:hideMark/>
          </w:tcPr>
          <w:p w14:paraId="5760D339" w14:textId="77777777" w:rsidR="009301C6" w:rsidRPr="007C42BA" w:rsidRDefault="009301C6" w:rsidP="0048098F">
            <w:pPr>
              <w:pStyle w:val="TableTextLeft"/>
            </w:pPr>
            <w:r w:rsidRPr="00C71B8C">
              <w:t>17AF(1)(b)</w:t>
            </w:r>
          </w:p>
        </w:tc>
        <w:tc>
          <w:tcPr>
            <w:tcW w:w="1537" w:type="dxa"/>
            <w:tcMar>
              <w:top w:w="57" w:type="dxa"/>
              <w:bottom w:w="57" w:type="dxa"/>
            </w:tcMar>
            <w:hideMark/>
          </w:tcPr>
          <w:p w14:paraId="38941D4E" w14:textId="60CBE4C4" w:rsidR="009301C6" w:rsidRPr="007C42BA" w:rsidRDefault="009301C6" w:rsidP="0048098F">
            <w:pPr>
              <w:pStyle w:val="TableTextLeft"/>
              <w:rPr>
                <w:highlight w:val="yellow"/>
              </w:rPr>
            </w:pPr>
            <w:r w:rsidRPr="00DF31C0">
              <w:t>Part 3 (E)</w:t>
            </w:r>
          </w:p>
        </w:tc>
        <w:tc>
          <w:tcPr>
            <w:tcW w:w="3482" w:type="dxa"/>
            <w:tcMar>
              <w:top w:w="57" w:type="dxa"/>
              <w:bottom w:w="57" w:type="dxa"/>
            </w:tcMar>
            <w:hideMark/>
          </w:tcPr>
          <w:p w14:paraId="25350CE2" w14:textId="77777777" w:rsidR="009301C6" w:rsidRPr="007C42BA" w:rsidRDefault="009301C6" w:rsidP="0048098F">
            <w:pPr>
              <w:pStyle w:val="TableTextLeft"/>
            </w:pPr>
            <w:r w:rsidRPr="00C71B8C">
              <w:t>A table summarising the total resources and total payments of the entity.</w:t>
            </w:r>
          </w:p>
        </w:tc>
        <w:tc>
          <w:tcPr>
            <w:tcW w:w="1332" w:type="dxa"/>
            <w:tcMar>
              <w:top w:w="57" w:type="dxa"/>
              <w:bottom w:w="57" w:type="dxa"/>
            </w:tcMar>
            <w:hideMark/>
          </w:tcPr>
          <w:p w14:paraId="7F3C01E1" w14:textId="77777777" w:rsidR="009301C6" w:rsidRPr="007C42BA" w:rsidRDefault="009301C6" w:rsidP="0048098F">
            <w:pPr>
              <w:pStyle w:val="TableTextLeft"/>
            </w:pPr>
            <w:r w:rsidRPr="00C71B8C">
              <w:t>Mandatory</w:t>
            </w:r>
          </w:p>
        </w:tc>
      </w:tr>
      <w:tr w:rsidR="009301C6" w:rsidRPr="00C71B8C" w14:paraId="7931BD12" w14:textId="77777777" w:rsidTr="00592520">
        <w:trPr>
          <w:trHeight w:val="20"/>
        </w:trPr>
        <w:tc>
          <w:tcPr>
            <w:tcW w:w="1360" w:type="dxa"/>
            <w:tcBorders>
              <w:bottom w:val="single" w:sz="4" w:space="0" w:color="29114B" w:themeColor="text2"/>
            </w:tcBorders>
            <w:tcMar>
              <w:top w:w="57" w:type="dxa"/>
              <w:bottom w:w="57" w:type="dxa"/>
            </w:tcMar>
            <w:hideMark/>
          </w:tcPr>
          <w:p w14:paraId="5C3E7285" w14:textId="77777777" w:rsidR="009301C6" w:rsidRPr="007C42BA" w:rsidRDefault="009301C6" w:rsidP="0048098F">
            <w:pPr>
              <w:pStyle w:val="TableTextLeft"/>
            </w:pPr>
            <w:r w:rsidRPr="00C71B8C">
              <w:t>17</w:t>
            </w:r>
            <w:proofErr w:type="gramStart"/>
            <w:r w:rsidRPr="00C71B8C">
              <w:t>AF(</w:t>
            </w:r>
            <w:proofErr w:type="gramEnd"/>
            <w:r w:rsidRPr="00C71B8C">
              <w:t>2)</w:t>
            </w:r>
          </w:p>
        </w:tc>
        <w:tc>
          <w:tcPr>
            <w:tcW w:w="1537" w:type="dxa"/>
            <w:tcBorders>
              <w:bottom w:val="single" w:sz="4" w:space="0" w:color="29114B" w:themeColor="text2"/>
            </w:tcBorders>
            <w:tcMar>
              <w:top w:w="57" w:type="dxa"/>
              <w:bottom w:w="57" w:type="dxa"/>
            </w:tcMar>
            <w:hideMark/>
          </w:tcPr>
          <w:p w14:paraId="62BC464F" w14:textId="0C7ED22D" w:rsidR="009301C6" w:rsidRPr="00DF31C0" w:rsidRDefault="005A65DE" w:rsidP="0048098F">
            <w:pPr>
              <w:pStyle w:val="TableTextLeft"/>
            </w:pPr>
            <w:r>
              <w:t>Not applicable</w:t>
            </w:r>
          </w:p>
        </w:tc>
        <w:tc>
          <w:tcPr>
            <w:tcW w:w="3482" w:type="dxa"/>
            <w:tcBorders>
              <w:bottom w:val="single" w:sz="4" w:space="0" w:color="29114B" w:themeColor="text2"/>
            </w:tcBorders>
            <w:tcMar>
              <w:top w:w="57" w:type="dxa"/>
              <w:bottom w:w="57" w:type="dxa"/>
            </w:tcMar>
            <w:hideMark/>
          </w:tcPr>
          <w:p w14:paraId="6BE23769" w14:textId="42DDF1D5" w:rsidR="009301C6" w:rsidRPr="007C42BA" w:rsidRDefault="009301C6" w:rsidP="0048098F">
            <w:pPr>
              <w:pStyle w:val="TableTextLeft"/>
            </w:pPr>
            <w:r w:rsidRPr="00C71B8C">
              <w:t>If there may be significant changes in the financial results during or after the previous or current reporting period, information on those changes, including: the cause of any operating loss of the entity; how the entity has responded to the loss and the actions that have been taken in relation to the loss; and any matter or circumstances that it can reasonably be anticipated will have a significant impact on the entity</w:t>
            </w:r>
            <w:r w:rsidR="00B84FF2">
              <w:t>’</w:t>
            </w:r>
            <w:r w:rsidRPr="00C71B8C">
              <w:t>s future operation or financial results.</w:t>
            </w:r>
          </w:p>
        </w:tc>
        <w:tc>
          <w:tcPr>
            <w:tcW w:w="1332" w:type="dxa"/>
            <w:tcBorders>
              <w:bottom w:val="single" w:sz="4" w:space="0" w:color="29114B" w:themeColor="text2"/>
            </w:tcBorders>
            <w:tcMar>
              <w:top w:w="57" w:type="dxa"/>
              <w:bottom w:w="57" w:type="dxa"/>
            </w:tcMar>
            <w:hideMark/>
          </w:tcPr>
          <w:p w14:paraId="6074BADE" w14:textId="7719428C" w:rsidR="009301C6" w:rsidRPr="007C42BA" w:rsidRDefault="009301C6" w:rsidP="0048098F">
            <w:pPr>
              <w:pStyle w:val="TableTextLeft"/>
            </w:pPr>
            <w:r w:rsidRPr="00C71B8C">
              <w:t xml:space="preserve">If applicable, </w:t>
            </w:r>
            <w:r w:rsidR="00343772">
              <w:t>m</w:t>
            </w:r>
            <w:r w:rsidR="00343772" w:rsidRPr="00C71B8C">
              <w:t>andatory</w:t>
            </w:r>
          </w:p>
        </w:tc>
      </w:tr>
      <w:tr w:rsidR="00F25A68" w:rsidRPr="00CF2CD6" w14:paraId="282012A0" w14:textId="77777777" w:rsidTr="00592520">
        <w:trPr>
          <w:trHeight w:val="20"/>
        </w:trPr>
        <w:tc>
          <w:tcPr>
            <w:tcW w:w="1360" w:type="dxa"/>
            <w:tcBorders>
              <w:top w:val="single" w:sz="4" w:space="0" w:color="29114B" w:themeColor="text2"/>
              <w:bottom w:val="nil"/>
              <w:right w:val="nil"/>
            </w:tcBorders>
            <w:shd w:val="clear" w:color="auto" w:fill="CAE6F2" w:themeFill="accent3" w:themeFillTint="33"/>
            <w:tcMar>
              <w:top w:w="57" w:type="dxa"/>
              <w:bottom w:w="57" w:type="dxa"/>
            </w:tcMar>
          </w:tcPr>
          <w:p w14:paraId="45FF16D2" w14:textId="5CF07481" w:rsidR="00F25A68" w:rsidRPr="00CF2CD6" w:rsidRDefault="00F25A68" w:rsidP="0048098F">
            <w:pPr>
              <w:pStyle w:val="TableTextLeft"/>
              <w:rPr>
                <w:b/>
                <w:bCs/>
              </w:rPr>
            </w:pPr>
            <w:r w:rsidRPr="00CF2CD6">
              <w:rPr>
                <w:b/>
                <w:bCs/>
              </w:rPr>
              <w:t>17AD(d)</w:t>
            </w:r>
          </w:p>
        </w:tc>
        <w:tc>
          <w:tcPr>
            <w:tcW w:w="5019" w:type="dxa"/>
            <w:gridSpan w:val="2"/>
            <w:tcBorders>
              <w:top w:val="single" w:sz="4" w:space="0" w:color="29114B" w:themeColor="text2"/>
              <w:left w:val="nil"/>
              <w:bottom w:val="nil"/>
              <w:right w:val="nil"/>
            </w:tcBorders>
            <w:shd w:val="clear" w:color="auto" w:fill="CAE6F2" w:themeFill="accent3" w:themeFillTint="33"/>
            <w:tcMar>
              <w:top w:w="57" w:type="dxa"/>
              <w:bottom w:w="57" w:type="dxa"/>
            </w:tcMar>
          </w:tcPr>
          <w:p w14:paraId="40C6D4B2" w14:textId="3B0F4DAF" w:rsidR="00F25A68" w:rsidRPr="00CF2CD6" w:rsidRDefault="00F25A68" w:rsidP="0048098F">
            <w:pPr>
              <w:pStyle w:val="TableTextLeft"/>
              <w:rPr>
                <w:b/>
                <w:bCs/>
              </w:rPr>
            </w:pPr>
            <w:r w:rsidRPr="00CF2CD6">
              <w:rPr>
                <w:b/>
                <w:bCs/>
              </w:rPr>
              <w:t>Management and Accountability</w:t>
            </w:r>
          </w:p>
        </w:tc>
        <w:tc>
          <w:tcPr>
            <w:tcW w:w="1332" w:type="dxa"/>
            <w:tcBorders>
              <w:top w:val="single" w:sz="4" w:space="0" w:color="29114B" w:themeColor="text2"/>
              <w:left w:val="nil"/>
              <w:bottom w:val="nil"/>
            </w:tcBorders>
            <w:shd w:val="clear" w:color="auto" w:fill="CAE6F2" w:themeFill="accent3" w:themeFillTint="33"/>
            <w:tcMar>
              <w:top w:w="57" w:type="dxa"/>
              <w:bottom w:w="57" w:type="dxa"/>
            </w:tcMar>
          </w:tcPr>
          <w:p w14:paraId="26DA84A9" w14:textId="77777777" w:rsidR="00F25A68" w:rsidRPr="00CF2CD6" w:rsidRDefault="00F25A68" w:rsidP="0048098F">
            <w:pPr>
              <w:pStyle w:val="TableTextLeft"/>
              <w:rPr>
                <w:b/>
                <w:bCs/>
              </w:rPr>
            </w:pPr>
          </w:p>
        </w:tc>
      </w:tr>
      <w:tr w:rsidR="00F25A68" w:rsidRPr="00CF2CD6" w14:paraId="28A39034" w14:textId="77777777" w:rsidTr="00592520">
        <w:trPr>
          <w:trHeight w:val="20"/>
        </w:trPr>
        <w:tc>
          <w:tcPr>
            <w:tcW w:w="1360" w:type="dxa"/>
            <w:tcBorders>
              <w:top w:val="nil"/>
              <w:right w:val="nil"/>
            </w:tcBorders>
            <w:shd w:val="clear" w:color="auto" w:fill="CAE6F2" w:themeFill="accent3" w:themeFillTint="33"/>
            <w:tcMar>
              <w:top w:w="57" w:type="dxa"/>
              <w:bottom w:w="57" w:type="dxa"/>
            </w:tcMar>
          </w:tcPr>
          <w:p w14:paraId="6AE5743B" w14:textId="4BE9DDB6" w:rsidR="00F25A68" w:rsidRPr="00CF2CD6" w:rsidRDefault="00F25A68" w:rsidP="0048098F">
            <w:pPr>
              <w:pStyle w:val="TableTextLeft"/>
              <w:rPr>
                <w:b/>
                <w:bCs/>
              </w:rPr>
            </w:pPr>
            <w:r w:rsidRPr="00CF2CD6">
              <w:rPr>
                <w:b/>
                <w:bCs/>
              </w:rPr>
              <w:t> </w:t>
            </w:r>
          </w:p>
        </w:tc>
        <w:tc>
          <w:tcPr>
            <w:tcW w:w="5019" w:type="dxa"/>
            <w:gridSpan w:val="2"/>
            <w:tcBorders>
              <w:top w:val="nil"/>
              <w:left w:val="nil"/>
              <w:right w:val="nil"/>
            </w:tcBorders>
            <w:shd w:val="clear" w:color="auto" w:fill="CAE6F2" w:themeFill="accent3" w:themeFillTint="33"/>
            <w:tcMar>
              <w:top w:w="57" w:type="dxa"/>
              <w:bottom w:w="57" w:type="dxa"/>
            </w:tcMar>
          </w:tcPr>
          <w:p w14:paraId="0FD61908" w14:textId="088398F2" w:rsidR="00F25A68" w:rsidRPr="00CF2CD6" w:rsidRDefault="00F25A68" w:rsidP="0048098F">
            <w:pPr>
              <w:pStyle w:val="TableTextLeft"/>
              <w:rPr>
                <w:b/>
                <w:bCs/>
              </w:rPr>
            </w:pPr>
            <w:r w:rsidRPr="00CF2CD6">
              <w:rPr>
                <w:b/>
                <w:bCs/>
              </w:rPr>
              <w:t>Corporate Governance</w:t>
            </w:r>
          </w:p>
        </w:tc>
        <w:tc>
          <w:tcPr>
            <w:tcW w:w="1332" w:type="dxa"/>
            <w:tcBorders>
              <w:top w:val="nil"/>
              <w:left w:val="nil"/>
            </w:tcBorders>
            <w:shd w:val="clear" w:color="auto" w:fill="CAE6F2" w:themeFill="accent3" w:themeFillTint="33"/>
            <w:tcMar>
              <w:top w:w="57" w:type="dxa"/>
              <w:bottom w:w="57" w:type="dxa"/>
            </w:tcMar>
          </w:tcPr>
          <w:p w14:paraId="238B0DF7" w14:textId="77777777" w:rsidR="00F25A68" w:rsidRPr="00CF2CD6" w:rsidRDefault="00F25A68" w:rsidP="0048098F">
            <w:pPr>
              <w:pStyle w:val="TableTextLeft"/>
              <w:rPr>
                <w:b/>
                <w:bCs/>
              </w:rPr>
            </w:pPr>
          </w:p>
        </w:tc>
      </w:tr>
      <w:tr w:rsidR="009301C6" w:rsidRPr="00C71B8C" w14:paraId="117B4839" w14:textId="77777777" w:rsidTr="00592520">
        <w:trPr>
          <w:trHeight w:val="20"/>
        </w:trPr>
        <w:tc>
          <w:tcPr>
            <w:tcW w:w="1360" w:type="dxa"/>
            <w:tcMar>
              <w:top w:w="57" w:type="dxa"/>
              <w:bottom w:w="57" w:type="dxa"/>
            </w:tcMar>
            <w:hideMark/>
          </w:tcPr>
          <w:p w14:paraId="3A82B3DA" w14:textId="77777777" w:rsidR="009301C6" w:rsidRPr="007C42BA" w:rsidRDefault="009301C6" w:rsidP="0048098F">
            <w:pPr>
              <w:pStyle w:val="TableTextLeft"/>
            </w:pPr>
            <w:r w:rsidRPr="00C71B8C">
              <w:t>17AG(2)(a)</w:t>
            </w:r>
          </w:p>
        </w:tc>
        <w:tc>
          <w:tcPr>
            <w:tcW w:w="1537" w:type="dxa"/>
            <w:tcMar>
              <w:top w:w="57" w:type="dxa"/>
              <w:bottom w:w="57" w:type="dxa"/>
            </w:tcMar>
            <w:hideMark/>
          </w:tcPr>
          <w:p w14:paraId="433A85D1" w14:textId="09141DAE" w:rsidR="009301C6" w:rsidRPr="007C42BA" w:rsidRDefault="009301C6" w:rsidP="0048098F">
            <w:pPr>
              <w:pStyle w:val="TableTextLeft"/>
              <w:rPr>
                <w:highlight w:val="yellow"/>
              </w:rPr>
            </w:pPr>
            <w:r w:rsidRPr="00DF31C0">
              <w:t>Part 3 (A)</w:t>
            </w:r>
          </w:p>
        </w:tc>
        <w:tc>
          <w:tcPr>
            <w:tcW w:w="3482" w:type="dxa"/>
            <w:tcMar>
              <w:top w:w="57" w:type="dxa"/>
              <w:bottom w:w="57" w:type="dxa"/>
            </w:tcMar>
            <w:hideMark/>
          </w:tcPr>
          <w:p w14:paraId="372C7D24" w14:textId="77777777" w:rsidR="009301C6" w:rsidRPr="007C42BA" w:rsidRDefault="009301C6" w:rsidP="0048098F">
            <w:pPr>
              <w:pStyle w:val="TableTextLeft"/>
            </w:pPr>
            <w:r w:rsidRPr="00C71B8C">
              <w:t>Information on compliance with section 10 (fraud systems)</w:t>
            </w:r>
          </w:p>
        </w:tc>
        <w:tc>
          <w:tcPr>
            <w:tcW w:w="1332" w:type="dxa"/>
            <w:tcMar>
              <w:top w:w="57" w:type="dxa"/>
              <w:bottom w:w="57" w:type="dxa"/>
            </w:tcMar>
            <w:hideMark/>
          </w:tcPr>
          <w:p w14:paraId="40C99C3B" w14:textId="77777777" w:rsidR="009301C6" w:rsidRPr="007C42BA" w:rsidRDefault="009301C6" w:rsidP="0048098F">
            <w:pPr>
              <w:pStyle w:val="TableTextLeft"/>
            </w:pPr>
            <w:r w:rsidRPr="00C71B8C">
              <w:t>Mandatory</w:t>
            </w:r>
          </w:p>
        </w:tc>
      </w:tr>
      <w:tr w:rsidR="009301C6" w:rsidRPr="00C71B8C" w14:paraId="58654619" w14:textId="77777777" w:rsidTr="00592520">
        <w:trPr>
          <w:trHeight w:val="20"/>
        </w:trPr>
        <w:tc>
          <w:tcPr>
            <w:tcW w:w="1360" w:type="dxa"/>
            <w:tcMar>
              <w:top w:w="57" w:type="dxa"/>
              <w:bottom w:w="57" w:type="dxa"/>
            </w:tcMar>
            <w:hideMark/>
          </w:tcPr>
          <w:p w14:paraId="418E5C71" w14:textId="77777777" w:rsidR="009301C6" w:rsidRPr="007C42BA" w:rsidRDefault="009301C6" w:rsidP="0048098F">
            <w:pPr>
              <w:pStyle w:val="TableTextLeft"/>
            </w:pPr>
            <w:r w:rsidRPr="00C71B8C">
              <w:t>17AG(2)(b)(</w:t>
            </w:r>
            <w:proofErr w:type="spellStart"/>
            <w:r w:rsidRPr="00C71B8C">
              <w:t>i</w:t>
            </w:r>
            <w:proofErr w:type="spellEnd"/>
            <w:r w:rsidRPr="00C71B8C">
              <w:t>)</w:t>
            </w:r>
          </w:p>
        </w:tc>
        <w:tc>
          <w:tcPr>
            <w:tcW w:w="1537" w:type="dxa"/>
            <w:tcMar>
              <w:top w:w="57" w:type="dxa"/>
              <w:bottom w:w="57" w:type="dxa"/>
            </w:tcMar>
            <w:hideMark/>
          </w:tcPr>
          <w:p w14:paraId="0D7D3B90" w14:textId="77777777" w:rsidR="009301C6" w:rsidRPr="007C42BA" w:rsidRDefault="009301C6" w:rsidP="0048098F">
            <w:pPr>
              <w:pStyle w:val="TableTextLeft"/>
              <w:rPr>
                <w:highlight w:val="yellow"/>
              </w:rPr>
            </w:pPr>
            <w:r w:rsidRPr="00DF31C0">
              <w:t>Letter of transmittal</w:t>
            </w:r>
          </w:p>
        </w:tc>
        <w:tc>
          <w:tcPr>
            <w:tcW w:w="3482" w:type="dxa"/>
            <w:tcMar>
              <w:top w:w="57" w:type="dxa"/>
              <w:bottom w:w="57" w:type="dxa"/>
            </w:tcMar>
            <w:hideMark/>
          </w:tcPr>
          <w:p w14:paraId="1862B4FE" w14:textId="77777777" w:rsidR="009301C6" w:rsidRPr="007C42BA" w:rsidRDefault="009301C6" w:rsidP="0048098F">
            <w:pPr>
              <w:pStyle w:val="TableTextLeft"/>
            </w:pPr>
            <w:r w:rsidRPr="00C71B8C">
              <w:t>A certification by accountable authority that fraud risk assessments and fraud control plans have been prepared.</w:t>
            </w:r>
          </w:p>
        </w:tc>
        <w:tc>
          <w:tcPr>
            <w:tcW w:w="1332" w:type="dxa"/>
            <w:tcMar>
              <w:top w:w="57" w:type="dxa"/>
              <w:bottom w:w="57" w:type="dxa"/>
            </w:tcMar>
            <w:hideMark/>
          </w:tcPr>
          <w:p w14:paraId="1DC63829" w14:textId="77777777" w:rsidR="009301C6" w:rsidRPr="007C42BA" w:rsidRDefault="009301C6" w:rsidP="0048098F">
            <w:pPr>
              <w:pStyle w:val="TableTextLeft"/>
            </w:pPr>
            <w:r w:rsidRPr="00C71B8C">
              <w:t>Mandatory</w:t>
            </w:r>
          </w:p>
        </w:tc>
      </w:tr>
    </w:tbl>
    <w:p w14:paraId="60A8531D" w14:textId="7D00F941" w:rsidR="00702225" w:rsidRDefault="00702225"/>
    <w:tbl>
      <w:tblPr>
        <w:tblStyle w:val="AOFMTablemain"/>
        <w:tblW w:w="5000" w:type="pct"/>
        <w:tblLayout w:type="fixed"/>
        <w:tblLook w:val="06A0" w:firstRow="1" w:lastRow="0" w:firstColumn="1" w:lastColumn="0" w:noHBand="1" w:noVBand="1"/>
      </w:tblPr>
      <w:tblGrid>
        <w:gridCol w:w="1360"/>
        <w:gridCol w:w="1537"/>
        <w:gridCol w:w="3482"/>
        <w:gridCol w:w="1332"/>
      </w:tblGrid>
      <w:tr w:rsidR="00E15250" w:rsidRPr="00C71B8C" w14:paraId="69D3C77B"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360" w:type="dxa"/>
            <w:tcMar>
              <w:top w:w="57" w:type="dxa"/>
              <w:bottom w:w="57" w:type="dxa"/>
            </w:tcMar>
            <w:vAlign w:val="bottom"/>
          </w:tcPr>
          <w:p w14:paraId="117C4316" w14:textId="1BC21224" w:rsidR="00CB4B6E" w:rsidRPr="00C71B8C" w:rsidRDefault="00CB4B6E" w:rsidP="00E46CBD">
            <w:pPr>
              <w:pStyle w:val="TableColumnHeadingLeft"/>
            </w:pPr>
            <w:r w:rsidRPr="00AB7D63">
              <w:lastRenderedPageBreak/>
              <w:t>PGPA rule reference</w:t>
            </w:r>
          </w:p>
        </w:tc>
        <w:tc>
          <w:tcPr>
            <w:tcW w:w="1537" w:type="dxa"/>
            <w:tcMar>
              <w:top w:w="57" w:type="dxa"/>
              <w:bottom w:w="57" w:type="dxa"/>
            </w:tcMar>
            <w:vAlign w:val="bottom"/>
          </w:tcPr>
          <w:p w14:paraId="672654D1" w14:textId="7F3EBB94" w:rsidR="00CB4B6E" w:rsidRPr="00CB4B6E" w:rsidRDefault="00CB4B6E" w:rsidP="00E46CBD">
            <w:pPr>
              <w:pStyle w:val="TableColumnHeadingLeft"/>
            </w:pPr>
            <w:r w:rsidRPr="00AB7D63">
              <w:t>Part of report</w:t>
            </w:r>
          </w:p>
        </w:tc>
        <w:tc>
          <w:tcPr>
            <w:tcW w:w="3482" w:type="dxa"/>
            <w:tcMar>
              <w:top w:w="57" w:type="dxa"/>
              <w:bottom w:w="57" w:type="dxa"/>
            </w:tcMar>
            <w:vAlign w:val="bottom"/>
          </w:tcPr>
          <w:p w14:paraId="4490CE1C" w14:textId="24AF0811" w:rsidR="00CB4B6E" w:rsidRPr="00C71B8C" w:rsidRDefault="00CB4B6E" w:rsidP="00E46CBD">
            <w:pPr>
              <w:pStyle w:val="TableColumnHeadingLeft"/>
            </w:pPr>
            <w:r w:rsidRPr="00AB7D63">
              <w:t>Description</w:t>
            </w:r>
          </w:p>
        </w:tc>
        <w:tc>
          <w:tcPr>
            <w:tcW w:w="1332" w:type="dxa"/>
            <w:tcMar>
              <w:top w:w="57" w:type="dxa"/>
              <w:bottom w:w="57" w:type="dxa"/>
            </w:tcMar>
            <w:vAlign w:val="bottom"/>
          </w:tcPr>
          <w:p w14:paraId="023FEF81" w14:textId="69D52BD8" w:rsidR="00CB4B6E" w:rsidRPr="00C71B8C" w:rsidRDefault="00CB4B6E" w:rsidP="00E46CBD">
            <w:pPr>
              <w:pStyle w:val="TableColumnHeadingLeft"/>
            </w:pPr>
            <w:r w:rsidRPr="00AB7D63">
              <w:t>Requirement</w:t>
            </w:r>
          </w:p>
        </w:tc>
      </w:tr>
      <w:tr w:rsidR="009301C6" w:rsidRPr="00C71B8C" w14:paraId="05F94BD3" w14:textId="77777777" w:rsidTr="00592520">
        <w:trPr>
          <w:trHeight w:val="20"/>
        </w:trPr>
        <w:tc>
          <w:tcPr>
            <w:tcW w:w="1360" w:type="dxa"/>
            <w:tcMar>
              <w:top w:w="28" w:type="dxa"/>
              <w:bottom w:w="28" w:type="dxa"/>
            </w:tcMar>
            <w:hideMark/>
          </w:tcPr>
          <w:p w14:paraId="403F18AE" w14:textId="77777777" w:rsidR="009301C6" w:rsidRPr="007C42BA" w:rsidRDefault="009301C6" w:rsidP="0048098F">
            <w:pPr>
              <w:pStyle w:val="TableTextLeft"/>
            </w:pPr>
            <w:r w:rsidRPr="00C71B8C">
              <w:t>17AG(2)(b)(ii)</w:t>
            </w:r>
          </w:p>
        </w:tc>
        <w:tc>
          <w:tcPr>
            <w:tcW w:w="1537" w:type="dxa"/>
            <w:tcMar>
              <w:top w:w="28" w:type="dxa"/>
              <w:bottom w:w="28" w:type="dxa"/>
            </w:tcMar>
            <w:hideMark/>
          </w:tcPr>
          <w:p w14:paraId="4FA29EC1" w14:textId="77777777" w:rsidR="009301C6" w:rsidRPr="007C42BA" w:rsidRDefault="009301C6" w:rsidP="0048098F">
            <w:pPr>
              <w:pStyle w:val="TableTextLeft"/>
              <w:rPr>
                <w:highlight w:val="yellow"/>
              </w:rPr>
            </w:pPr>
            <w:r w:rsidRPr="00DF31C0">
              <w:t>Letter of transmittal</w:t>
            </w:r>
          </w:p>
        </w:tc>
        <w:tc>
          <w:tcPr>
            <w:tcW w:w="3482" w:type="dxa"/>
            <w:tcMar>
              <w:top w:w="28" w:type="dxa"/>
              <w:bottom w:w="28" w:type="dxa"/>
            </w:tcMar>
            <w:hideMark/>
          </w:tcPr>
          <w:p w14:paraId="2CB14042" w14:textId="77777777" w:rsidR="009301C6" w:rsidRPr="007C42BA" w:rsidRDefault="009301C6" w:rsidP="0048098F">
            <w:pPr>
              <w:pStyle w:val="TableTextLeft"/>
            </w:pPr>
            <w:r w:rsidRPr="00C71B8C">
              <w:t>A certification by accountable authority that appropriate mechanisms for preventing, detecting incidents of, investigating or otherwise dealing with, and recording or reporting fraud that meet the specific needs of the entity are in place.</w:t>
            </w:r>
          </w:p>
        </w:tc>
        <w:tc>
          <w:tcPr>
            <w:tcW w:w="1332" w:type="dxa"/>
            <w:tcMar>
              <w:top w:w="28" w:type="dxa"/>
              <w:bottom w:w="28" w:type="dxa"/>
            </w:tcMar>
            <w:hideMark/>
          </w:tcPr>
          <w:p w14:paraId="26FAFE44" w14:textId="77777777" w:rsidR="009301C6" w:rsidRPr="007C42BA" w:rsidRDefault="009301C6" w:rsidP="0048098F">
            <w:pPr>
              <w:pStyle w:val="TableTextLeft"/>
            </w:pPr>
            <w:r w:rsidRPr="00C71B8C">
              <w:t>Mandatory</w:t>
            </w:r>
          </w:p>
        </w:tc>
      </w:tr>
      <w:tr w:rsidR="009301C6" w:rsidRPr="00C71B8C" w14:paraId="34A12295" w14:textId="77777777" w:rsidTr="00592520">
        <w:trPr>
          <w:trHeight w:val="20"/>
        </w:trPr>
        <w:tc>
          <w:tcPr>
            <w:tcW w:w="1360" w:type="dxa"/>
            <w:tcMar>
              <w:top w:w="28" w:type="dxa"/>
              <w:bottom w:w="28" w:type="dxa"/>
            </w:tcMar>
            <w:hideMark/>
          </w:tcPr>
          <w:p w14:paraId="47DE9E51" w14:textId="77777777" w:rsidR="009301C6" w:rsidRPr="007C42BA" w:rsidRDefault="009301C6" w:rsidP="0048098F">
            <w:pPr>
              <w:pStyle w:val="TableTextLeft"/>
            </w:pPr>
            <w:r w:rsidRPr="00C71B8C">
              <w:t>17AG(2)(b)(iii)</w:t>
            </w:r>
          </w:p>
        </w:tc>
        <w:tc>
          <w:tcPr>
            <w:tcW w:w="1537" w:type="dxa"/>
            <w:tcMar>
              <w:top w:w="28" w:type="dxa"/>
              <w:bottom w:w="28" w:type="dxa"/>
            </w:tcMar>
            <w:hideMark/>
          </w:tcPr>
          <w:p w14:paraId="426C59E6" w14:textId="77777777" w:rsidR="009301C6" w:rsidRPr="007C42BA" w:rsidRDefault="009301C6" w:rsidP="0048098F">
            <w:pPr>
              <w:pStyle w:val="TableTextLeft"/>
              <w:rPr>
                <w:highlight w:val="yellow"/>
              </w:rPr>
            </w:pPr>
            <w:r w:rsidRPr="00DF31C0">
              <w:t>Letter of transmittal</w:t>
            </w:r>
          </w:p>
        </w:tc>
        <w:tc>
          <w:tcPr>
            <w:tcW w:w="3482" w:type="dxa"/>
            <w:tcMar>
              <w:top w:w="28" w:type="dxa"/>
              <w:bottom w:w="28" w:type="dxa"/>
            </w:tcMar>
            <w:hideMark/>
          </w:tcPr>
          <w:p w14:paraId="51C1A98A" w14:textId="77777777" w:rsidR="009301C6" w:rsidRPr="007C42BA" w:rsidRDefault="009301C6" w:rsidP="0048098F">
            <w:pPr>
              <w:pStyle w:val="TableTextLeft"/>
            </w:pPr>
            <w:r w:rsidRPr="00C71B8C">
              <w:t>A certification by accountable authority that all reasonable measures have been taken to deal appropriately with fraud relating to the entity.</w:t>
            </w:r>
          </w:p>
        </w:tc>
        <w:tc>
          <w:tcPr>
            <w:tcW w:w="1332" w:type="dxa"/>
            <w:tcMar>
              <w:top w:w="28" w:type="dxa"/>
              <w:bottom w:w="28" w:type="dxa"/>
            </w:tcMar>
            <w:hideMark/>
          </w:tcPr>
          <w:p w14:paraId="0D91FCEF" w14:textId="77777777" w:rsidR="009301C6" w:rsidRPr="007C42BA" w:rsidRDefault="009301C6" w:rsidP="0048098F">
            <w:pPr>
              <w:pStyle w:val="TableTextLeft"/>
            </w:pPr>
            <w:r w:rsidRPr="00C71B8C">
              <w:t>Mandatory</w:t>
            </w:r>
          </w:p>
        </w:tc>
      </w:tr>
      <w:tr w:rsidR="009301C6" w:rsidRPr="00C71B8C" w14:paraId="013E5D77" w14:textId="77777777" w:rsidTr="00592520">
        <w:trPr>
          <w:trHeight w:val="20"/>
        </w:trPr>
        <w:tc>
          <w:tcPr>
            <w:tcW w:w="1360" w:type="dxa"/>
            <w:tcMar>
              <w:top w:w="28" w:type="dxa"/>
              <w:bottom w:w="28" w:type="dxa"/>
            </w:tcMar>
            <w:hideMark/>
          </w:tcPr>
          <w:p w14:paraId="24B88C17" w14:textId="77777777" w:rsidR="009301C6" w:rsidRPr="007C42BA" w:rsidRDefault="009301C6" w:rsidP="0048098F">
            <w:pPr>
              <w:pStyle w:val="TableTextLeft"/>
            </w:pPr>
            <w:r w:rsidRPr="00C71B8C">
              <w:t>17AG(2)(c)</w:t>
            </w:r>
          </w:p>
        </w:tc>
        <w:tc>
          <w:tcPr>
            <w:tcW w:w="1537" w:type="dxa"/>
            <w:tcMar>
              <w:top w:w="28" w:type="dxa"/>
              <w:bottom w:w="28" w:type="dxa"/>
            </w:tcMar>
            <w:hideMark/>
          </w:tcPr>
          <w:p w14:paraId="56E31FA7" w14:textId="77777777" w:rsidR="009301C6" w:rsidRPr="007C42BA" w:rsidRDefault="009301C6" w:rsidP="0048098F">
            <w:pPr>
              <w:pStyle w:val="TableTextLeft"/>
            </w:pPr>
            <w:r w:rsidRPr="00C71B8C">
              <w:t> </w:t>
            </w:r>
            <w:r w:rsidRPr="00DF31C0">
              <w:t>Part 3 (A)</w:t>
            </w:r>
          </w:p>
        </w:tc>
        <w:tc>
          <w:tcPr>
            <w:tcW w:w="3482" w:type="dxa"/>
            <w:tcMar>
              <w:top w:w="28" w:type="dxa"/>
              <w:bottom w:w="28" w:type="dxa"/>
            </w:tcMar>
            <w:hideMark/>
          </w:tcPr>
          <w:p w14:paraId="62422694" w14:textId="77777777" w:rsidR="009301C6" w:rsidRPr="007C42BA" w:rsidRDefault="009301C6" w:rsidP="0048098F">
            <w:pPr>
              <w:pStyle w:val="TableTextLeft"/>
            </w:pPr>
            <w:r w:rsidRPr="00C71B8C">
              <w:t>An outline of structures and processes in place for the entity to implement principles and objectives of corporate governance.</w:t>
            </w:r>
          </w:p>
        </w:tc>
        <w:tc>
          <w:tcPr>
            <w:tcW w:w="1332" w:type="dxa"/>
            <w:tcMar>
              <w:top w:w="28" w:type="dxa"/>
              <w:bottom w:w="28" w:type="dxa"/>
            </w:tcMar>
            <w:hideMark/>
          </w:tcPr>
          <w:p w14:paraId="1ECEDE99" w14:textId="77777777" w:rsidR="009301C6" w:rsidRPr="007C42BA" w:rsidRDefault="009301C6" w:rsidP="0048098F">
            <w:pPr>
              <w:pStyle w:val="TableTextLeft"/>
            </w:pPr>
            <w:r w:rsidRPr="00C71B8C">
              <w:t>Mandatory</w:t>
            </w:r>
          </w:p>
        </w:tc>
      </w:tr>
      <w:tr w:rsidR="009301C6" w:rsidRPr="00C71B8C" w14:paraId="52EA3030" w14:textId="77777777" w:rsidTr="00592520">
        <w:trPr>
          <w:trHeight w:val="20"/>
        </w:trPr>
        <w:tc>
          <w:tcPr>
            <w:tcW w:w="1360" w:type="dxa"/>
            <w:tcBorders>
              <w:bottom w:val="single" w:sz="4" w:space="0" w:color="29114B" w:themeColor="text2"/>
            </w:tcBorders>
            <w:tcMar>
              <w:top w:w="28" w:type="dxa"/>
              <w:bottom w:w="28" w:type="dxa"/>
            </w:tcMar>
            <w:hideMark/>
          </w:tcPr>
          <w:p w14:paraId="50945574" w14:textId="77777777" w:rsidR="009301C6" w:rsidRPr="007C42BA" w:rsidRDefault="009301C6" w:rsidP="0048098F">
            <w:pPr>
              <w:pStyle w:val="TableTextLeft"/>
            </w:pPr>
            <w:r w:rsidRPr="00C71B8C">
              <w:t>17AG(2)(d) – (e)</w:t>
            </w:r>
          </w:p>
        </w:tc>
        <w:tc>
          <w:tcPr>
            <w:tcW w:w="1537" w:type="dxa"/>
            <w:tcBorders>
              <w:bottom w:val="single" w:sz="4" w:space="0" w:color="29114B" w:themeColor="text2"/>
            </w:tcBorders>
            <w:tcMar>
              <w:top w:w="28" w:type="dxa"/>
              <w:bottom w:w="28" w:type="dxa"/>
            </w:tcMar>
            <w:hideMark/>
          </w:tcPr>
          <w:p w14:paraId="659F17F5" w14:textId="77777777" w:rsidR="009301C6" w:rsidRPr="007C42BA" w:rsidRDefault="009301C6" w:rsidP="0048098F">
            <w:pPr>
              <w:pStyle w:val="TableTextLeft"/>
            </w:pPr>
            <w:r w:rsidRPr="00C71B8C">
              <w:t> Not applicable</w:t>
            </w:r>
          </w:p>
        </w:tc>
        <w:tc>
          <w:tcPr>
            <w:tcW w:w="3482" w:type="dxa"/>
            <w:tcBorders>
              <w:bottom w:val="single" w:sz="4" w:space="0" w:color="29114B" w:themeColor="text2"/>
            </w:tcBorders>
            <w:tcMar>
              <w:top w:w="28" w:type="dxa"/>
              <w:bottom w:w="28" w:type="dxa"/>
            </w:tcMar>
            <w:hideMark/>
          </w:tcPr>
          <w:p w14:paraId="23670EFD" w14:textId="73D7F05D" w:rsidR="009301C6" w:rsidRPr="007C42BA" w:rsidRDefault="009301C6" w:rsidP="0048098F">
            <w:pPr>
              <w:pStyle w:val="TableTextLeft"/>
            </w:pPr>
            <w:r w:rsidRPr="00C71B8C">
              <w:t>A statement of significant issues reported to Minister under paragraph 19(1)(e) of the Act that relates to noncompliance with Finance law and action taken to remedy non</w:t>
            </w:r>
            <w:r w:rsidR="00B84FF2">
              <w:noBreakHyphen/>
            </w:r>
            <w:r w:rsidRPr="00C71B8C">
              <w:t>compliance.</w:t>
            </w:r>
          </w:p>
        </w:tc>
        <w:tc>
          <w:tcPr>
            <w:tcW w:w="1332" w:type="dxa"/>
            <w:tcBorders>
              <w:bottom w:val="single" w:sz="4" w:space="0" w:color="29114B" w:themeColor="text2"/>
            </w:tcBorders>
            <w:tcMar>
              <w:top w:w="28" w:type="dxa"/>
              <w:bottom w:w="28" w:type="dxa"/>
            </w:tcMar>
            <w:hideMark/>
          </w:tcPr>
          <w:p w14:paraId="43B6B27D" w14:textId="3AA7A85F" w:rsidR="009301C6" w:rsidRPr="007C42BA" w:rsidRDefault="009301C6" w:rsidP="0048098F">
            <w:pPr>
              <w:pStyle w:val="TableTextLeft"/>
            </w:pPr>
            <w:r w:rsidRPr="00C71B8C">
              <w:t xml:space="preserve">If applicable, </w:t>
            </w:r>
            <w:r w:rsidR="00343772">
              <w:t>m</w:t>
            </w:r>
            <w:r w:rsidR="00343772" w:rsidRPr="00C71B8C">
              <w:t>andatory</w:t>
            </w:r>
          </w:p>
        </w:tc>
      </w:tr>
      <w:tr w:rsidR="005412ED" w:rsidRPr="00CF2CD6" w14:paraId="79B5C2A2" w14:textId="77777777" w:rsidTr="00592520">
        <w:trPr>
          <w:trHeight w:val="20"/>
        </w:trPr>
        <w:tc>
          <w:tcPr>
            <w:tcW w:w="1360" w:type="dxa"/>
            <w:tcBorders>
              <w:top w:val="single" w:sz="4" w:space="0" w:color="29114B" w:themeColor="text2"/>
              <w:right w:val="nil"/>
            </w:tcBorders>
            <w:shd w:val="clear" w:color="auto" w:fill="CAE6F2" w:themeFill="accent3" w:themeFillTint="33"/>
            <w:tcMar>
              <w:top w:w="28" w:type="dxa"/>
              <w:bottom w:w="28" w:type="dxa"/>
            </w:tcMar>
          </w:tcPr>
          <w:p w14:paraId="0FCE4F48" w14:textId="77777777" w:rsidR="0048098F" w:rsidRPr="00CF2CD6" w:rsidRDefault="0048098F" w:rsidP="0048098F">
            <w:pPr>
              <w:pStyle w:val="TableTextLeft"/>
              <w:rPr>
                <w:b/>
                <w:bCs/>
              </w:rPr>
            </w:pPr>
          </w:p>
        </w:tc>
        <w:tc>
          <w:tcPr>
            <w:tcW w:w="1537" w:type="dxa"/>
            <w:tcBorders>
              <w:top w:val="single" w:sz="4" w:space="0" w:color="29114B" w:themeColor="text2"/>
              <w:left w:val="nil"/>
              <w:right w:val="nil"/>
            </w:tcBorders>
            <w:shd w:val="clear" w:color="auto" w:fill="CAE6F2" w:themeFill="accent3" w:themeFillTint="33"/>
            <w:tcMar>
              <w:top w:w="28" w:type="dxa"/>
              <w:bottom w:w="28" w:type="dxa"/>
            </w:tcMar>
          </w:tcPr>
          <w:p w14:paraId="78C449CE" w14:textId="532A2A92" w:rsidR="0048098F" w:rsidRPr="00CF2CD6" w:rsidRDefault="0048098F" w:rsidP="0048098F">
            <w:pPr>
              <w:pStyle w:val="TableTextLeft"/>
              <w:rPr>
                <w:b/>
                <w:bCs/>
              </w:rPr>
            </w:pPr>
            <w:r w:rsidRPr="00CF2CD6">
              <w:rPr>
                <w:b/>
                <w:bCs/>
              </w:rPr>
              <w:t>Audit Committee</w:t>
            </w:r>
          </w:p>
        </w:tc>
        <w:tc>
          <w:tcPr>
            <w:tcW w:w="3482" w:type="dxa"/>
            <w:tcBorders>
              <w:top w:val="single" w:sz="4" w:space="0" w:color="29114B" w:themeColor="text2"/>
              <w:left w:val="nil"/>
              <w:right w:val="nil"/>
            </w:tcBorders>
            <w:shd w:val="clear" w:color="auto" w:fill="CAE6F2" w:themeFill="accent3" w:themeFillTint="33"/>
            <w:tcMar>
              <w:top w:w="28" w:type="dxa"/>
              <w:bottom w:w="28" w:type="dxa"/>
            </w:tcMar>
          </w:tcPr>
          <w:p w14:paraId="1D505D13" w14:textId="77777777" w:rsidR="0048098F" w:rsidRPr="00CF2CD6" w:rsidRDefault="0048098F" w:rsidP="0048098F">
            <w:pPr>
              <w:pStyle w:val="TableTextLeft"/>
              <w:rPr>
                <w:b/>
                <w:bCs/>
              </w:rPr>
            </w:pPr>
          </w:p>
        </w:tc>
        <w:tc>
          <w:tcPr>
            <w:tcW w:w="1332" w:type="dxa"/>
            <w:tcBorders>
              <w:top w:val="single" w:sz="4" w:space="0" w:color="29114B" w:themeColor="text2"/>
              <w:left w:val="nil"/>
            </w:tcBorders>
            <w:shd w:val="clear" w:color="auto" w:fill="CAE6F2" w:themeFill="accent3" w:themeFillTint="33"/>
            <w:tcMar>
              <w:top w:w="28" w:type="dxa"/>
              <w:bottom w:w="28" w:type="dxa"/>
            </w:tcMar>
          </w:tcPr>
          <w:p w14:paraId="2F0F517C" w14:textId="77777777" w:rsidR="0048098F" w:rsidRPr="00CF2CD6" w:rsidRDefault="0048098F" w:rsidP="0048098F">
            <w:pPr>
              <w:pStyle w:val="TableTextLeft"/>
              <w:rPr>
                <w:b/>
                <w:bCs/>
              </w:rPr>
            </w:pPr>
          </w:p>
        </w:tc>
      </w:tr>
      <w:tr w:rsidR="0096203B" w:rsidRPr="00C71B8C" w14:paraId="3D1F6795" w14:textId="77777777" w:rsidTr="00592520">
        <w:trPr>
          <w:trHeight w:val="20"/>
        </w:trPr>
        <w:tc>
          <w:tcPr>
            <w:tcW w:w="1360" w:type="dxa"/>
            <w:tcMar>
              <w:top w:w="28" w:type="dxa"/>
              <w:bottom w:w="28" w:type="dxa"/>
            </w:tcMar>
          </w:tcPr>
          <w:p w14:paraId="64BB98C7" w14:textId="77777777" w:rsidR="0096203B" w:rsidRPr="007C42BA" w:rsidRDefault="0096203B" w:rsidP="0048098F">
            <w:pPr>
              <w:pStyle w:val="TableTextLeft"/>
            </w:pPr>
            <w:r w:rsidRPr="00C71B8C">
              <w:t>17AG(2</w:t>
            </w:r>
            <w:proofErr w:type="gramStart"/>
            <w:r w:rsidRPr="00C71B8C">
              <w:t>A)(</w:t>
            </w:r>
            <w:proofErr w:type="gramEnd"/>
            <w:r w:rsidRPr="00C71B8C">
              <w:t>a)</w:t>
            </w:r>
          </w:p>
        </w:tc>
        <w:tc>
          <w:tcPr>
            <w:tcW w:w="1537" w:type="dxa"/>
            <w:tcMar>
              <w:top w:w="28" w:type="dxa"/>
              <w:bottom w:w="28" w:type="dxa"/>
            </w:tcMar>
          </w:tcPr>
          <w:p w14:paraId="0BE0FB11" w14:textId="77777777" w:rsidR="0096203B" w:rsidRPr="007C42BA" w:rsidRDefault="0096203B" w:rsidP="0048098F">
            <w:pPr>
              <w:pStyle w:val="TableTextLeft"/>
            </w:pPr>
            <w:r w:rsidRPr="00C71B8C">
              <w:t>Part 3 (A)</w:t>
            </w:r>
          </w:p>
        </w:tc>
        <w:tc>
          <w:tcPr>
            <w:tcW w:w="3482" w:type="dxa"/>
            <w:tcMar>
              <w:top w:w="28" w:type="dxa"/>
              <w:bottom w:w="28" w:type="dxa"/>
            </w:tcMar>
          </w:tcPr>
          <w:p w14:paraId="510C61EA" w14:textId="4AE29336" w:rsidR="0096203B" w:rsidRPr="007C42BA" w:rsidRDefault="0096203B" w:rsidP="0048098F">
            <w:pPr>
              <w:pStyle w:val="TableTextLeft"/>
            </w:pPr>
            <w:r w:rsidRPr="00C71B8C">
              <w:t>A direct electronic address of the charter determining the functions of the entity</w:t>
            </w:r>
            <w:r w:rsidR="00B84FF2">
              <w:t>’</w:t>
            </w:r>
            <w:r w:rsidRPr="00C71B8C">
              <w:t>s audit committee.</w:t>
            </w:r>
          </w:p>
        </w:tc>
        <w:tc>
          <w:tcPr>
            <w:tcW w:w="1332" w:type="dxa"/>
            <w:tcMar>
              <w:top w:w="28" w:type="dxa"/>
              <w:bottom w:w="28" w:type="dxa"/>
            </w:tcMar>
          </w:tcPr>
          <w:p w14:paraId="63152453" w14:textId="77777777" w:rsidR="0096203B" w:rsidRPr="007C42BA" w:rsidRDefault="0096203B" w:rsidP="0048098F">
            <w:pPr>
              <w:pStyle w:val="TableTextLeft"/>
            </w:pPr>
            <w:r w:rsidRPr="00C71B8C">
              <w:t>Mandatory</w:t>
            </w:r>
          </w:p>
        </w:tc>
      </w:tr>
      <w:tr w:rsidR="0096203B" w:rsidRPr="00C71B8C" w14:paraId="7E785F11" w14:textId="77777777" w:rsidTr="00592520">
        <w:trPr>
          <w:trHeight w:val="20"/>
        </w:trPr>
        <w:tc>
          <w:tcPr>
            <w:tcW w:w="1360" w:type="dxa"/>
            <w:tcMar>
              <w:top w:w="28" w:type="dxa"/>
              <w:bottom w:w="28" w:type="dxa"/>
            </w:tcMar>
          </w:tcPr>
          <w:p w14:paraId="78D59A63" w14:textId="77777777" w:rsidR="0096203B" w:rsidRPr="007C42BA" w:rsidRDefault="0096203B" w:rsidP="0048098F">
            <w:pPr>
              <w:pStyle w:val="TableTextLeft"/>
            </w:pPr>
            <w:r w:rsidRPr="00C71B8C">
              <w:t>17AG(2</w:t>
            </w:r>
            <w:proofErr w:type="gramStart"/>
            <w:r w:rsidRPr="00C71B8C">
              <w:t>A)(</w:t>
            </w:r>
            <w:proofErr w:type="gramEnd"/>
            <w:r w:rsidRPr="00C71B8C">
              <w:t>b)</w:t>
            </w:r>
          </w:p>
        </w:tc>
        <w:tc>
          <w:tcPr>
            <w:tcW w:w="1537" w:type="dxa"/>
            <w:tcMar>
              <w:top w:w="28" w:type="dxa"/>
              <w:bottom w:w="28" w:type="dxa"/>
            </w:tcMar>
          </w:tcPr>
          <w:p w14:paraId="3590D14F" w14:textId="77777777" w:rsidR="0096203B" w:rsidRPr="00DF31C0" w:rsidRDefault="0096203B" w:rsidP="0048098F">
            <w:pPr>
              <w:pStyle w:val="TableTextLeft"/>
            </w:pPr>
            <w:r w:rsidRPr="00DF31C0">
              <w:t>Part 3 (A)</w:t>
            </w:r>
          </w:p>
        </w:tc>
        <w:tc>
          <w:tcPr>
            <w:tcW w:w="3482" w:type="dxa"/>
            <w:tcMar>
              <w:top w:w="28" w:type="dxa"/>
              <w:bottom w:w="28" w:type="dxa"/>
            </w:tcMar>
          </w:tcPr>
          <w:p w14:paraId="0FBA9B98" w14:textId="4EF49AC4" w:rsidR="0096203B" w:rsidRPr="007C42BA" w:rsidRDefault="0096203B" w:rsidP="0048098F">
            <w:pPr>
              <w:pStyle w:val="TableTextLeft"/>
            </w:pPr>
            <w:r w:rsidRPr="00C71B8C">
              <w:t>The name of each member of the entity</w:t>
            </w:r>
            <w:r w:rsidR="00B84FF2">
              <w:t>’</w:t>
            </w:r>
            <w:r w:rsidRPr="00C71B8C">
              <w:t>s audit committee.</w:t>
            </w:r>
          </w:p>
        </w:tc>
        <w:tc>
          <w:tcPr>
            <w:tcW w:w="1332" w:type="dxa"/>
            <w:tcMar>
              <w:top w:w="28" w:type="dxa"/>
              <w:bottom w:w="28" w:type="dxa"/>
            </w:tcMar>
          </w:tcPr>
          <w:p w14:paraId="04EFCC2C" w14:textId="77777777" w:rsidR="0096203B" w:rsidRPr="007C42BA" w:rsidRDefault="0096203B" w:rsidP="0048098F">
            <w:pPr>
              <w:pStyle w:val="TableTextLeft"/>
            </w:pPr>
            <w:r w:rsidRPr="00C71B8C">
              <w:t>Mandatory</w:t>
            </w:r>
          </w:p>
        </w:tc>
      </w:tr>
      <w:tr w:rsidR="0096203B" w:rsidRPr="00C71B8C" w14:paraId="6F242A05" w14:textId="77777777" w:rsidTr="00592520">
        <w:trPr>
          <w:trHeight w:val="20"/>
        </w:trPr>
        <w:tc>
          <w:tcPr>
            <w:tcW w:w="1360" w:type="dxa"/>
            <w:tcMar>
              <w:top w:w="28" w:type="dxa"/>
              <w:bottom w:w="28" w:type="dxa"/>
            </w:tcMar>
          </w:tcPr>
          <w:p w14:paraId="6AE3FA05" w14:textId="77777777" w:rsidR="0096203B" w:rsidRPr="007C42BA" w:rsidRDefault="0096203B" w:rsidP="0048098F">
            <w:pPr>
              <w:pStyle w:val="TableTextLeft"/>
            </w:pPr>
            <w:r w:rsidRPr="00C71B8C">
              <w:t>17AG(2</w:t>
            </w:r>
            <w:proofErr w:type="gramStart"/>
            <w:r w:rsidRPr="00C71B8C">
              <w:t>A)(</w:t>
            </w:r>
            <w:proofErr w:type="gramEnd"/>
            <w:r w:rsidRPr="00C71B8C">
              <w:t>c)</w:t>
            </w:r>
          </w:p>
        </w:tc>
        <w:tc>
          <w:tcPr>
            <w:tcW w:w="1537" w:type="dxa"/>
            <w:tcMar>
              <w:top w:w="28" w:type="dxa"/>
              <w:bottom w:w="28" w:type="dxa"/>
            </w:tcMar>
          </w:tcPr>
          <w:p w14:paraId="46FB92EB" w14:textId="77777777" w:rsidR="0096203B" w:rsidRPr="00DF31C0" w:rsidRDefault="0096203B" w:rsidP="0048098F">
            <w:pPr>
              <w:pStyle w:val="TableTextLeft"/>
            </w:pPr>
            <w:r w:rsidRPr="00DF31C0">
              <w:t>Part 3 (A)</w:t>
            </w:r>
          </w:p>
        </w:tc>
        <w:tc>
          <w:tcPr>
            <w:tcW w:w="3482" w:type="dxa"/>
            <w:tcMar>
              <w:top w:w="28" w:type="dxa"/>
              <w:bottom w:w="28" w:type="dxa"/>
            </w:tcMar>
          </w:tcPr>
          <w:p w14:paraId="3C401A03" w14:textId="3ABEF275" w:rsidR="0096203B" w:rsidRPr="007C42BA" w:rsidRDefault="0096203B" w:rsidP="0048098F">
            <w:pPr>
              <w:pStyle w:val="TableTextLeft"/>
            </w:pPr>
            <w:r w:rsidRPr="00C71B8C">
              <w:t>The qualifications, knowledge, skills or experience of each member of the entity</w:t>
            </w:r>
            <w:r w:rsidR="00B84FF2">
              <w:t>’</w:t>
            </w:r>
            <w:r w:rsidRPr="00C71B8C">
              <w:t>s audit committee.</w:t>
            </w:r>
          </w:p>
        </w:tc>
        <w:tc>
          <w:tcPr>
            <w:tcW w:w="1332" w:type="dxa"/>
            <w:tcMar>
              <w:top w:w="28" w:type="dxa"/>
              <w:bottom w:w="28" w:type="dxa"/>
            </w:tcMar>
          </w:tcPr>
          <w:p w14:paraId="0232BA5D" w14:textId="77777777" w:rsidR="0096203B" w:rsidRPr="007C42BA" w:rsidRDefault="0096203B" w:rsidP="0048098F">
            <w:pPr>
              <w:pStyle w:val="TableTextLeft"/>
            </w:pPr>
            <w:r w:rsidRPr="00C71B8C">
              <w:t>Mandatory</w:t>
            </w:r>
          </w:p>
        </w:tc>
      </w:tr>
      <w:tr w:rsidR="0096203B" w:rsidRPr="00C71B8C" w14:paraId="1B6DC285" w14:textId="77777777" w:rsidTr="00592520">
        <w:trPr>
          <w:trHeight w:val="20"/>
        </w:trPr>
        <w:tc>
          <w:tcPr>
            <w:tcW w:w="1360" w:type="dxa"/>
            <w:tcMar>
              <w:top w:w="28" w:type="dxa"/>
              <w:bottom w:w="28" w:type="dxa"/>
            </w:tcMar>
          </w:tcPr>
          <w:p w14:paraId="596CF069" w14:textId="77777777" w:rsidR="0096203B" w:rsidRPr="007C42BA" w:rsidRDefault="0096203B" w:rsidP="0048098F">
            <w:pPr>
              <w:pStyle w:val="TableTextLeft"/>
            </w:pPr>
            <w:r w:rsidRPr="00C71B8C">
              <w:t>17AG(2</w:t>
            </w:r>
            <w:proofErr w:type="gramStart"/>
            <w:r w:rsidRPr="00C71B8C">
              <w:t>A)(</w:t>
            </w:r>
            <w:proofErr w:type="gramEnd"/>
            <w:r w:rsidRPr="00C71B8C">
              <w:t>d)</w:t>
            </w:r>
          </w:p>
        </w:tc>
        <w:tc>
          <w:tcPr>
            <w:tcW w:w="1537" w:type="dxa"/>
            <w:tcMar>
              <w:top w:w="28" w:type="dxa"/>
              <w:bottom w:w="28" w:type="dxa"/>
            </w:tcMar>
          </w:tcPr>
          <w:p w14:paraId="434FE0F5" w14:textId="77777777" w:rsidR="0096203B" w:rsidRPr="00DF31C0" w:rsidRDefault="0096203B" w:rsidP="0048098F">
            <w:pPr>
              <w:pStyle w:val="TableTextLeft"/>
            </w:pPr>
            <w:r w:rsidRPr="00DF31C0">
              <w:t>Part 3 (A)</w:t>
            </w:r>
          </w:p>
        </w:tc>
        <w:tc>
          <w:tcPr>
            <w:tcW w:w="3482" w:type="dxa"/>
            <w:tcMar>
              <w:top w:w="28" w:type="dxa"/>
              <w:bottom w:w="28" w:type="dxa"/>
            </w:tcMar>
          </w:tcPr>
          <w:p w14:paraId="6A75F7A9" w14:textId="1DC16398" w:rsidR="0096203B" w:rsidRPr="007C42BA" w:rsidRDefault="0096203B" w:rsidP="0048098F">
            <w:pPr>
              <w:pStyle w:val="TableTextLeft"/>
            </w:pPr>
            <w:r w:rsidRPr="00C71B8C">
              <w:t>Information about the attendance of each member of the entity</w:t>
            </w:r>
            <w:r w:rsidR="00B84FF2">
              <w:t>’</w:t>
            </w:r>
            <w:r w:rsidRPr="00C71B8C">
              <w:t>s audit committee at committee meetings.</w:t>
            </w:r>
          </w:p>
        </w:tc>
        <w:tc>
          <w:tcPr>
            <w:tcW w:w="1332" w:type="dxa"/>
            <w:tcMar>
              <w:top w:w="28" w:type="dxa"/>
              <w:bottom w:w="28" w:type="dxa"/>
            </w:tcMar>
          </w:tcPr>
          <w:p w14:paraId="4AAAF45F" w14:textId="77777777" w:rsidR="0096203B" w:rsidRPr="007C42BA" w:rsidRDefault="0096203B" w:rsidP="0048098F">
            <w:pPr>
              <w:pStyle w:val="TableTextLeft"/>
            </w:pPr>
            <w:r w:rsidRPr="00C71B8C">
              <w:t>Mandatory</w:t>
            </w:r>
          </w:p>
        </w:tc>
      </w:tr>
      <w:tr w:rsidR="0096203B" w:rsidRPr="00C71B8C" w14:paraId="2D820F21" w14:textId="77777777" w:rsidTr="00592520">
        <w:trPr>
          <w:trHeight w:val="20"/>
        </w:trPr>
        <w:tc>
          <w:tcPr>
            <w:tcW w:w="1360" w:type="dxa"/>
            <w:tcBorders>
              <w:bottom w:val="single" w:sz="4" w:space="0" w:color="29114B" w:themeColor="text2"/>
            </w:tcBorders>
            <w:tcMar>
              <w:top w:w="28" w:type="dxa"/>
              <w:bottom w:w="28" w:type="dxa"/>
            </w:tcMar>
          </w:tcPr>
          <w:p w14:paraId="5CCC3245" w14:textId="77777777" w:rsidR="0096203B" w:rsidRPr="007C42BA" w:rsidRDefault="0096203B" w:rsidP="0048098F">
            <w:pPr>
              <w:pStyle w:val="TableTextLeft"/>
            </w:pPr>
            <w:r w:rsidRPr="00C71B8C">
              <w:t>17AG(2</w:t>
            </w:r>
            <w:proofErr w:type="gramStart"/>
            <w:r w:rsidRPr="00C71B8C">
              <w:t>A)(</w:t>
            </w:r>
            <w:proofErr w:type="gramEnd"/>
            <w:r w:rsidRPr="00C71B8C">
              <w:t>e)</w:t>
            </w:r>
          </w:p>
        </w:tc>
        <w:tc>
          <w:tcPr>
            <w:tcW w:w="1537" w:type="dxa"/>
            <w:tcBorders>
              <w:bottom w:val="single" w:sz="4" w:space="0" w:color="29114B" w:themeColor="text2"/>
            </w:tcBorders>
            <w:tcMar>
              <w:top w:w="28" w:type="dxa"/>
              <w:bottom w:w="28" w:type="dxa"/>
            </w:tcMar>
          </w:tcPr>
          <w:p w14:paraId="20B1659F" w14:textId="77777777" w:rsidR="0096203B" w:rsidRPr="00DF31C0" w:rsidRDefault="0096203B" w:rsidP="0048098F">
            <w:pPr>
              <w:pStyle w:val="TableTextLeft"/>
            </w:pPr>
            <w:r w:rsidRPr="00DF31C0">
              <w:t>Part 3 (A)</w:t>
            </w:r>
          </w:p>
        </w:tc>
        <w:tc>
          <w:tcPr>
            <w:tcW w:w="3482" w:type="dxa"/>
            <w:tcBorders>
              <w:bottom w:val="single" w:sz="4" w:space="0" w:color="29114B" w:themeColor="text2"/>
            </w:tcBorders>
            <w:tcMar>
              <w:top w:w="28" w:type="dxa"/>
              <w:bottom w:w="28" w:type="dxa"/>
            </w:tcMar>
          </w:tcPr>
          <w:p w14:paraId="50945575" w14:textId="3AAD0FFE" w:rsidR="0096203B" w:rsidRPr="007C42BA" w:rsidRDefault="0096203B" w:rsidP="0048098F">
            <w:pPr>
              <w:pStyle w:val="TableTextLeft"/>
            </w:pPr>
            <w:r w:rsidRPr="00C71B8C">
              <w:t>The remuneration of each member of the entity</w:t>
            </w:r>
            <w:r w:rsidR="00B84FF2">
              <w:t>’</w:t>
            </w:r>
            <w:r w:rsidRPr="00C71B8C">
              <w:t>s audit committee.</w:t>
            </w:r>
          </w:p>
        </w:tc>
        <w:tc>
          <w:tcPr>
            <w:tcW w:w="1332" w:type="dxa"/>
            <w:tcBorders>
              <w:bottom w:val="single" w:sz="4" w:space="0" w:color="29114B" w:themeColor="text2"/>
            </w:tcBorders>
            <w:tcMar>
              <w:top w:w="28" w:type="dxa"/>
              <w:bottom w:w="28" w:type="dxa"/>
            </w:tcMar>
          </w:tcPr>
          <w:p w14:paraId="659F5B65" w14:textId="77777777" w:rsidR="0096203B" w:rsidRPr="007C42BA" w:rsidRDefault="0096203B" w:rsidP="0048098F">
            <w:pPr>
              <w:pStyle w:val="TableTextLeft"/>
            </w:pPr>
            <w:r w:rsidRPr="00C71B8C">
              <w:t>Mandatory</w:t>
            </w:r>
          </w:p>
        </w:tc>
      </w:tr>
      <w:tr w:rsidR="0048098F" w:rsidRPr="00C71B8C" w14:paraId="7F4016AF" w14:textId="77777777" w:rsidTr="00592520">
        <w:trPr>
          <w:trHeight w:val="20"/>
        </w:trPr>
        <w:tc>
          <w:tcPr>
            <w:tcW w:w="1360" w:type="dxa"/>
            <w:tcBorders>
              <w:top w:val="single" w:sz="4" w:space="0" w:color="29114B" w:themeColor="text2"/>
              <w:right w:val="nil"/>
            </w:tcBorders>
            <w:shd w:val="clear" w:color="auto" w:fill="CAE6F2" w:themeFill="accent3" w:themeFillTint="33"/>
            <w:tcMar>
              <w:top w:w="28" w:type="dxa"/>
              <w:bottom w:w="28" w:type="dxa"/>
            </w:tcMar>
          </w:tcPr>
          <w:p w14:paraId="44CD9A60" w14:textId="77777777" w:rsidR="0048098F" w:rsidRPr="00CF2CD6" w:rsidRDefault="0048098F" w:rsidP="0048098F">
            <w:pPr>
              <w:pStyle w:val="TableTextLeft"/>
              <w:rPr>
                <w:b/>
                <w:bCs/>
              </w:rPr>
            </w:pPr>
          </w:p>
        </w:tc>
        <w:tc>
          <w:tcPr>
            <w:tcW w:w="1537" w:type="dxa"/>
            <w:tcBorders>
              <w:top w:val="single" w:sz="4" w:space="0" w:color="29114B" w:themeColor="text2"/>
              <w:left w:val="nil"/>
              <w:right w:val="nil"/>
            </w:tcBorders>
            <w:shd w:val="clear" w:color="auto" w:fill="CAE6F2" w:themeFill="accent3" w:themeFillTint="33"/>
            <w:tcMar>
              <w:top w:w="28" w:type="dxa"/>
              <w:bottom w:w="28" w:type="dxa"/>
            </w:tcMar>
          </w:tcPr>
          <w:p w14:paraId="1EA82C52" w14:textId="06B2230C" w:rsidR="0048098F" w:rsidRPr="00CF2CD6" w:rsidRDefault="0048098F" w:rsidP="0048098F">
            <w:pPr>
              <w:pStyle w:val="TableTextLeft"/>
              <w:rPr>
                <w:b/>
                <w:bCs/>
              </w:rPr>
            </w:pPr>
            <w:r w:rsidRPr="00CF2CD6">
              <w:rPr>
                <w:b/>
                <w:bCs/>
              </w:rPr>
              <w:t>External scrutiny</w:t>
            </w:r>
          </w:p>
        </w:tc>
        <w:tc>
          <w:tcPr>
            <w:tcW w:w="3482" w:type="dxa"/>
            <w:tcBorders>
              <w:top w:val="single" w:sz="4" w:space="0" w:color="29114B" w:themeColor="text2"/>
              <w:left w:val="nil"/>
              <w:right w:val="nil"/>
            </w:tcBorders>
            <w:shd w:val="clear" w:color="auto" w:fill="CAE6F2" w:themeFill="accent3" w:themeFillTint="33"/>
            <w:tcMar>
              <w:top w:w="28" w:type="dxa"/>
              <w:bottom w:w="28" w:type="dxa"/>
            </w:tcMar>
          </w:tcPr>
          <w:p w14:paraId="34B8F84B" w14:textId="77777777" w:rsidR="0048098F" w:rsidRPr="00CF2CD6" w:rsidRDefault="0048098F" w:rsidP="0048098F">
            <w:pPr>
              <w:pStyle w:val="TableTextLeft"/>
              <w:rPr>
                <w:b/>
                <w:bCs/>
              </w:rPr>
            </w:pPr>
          </w:p>
        </w:tc>
        <w:tc>
          <w:tcPr>
            <w:tcW w:w="1332" w:type="dxa"/>
            <w:tcBorders>
              <w:top w:val="single" w:sz="4" w:space="0" w:color="29114B" w:themeColor="text2"/>
              <w:left w:val="nil"/>
            </w:tcBorders>
            <w:shd w:val="clear" w:color="auto" w:fill="CAE6F2" w:themeFill="accent3" w:themeFillTint="33"/>
            <w:tcMar>
              <w:top w:w="28" w:type="dxa"/>
              <w:bottom w:w="28" w:type="dxa"/>
            </w:tcMar>
          </w:tcPr>
          <w:p w14:paraId="371A190F" w14:textId="77777777" w:rsidR="0048098F" w:rsidRPr="00CF2CD6" w:rsidRDefault="0048098F" w:rsidP="0048098F">
            <w:pPr>
              <w:pStyle w:val="TableTextLeft"/>
              <w:rPr>
                <w:b/>
                <w:bCs/>
              </w:rPr>
            </w:pPr>
          </w:p>
        </w:tc>
      </w:tr>
      <w:tr w:rsidR="0096203B" w:rsidRPr="00C71B8C" w14:paraId="0F2C4C69" w14:textId="77777777" w:rsidTr="00592520">
        <w:trPr>
          <w:trHeight w:val="20"/>
        </w:trPr>
        <w:tc>
          <w:tcPr>
            <w:tcW w:w="1360" w:type="dxa"/>
            <w:tcMar>
              <w:top w:w="28" w:type="dxa"/>
              <w:bottom w:w="28" w:type="dxa"/>
            </w:tcMar>
            <w:hideMark/>
          </w:tcPr>
          <w:p w14:paraId="4D4EB250" w14:textId="77777777" w:rsidR="0096203B" w:rsidRPr="007C42BA" w:rsidRDefault="0096203B" w:rsidP="0048098F">
            <w:pPr>
              <w:pStyle w:val="TableTextLeft"/>
            </w:pPr>
            <w:r w:rsidRPr="00C71B8C">
              <w:t>17</w:t>
            </w:r>
            <w:proofErr w:type="gramStart"/>
            <w:r w:rsidRPr="00C71B8C">
              <w:t>AG(</w:t>
            </w:r>
            <w:proofErr w:type="gramEnd"/>
            <w:r w:rsidRPr="00C71B8C">
              <w:t>3)</w:t>
            </w:r>
          </w:p>
        </w:tc>
        <w:tc>
          <w:tcPr>
            <w:tcW w:w="1537" w:type="dxa"/>
            <w:tcMar>
              <w:top w:w="28" w:type="dxa"/>
              <w:bottom w:w="28" w:type="dxa"/>
            </w:tcMar>
            <w:hideMark/>
          </w:tcPr>
          <w:p w14:paraId="5F1B8E50" w14:textId="77777777" w:rsidR="0096203B" w:rsidRPr="007C42BA" w:rsidRDefault="0096203B" w:rsidP="0048098F">
            <w:pPr>
              <w:pStyle w:val="TableTextLeft"/>
            </w:pPr>
            <w:r w:rsidRPr="00C71B8C">
              <w:t> </w:t>
            </w:r>
            <w:r w:rsidRPr="00DF31C0">
              <w:t>Part 3 (A)</w:t>
            </w:r>
          </w:p>
        </w:tc>
        <w:tc>
          <w:tcPr>
            <w:tcW w:w="3482" w:type="dxa"/>
            <w:tcMar>
              <w:top w:w="28" w:type="dxa"/>
              <w:bottom w:w="28" w:type="dxa"/>
            </w:tcMar>
            <w:hideMark/>
          </w:tcPr>
          <w:p w14:paraId="3F2F7871" w14:textId="116B3CC8" w:rsidR="0096203B" w:rsidRPr="007C42BA" w:rsidRDefault="0096203B" w:rsidP="0048098F">
            <w:pPr>
              <w:pStyle w:val="TableTextLeft"/>
            </w:pPr>
            <w:r w:rsidRPr="00C71B8C">
              <w:t>Information on the most significant developments in external scrutiny and the entity</w:t>
            </w:r>
            <w:r w:rsidR="00B84FF2">
              <w:t>’</w:t>
            </w:r>
            <w:r w:rsidRPr="00C71B8C">
              <w:t>s response to the scrutiny.</w:t>
            </w:r>
          </w:p>
        </w:tc>
        <w:tc>
          <w:tcPr>
            <w:tcW w:w="1332" w:type="dxa"/>
            <w:tcMar>
              <w:top w:w="28" w:type="dxa"/>
              <w:bottom w:w="28" w:type="dxa"/>
            </w:tcMar>
            <w:hideMark/>
          </w:tcPr>
          <w:p w14:paraId="1B2C57AD" w14:textId="77777777" w:rsidR="0096203B" w:rsidRPr="007C42BA" w:rsidRDefault="0096203B" w:rsidP="0048098F">
            <w:pPr>
              <w:pStyle w:val="TableTextLeft"/>
            </w:pPr>
            <w:r w:rsidRPr="00C71B8C">
              <w:t>Mandatory</w:t>
            </w:r>
          </w:p>
        </w:tc>
      </w:tr>
      <w:tr w:rsidR="0096203B" w:rsidRPr="00C71B8C" w14:paraId="455D6B83" w14:textId="77777777" w:rsidTr="00592520">
        <w:trPr>
          <w:trHeight w:val="20"/>
        </w:trPr>
        <w:tc>
          <w:tcPr>
            <w:tcW w:w="1360" w:type="dxa"/>
            <w:tcMar>
              <w:top w:w="28" w:type="dxa"/>
              <w:bottom w:w="28" w:type="dxa"/>
            </w:tcMar>
            <w:hideMark/>
          </w:tcPr>
          <w:p w14:paraId="317C1357" w14:textId="77777777" w:rsidR="0096203B" w:rsidRPr="007C42BA" w:rsidRDefault="0096203B" w:rsidP="0048098F">
            <w:pPr>
              <w:pStyle w:val="TableTextLeft"/>
            </w:pPr>
            <w:r w:rsidRPr="00C71B8C">
              <w:t>17AG(3)(a)</w:t>
            </w:r>
          </w:p>
        </w:tc>
        <w:tc>
          <w:tcPr>
            <w:tcW w:w="1537" w:type="dxa"/>
            <w:tcMar>
              <w:top w:w="28" w:type="dxa"/>
              <w:bottom w:w="28" w:type="dxa"/>
            </w:tcMar>
            <w:hideMark/>
          </w:tcPr>
          <w:p w14:paraId="7FFEB71C" w14:textId="77777777" w:rsidR="0096203B" w:rsidRPr="007C42BA" w:rsidRDefault="0096203B" w:rsidP="0048098F">
            <w:pPr>
              <w:pStyle w:val="TableTextLeft"/>
            </w:pPr>
            <w:r w:rsidRPr="00C71B8C">
              <w:rPr>
                <w:i/>
              </w:rPr>
              <w:t> </w:t>
            </w:r>
            <w:r w:rsidRPr="00C71B8C">
              <w:t>Not applicable</w:t>
            </w:r>
          </w:p>
        </w:tc>
        <w:tc>
          <w:tcPr>
            <w:tcW w:w="3482" w:type="dxa"/>
            <w:tcMar>
              <w:top w:w="28" w:type="dxa"/>
              <w:bottom w:w="28" w:type="dxa"/>
            </w:tcMar>
            <w:hideMark/>
          </w:tcPr>
          <w:p w14:paraId="69C3AA73" w14:textId="77777777" w:rsidR="0096203B" w:rsidRPr="007C42BA" w:rsidRDefault="0096203B" w:rsidP="0048098F">
            <w:pPr>
              <w:pStyle w:val="TableTextLeft"/>
            </w:pPr>
            <w:r w:rsidRPr="00C71B8C">
              <w:t>Information on judicial decisions and decisions of administrative tribunals and by the Australian Information Commissioner that may have a significant effect on the operations of the entity.</w:t>
            </w:r>
          </w:p>
        </w:tc>
        <w:tc>
          <w:tcPr>
            <w:tcW w:w="1332" w:type="dxa"/>
            <w:tcMar>
              <w:top w:w="28" w:type="dxa"/>
              <w:bottom w:w="28" w:type="dxa"/>
            </w:tcMar>
            <w:hideMark/>
          </w:tcPr>
          <w:p w14:paraId="126EF298" w14:textId="500895C7" w:rsidR="0096203B" w:rsidRPr="007C42BA" w:rsidRDefault="0096203B" w:rsidP="0048098F">
            <w:pPr>
              <w:pStyle w:val="TableTextLeft"/>
            </w:pPr>
            <w:r w:rsidRPr="00C71B8C">
              <w:t xml:space="preserve">If applicable, </w:t>
            </w:r>
            <w:r w:rsidR="00343772">
              <w:t>m</w:t>
            </w:r>
            <w:r w:rsidR="00343772" w:rsidRPr="00C71B8C">
              <w:t>andatory</w:t>
            </w:r>
          </w:p>
        </w:tc>
      </w:tr>
      <w:tr w:rsidR="0096203B" w:rsidRPr="00C71B8C" w14:paraId="0A1AAE49" w14:textId="77777777" w:rsidTr="00592520">
        <w:trPr>
          <w:trHeight w:val="20"/>
        </w:trPr>
        <w:tc>
          <w:tcPr>
            <w:tcW w:w="1360" w:type="dxa"/>
            <w:tcMar>
              <w:top w:w="28" w:type="dxa"/>
              <w:bottom w:w="28" w:type="dxa"/>
            </w:tcMar>
            <w:hideMark/>
          </w:tcPr>
          <w:p w14:paraId="2BF26692" w14:textId="77777777" w:rsidR="0096203B" w:rsidRPr="007C42BA" w:rsidRDefault="0096203B" w:rsidP="0048098F">
            <w:pPr>
              <w:pStyle w:val="TableTextLeft"/>
            </w:pPr>
            <w:r w:rsidRPr="00C71B8C">
              <w:t>17AG(3)(b)</w:t>
            </w:r>
          </w:p>
        </w:tc>
        <w:tc>
          <w:tcPr>
            <w:tcW w:w="1537" w:type="dxa"/>
            <w:tcMar>
              <w:top w:w="28" w:type="dxa"/>
              <w:bottom w:w="28" w:type="dxa"/>
            </w:tcMar>
            <w:hideMark/>
          </w:tcPr>
          <w:p w14:paraId="0D55AAAF" w14:textId="77777777" w:rsidR="0096203B" w:rsidRPr="007C42BA" w:rsidRDefault="0096203B" w:rsidP="0048098F">
            <w:pPr>
              <w:pStyle w:val="TableTextLeft"/>
            </w:pPr>
            <w:r w:rsidRPr="00C71B8C">
              <w:rPr>
                <w:i/>
              </w:rPr>
              <w:t> </w:t>
            </w:r>
            <w:r w:rsidRPr="00C71B8C">
              <w:t>Not applicable</w:t>
            </w:r>
          </w:p>
        </w:tc>
        <w:tc>
          <w:tcPr>
            <w:tcW w:w="3482" w:type="dxa"/>
            <w:tcMar>
              <w:top w:w="28" w:type="dxa"/>
              <w:bottom w:w="28" w:type="dxa"/>
            </w:tcMar>
            <w:hideMark/>
          </w:tcPr>
          <w:p w14:paraId="2A81C588" w14:textId="64B818A7" w:rsidR="0096203B" w:rsidRPr="007C42BA" w:rsidRDefault="0096203B" w:rsidP="0048098F">
            <w:pPr>
              <w:pStyle w:val="TableTextLeft"/>
            </w:pPr>
            <w:r w:rsidRPr="00C71B8C">
              <w:t>Information on any reports on operations of the entity by the Auditor</w:t>
            </w:r>
            <w:r w:rsidR="00B84FF2">
              <w:noBreakHyphen/>
            </w:r>
            <w:r w:rsidRPr="00C71B8C">
              <w:t>General (other than report under section 43 of the Act), a Parliamentary Committee, or the Commonwealth Ombudsman.</w:t>
            </w:r>
          </w:p>
        </w:tc>
        <w:tc>
          <w:tcPr>
            <w:tcW w:w="1332" w:type="dxa"/>
            <w:tcMar>
              <w:top w:w="28" w:type="dxa"/>
              <w:bottom w:w="28" w:type="dxa"/>
            </w:tcMar>
            <w:hideMark/>
          </w:tcPr>
          <w:p w14:paraId="4F83B099" w14:textId="4FF9A161" w:rsidR="0096203B" w:rsidRPr="007C42BA" w:rsidRDefault="0096203B" w:rsidP="0048098F">
            <w:pPr>
              <w:pStyle w:val="TableTextLeft"/>
            </w:pPr>
            <w:r w:rsidRPr="00C71B8C">
              <w:t xml:space="preserve">If applicable, </w:t>
            </w:r>
            <w:r w:rsidR="00343772">
              <w:t>m</w:t>
            </w:r>
            <w:r w:rsidR="00343772" w:rsidRPr="00C71B8C">
              <w:t>andatory</w:t>
            </w:r>
          </w:p>
        </w:tc>
      </w:tr>
      <w:tr w:rsidR="0096203B" w:rsidRPr="00C71B8C" w14:paraId="6D773167" w14:textId="77777777" w:rsidTr="00592520">
        <w:trPr>
          <w:trHeight w:val="20"/>
        </w:trPr>
        <w:tc>
          <w:tcPr>
            <w:tcW w:w="1360" w:type="dxa"/>
            <w:tcMar>
              <w:top w:w="28" w:type="dxa"/>
              <w:bottom w:w="28" w:type="dxa"/>
            </w:tcMar>
            <w:hideMark/>
          </w:tcPr>
          <w:p w14:paraId="3C9CCBAF" w14:textId="77777777" w:rsidR="0096203B" w:rsidRPr="007C42BA" w:rsidRDefault="0096203B" w:rsidP="0048098F">
            <w:pPr>
              <w:pStyle w:val="TableTextLeft"/>
            </w:pPr>
            <w:r w:rsidRPr="00C71B8C">
              <w:t>17AG(3)(c)</w:t>
            </w:r>
          </w:p>
        </w:tc>
        <w:tc>
          <w:tcPr>
            <w:tcW w:w="1537" w:type="dxa"/>
            <w:tcMar>
              <w:top w:w="28" w:type="dxa"/>
              <w:bottom w:w="28" w:type="dxa"/>
            </w:tcMar>
            <w:hideMark/>
          </w:tcPr>
          <w:p w14:paraId="663ED602" w14:textId="77777777" w:rsidR="0096203B" w:rsidRPr="007C42BA" w:rsidRDefault="0096203B" w:rsidP="0048098F">
            <w:pPr>
              <w:pStyle w:val="TableTextLeft"/>
            </w:pPr>
            <w:r w:rsidRPr="00C71B8C">
              <w:rPr>
                <w:i/>
              </w:rPr>
              <w:t> </w:t>
            </w:r>
            <w:r w:rsidRPr="00C71B8C">
              <w:t>Not applicable</w:t>
            </w:r>
          </w:p>
        </w:tc>
        <w:tc>
          <w:tcPr>
            <w:tcW w:w="3482" w:type="dxa"/>
            <w:tcMar>
              <w:top w:w="28" w:type="dxa"/>
              <w:bottom w:w="28" w:type="dxa"/>
            </w:tcMar>
            <w:hideMark/>
          </w:tcPr>
          <w:p w14:paraId="13A4F7FA" w14:textId="77777777" w:rsidR="0096203B" w:rsidRPr="007C42BA" w:rsidRDefault="0096203B" w:rsidP="0048098F">
            <w:pPr>
              <w:pStyle w:val="TableTextLeft"/>
            </w:pPr>
            <w:r w:rsidRPr="00C71B8C">
              <w:t>Information on any capability reviews on the entity that were released during the period.</w:t>
            </w:r>
          </w:p>
        </w:tc>
        <w:tc>
          <w:tcPr>
            <w:tcW w:w="1332" w:type="dxa"/>
            <w:tcMar>
              <w:top w:w="28" w:type="dxa"/>
              <w:bottom w:w="28" w:type="dxa"/>
            </w:tcMar>
            <w:hideMark/>
          </w:tcPr>
          <w:p w14:paraId="3AC9DEDA" w14:textId="22FC517D" w:rsidR="0096203B" w:rsidRPr="007C42BA" w:rsidRDefault="0096203B" w:rsidP="0048098F">
            <w:pPr>
              <w:pStyle w:val="TableTextLeft"/>
            </w:pPr>
            <w:r w:rsidRPr="00C71B8C">
              <w:t xml:space="preserve">If applicable, </w:t>
            </w:r>
            <w:r w:rsidR="00343772">
              <w:t>m</w:t>
            </w:r>
            <w:r w:rsidR="00343772" w:rsidRPr="00C71B8C">
              <w:t>andatory</w:t>
            </w:r>
          </w:p>
        </w:tc>
      </w:tr>
      <w:tr w:rsidR="006C235E" w:rsidRPr="00C71B8C" w14:paraId="7A27332D" w14:textId="77777777" w:rsidTr="00E46CBD">
        <w:trPr>
          <w:trHeight w:val="20"/>
        </w:trPr>
        <w:tc>
          <w:tcPr>
            <w:tcW w:w="1360" w:type="dxa"/>
            <w:tcBorders>
              <w:bottom w:val="single" w:sz="4" w:space="0" w:color="29114B" w:themeColor="text2"/>
            </w:tcBorders>
            <w:shd w:val="clear" w:color="auto" w:fill="472978" w:themeFill="accent1"/>
            <w:tcMar>
              <w:top w:w="57" w:type="dxa"/>
              <w:bottom w:w="57" w:type="dxa"/>
            </w:tcMar>
            <w:vAlign w:val="bottom"/>
          </w:tcPr>
          <w:p w14:paraId="40DAFC80" w14:textId="0234FF07" w:rsidR="00CB4B6E" w:rsidRPr="00C71B8C" w:rsidRDefault="00CB4B6E" w:rsidP="00E46CBD">
            <w:pPr>
              <w:pStyle w:val="TableColumnHeadingLeft"/>
            </w:pPr>
            <w:r w:rsidRPr="00AB7D63">
              <w:lastRenderedPageBreak/>
              <w:t>PGPA rule reference</w:t>
            </w:r>
          </w:p>
        </w:tc>
        <w:tc>
          <w:tcPr>
            <w:tcW w:w="1537" w:type="dxa"/>
            <w:tcBorders>
              <w:bottom w:val="single" w:sz="4" w:space="0" w:color="29114B" w:themeColor="text2"/>
            </w:tcBorders>
            <w:shd w:val="clear" w:color="auto" w:fill="472978" w:themeFill="accent1"/>
            <w:tcMar>
              <w:top w:w="57" w:type="dxa"/>
              <w:bottom w:w="57" w:type="dxa"/>
            </w:tcMar>
            <w:vAlign w:val="bottom"/>
          </w:tcPr>
          <w:p w14:paraId="2C158641" w14:textId="4628559B" w:rsidR="00CB4B6E" w:rsidRPr="00C71B8C" w:rsidRDefault="00CB4B6E" w:rsidP="00E46CBD">
            <w:pPr>
              <w:pStyle w:val="TableColumnHeadingLeft"/>
              <w:rPr>
                <w:i/>
              </w:rPr>
            </w:pPr>
            <w:r w:rsidRPr="00AB7D63">
              <w:t>Part of report</w:t>
            </w:r>
          </w:p>
        </w:tc>
        <w:tc>
          <w:tcPr>
            <w:tcW w:w="3482" w:type="dxa"/>
            <w:tcBorders>
              <w:bottom w:val="single" w:sz="4" w:space="0" w:color="29114B" w:themeColor="text2"/>
            </w:tcBorders>
            <w:shd w:val="clear" w:color="auto" w:fill="472978" w:themeFill="accent1"/>
            <w:tcMar>
              <w:top w:w="57" w:type="dxa"/>
              <w:bottom w:w="57" w:type="dxa"/>
            </w:tcMar>
            <w:vAlign w:val="bottom"/>
          </w:tcPr>
          <w:p w14:paraId="50CC3797" w14:textId="1468FFA5" w:rsidR="00CB4B6E" w:rsidRPr="00C71B8C" w:rsidRDefault="00CB4B6E" w:rsidP="00E46CBD">
            <w:pPr>
              <w:pStyle w:val="TableColumnHeadingLeft"/>
            </w:pPr>
            <w:r w:rsidRPr="00AB7D63">
              <w:t>Description</w:t>
            </w:r>
          </w:p>
        </w:tc>
        <w:tc>
          <w:tcPr>
            <w:tcW w:w="1332" w:type="dxa"/>
            <w:tcBorders>
              <w:bottom w:val="single" w:sz="4" w:space="0" w:color="29114B" w:themeColor="text2"/>
            </w:tcBorders>
            <w:shd w:val="clear" w:color="auto" w:fill="472978" w:themeFill="accent1"/>
            <w:tcMar>
              <w:top w:w="57" w:type="dxa"/>
              <w:bottom w:w="57" w:type="dxa"/>
            </w:tcMar>
            <w:vAlign w:val="bottom"/>
          </w:tcPr>
          <w:p w14:paraId="457D7CBD" w14:textId="1B240960" w:rsidR="00CB4B6E" w:rsidRPr="00C71B8C" w:rsidRDefault="00CB4B6E" w:rsidP="00E46CBD">
            <w:pPr>
              <w:pStyle w:val="TableColumnHeadingLeft"/>
            </w:pPr>
            <w:r w:rsidRPr="00AB7D63">
              <w:t>Requirement</w:t>
            </w:r>
          </w:p>
        </w:tc>
      </w:tr>
      <w:tr w:rsidR="0096203B" w:rsidRPr="00CF2CD6" w14:paraId="69AC3824" w14:textId="77777777" w:rsidTr="00592520">
        <w:trPr>
          <w:trHeight w:val="20"/>
        </w:trPr>
        <w:tc>
          <w:tcPr>
            <w:tcW w:w="1360" w:type="dxa"/>
            <w:tcBorders>
              <w:top w:val="single" w:sz="4" w:space="0" w:color="29114B" w:themeColor="text2"/>
              <w:right w:val="nil"/>
            </w:tcBorders>
            <w:shd w:val="clear" w:color="auto" w:fill="CAE6F2" w:themeFill="accent3" w:themeFillTint="33"/>
            <w:tcMar>
              <w:top w:w="57" w:type="dxa"/>
              <w:bottom w:w="57" w:type="dxa"/>
            </w:tcMar>
          </w:tcPr>
          <w:p w14:paraId="43640C50" w14:textId="77777777" w:rsidR="0096203B" w:rsidRPr="00CF2CD6" w:rsidRDefault="0096203B" w:rsidP="00625DAB">
            <w:pPr>
              <w:pStyle w:val="TableTextLeft"/>
              <w:rPr>
                <w:b/>
                <w:bCs/>
              </w:rPr>
            </w:pPr>
          </w:p>
        </w:tc>
        <w:tc>
          <w:tcPr>
            <w:tcW w:w="5019"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5E00C0DD" w14:textId="0F64DB9E" w:rsidR="0096203B" w:rsidRPr="00CF2CD6" w:rsidRDefault="0096203B" w:rsidP="00625DAB">
            <w:pPr>
              <w:pStyle w:val="TableTextLeft"/>
              <w:rPr>
                <w:b/>
                <w:bCs/>
              </w:rPr>
            </w:pPr>
            <w:r w:rsidRPr="00CF2CD6">
              <w:rPr>
                <w:b/>
                <w:bCs/>
              </w:rPr>
              <w:t>Management of Human Resources</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5DF3B679" w14:textId="77777777" w:rsidR="0096203B" w:rsidRPr="00CF2CD6" w:rsidRDefault="0096203B" w:rsidP="00625DAB">
            <w:pPr>
              <w:pStyle w:val="TableTextLeft"/>
              <w:rPr>
                <w:b/>
                <w:bCs/>
              </w:rPr>
            </w:pPr>
          </w:p>
        </w:tc>
      </w:tr>
      <w:tr w:rsidR="0096203B" w:rsidRPr="00C71B8C" w14:paraId="715A7A0D" w14:textId="77777777" w:rsidTr="00592520">
        <w:trPr>
          <w:trHeight w:val="20"/>
        </w:trPr>
        <w:tc>
          <w:tcPr>
            <w:tcW w:w="1360" w:type="dxa"/>
            <w:tcMar>
              <w:top w:w="57" w:type="dxa"/>
              <w:bottom w:w="57" w:type="dxa"/>
            </w:tcMar>
            <w:hideMark/>
          </w:tcPr>
          <w:p w14:paraId="503CFC4D" w14:textId="77777777" w:rsidR="0096203B" w:rsidRPr="007C42BA" w:rsidRDefault="0096203B" w:rsidP="00625DAB">
            <w:pPr>
              <w:pStyle w:val="TableTextLeft"/>
            </w:pPr>
            <w:r w:rsidRPr="00C71B8C">
              <w:t>17AG(4)(a)</w:t>
            </w:r>
          </w:p>
        </w:tc>
        <w:tc>
          <w:tcPr>
            <w:tcW w:w="1537" w:type="dxa"/>
            <w:tcMar>
              <w:top w:w="57" w:type="dxa"/>
              <w:bottom w:w="57" w:type="dxa"/>
            </w:tcMar>
            <w:hideMark/>
          </w:tcPr>
          <w:p w14:paraId="4EA7EF96" w14:textId="77777777" w:rsidR="0096203B" w:rsidRPr="007C42BA" w:rsidRDefault="0096203B" w:rsidP="00625DAB">
            <w:pPr>
              <w:pStyle w:val="TableTextLeft"/>
              <w:rPr>
                <w:highlight w:val="yellow"/>
              </w:rPr>
            </w:pPr>
            <w:r w:rsidRPr="00DF31C0">
              <w:t>Part 3 (B)</w:t>
            </w:r>
          </w:p>
        </w:tc>
        <w:tc>
          <w:tcPr>
            <w:tcW w:w="3482" w:type="dxa"/>
            <w:tcMar>
              <w:top w:w="57" w:type="dxa"/>
              <w:bottom w:w="57" w:type="dxa"/>
            </w:tcMar>
            <w:hideMark/>
          </w:tcPr>
          <w:p w14:paraId="1B9F30A0" w14:textId="6B3C8629" w:rsidR="0096203B" w:rsidRPr="007C42BA" w:rsidRDefault="0096203B" w:rsidP="00625DAB">
            <w:pPr>
              <w:pStyle w:val="TableTextLeft"/>
            </w:pPr>
            <w:r w:rsidRPr="00C71B8C">
              <w:t>An assessment of the entity</w:t>
            </w:r>
            <w:r w:rsidR="00B84FF2">
              <w:t>’</w:t>
            </w:r>
            <w:r w:rsidRPr="00C71B8C">
              <w:t>s effectiveness in managing and developing employees to achieve entity objectives.</w:t>
            </w:r>
          </w:p>
        </w:tc>
        <w:tc>
          <w:tcPr>
            <w:tcW w:w="1332" w:type="dxa"/>
            <w:tcMar>
              <w:top w:w="57" w:type="dxa"/>
              <w:bottom w:w="57" w:type="dxa"/>
            </w:tcMar>
            <w:hideMark/>
          </w:tcPr>
          <w:p w14:paraId="45192984" w14:textId="77777777" w:rsidR="0096203B" w:rsidRPr="007C42BA" w:rsidRDefault="0096203B" w:rsidP="00625DAB">
            <w:pPr>
              <w:pStyle w:val="TableTextLeft"/>
            </w:pPr>
            <w:r w:rsidRPr="00C71B8C">
              <w:t>Mandatory</w:t>
            </w:r>
          </w:p>
        </w:tc>
      </w:tr>
      <w:tr w:rsidR="0096203B" w:rsidRPr="00C71B8C" w14:paraId="24C30B33" w14:textId="77777777" w:rsidTr="00592520">
        <w:trPr>
          <w:trHeight w:val="20"/>
        </w:trPr>
        <w:tc>
          <w:tcPr>
            <w:tcW w:w="1360" w:type="dxa"/>
            <w:tcMar>
              <w:top w:w="57" w:type="dxa"/>
              <w:bottom w:w="57" w:type="dxa"/>
            </w:tcMar>
          </w:tcPr>
          <w:p w14:paraId="37094167" w14:textId="77777777" w:rsidR="0096203B" w:rsidRPr="007C42BA" w:rsidRDefault="0096203B" w:rsidP="00625DAB">
            <w:pPr>
              <w:pStyle w:val="TableTextLeft"/>
            </w:pPr>
            <w:r w:rsidRPr="00C71B8C">
              <w:t>17AG(</w:t>
            </w:r>
            <w:proofErr w:type="gramStart"/>
            <w:r w:rsidRPr="00C71B8C">
              <w:t>4)(</w:t>
            </w:r>
            <w:proofErr w:type="gramEnd"/>
            <w:r w:rsidRPr="00C71B8C">
              <w:t>aa)</w:t>
            </w:r>
          </w:p>
        </w:tc>
        <w:tc>
          <w:tcPr>
            <w:tcW w:w="1537" w:type="dxa"/>
            <w:tcMar>
              <w:top w:w="57" w:type="dxa"/>
              <w:bottom w:w="57" w:type="dxa"/>
            </w:tcMar>
          </w:tcPr>
          <w:p w14:paraId="791EEFD8" w14:textId="77777777" w:rsidR="0096203B" w:rsidRPr="007C42BA" w:rsidRDefault="0096203B" w:rsidP="00625DAB">
            <w:pPr>
              <w:pStyle w:val="TableTextLeft"/>
              <w:rPr>
                <w:highlight w:val="yellow"/>
              </w:rPr>
            </w:pPr>
            <w:r w:rsidRPr="00DF31C0">
              <w:t>Part 3 (B)</w:t>
            </w:r>
          </w:p>
        </w:tc>
        <w:tc>
          <w:tcPr>
            <w:tcW w:w="3482" w:type="dxa"/>
            <w:tcMar>
              <w:top w:w="57" w:type="dxa"/>
              <w:bottom w:w="57" w:type="dxa"/>
            </w:tcMar>
          </w:tcPr>
          <w:p w14:paraId="32E43319" w14:textId="20A91DDA" w:rsidR="0096203B" w:rsidRPr="007C42BA" w:rsidRDefault="0096203B" w:rsidP="00625DAB">
            <w:pPr>
              <w:pStyle w:val="TableTextLeft"/>
            </w:pPr>
            <w:r w:rsidRPr="00C71B8C">
              <w:t>Statistics on the entity</w:t>
            </w:r>
            <w:r w:rsidR="00B84FF2">
              <w:t>’</w:t>
            </w:r>
            <w:r w:rsidRPr="00C71B8C">
              <w:t>s employees on an ongoing and non</w:t>
            </w:r>
            <w:r w:rsidR="00B84FF2">
              <w:noBreakHyphen/>
            </w:r>
            <w:r w:rsidRPr="00C71B8C">
              <w:t>ongoing basis, including the following:</w:t>
            </w:r>
          </w:p>
          <w:p w14:paraId="778902D9" w14:textId="639E5591" w:rsidR="0096203B" w:rsidRPr="007C42BA" w:rsidRDefault="0096203B" w:rsidP="00625DAB">
            <w:pPr>
              <w:pStyle w:val="TableTextLeft"/>
            </w:pPr>
            <w:r w:rsidRPr="00C71B8C">
              <w:t>(a) statistics on full</w:t>
            </w:r>
            <w:r w:rsidR="00B84FF2">
              <w:noBreakHyphen/>
            </w:r>
            <w:r w:rsidRPr="00C71B8C">
              <w:t>time employees</w:t>
            </w:r>
          </w:p>
          <w:p w14:paraId="5E3F2495" w14:textId="220FFFBA" w:rsidR="0096203B" w:rsidRPr="007C42BA" w:rsidRDefault="0096203B" w:rsidP="00625DAB">
            <w:pPr>
              <w:pStyle w:val="TableTextLeft"/>
            </w:pPr>
            <w:r w:rsidRPr="00C71B8C">
              <w:t>(b) statistics on part</w:t>
            </w:r>
            <w:r w:rsidR="00B84FF2">
              <w:noBreakHyphen/>
            </w:r>
            <w:r w:rsidRPr="00C71B8C">
              <w:t>time employees</w:t>
            </w:r>
          </w:p>
          <w:p w14:paraId="376B5BBE" w14:textId="77777777" w:rsidR="0096203B" w:rsidRPr="007C42BA" w:rsidRDefault="0096203B" w:rsidP="00625DAB">
            <w:pPr>
              <w:pStyle w:val="TableTextLeft"/>
            </w:pPr>
            <w:r w:rsidRPr="00C71B8C">
              <w:t>(c) statistics on gender</w:t>
            </w:r>
          </w:p>
          <w:p w14:paraId="2CAB6C47" w14:textId="77777777" w:rsidR="0096203B" w:rsidRPr="007C42BA" w:rsidRDefault="0096203B" w:rsidP="00625DAB">
            <w:pPr>
              <w:pStyle w:val="TableTextLeft"/>
            </w:pPr>
            <w:r w:rsidRPr="00C71B8C">
              <w:t>(d) statistics on staff location</w:t>
            </w:r>
          </w:p>
        </w:tc>
        <w:tc>
          <w:tcPr>
            <w:tcW w:w="1332" w:type="dxa"/>
            <w:tcMar>
              <w:top w:w="57" w:type="dxa"/>
              <w:bottom w:w="57" w:type="dxa"/>
            </w:tcMar>
          </w:tcPr>
          <w:p w14:paraId="4765BAFB" w14:textId="77777777" w:rsidR="0096203B" w:rsidRPr="007C42BA" w:rsidRDefault="0096203B" w:rsidP="00625DAB">
            <w:pPr>
              <w:pStyle w:val="TableTextLeft"/>
            </w:pPr>
            <w:r w:rsidRPr="00C71B8C">
              <w:t>Mandatory</w:t>
            </w:r>
          </w:p>
        </w:tc>
      </w:tr>
      <w:tr w:rsidR="0096203B" w:rsidRPr="00C71B8C" w14:paraId="554D5828" w14:textId="77777777" w:rsidTr="00592520">
        <w:trPr>
          <w:trHeight w:val="20"/>
        </w:trPr>
        <w:tc>
          <w:tcPr>
            <w:tcW w:w="1360" w:type="dxa"/>
            <w:tcMar>
              <w:top w:w="57" w:type="dxa"/>
              <w:bottom w:w="57" w:type="dxa"/>
            </w:tcMar>
            <w:hideMark/>
          </w:tcPr>
          <w:p w14:paraId="69915919" w14:textId="77777777" w:rsidR="0096203B" w:rsidRPr="007C42BA" w:rsidRDefault="0096203B" w:rsidP="00625DAB">
            <w:pPr>
              <w:pStyle w:val="TableTextLeft"/>
            </w:pPr>
            <w:r w:rsidRPr="00C71B8C">
              <w:t>17AG(4)(b)</w:t>
            </w:r>
          </w:p>
        </w:tc>
        <w:tc>
          <w:tcPr>
            <w:tcW w:w="1537" w:type="dxa"/>
            <w:tcMar>
              <w:top w:w="57" w:type="dxa"/>
              <w:bottom w:w="57" w:type="dxa"/>
            </w:tcMar>
            <w:hideMark/>
          </w:tcPr>
          <w:p w14:paraId="08140F6B" w14:textId="77777777" w:rsidR="0096203B" w:rsidRPr="007C42BA" w:rsidRDefault="0096203B" w:rsidP="00625DAB">
            <w:pPr>
              <w:pStyle w:val="TableTextLeft"/>
              <w:rPr>
                <w:highlight w:val="yellow"/>
              </w:rPr>
            </w:pPr>
            <w:r w:rsidRPr="00DF31C0">
              <w:t>Part 3 (B)</w:t>
            </w:r>
          </w:p>
        </w:tc>
        <w:tc>
          <w:tcPr>
            <w:tcW w:w="3482" w:type="dxa"/>
            <w:tcMar>
              <w:top w:w="57" w:type="dxa"/>
              <w:bottom w:w="57" w:type="dxa"/>
            </w:tcMar>
            <w:hideMark/>
          </w:tcPr>
          <w:p w14:paraId="04A02E9A" w14:textId="5D19315D" w:rsidR="0096203B" w:rsidRPr="007C42BA" w:rsidRDefault="0096203B" w:rsidP="00625DAB">
            <w:pPr>
              <w:pStyle w:val="TableTextLeft"/>
            </w:pPr>
            <w:r w:rsidRPr="00C71B8C">
              <w:t>Statistics on the entity</w:t>
            </w:r>
            <w:r w:rsidR="00B84FF2">
              <w:t>’</w:t>
            </w:r>
            <w:r w:rsidRPr="00C71B8C">
              <w:t>s APS employees on an ongoing and non</w:t>
            </w:r>
            <w:r w:rsidR="00B84FF2">
              <w:noBreakHyphen/>
            </w:r>
            <w:r w:rsidRPr="00C71B8C">
              <w:t>ongoing basis; including the following:</w:t>
            </w:r>
          </w:p>
          <w:p w14:paraId="10287C4D" w14:textId="629C0E27" w:rsidR="0096203B" w:rsidRPr="007C42BA" w:rsidRDefault="00343772" w:rsidP="00625DAB">
            <w:pPr>
              <w:pStyle w:val="Tabletext-bullet"/>
            </w:pPr>
            <w:r>
              <w:t>s</w:t>
            </w:r>
            <w:r w:rsidRPr="00C71B8C">
              <w:t xml:space="preserve">tatistics </w:t>
            </w:r>
            <w:r w:rsidR="0096203B" w:rsidRPr="00C71B8C">
              <w:t>on staffing classification level</w:t>
            </w:r>
          </w:p>
          <w:p w14:paraId="7C354BD8" w14:textId="32C50CC0" w:rsidR="0096203B" w:rsidRPr="007C42BA" w:rsidRDefault="00343772" w:rsidP="00625DAB">
            <w:pPr>
              <w:pStyle w:val="Tabletext-bullet"/>
            </w:pPr>
            <w:r>
              <w:t>s</w:t>
            </w:r>
            <w:r w:rsidRPr="00C71B8C">
              <w:t xml:space="preserve">tatistics </w:t>
            </w:r>
            <w:r w:rsidR="0096203B" w:rsidRPr="00C71B8C">
              <w:t>on full</w:t>
            </w:r>
            <w:r w:rsidR="00B84FF2">
              <w:noBreakHyphen/>
            </w:r>
            <w:r w:rsidR="0096203B" w:rsidRPr="00C71B8C">
              <w:t>time employees</w:t>
            </w:r>
          </w:p>
          <w:p w14:paraId="23AB8E50" w14:textId="6DA30D3D" w:rsidR="0096203B" w:rsidRPr="007C42BA" w:rsidRDefault="00343772" w:rsidP="00625DAB">
            <w:pPr>
              <w:pStyle w:val="Tabletext-bullet"/>
            </w:pPr>
            <w:r>
              <w:t>s</w:t>
            </w:r>
            <w:r w:rsidRPr="00C71B8C">
              <w:t xml:space="preserve">tatistics </w:t>
            </w:r>
            <w:r w:rsidR="0096203B" w:rsidRPr="00C71B8C">
              <w:t>on part</w:t>
            </w:r>
            <w:r w:rsidR="00B84FF2">
              <w:noBreakHyphen/>
            </w:r>
            <w:r w:rsidR="0096203B" w:rsidRPr="00C71B8C">
              <w:t>time employees</w:t>
            </w:r>
          </w:p>
          <w:p w14:paraId="077F5BD2" w14:textId="79376B06" w:rsidR="0096203B" w:rsidRPr="007C42BA" w:rsidRDefault="00343772" w:rsidP="00625DAB">
            <w:pPr>
              <w:pStyle w:val="Tabletext-bullet"/>
            </w:pPr>
            <w:r>
              <w:t>s</w:t>
            </w:r>
            <w:r w:rsidRPr="00C71B8C">
              <w:t xml:space="preserve">tatistics </w:t>
            </w:r>
            <w:r w:rsidR="0096203B" w:rsidRPr="00C71B8C">
              <w:t>on gender</w:t>
            </w:r>
          </w:p>
          <w:p w14:paraId="3BF24914" w14:textId="6A74F648" w:rsidR="0096203B" w:rsidRPr="007C42BA" w:rsidRDefault="00343772" w:rsidP="00625DAB">
            <w:pPr>
              <w:pStyle w:val="Tabletext-bullet"/>
            </w:pPr>
            <w:r>
              <w:t>s</w:t>
            </w:r>
            <w:r w:rsidRPr="00C71B8C">
              <w:t xml:space="preserve">tatistics </w:t>
            </w:r>
            <w:r w:rsidR="0096203B" w:rsidRPr="00C71B8C">
              <w:t>on staff location</w:t>
            </w:r>
          </w:p>
          <w:p w14:paraId="58EA4A2C" w14:textId="24190E36" w:rsidR="0096203B" w:rsidRPr="007C42BA" w:rsidRDefault="00343772" w:rsidP="00625DAB">
            <w:pPr>
              <w:pStyle w:val="Tabletext-bullet"/>
            </w:pPr>
            <w:r>
              <w:t>s</w:t>
            </w:r>
            <w:r w:rsidRPr="00C71B8C">
              <w:t xml:space="preserve">tatistics </w:t>
            </w:r>
            <w:r w:rsidR="0096203B" w:rsidRPr="00C71B8C">
              <w:t>on employees who identify as Indigenous.</w:t>
            </w:r>
          </w:p>
        </w:tc>
        <w:tc>
          <w:tcPr>
            <w:tcW w:w="1332" w:type="dxa"/>
            <w:tcMar>
              <w:top w:w="57" w:type="dxa"/>
              <w:bottom w:w="57" w:type="dxa"/>
            </w:tcMar>
            <w:hideMark/>
          </w:tcPr>
          <w:p w14:paraId="2F2C65E2" w14:textId="77777777" w:rsidR="0096203B" w:rsidRPr="007C42BA" w:rsidRDefault="0096203B" w:rsidP="00625DAB">
            <w:pPr>
              <w:pStyle w:val="TableTextLeft"/>
            </w:pPr>
            <w:r w:rsidRPr="00C71B8C">
              <w:t>Mandatory</w:t>
            </w:r>
          </w:p>
        </w:tc>
      </w:tr>
      <w:tr w:rsidR="0096203B" w:rsidRPr="00C71B8C" w14:paraId="5A6A8D13" w14:textId="77777777" w:rsidTr="00592520">
        <w:trPr>
          <w:trHeight w:val="20"/>
        </w:trPr>
        <w:tc>
          <w:tcPr>
            <w:tcW w:w="1360" w:type="dxa"/>
            <w:tcMar>
              <w:top w:w="57" w:type="dxa"/>
              <w:bottom w:w="57" w:type="dxa"/>
            </w:tcMar>
            <w:hideMark/>
          </w:tcPr>
          <w:p w14:paraId="133BD432" w14:textId="77777777" w:rsidR="0096203B" w:rsidRPr="007C42BA" w:rsidRDefault="0096203B" w:rsidP="00625DAB">
            <w:pPr>
              <w:pStyle w:val="TableTextLeft"/>
            </w:pPr>
            <w:r w:rsidRPr="00C71B8C">
              <w:t>17AG(4)(c)</w:t>
            </w:r>
          </w:p>
        </w:tc>
        <w:tc>
          <w:tcPr>
            <w:tcW w:w="1537" w:type="dxa"/>
            <w:tcMar>
              <w:top w:w="57" w:type="dxa"/>
              <w:bottom w:w="57" w:type="dxa"/>
            </w:tcMar>
            <w:hideMark/>
          </w:tcPr>
          <w:p w14:paraId="79483796" w14:textId="77777777" w:rsidR="0096203B" w:rsidRPr="007C42BA" w:rsidRDefault="0096203B" w:rsidP="00625DAB">
            <w:pPr>
              <w:pStyle w:val="TableTextLeft"/>
              <w:rPr>
                <w:highlight w:val="yellow"/>
              </w:rPr>
            </w:pPr>
            <w:r w:rsidRPr="00DF31C0">
              <w:t>Part 3 (B)</w:t>
            </w:r>
          </w:p>
        </w:tc>
        <w:tc>
          <w:tcPr>
            <w:tcW w:w="3482" w:type="dxa"/>
            <w:tcMar>
              <w:top w:w="57" w:type="dxa"/>
              <w:bottom w:w="57" w:type="dxa"/>
            </w:tcMar>
            <w:hideMark/>
          </w:tcPr>
          <w:p w14:paraId="628962E3" w14:textId="77777777" w:rsidR="0096203B" w:rsidRPr="007C42BA" w:rsidRDefault="0096203B" w:rsidP="00625DAB">
            <w:pPr>
              <w:pStyle w:val="TableTextLeft"/>
            </w:pPr>
            <w:r w:rsidRPr="00C71B8C">
              <w:t>Information on any enterprise agreements, individual flexibility arrangements, Australian workplace agreements, common law contracts and determinations under subsection 24(1) of the </w:t>
            </w:r>
            <w:r w:rsidRPr="00C71B8C">
              <w:rPr>
                <w:i/>
              </w:rPr>
              <w:t>Public Service Act 1999</w:t>
            </w:r>
            <w:r w:rsidRPr="00C71B8C">
              <w:t>.</w:t>
            </w:r>
          </w:p>
        </w:tc>
        <w:tc>
          <w:tcPr>
            <w:tcW w:w="1332" w:type="dxa"/>
            <w:tcMar>
              <w:top w:w="57" w:type="dxa"/>
              <w:bottom w:w="57" w:type="dxa"/>
            </w:tcMar>
            <w:hideMark/>
          </w:tcPr>
          <w:p w14:paraId="4BA37FCC" w14:textId="77777777" w:rsidR="0096203B" w:rsidRPr="007C42BA" w:rsidRDefault="0096203B" w:rsidP="00625DAB">
            <w:pPr>
              <w:pStyle w:val="TableTextLeft"/>
            </w:pPr>
            <w:r w:rsidRPr="00C71B8C">
              <w:t>Mandatory</w:t>
            </w:r>
          </w:p>
        </w:tc>
      </w:tr>
      <w:tr w:rsidR="0096203B" w:rsidRPr="00C71B8C" w14:paraId="1D2A3750" w14:textId="77777777" w:rsidTr="00592520">
        <w:trPr>
          <w:trHeight w:val="20"/>
        </w:trPr>
        <w:tc>
          <w:tcPr>
            <w:tcW w:w="1360" w:type="dxa"/>
            <w:tcMar>
              <w:top w:w="57" w:type="dxa"/>
              <w:bottom w:w="57" w:type="dxa"/>
            </w:tcMar>
            <w:hideMark/>
          </w:tcPr>
          <w:p w14:paraId="44B2F52F" w14:textId="77777777" w:rsidR="0096203B" w:rsidRPr="007C42BA" w:rsidRDefault="0096203B" w:rsidP="00625DAB">
            <w:pPr>
              <w:pStyle w:val="TableTextLeft"/>
            </w:pPr>
            <w:r w:rsidRPr="00C71B8C">
              <w:t>17AG(4)(c)(</w:t>
            </w:r>
            <w:proofErr w:type="spellStart"/>
            <w:r w:rsidRPr="00C71B8C">
              <w:t>i</w:t>
            </w:r>
            <w:proofErr w:type="spellEnd"/>
            <w:r w:rsidRPr="00C71B8C">
              <w:t>)</w:t>
            </w:r>
          </w:p>
        </w:tc>
        <w:tc>
          <w:tcPr>
            <w:tcW w:w="1537" w:type="dxa"/>
            <w:tcMar>
              <w:top w:w="57" w:type="dxa"/>
              <w:bottom w:w="57" w:type="dxa"/>
            </w:tcMar>
            <w:hideMark/>
          </w:tcPr>
          <w:p w14:paraId="2074D967"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3DC50947" w14:textId="60113916" w:rsidR="0096203B" w:rsidRPr="007C42BA" w:rsidRDefault="0096203B" w:rsidP="00625DAB">
            <w:pPr>
              <w:pStyle w:val="TableTextLeft"/>
            </w:pPr>
            <w:r w:rsidRPr="00C71B8C">
              <w:t>Information on the number of SES and non</w:t>
            </w:r>
            <w:r w:rsidR="00B84FF2">
              <w:noBreakHyphen/>
            </w:r>
            <w:r w:rsidRPr="00C71B8C">
              <w:t>SES employees covered by agreements etc identified in paragraph 17AG(4)(c).</w:t>
            </w:r>
          </w:p>
        </w:tc>
        <w:tc>
          <w:tcPr>
            <w:tcW w:w="1332" w:type="dxa"/>
            <w:tcMar>
              <w:top w:w="57" w:type="dxa"/>
              <w:bottom w:w="57" w:type="dxa"/>
            </w:tcMar>
            <w:hideMark/>
          </w:tcPr>
          <w:p w14:paraId="4B01BFDC" w14:textId="77777777" w:rsidR="0096203B" w:rsidRPr="007C42BA" w:rsidRDefault="0096203B" w:rsidP="00625DAB">
            <w:pPr>
              <w:pStyle w:val="TableTextLeft"/>
            </w:pPr>
            <w:r w:rsidRPr="00C71B8C">
              <w:t>Mandatory</w:t>
            </w:r>
          </w:p>
        </w:tc>
      </w:tr>
      <w:tr w:rsidR="0096203B" w:rsidRPr="00C71B8C" w14:paraId="47934E64" w14:textId="77777777" w:rsidTr="00592520">
        <w:trPr>
          <w:trHeight w:val="20"/>
        </w:trPr>
        <w:tc>
          <w:tcPr>
            <w:tcW w:w="1360" w:type="dxa"/>
            <w:tcMar>
              <w:top w:w="57" w:type="dxa"/>
              <w:bottom w:w="57" w:type="dxa"/>
            </w:tcMar>
            <w:hideMark/>
          </w:tcPr>
          <w:p w14:paraId="7798AA1D" w14:textId="77777777" w:rsidR="0096203B" w:rsidRPr="007C42BA" w:rsidRDefault="0096203B" w:rsidP="00625DAB">
            <w:pPr>
              <w:pStyle w:val="TableTextLeft"/>
            </w:pPr>
            <w:r w:rsidRPr="00C71B8C">
              <w:t>17AG(4)(c)(ii)</w:t>
            </w:r>
          </w:p>
        </w:tc>
        <w:tc>
          <w:tcPr>
            <w:tcW w:w="1537" w:type="dxa"/>
            <w:tcMar>
              <w:top w:w="57" w:type="dxa"/>
              <w:bottom w:w="57" w:type="dxa"/>
            </w:tcMar>
            <w:hideMark/>
          </w:tcPr>
          <w:p w14:paraId="36C30143"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72144260" w14:textId="77777777" w:rsidR="0096203B" w:rsidRPr="007C42BA" w:rsidRDefault="0096203B" w:rsidP="00625DAB">
            <w:pPr>
              <w:pStyle w:val="TableTextLeft"/>
            </w:pPr>
            <w:r w:rsidRPr="00C71B8C">
              <w:t>The salary ranges available for APS employees by classification level.</w:t>
            </w:r>
          </w:p>
        </w:tc>
        <w:tc>
          <w:tcPr>
            <w:tcW w:w="1332" w:type="dxa"/>
            <w:tcMar>
              <w:top w:w="57" w:type="dxa"/>
              <w:bottom w:w="57" w:type="dxa"/>
            </w:tcMar>
            <w:hideMark/>
          </w:tcPr>
          <w:p w14:paraId="0E435151" w14:textId="77777777" w:rsidR="0096203B" w:rsidRPr="007C42BA" w:rsidRDefault="0096203B" w:rsidP="00625DAB">
            <w:pPr>
              <w:pStyle w:val="TableTextLeft"/>
            </w:pPr>
            <w:r w:rsidRPr="00C71B8C">
              <w:t>Mandatory</w:t>
            </w:r>
          </w:p>
        </w:tc>
      </w:tr>
      <w:tr w:rsidR="0096203B" w:rsidRPr="00C71B8C" w14:paraId="1AC476A8" w14:textId="77777777" w:rsidTr="00592520">
        <w:trPr>
          <w:trHeight w:val="20"/>
        </w:trPr>
        <w:tc>
          <w:tcPr>
            <w:tcW w:w="1360" w:type="dxa"/>
            <w:tcMar>
              <w:top w:w="57" w:type="dxa"/>
              <w:bottom w:w="57" w:type="dxa"/>
            </w:tcMar>
            <w:hideMark/>
          </w:tcPr>
          <w:p w14:paraId="7933347B" w14:textId="77777777" w:rsidR="0096203B" w:rsidRPr="007C42BA" w:rsidRDefault="0096203B" w:rsidP="00625DAB">
            <w:pPr>
              <w:pStyle w:val="TableTextLeft"/>
            </w:pPr>
            <w:r w:rsidRPr="00C71B8C">
              <w:t>17AG(4)(c)(iii)</w:t>
            </w:r>
          </w:p>
        </w:tc>
        <w:tc>
          <w:tcPr>
            <w:tcW w:w="1537" w:type="dxa"/>
            <w:tcMar>
              <w:top w:w="57" w:type="dxa"/>
              <w:bottom w:w="57" w:type="dxa"/>
            </w:tcMar>
            <w:hideMark/>
          </w:tcPr>
          <w:p w14:paraId="3C7150F0"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623AE393" w14:textId="05F9D751" w:rsidR="0096203B" w:rsidRPr="007C42BA" w:rsidRDefault="0096203B" w:rsidP="00625DAB">
            <w:pPr>
              <w:pStyle w:val="TableTextLeft"/>
            </w:pPr>
            <w:r w:rsidRPr="00C71B8C">
              <w:t>A description of non</w:t>
            </w:r>
            <w:r w:rsidR="00B84FF2">
              <w:noBreakHyphen/>
            </w:r>
            <w:r w:rsidRPr="00C71B8C">
              <w:t>salary benefits provided to employees.</w:t>
            </w:r>
          </w:p>
        </w:tc>
        <w:tc>
          <w:tcPr>
            <w:tcW w:w="1332" w:type="dxa"/>
            <w:tcMar>
              <w:top w:w="57" w:type="dxa"/>
              <w:bottom w:w="57" w:type="dxa"/>
            </w:tcMar>
            <w:hideMark/>
          </w:tcPr>
          <w:p w14:paraId="083956D2" w14:textId="77777777" w:rsidR="0096203B" w:rsidRPr="007C42BA" w:rsidRDefault="0096203B" w:rsidP="00625DAB">
            <w:pPr>
              <w:pStyle w:val="TableTextLeft"/>
            </w:pPr>
            <w:r w:rsidRPr="00C71B8C">
              <w:t>Mandatory</w:t>
            </w:r>
          </w:p>
        </w:tc>
      </w:tr>
      <w:tr w:rsidR="0096203B" w:rsidRPr="00C71B8C" w14:paraId="1D112D42" w14:textId="77777777" w:rsidTr="00592520">
        <w:trPr>
          <w:trHeight w:val="20"/>
        </w:trPr>
        <w:tc>
          <w:tcPr>
            <w:tcW w:w="1360" w:type="dxa"/>
            <w:tcMar>
              <w:top w:w="57" w:type="dxa"/>
              <w:bottom w:w="57" w:type="dxa"/>
            </w:tcMar>
            <w:hideMark/>
          </w:tcPr>
          <w:p w14:paraId="7E08BFA1" w14:textId="77777777" w:rsidR="0096203B" w:rsidRPr="007C42BA" w:rsidRDefault="0096203B" w:rsidP="00625DAB">
            <w:pPr>
              <w:pStyle w:val="TableTextLeft"/>
            </w:pPr>
            <w:r w:rsidRPr="00C71B8C">
              <w:t>17AG(4)(d)(</w:t>
            </w:r>
            <w:proofErr w:type="spellStart"/>
            <w:r w:rsidRPr="00C71B8C">
              <w:t>i</w:t>
            </w:r>
            <w:proofErr w:type="spellEnd"/>
            <w:r w:rsidRPr="00C71B8C">
              <w:t>)</w:t>
            </w:r>
          </w:p>
        </w:tc>
        <w:tc>
          <w:tcPr>
            <w:tcW w:w="1537" w:type="dxa"/>
            <w:tcMar>
              <w:top w:w="57" w:type="dxa"/>
              <w:bottom w:w="57" w:type="dxa"/>
            </w:tcMar>
            <w:hideMark/>
          </w:tcPr>
          <w:p w14:paraId="30AC70F6"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62764F61" w14:textId="77777777" w:rsidR="0096203B" w:rsidRPr="007C42BA" w:rsidRDefault="0096203B" w:rsidP="00625DAB">
            <w:pPr>
              <w:pStyle w:val="TableTextLeft"/>
            </w:pPr>
            <w:r w:rsidRPr="00C71B8C">
              <w:t>Information on the number of employees at each classification level who received performance pay.</w:t>
            </w:r>
          </w:p>
        </w:tc>
        <w:tc>
          <w:tcPr>
            <w:tcW w:w="1332" w:type="dxa"/>
            <w:tcMar>
              <w:top w:w="57" w:type="dxa"/>
              <w:bottom w:w="57" w:type="dxa"/>
            </w:tcMar>
            <w:hideMark/>
          </w:tcPr>
          <w:p w14:paraId="6FD0170C" w14:textId="7883E96D" w:rsidR="0096203B" w:rsidRPr="007C42BA" w:rsidRDefault="0096203B" w:rsidP="00625DAB">
            <w:pPr>
              <w:pStyle w:val="TableTextLeft"/>
            </w:pPr>
            <w:r w:rsidRPr="00C71B8C">
              <w:t xml:space="preserve">If applicable, </w:t>
            </w:r>
            <w:r w:rsidR="00343772">
              <w:t>m</w:t>
            </w:r>
            <w:r w:rsidR="00343772" w:rsidRPr="00C71B8C">
              <w:t>andatory</w:t>
            </w:r>
          </w:p>
        </w:tc>
      </w:tr>
      <w:tr w:rsidR="0096203B" w:rsidRPr="00C71B8C" w14:paraId="58280993" w14:textId="77777777" w:rsidTr="00592520">
        <w:trPr>
          <w:trHeight w:val="20"/>
        </w:trPr>
        <w:tc>
          <w:tcPr>
            <w:tcW w:w="1360" w:type="dxa"/>
            <w:tcMar>
              <w:top w:w="57" w:type="dxa"/>
              <w:bottom w:w="57" w:type="dxa"/>
            </w:tcMar>
            <w:hideMark/>
          </w:tcPr>
          <w:p w14:paraId="3702073B" w14:textId="77777777" w:rsidR="0096203B" w:rsidRPr="007C42BA" w:rsidRDefault="0096203B" w:rsidP="00625DAB">
            <w:pPr>
              <w:pStyle w:val="TableTextLeft"/>
            </w:pPr>
            <w:r w:rsidRPr="00C71B8C">
              <w:t>17AG(4)(d)(ii)</w:t>
            </w:r>
          </w:p>
        </w:tc>
        <w:tc>
          <w:tcPr>
            <w:tcW w:w="1537" w:type="dxa"/>
            <w:tcMar>
              <w:top w:w="57" w:type="dxa"/>
              <w:bottom w:w="57" w:type="dxa"/>
            </w:tcMar>
            <w:hideMark/>
          </w:tcPr>
          <w:p w14:paraId="63DC3C7F"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1309BAB7" w14:textId="77777777" w:rsidR="0096203B" w:rsidRPr="007C42BA" w:rsidRDefault="0096203B" w:rsidP="00625DAB">
            <w:pPr>
              <w:pStyle w:val="TableTextLeft"/>
            </w:pPr>
            <w:r w:rsidRPr="00C71B8C">
              <w:t>Information on aggregate amounts of performance pay at each classification level.</w:t>
            </w:r>
          </w:p>
        </w:tc>
        <w:tc>
          <w:tcPr>
            <w:tcW w:w="1332" w:type="dxa"/>
            <w:tcMar>
              <w:top w:w="57" w:type="dxa"/>
              <w:bottom w:w="57" w:type="dxa"/>
            </w:tcMar>
            <w:hideMark/>
          </w:tcPr>
          <w:p w14:paraId="774CCB81" w14:textId="779EFD45" w:rsidR="0096203B" w:rsidRPr="007C42BA" w:rsidRDefault="0096203B" w:rsidP="00625DAB">
            <w:pPr>
              <w:pStyle w:val="TableTextLeft"/>
            </w:pPr>
            <w:r w:rsidRPr="00C71B8C">
              <w:t xml:space="preserve">If applicable, </w:t>
            </w:r>
            <w:r w:rsidR="00343772">
              <w:t>m</w:t>
            </w:r>
            <w:r w:rsidR="00343772" w:rsidRPr="00C71B8C">
              <w:t>andatory</w:t>
            </w:r>
          </w:p>
        </w:tc>
      </w:tr>
      <w:tr w:rsidR="0096203B" w:rsidRPr="00C71B8C" w14:paraId="4C754536" w14:textId="77777777" w:rsidTr="00592520">
        <w:trPr>
          <w:trHeight w:val="20"/>
        </w:trPr>
        <w:tc>
          <w:tcPr>
            <w:tcW w:w="1360" w:type="dxa"/>
            <w:tcMar>
              <w:top w:w="57" w:type="dxa"/>
              <w:bottom w:w="57" w:type="dxa"/>
            </w:tcMar>
            <w:hideMark/>
          </w:tcPr>
          <w:p w14:paraId="13043408" w14:textId="77777777" w:rsidR="0096203B" w:rsidRPr="007C42BA" w:rsidRDefault="0096203B" w:rsidP="00625DAB">
            <w:pPr>
              <w:pStyle w:val="TableTextLeft"/>
            </w:pPr>
            <w:r w:rsidRPr="00C71B8C">
              <w:t>17AG(4)(d)(iii)</w:t>
            </w:r>
          </w:p>
        </w:tc>
        <w:tc>
          <w:tcPr>
            <w:tcW w:w="1537" w:type="dxa"/>
            <w:tcMar>
              <w:top w:w="57" w:type="dxa"/>
              <w:bottom w:w="57" w:type="dxa"/>
            </w:tcMar>
            <w:hideMark/>
          </w:tcPr>
          <w:p w14:paraId="234CD267"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5530756F" w14:textId="77777777" w:rsidR="0096203B" w:rsidRPr="007C42BA" w:rsidRDefault="0096203B" w:rsidP="00625DAB">
            <w:pPr>
              <w:pStyle w:val="TableTextLeft"/>
            </w:pPr>
            <w:r w:rsidRPr="00C71B8C">
              <w:t>Information on the average amount of performance payment, and range of such payments, at each classification level.</w:t>
            </w:r>
          </w:p>
        </w:tc>
        <w:tc>
          <w:tcPr>
            <w:tcW w:w="1332" w:type="dxa"/>
            <w:tcMar>
              <w:top w:w="57" w:type="dxa"/>
              <w:bottom w:w="57" w:type="dxa"/>
            </w:tcMar>
            <w:hideMark/>
          </w:tcPr>
          <w:p w14:paraId="3F16101F" w14:textId="296737E1" w:rsidR="0096203B" w:rsidRPr="007C42BA" w:rsidRDefault="0096203B" w:rsidP="00625DAB">
            <w:pPr>
              <w:pStyle w:val="TableTextLeft"/>
            </w:pPr>
            <w:r w:rsidRPr="00C71B8C">
              <w:t xml:space="preserve">If applicable, </w:t>
            </w:r>
            <w:r w:rsidR="00343772">
              <w:t>m</w:t>
            </w:r>
            <w:r w:rsidR="00343772" w:rsidRPr="00C71B8C">
              <w:t>andatory</w:t>
            </w:r>
          </w:p>
        </w:tc>
      </w:tr>
      <w:tr w:rsidR="0096203B" w:rsidRPr="00C71B8C" w14:paraId="54FEC86C" w14:textId="77777777" w:rsidTr="00592520">
        <w:trPr>
          <w:trHeight w:val="20"/>
        </w:trPr>
        <w:tc>
          <w:tcPr>
            <w:tcW w:w="1360" w:type="dxa"/>
            <w:tcMar>
              <w:top w:w="57" w:type="dxa"/>
              <w:bottom w:w="57" w:type="dxa"/>
            </w:tcMar>
            <w:hideMark/>
          </w:tcPr>
          <w:p w14:paraId="49ECFB30" w14:textId="77777777" w:rsidR="0096203B" w:rsidRPr="007C42BA" w:rsidRDefault="0096203B" w:rsidP="00625DAB">
            <w:pPr>
              <w:pStyle w:val="TableTextLeft"/>
            </w:pPr>
            <w:r w:rsidRPr="00C71B8C">
              <w:t>17AG(4)(d)(iv)</w:t>
            </w:r>
          </w:p>
        </w:tc>
        <w:tc>
          <w:tcPr>
            <w:tcW w:w="1537" w:type="dxa"/>
            <w:tcMar>
              <w:top w:w="57" w:type="dxa"/>
              <w:bottom w:w="57" w:type="dxa"/>
            </w:tcMar>
            <w:hideMark/>
          </w:tcPr>
          <w:p w14:paraId="236D40B9" w14:textId="77777777" w:rsidR="0096203B" w:rsidRPr="00DF31C0" w:rsidRDefault="0096203B" w:rsidP="00625DAB">
            <w:pPr>
              <w:pStyle w:val="TableTextLeft"/>
            </w:pPr>
            <w:r w:rsidRPr="00DF31C0">
              <w:t>Part 3 (B)</w:t>
            </w:r>
          </w:p>
        </w:tc>
        <w:tc>
          <w:tcPr>
            <w:tcW w:w="3482" w:type="dxa"/>
            <w:tcMar>
              <w:top w:w="57" w:type="dxa"/>
              <w:bottom w:w="57" w:type="dxa"/>
            </w:tcMar>
            <w:hideMark/>
          </w:tcPr>
          <w:p w14:paraId="3158BC58" w14:textId="77777777" w:rsidR="0096203B" w:rsidRPr="007C42BA" w:rsidRDefault="0096203B" w:rsidP="00625DAB">
            <w:pPr>
              <w:pStyle w:val="TableTextLeft"/>
            </w:pPr>
            <w:r w:rsidRPr="00C71B8C">
              <w:t>Information on aggregate amount of performance payments.</w:t>
            </w:r>
          </w:p>
        </w:tc>
        <w:tc>
          <w:tcPr>
            <w:tcW w:w="1332" w:type="dxa"/>
            <w:tcMar>
              <w:top w:w="57" w:type="dxa"/>
              <w:bottom w:w="57" w:type="dxa"/>
            </w:tcMar>
            <w:hideMark/>
          </w:tcPr>
          <w:p w14:paraId="343E4C38" w14:textId="77D7774B" w:rsidR="0096203B" w:rsidRPr="007C42BA" w:rsidRDefault="0096203B" w:rsidP="00625DAB">
            <w:pPr>
              <w:pStyle w:val="TableTextLeft"/>
            </w:pPr>
            <w:r w:rsidRPr="00C71B8C">
              <w:t xml:space="preserve">If applicable, </w:t>
            </w:r>
            <w:r w:rsidR="00343772">
              <w:t>m</w:t>
            </w:r>
            <w:r w:rsidR="00343772" w:rsidRPr="00C71B8C">
              <w:t>andatory</w:t>
            </w:r>
          </w:p>
        </w:tc>
      </w:tr>
    </w:tbl>
    <w:p w14:paraId="480C84E3" w14:textId="5ED02200" w:rsidR="00F02C17" w:rsidRDefault="00F02C17" w:rsidP="00D30A4D"/>
    <w:tbl>
      <w:tblPr>
        <w:tblStyle w:val="AOFMTablemain"/>
        <w:tblW w:w="5000" w:type="pct"/>
        <w:tblLayout w:type="fixed"/>
        <w:tblLook w:val="06A0" w:firstRow="1" w:lastRow="0" w:firstColumn="1" w:lastColumn="0" w:noHBand="1" w:noVBand="1"/>
      </w:tblPr>
      <w:tblGrid>
        <w:gridCol w:w="1360"/>
        <w:gridCol w:w="1427"/>
        <w:gridCol w:w="3592"/>
        <w:gridCol w:w="1332"/>
      </w:tblGrid>
      <w:tr w:rsidR="00843643" w:rsidRPr="007C42BA" w14:paraId="271CF13E" w14:textId="77777777" w:rsidTr="00592520">
        <w:trPr>
          <w:cnfStyle w:val="100000000000" w:firstRow="1" w:lastRow="0" w:firstColumn="0" w:lastColumn="0" w:oddVBand="0" w:evenVBand="0" w:oddHBand="0" w:evenHBand="0" w:firstRowFirstColumn="0" w:firstRowLastColumn="0" w:lastRowFirstColumn="0" w:lastRowLastColumn="0"/>
          <w:trHeight w:val="20"/>
        </w:trPr>
        <w:tc>
          <w:tcPr>
            <w:tcW w:w="1360" w:type="dxa"/>
            <w:tcBorders>
              <w:bottom w:val="single" w:sz="4" w:space="0" w:color="29114B" w:themeColor="text2"/>
            </w:tcBorders>
          </w:tcPr>
          <w:p w14:paraId="3B5ECB50" w14:textId="4E9EC6E7" w:rsidR="00683917" w:rsidRPr="007C42BA" w:rsidRDefault="00683917" w:rsidP="0048098F">
            <w:pPr>
              <w:pStyle w:val="TableColumnHeadingLeft"/>
            </w:pPr>
            <w:r w:rsidRPr="00AB7D63">
              <w:lastRenderedPageBreak/>
              <w:t>PGPA rule reference</w:t>
            </w:r>
          </w:p>
        </w:tc>
        <w:tc>
          <w:tcPr>
            <w:tcW w:w="1427" w:type="dxa"/>
            <w:tcBorders>
              <w:bottom w:val="single" w:sz="4" w:space="0" w:color="29114B" w:themeColor="text2"/>
            </w:tcBorders>
          </w:tcPr>
          <w:p w14:paraId="3EAA7E4D" w14:textId="3C416861" w:rsidR="00683917" w:rsidRPr="00AB7D63" w:rsidRDefault="00683917" w:rsidP="0048098F">
            <w:pPr>
              <w:pStyle w:val="TableColumnHeadingLeft"/>
            </w:pPr>
            <w:r w:rsidRPr="00AB7D63">
              <w:t>Part of report</w:t>
            </w:r>
          </w:p>
        </w:tc>
        <w:tc>
          <w:tcPr>
            <w:tcW w:w="3592" w:type="dxa"/>
            <w:tcBorders>
              <w:bottom w:val="single" w:sz="4" w:space="0" w:color="29114B" w:themeColor="text2"/>
            </w:tcBorders>
          </w:tcPr>
          <w:p w14:paraId="2DBC1954" w14:textId="344E309F" w:rsidR="00683917" w:rsidRPr="007C42BA" w:rsidRDefault="00683917" w:rsidP="0048098F">
            <w:pPr>
              <w:pStyle w:val="TableColumnHeadingLeft"/>
            </w:pPr>
            <w:r w:rsidRPr="00AB7D63">
              <w:t>Description</w:t>
            </w:r>
          </w:p>
        </w:tc>
        <w:tc>
          <w:tcPr>
            <w:tcW w:w="1332" w:type="dxa"/>
            <w:tcBorders>
              <w:bottom w:val="single" w:sz="4" w:space="0" w:color="29114B" w:themeColor="text2"/>
            </w:tcBorders>
          </w:tcPr>
          <w:p w14:paraId="24247EB0" w14:textId="36AC265E" w:rsidR="00683917" w:rsidRPr="007C42BA" w:rsidRDefault="00683917" w:rsidP="0048098F">
            <w:pPr>
              <w:pStyle w:val="TableColumnHeadingLeft"/>
            </w:pPr>
            <w:r w:rsidRPr="00AB7D63">
              <w:t>Requirement</w:t>
            </w:r>
          </w:p>
        </w:tc>
      </w:tr>
      <w:tr w:rsidR="00104EC3" w:rsidRPr="00C71B8C" w14:paraId="3866FB94" w14:textId="77777777" w:rsidTr="00592520">
        <w:trPr>
          <w:trHeight w:val="20"/>
        </w:trPr>
        <w:tc>
          <w:tcPr>
            <w:tcW w:w="1360" w:type="dxa"/>
            <w:tcBorders>
              <w:top w:val="single" w:sz="4" w:space="0" w:color="29114B" w:themeColor="text2"/>
              <w:right w:val="nil"/>
            </w:tcBorders>
            <w:shd w:val="clear" w:color="auto" w:fill="CAE6F2" w:themeFill="accent3" w:themeFillTint="33"/>
          </w:tcPr>
          <w:p w14:paraId="1C5FA00E" w14:textId="77777777" w:rsidR="00104EC3" w:rsidRPr="005412ED" w:rsidRDefault="00104EC3" w:rsidP="0048098F">
            <w:pPr>
              <w:pStyle w:val="TableTextLeft"/>
              <w:rPr>
                <w:b/>
                <w:bCs/>
              </w:rPr>
            </w:pPr>
          </w:p>
        </w:tc>
        <w:tc>
          <w:tcPr>
            <w:tcW w:w="5019" w:type="dxa"/>
            <w:gridSpan w:val="2"/>
            <w:tcBorders>
              <w:top w:val="single" w:sz="4" w:space="0" w:color="29114B" w:themeColor="text2"/>
              <w:left w:val="nil"/>
              <w:right w:val="nil"/>
            </w:tcBorders>
            <w:shd w:val="clear" w:color="auto" w:fill="CAE6F2" w:themeFill="accent3" w:themeFillTint="33"/>
          </w:tcPr>
          <w:p w14:paraId="1B8C0C55" w14:textId="77777777" w:rsidR="00104EC3" w:rsidRPr="005412ED" w:rsidRDefault="00104EC3" w:rsidP="0048098F">
            <w:pPr>
              <w:pStyle w:val="TableTextLeft"/>
              <w:rPr>
                <w:b/>
                <w:bCs/>
              </w:rPr>
            </w:pPr>
            <w:r w:rsidRPr="005412ED">
              <w:rPr>
                <w:b/>
                <w:bCs/>
              </w:rPr>
              <w:t>Assets management</w:t>
            </w:r>
          </w:p>
        </w:tc>
        <w:tc>
          <w:tcPr>
            <w:tcW w:w="1332" w:type="dxa"/>
            <w:tcBorders>
              <w:top w:val="single" w:sz="4" w:space="0" w:color="29114B" w:themeColor="text2"/>
              <w:left w:val="nil"/>
            </w:tcBorders>
            <w:shd w:val="clear" w:color="auto" w:fill="CAE6F2" w:themeFill="accent3" w:themeFillTint="33"/>
          </w:tcPr>
          <w:p w14:paraId="66C1EB26" w14:textId="77777777" w:rsidR="00104EC3" w:rsidRPr="005412ED" w:rsidRDefault="00104EC3" w:rsidP="0048098F">
            <w:pPr>
              <w:pStyle w:val="TableTextLeft"/>
              <w:rPr>
                <w:b/>
                <w:bCs/>
              </w:rPr>
            </w:pPr>
          </w:p>
        </w:tc>
      </w:tr>
      <w:tr w:rsidR="00104EC3" w:rsidRPr="007C42BA" w14:paraId="74616C9C" w14:textId="77777777" w:rsidTr="00592520">
        <w:trPr>
          <w:trHeight w:val="20"/>
        </w:trPr>
        <w:tc>
          <w:tcPr>
            <w:tcW w:w="1360" w:type="dxa"/>
            <w:tcBorders>
              <w:bottom w:val="single" w:sz="4" w:space="0" w:color="29114B" w:themeColor="text2"/>
            </w:tcBorders>
            <w:hideMark/>
          </w:tcPr>
          <w:p w14:paraId="61CE3062" w14:textId="77777777" w:rsidR="00104EC3" w:rsidRPr="0048098F" w:rsidRDefault="00104EC3" w:rsidP="0048098F">
            <w:pPr>
              <w:pStyle w:val="TableTextLeft"/>
            </w:pPr>
            <w:r w:rsidRPr="0048098F">
              <w:t>17</w:t>
            </w:r>
            <w:proofErr w:type="gramStart"/>
            <w:r w:rsidRPr="0048098F">
              <w:t>AG(</w:t>
            </w:r>
            <w:proofErr w:type="gramEnd"/>
            <w:r w:rsidRPr="0048098F">
              <w:t>5)</w:t>
            </w:r>
          </w:p>
        </w:tc>
        <w:tc>
          <w:tcPr>
            <w:tcW w:w="1427" w:type="dxa"/>
            <w:tcBorders>
              <w:bottom w:val="single" w:sz="4" w:space="0" w:color="29114B" w:themeColor="text2"/>
            </w:tcBorders>
            <w:hideMark/>
          </w:tcPr>
          <w:p w14:paraId="3E2314B7" w14:textId="77777777" w:rsidR="00104EC3" w:rsidRPr="0048098F" w:rsidRDefault="00104EC3" w:rsidP="0048098F">
            <w:pPr>
              <w:pStyle w:val="TableTextLeft"/>
            </w:pPr>
            <w:r w:rsidRPr="0048098F">
              <w:t> Not applicable</w:t>
            </w:r>
          </w:p>
        </w:tc>
        <w:tc>
          <w:tcPr>
            <w:tcW w:w="3592" w:type="dxa"/>
            <w:tcBorders>
              <w:bottom w:val="single" w:sz="4" w:space="0" w:color="29114B" w:themeColor="text2"/>
            </w:tcBorders>
            <w:hideMark/>
          </w:tcPr>
          <w:p w14:paraId="62DE86A5" w14:textId="324AC007" w:rsidR="00104EC3" w:rsidRPr="0048098F" w:rsidRDefault="00104EC3" w:rsidP="0048098F">
            <w:pPr>
              <w:pStyle w:val="TableTextLeft"/>
            </w:pPr>
            <w:r w:rsidRPr="0048098F">
              <w:t>An assessment of effectiveness of assets management where asset management is a significant part of the entity</w:t>
            </w:r>
            <w:r w:rsidR="00B84FF2" w:rsidRPr="0048098F">
              <w:t>’</w:t>
            </w:r>
            <w:r w:rsidRPr="0048098F">
              <w:t>s activities</w:t>
            </w:r>
            <w:r w:rsidR="00343772" w:rsidRPr="0048098F">
              <w:t>.</w:t>
            </w:r>
          </w:p>
        </w:tc>
        <w:tc>
          <w:tcPr>
            <w:tcW w:w="1332" w:type="dxa"/>
            <w:tcBorders>
              <w:bottom w:val="single" w:sz="4" w:space="0" w:color="29114B" w:themeColor="text2"/>
            </w:tcBorders>
            <w:hideMark/>
          </w:tcPr>
          <w:p w14:paraId="0DE063CD" w14:textId="77777777" w:rsidR="00104EC3" w:rsidRPr="0048098F" w:rsidRDefault="00104EC3" w:rsidP="0048098F">
            <w:pPr>
              <w:pStyle w:val="TableTextLeft"/>
            </w:pPr>
            <w:r w:rsidRPr="0048098F">
              <w:t>If applicable, mandatory</w:t>
            </w:r>
          </w:p>
        </w:tc>
      </w:tr>
      <w:tr w:rsidR="00104EC3" w:rsidRPr="005412ED" w14:paraId="37D8CC94" w14:textId="77777777" w:rsidTr="00592520">
        <w:trPr>
          <w:trHeight w:val="20"/>
        </w:trPr>
        <w:tc>
          <w:tcPr>
            <w:tcW w:w="1360" w:type="dxa"/>
            <w:tcBorders>
              <w:top w:val="single" w:sz="4" w:space="0" w:color="29114B" w:themeColor="text2"/>
              <w:right w:val="nil"/>
            </w:tcBorders>
            <w:shd w:val="clear" w:color="auto" w:fill="CAE6F2" w:themeFill="accent3" w:themeFillTint="33"/>
          </w:tcPr>
          <w:p w14:paraId="5890A544" w14:textId="77777777" w:rsidR="00104EC3" w:rsidRPr="005412ED" w:rsidRDefault="00104EC3" w:rsidP="0048098F">
            <w:pPr>
              <w:pStyle w:val="TableTextLeft"/>
              <w:rPr>
                <w:b/>
                <w:bCs/>
              </w:rPr>
            </w:pPr>
          </w:p>
        </w:tc>
        <w:tc>
          <w:tcPr>
            <w:tcW w:w="5019" w:type="dxa"/>
            <w:gridSpan w:val="2"/>
            <w:tcBorders>
              <w:top w:val="single" w:sz="4" w:space="0" w:color="29114B" w:themeColor="text2"/>
              <w:left w:val="nil"/>
              <w:right w:val="nil"/>
            </w:tcBorders>
            <w:shd w:val="clear" w:color="auto" w:fill="CAE6F2" w:themeFill="accent3" w:themeFillTint="33"/>
          </w:tcPr>
          <w:p w14:paraId="402100A3" w14:textId="77777777" w:rsidR="00104EC3" w:rsidRPr="005412ED" w:rsidRDefault="00104EC3" w:rsidP="0048098F">
            <w:pPr>
              <w:pStyle w:val="TableTextLeft"/>
              <w:rPr>
                <w:b/>
                <w:bCs/>
              </w:rPr>
            </w:pPr>
            <w:r w:rsidRPr="005412ED">
              <w:rPr>
                <w:b/>
                <w:bCs/>
              </w:rPr>
              <w:t>Purchasing</w:t>
            </w:r>
          </w:p>
        </w:tc>
        <w:tc>
          <w:tcPr>
            <w:tcW w:w="1332" w:type="dxa"/>
            <w:tcBorders>
              <w:top w:val="single" w:sz="4" w:space="0" w:color="29114B" w:themeColor="text2"/>
              <w:left w:val="nil"/>
            </w:tcBorders>
            <w:shd w:val="clear" w:color="auto" w:fill="CAE6F2" w:themeFill="accent3" w:themeFillTint="33"/>
          </w:tcPr>
          <w:p w14:paraId="4D224C60" w14:textId="77777777" w:rsidR="00104EC3" w:rsidRPr="005412ED" w:rsidRDefault="00104EC3" w:rsidP="0048098F">
            <w:pPr>
              <w:pStyle w:val="TableTextLeft"/>
              <w:rPr>
                <w:b/>
                <w:bCs/>
              </w:rPr>
            </w:pPr>
          </w:p>
        </w:tc>
      </w:tr>
      <w:tr w:rsidR="00104EC3" w:rsidRPr="007C42BA" w14:paraId="42EEA3A7" w14:textId="77777777" w:rsidTr="00592520">
        <w:trPr>
          <w:trHeight w:val="20"/>
        </w:trPr>
        <w:tc>
          <w:tcPr>
            <w:tcW w:w="1360" w:type="dxa"/>
            <w:tcBorders>
              <w:bottom w:val="single" w:sz="4" w:space="0" w:color="29114B" w:themeColor="text2"/>
            </w:tcBorders>
            <w:hideMark/>
          </w:tcPr>
          <w:p w14:paraId="132D0B1B" w14:textId="77777777" w:rsidR="00104EC3" w:rsidRPr="0048098F" w:rsidRDefault="00104EC3" w:rsidP="0048098F">
            <w:pPr>
              <w:pStyle w:val="TableTextLeft"/>
            </w:pPr>
            <w:r w:rsidRPr="0048098F">
              <w:t>17</w:t>
            </w:r>
            <w:proofErr w:type="gramStart"/>
            <w:r w:rsidRPr="0048098F">
              <w:t>AG(</w:t>
            </w:r>
            <w:proofErr w:type="gramEnd"/>
            <w:r w:rsidRPr="0048098F">
              <w:t>6)</w:t>
            </w:r>
          </w:p>
        </w:tc>
        <w:tc>
          <w:tcPr>
            <w:tcW w:w="1427" w:type="dxa"/>
            <w:tcBorders>
              <w:bottom w:val="single" w:sz="4" w:space="0" w:color="29114B" w:themeColor="text2"/>
            </w:tcBorders>
            <w:hideMark/>
          </w:tcPr>
          <w:p w14:paraId="420FCD45" w14:textId="77777777" w:rsidR="00104EC3" w:rsidRPr="0048098F" w:rsidRDefault="00104EC3" w:rsidP="0048098F">
            <w:pPr>
              <w:pStyle w:val="TableTextLeft"/>
            </w:pPr>
            <w:r w:rsidRPr="0048098F">
              <w:t> Part 3 (C)</w:t>
            </w:r>
          </w:p>
        </w:tc>
        <w:tc>
          <w:tcPr>
            <w:tcW w:w="3592" w:type="dxa"/>
            <w:tcBorders>
              <w:bottom w:val="single" w:sz="4" w:space="0" w:color="29114B" w:themeColor="text2"/>
            </w:tcBorders>
            <w:hideMark/>
          </w:tcPr>
          <w:p w14:paraId="7342AE53" w14:textId="77777777" w:rsidR="00104EC3" w:rsidRPr="0048098F" w:rsidRDefault="00104EC3" w:rsidP="0048098F">
            <w:pPr>
              <w:pStyle w:val="TableTextLeft"/>
            </w:pPr>
            <w:r w:rsidRPr="0048098F">
              <w:t>An assessment of entity performance against the Commonwealth Procurement Rules.</w:t>
            </w:r>
          </w:p>
        </w:tc>
        <w:tc>
          <w:tcPr>
            <w:tcW w:w="1332" w:type="dxa"/>
            <w:tcBorders>
              <w:bottom w:val="single" w:sz="4" w:space="0" w:color="29114B" w:themeColor="text2"/>
            </w:tcBorders>
            <w:hideMark/>
          </w:tcPr>
          <w:p w14:paraId="60269352" w14:textId="77777777" w:rsidR="00104EC3" w:rsidRPr="0048098F" w:rsidRDefault="00104EC3" w:rsidP="0048098F">
            <w:pPr>
              <w:pStyle w:val="TableTextLeft"/>
            </w:pPr>
            <w:r w:rsidRPr="0048098F">
              <w:t>Mandatory</w:t>
            </w:r>
          </w:p>
        </w:tc>
      </w:tr>
      <w:tr w:rsidR="00104EC3" w:rsidRPr="005412ED" w14:paraId="21534089" w14:textId="77777777" w:rsidTr="00592520">
        <w:trPr>
          <w:trHeight w:val="20"/>
        </w:trPr>
        <w:tc>
          <w:tcPr>
            <w:tcW w:w="1360" w:type="dxa"/>
            <w:tcBorders>
              <w:top w:val="single" w:sz="4" w:space="0" w:color="29114B" w:themeColor="text2"/>
              <w:right w:val="nil"/>
            </w:tcBorders>
            <w:shd w:val="clear" w:color="auto" w:fill="CAE6F2" w:themeFill="accent3" w:themeFillTint="33"/>
          </w:tcPr>
          <w:p w14:paraId="580928F7" w14:textId="77777777" w:rsidR="00104EC3" w:rsidRPr="005412ED" w:rsidRDefault="00104EC3" w:rsidP="0048098F">
            <w:pPr>
              <w:pStyle w:val="TableTextLeft"/>
              <w:rPr>
                <w:b/>
                <w:bCs/>
              </w:rPr>
            </w:pPr>
          </w:p>
        </w:tc>
        <w:tc>
          <w:tcPr>
            <w:tcW w:w="5019" w:type="dxa"/>
            <w:gridSpan w:val="2"/>
            <w:tcBorders>
              <w:top w:val="single" w:sz="4" w:space="0" w:color="29114B" w:themeColor="text2"/>
              <w:left w:val="nil"/>
              <w:right w:val="nil"/>
            </w:tcBorders>
            <w:shd w:val="clear" w:color="auto" w:fill="CAE6F2" w:themeFill="accent3" w:themeFillTint="33"/>
          </w:tcPr>
          <w:p w14:paraId="727569C3" w14:textId="77777777" w:rsidR="00104EC3" w:rsidRPr="005412ED" w:rsidRDefault="00104EC3" w:rsidP="0048098F">
            <w:pPr>
              <w:pStyle w:val="TableTextLeft"/>
              <w:rPr>
                <w:b/>
                <w:bCs/>
              </w:rPr>
            </w:pPr>
            <w:r w:rsidRPr="005412ED">
              <w:rPr>
                <w:b/>
                <w:bCs/>
              </w:rPr>
              <w:t>Reportable consultancy contracts</w:t>
            </w:r>
          </w:p>
        </w:tc>
        <w:tc>
          <w:tcPr>
            <w:tcW w:w="1332" w:type="dxa"/>
            <w:tcBorders>
              <w:top w:val="single" w:sz="4" w:space="0" w:color="29114B" w:themeColor="text2"/>
              <w:left w:val="nil"/>
            </w:tcBorders>
            <w:shd w:val="clear" w:color="auto" w:fill="CAE6F2" w:themeFill="accent3" w:themeFillTint="33"/>
          </w:tcPr>
          <w:p w14:paraId="1D675C79" w14:textId="77777777" w:rsidR="00104EC3" w:rsidRPr="005412ED" w:rsidRDefault="00104EC3" w:rsidP="0048098F">
            <w:pPr>
              <w:pStyle w:val="TableTextLeft"/>
              <w:rPr>
                <w:b/>
                <w:bCs/>
              </w:rPr>
            </w:pPr>
          </w:p>
        </w:tc>
      </w:tr>
      <w:tr w:rsidR="00104EC3" w:rsidRPr="007C42BA" w:rsidDel="00C3302B" w14:paraId="1F23E9E5" w14:textId="77777777" w:rsidTr="00592520">
        <w:trPr>
          <w:trHeight w:val="20"/>
        </w:trPr>
        <w:tc>
          <w:tcPr>
            <w:tcW w:w="1360" w:type="dxa"/>
          </w:tcPr>
          <w:p w14:paraId="11DF928D" w14:textId="77777777" w:rsidR="00104EC3" w:rsidRPr="0048098F" w:rsidDel="00C3302B" w:rsidRDefault="00104EC3" w:rsidP="0048098F">
            <w:pPr>
              <w:pStyle w:val="TableTextLeft"/>
            </w:pPr>
            <w:r w:rsidRPr="0048098F">
              <w:t>17AG(7)(a)</w:t>
            </w:r>
          </w:p>
        </w:tc>
        <w:tc>
          <w:tcPr>
            <w:tcW w:w="1427" w:type="dxa"/>
          </w:tcPr>
          <w:p w14:paraId="4905E957" w14:textId="77777777" w:rsidR="00104EC3" w:rsidRPr="0048098F" w:rsidDel="00C3302B" w:rsidRDefault="00104EC3" w:rsidP="0048098F">
            <w:pPr>
              <w:pStyle w:val="TableTextLeft"/>
              <w:rPr>
                <w:highlight w:val="yellow"/>
              </w:rPr>
            </w:pPr>
            <w:r w:rsidRPr="0048098F">
              <w:t xml:space="preserve"> Part 3 (C)</w:t>
            </w:r>
          </w:p>
        </w:tc>
        <w:tc>
          <w:tcPr>
            <w:tcW w:w="3592" w:type="dxa"/>
          </w:tcPr>
          <w:p w14:paraId="02D57857" w14:textId="77777777" w:rsidR="00104EC3" w:rsidRPr="0048098F" w:rsidDel="00C3302B" w:rsidRDefault="00104EC3" w:rsidP="0048098F">
            <w:pPr>
              <w:pStyle w:val="TableTextLeft"/>
            </w:pPr>
            <w:r w:rsidRPr="0048098F">
              <w:t xml:space="preserve">A summary statement detailing the number of new reportable consultancy contracts </w:t>
            </w:r>
            <w:proofErr w:type="gramStart"/>
            <w:r w:rsidRPr="0048098F">
              <w:t>entered into</w:t>
            </w:r>
            <w:proofErr w:type="gramEnd"/>
            <w:r w:rsidRPr="0048098F">
              <w:t xml:space="preserve"> during the period; the total actual expenditure on all such contracts (inclusive of GST); the number of ongoing reportable consultancy contracts that were entered into during a previous reporting period; and the total actual expenditure in the reporting period on those ongoing contracts (inclusive of GST). </w:t>
            </w:r>
          </w:p>
        </w:tc>
        <w:tc>
          <w:tcPr>
            <w:tcW w:w="1332" w:type="dxa"/>
          </w:tcPr>
          <w:p w14:paraId="52764AE4" w14:textId="77777777" w:rsidR="00104EC3" w:rsidRPr="0048098F" w:rsidDel="00C3302B" w:rsidRDefault="00104EC3" w:rsidP="0048098F">
            <w:pPr>
              <w:pStyle w:val="TableTextLeft"/>
            </w:pPr>
            <w:r w:rsidRPr="0048098F">
              <w:t>Mandatory</w:t>
            </w:r>
          </w:p>
        </w:tc>
      </w:tr>
      <w:tr w:rsidR="00104EC3" w:rsidRPr="007C42BA" w:rsidDel="00C3302B" w14:paraId="5E4798A5" w14:textId="77777777" w:rsidTr="00592520">
        <w:trPr>
          <w:trHeight w:val="20"/>
        </w:trPr>
        <w:tc>
          <w:tcPr>
            <w:tcW w:w="1360" w:type="dxa"/>
          </w:tcPr>
          <w:p w14:paraId="3FD0B13C" w14:textId="77777777" w:rsidR="00104EC3" w:rsidRPr="0048098F" w:rsidDel="00C3302B" w:rsidRDefault="00104EC3" w:rsidP="0048098F">
            <w:pPr>
              <w:pStyle w:val="TableTextLeft"/>
            </w:pPr>
            <w:r w:rsidRPr="0048098F">
              <w:t>17AG(7)(b)</w:t>
            </w:r>
          </w:p>
        </w:tc>
        <w:tc>
          <w:tcPr>
            <w:tcW w:w="1427" w:type="dxa"/>
          </w:tcPr>
          <w:p w14:paraId="442C29BB" w14:textId="77777777" w:rsidR="00104EC3" w:rsidRPr="0048098F" w:rsidDel="00C3302B" w:rsidRDefault="00104EC3" w:rsidP="0048098F">
            <w:pPr>
              <w:pStyle w:val="TableTextLeft"/>
              <w:rPr>
                <w:highlight w:val="yellow"/>
              </w:rPr>
            </w:pPr>
            <w:r w:rsidRPr="0048098F">
              <w:t xml:space="preserve"> Part 3 (C)</w:t>
            </w:r>
          </w:p>
        </w:tc>
        <w:tc>
          <w:tcPr>
            <w:tcW w:w="3592" w:type="dxa"/>
          </w:tcPr>
          <w:p w14:paraId="6D49CA17" w14:textId="294931C8" w:rsidR="00104EC3" w:rsidRPr="0048098F" w:rsidDel="00C3302B" w:rsidRDefault="00104EC3" w:rsidP="0048098F">
            <w:pPr>
              <w:pStyle w:val="TableTextLeft"/>
            </w:pPr>
            <w:r w:rsidRPr="0048098F">
              <w:t xml:space="preserve">A statement that </w:t>
            </w:r>
            <w:r w:rsidR="00B84FF2" w:rsidRPr="0048098F">
              <w:t>‘</w:t>
            </w:r>
            <w:r w:rsidRPr="0048098F">
              <w:t>During [reporting period], [specified number] new reportable consultancy contracts were entered into involving total actual expenditure of $[specified million]. In addition, [specified number] ongoing reportable consultancy contracts were active during the period, involving total actual expenditure of $[specified million</w:t>
            </w:r>
            <w:r w:rsidR="00343772" w:rsidRPr="0048098F">
              <w:t>].</w:t>
            </w:r>
            <w:r w:rsidR="00B84FF2" w:rsidRPr="0048098F">
              <w:t>’</w:t>
            </w:r>
          </w:p>
        </w:tc>
        <w:tc>
          <w:tcPr>
            <w:tcW w:w="1332" w:type="dxa"/>
          </w:tcPr>
          <w:p w14:paraId="42DAC86B" w14:textId="77777777" w:rsidR="00104EC3" w:rsidRPr="0048098F" w:rsidDel="00C3302B" w:rsidRDefault="00104EC3" w:rsidP="0048098F">
            <w:pPr>
              <w:pStyle w:val="TableTextLeft"/>
            </w:pPr>
            <w:r w:rsidRPr="0048098F">
              <w:t>Mandatory</w:t>
            </w:r>
          </w:p>
        </w:tc>
      </w:tr>
      <w:tr w:rsidR="00104EC3" w:rsidRPr="007C42BA" w:rsidDel="00C3302B" w14:paraId="35BC0DFD" w14:textId="77777777" w:rsidTr="00592520">
        <w:trPr>
          <w:trHeight w:val="20"/>
        </w:trPr>
        <w:tc>
          <w:tcPr>
            <w:tcW w:w="1360" w:type="dxa"/>
          </w:tcPr>
          <w:p w14:paraId="7BB7E1BB" w14:textId="77777777" w:rsidR="00104EC3" w:rsidRPr="0048098F" w:rsidDel="00C3302B" w:rsidRDefault="00104EC3" w:rsidP="0048098F">
            <w:pPr>
              <w:pStyle w:val="TableTextLeft"/>
            </w:pPr>
            <w:r w:rsidRPr="0048098F">
              <w:t>17AG(7)(c)</w:t>
            </w:r>
          </w:p>
        </w:tc>
        <w:tc>
          <w:tcPr>
            <w:tcW w:w="1427" w:type="dxa"/>
          </w:tcPr>
          <w:p w14:paraId="585BC36F" w14:textId="77777777" w:rsidR="00104EC3" w:rsidRPr="0048098F" w:rsidDel="00C3302B" w:rsidRDefault="00104EC3" w:rsidP="0048098F">
            <w:pPr>
              <w:pStyle w:val="TableTextLeft"/>
              <w:rPr>
                <w:highlight w:val="yellow"/>
              </w:rPr>
            </w:pPr>
            <w:r w:rsidRPr="0048098F">
              <w:t xml:space="preserve"> Part 3 (C)</w:t>
            </w:r>
          </w:p>
        </w:tc>
        <w:tc>
          <w:tcPr>
            <w:tcW w:w="3592" w:type="dxa"/>
          </w:tcPr>
          <w:p w14:paraId="536566F2" w14:textId="77777777" w:rsidR="00104EC3" w:rsidRPr="0048098F" w:rsidDel="00C3302B" w:rsidRDefault="00104EC3" w:rsidP="0048098F">
            <w:pPr>
              <w:pStyle w:val="TableTextLeft"/>
            </w:pPr>
            <w:r w:rsidRPr="0048098F">
              <w:t>A summary of the policies and procedures for selecting and engaging consultants and the main categories of purposes for which consultants were selected and engaged.</w:t>
            </w:r>
          </w:p>
        </w:tc>
        <w:tc>
          <w:tcPr>
            <w:tcW w:w="1332" w:type="dxa"/>
          </w:tcPr>
          <w:p w14:paraId="742B21C9" w14:textId="77777777" w:rsidR="00104EC3" w:rsidRPr="0048098F" w:rsidDel="00C3302B" w:rsidRDefault="00104EC3" w:rsidP="0048098F">
            <w:pPr>
              <w:pStyle w:val="TableTextLeft"/>
            </w:pPr>
            <w:r w:rsidRPr="0048098F">
              <w:t>Mandatory</w:t>
            </w:r>
          </w:p>
        </w:tc>
      </w:tr>
      <w:tr w:rsidR="00104EC3" w:rsidRPr="007C42BA" w:rsidDel="00C3302B" w14:paraId="33B520EC" w14:textId="77777777" w:rsidTr="00592520">
        <w:trPr>
          <w:trHeight w:val="20"/>
        </w:trPr>
        <w:tc>
          <w:tcPr>
            <w:tcW w:w="1360" w:type="dxa"/>
          </w:tcPr>
          <w:p w14:paraId="0A716108" w14:textId="77777777" w:rsidR="00104EC3" w:rsidRPr="0048098F" w:rsidDel="00C3302B" w:rsidRDefault="00104EC3" w:rsidP="0048098F">
            <w:pPr>
              <w:pStyle w:val="TableTextLeft"/>
            </w:pPr>
            <w:r w:rsidRPr="0048098F">
              <w:t>17AG(7)(d)</w:t>
            </w:r>
          </w:p>
        </w:tc>
        <w:tc>
          <w:tcPr>
            <w:tcW w:w="1427" w:type="dxa"/>
          </w:tcPr>
          <w:p w14:paraId="3AA41346" w14:textId="77777777" w:rsidR="00104EC3" w:rsidRPr="0048098F" w:rsidDel="00C3302B" w:rsidRDefault="00104EC3" w:rsidP="0048098F">
            <w:pPr>
              <w:pStyle w:val="TableTextLeft"/>
              <w:rPr>
                <w:highlight w:val="yellow"/>
              </w:rPr>
            </w:pPr>
            <w:r w:rsidRPr="0048098F">
              <w:t xml:space="preserve"> Part 3 (C)</w:t>
            </w:r>
          </w:p>
        </w:tc>
        <w:tc>
          <w:tcPr>
            <w:tcW w:w="3592" w:type="dxa"/>
          </w:tcPr>
          <w:p w14:paraId="43843414" w14:textId="0B5B2145" w:rsidR="00104EC3" w:rsidRPr="0048098F" w:rsidDel="00C3302B" w:rsidRDefault="00104EC3" w:rsidP="0048098F">
            <w:pPr>
              <w:pStyle w:val="TableTextLeft"/>
            </w:pPr>
            <w:r w:rsidRPr="0048098F">
              <w:t xml:space="preserve">A statement that </w:t>
            </w:r>
            <w:r w:rsidR="00B84FF2" w:rsidRPr="0048098F">
              <w:t>‘</w:t>
            </w:r>
            <w:r w:rsidRPr="0048098F">
              <w:t xml:space="preserve">Annual reports contain information about actual expenditure on reportable consultancy contracts. Information on the value of reportable consultancy contracts is available on the </w:t>
            </w:r>
            <w:proofErr w:type="spellStart"/>
            <w:r w:rsidRPr="0048098F">
              <w:t>AusTender</w:t>
            </w:r>
            <w:proofErr w:type="spellEnd"/>
            <w:r w:rsidRPr="0048098F">
              <w:t xml:space="preserve"> website</w:t>
            </w:r>
            <w:r w:rsidR="00343772" w:rsidRPr="0048098F">
              <w:t>.</w:t>
            </w:r>
            <w:r w:rsidR="00B84FF2" w:rsidRPr="0048098F">
              <w:t>’</w:t>
            </w:r>
          </w:p>
        </w:tc>
        <w:tc>
          <w:tcPr>
            <w:tcW w:w="1332" w:type="dxa"/>
          </w:tcPr>
          <w:p w14:paraId="41CEC054" w14:textId="77777777" w:rsidR="00104EC3" w:rsidRPr="0048098F" w:rsidDel="00C3302B" w:rsidRDefault="00104EC3" w:rsidP="0048098F">
            <w:pPr>
              <w:pStyle w:val="TableTextLeft"/>
            </w:pPr>
            <w:r w:rsidRPr="0048098F">
              <w:t>Mandatory</w:t>
            </w:r>
          </w:p>
        </w:tc>
      </w:tr>
    </w:tbl>
    <w:p w14:paraId="522659FF" w14:textId="77777777" w:rsidR="00104EC3" w:rsidRDefault="00104EC3" w:rsidP="00D30A4D"/>
    <w:p w14:paraId="3AD0D237" w14:textId="65AE077D" w:rsidR="00CE4E63" w:rsidRDefault="00CE4E63">
      <w:pPr>
        <w:spacing w:after="0" w:line="240" w:lineRule="auto"/>
      </w:pPr>
      <w:r>
        <w:br w:type="page"/>
      </w:r>
    </w:p>
    <w:tbl>
      <w:tblPr>
        <w:tblStyle w:val="AOFMTablemain"/>
        <w:tblW w:w="5000" w:type="pct"/>
        <w:tblInd w:w="5" w:type="dxa"/>
        <w:tblLayout w:type="fixed"/>
        <w:tblLook w:val="06A0" w:firstRow="1" w:lastRow="0" w:firstColumn="1" w:lastColumn="0" w:noHBand="1" w:noVBand="1"/>
      </w:tblPr>
      <w:tblGrid>
        <w:gridCol w:w="1159"/>
        <w:gridCol w:w="1388"/>
        <w:gridCol w:w="3628"/>
        <w:gridCol w:w="1536"/>
      </w:tblGrid>
      <w:tr w:rsidR="00843643" w:rsidRPr="00671562" w14:paraId="35D9A32C"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159" w:type="dxa"/>
            <w:tcBorders>
              <w:bottom w:val="single" w:sz="4" w:space="0" w:color="29114B" w:themeColor="text2"/>
            </w:tcBorders>
            <w:vAlign w:val="bottom"/>
          </w:tcPr>
          <w:p w14:paraId="1412C9D4" w14:textId="77777777" w:rsidR="006E22F3" w:rsidRPr="00F02C17" w:rsidRDefault="006E22F3" w:rsidP="00E46CBD">
            <w:pPr>
              <w:pStyle w:val="TableColumnHeadingLeft"/>
            </w:pPr>
            <w:r w:rsidRPr="00F02C17">
              <w:lastRenderedPageBreak/>
              <w:t>PGPA rule reference</w:t>
            </w:r>
          </w:p>
        </w:tc>
        <w:tc>
          <w:tcPr>
            <w:tcW w:w="1388" w:type="dxa"/>
            <w:tcBorders>
              <w:bottom w:val="single" w:sz="4" w:space="0" w:color="29114B" w:themeColor="text2"/>
            </w:tcBorders>
            <w:vAlign w:val="bottom"/>
          </w:tcPr>
          <w:p w14:paraId="6902C371" w14:textId="77777777" w:rsidR="006E22F3" w:rsidRPr="00F02C17" w:rsidRDefault="006E22F3" w:rsidP="00E46CBD">
            <w:pPr>
              <w:pStyle w:val="TableColumnHeadingLeft"/>
            </w:pPr>
            <w:r w:rsidRPr="00F02C17">
              <w:t>Part of report</w:t>
            </w:r>
          </w:p>
        </w:tc>
        <w:tc>
          <w:tcPr>
            <w:tcW w:w="3628" w:type="dxa"/>
            <w:tcBorders>
              <w:bottom w:val="single" w:sz="4" w:space="0" w:color="29114B" w:themeColor="text2"/>
            </w:tcBorders>
            <w:vAlign w:val="bottom"/>
          </w:tcPr>
          <w:p w14:paraId="2FD590C0" w14:textId="0A4F9F43" w:rsidR="006E22F3" w:rsidRPr="00F02C17" w:rsidRDefault="006E22F3" w:rsidP="00E46CBD">
            <w:pPr>
              <w:pStyle w:val="TableColumnHeadingLeft"/>
            </w:pPr>
            <w:r w:rsidRPr="00F02C17">
              <w:t>Description</w:t>
            </w:r>
          </w:p>
        </w:tc>
        <w:tc>
          <w:tcPr>
            <w:tcW w:w="1536" w:type="dxa"/>
            <w:tcBorders>
              <w:bottom w:val="single" w:sz="4" w:space="0" w:color="29114B" w:themeColor="text2"/>
            </w:tcBorders>
            <w:vAlign w:val="bottom"/>
          </w:tcPr>
          <w:p w14:paraId="4DCC68B4" w14:textId="77777777" w:rsidR="006E22F3" w:rsidRPr="00F02C17" w:rsidRDefault="006E22F3" w:rsidP="00E46CBD">
            <w:pPr>
              <w:pStyle w:val="TableColumnHeadingLeft"/>
            </w:pPr>
            <w:r w:rsidRPr="00F02C17">
              <w:t>Requirement</w:t>
            </w:r>
          </w:p>
        </w:tc>
      </w:tr>
      <w:tr w:rsidR="00BF5581" w:rsidRPr="005412ED" w14:paraId="6FECD3D9" w14:textId="77777777" w:rsidTr="00592520">
        <w:trPr>
          <w:trHeight w:val="20"/>
        </w:trPr>
        <w:tc>
          <w:tcPr>
            <w:tcW w:w="1159" w:type="dxa"/>
            <w:tcBorders>
              <w:top w:val="single" w:sz="4" w:space="0" w:color="29114B" w:themeColor="text2"/>
              <w:right w:val="nil"/>
            </w:tcBorders>
            <w:shd w:val="clear" w:color="auto" w:fill="CAE6F2" w:themeFill="accent3" w:themeFillTint="33"/>
          </w:tcPr>
          <w:p w14:paraId="7955AA65" w14:textId="77777777" w:rsidR="006C2B0E" w:rsidRPr="005412ED" w:rsidRDefault="006C2B0E" w:rsidP="00625DAB">
            <w:pPr>
              <w:pStyle w:val="TableTextLeft"/>
              <w:rPr>
                <w:rStyle w:val="Strong"/>
              </w:rPr>
            </w:pPr>
          </w:p>
        </w:tc>
        <w:tc>
          <w:tcPr>
            <w:tcW w:w="5016" w:type="dxa"/>
            <w:gridSpan w:val="2"/>
            <w:tcBorders>
              <w:top w:val="single" w:sz="4" w:space="0" w:color="29114B" w:themeColor="text2"/>
              <w:left w:val="nil"/>
              <w:right w:val="nil"/>
            </w:tcBorders>
            <w:shd w:val="clear" w:color="auto" w:fill="CAE6F2" w:themeFill="accent3" w:themeFillTint="33"/>
          </w:tcPr>
          <w:p w14:paraId="6676D59B" w14:textId="2F14F127" w:rsidR="006C2B0E" w:rsidRPr="005412ED" w:rsidRDefault="006C2B0E" w:rsidP="00625DAB">
            <w:pPr>
              <w:pStyle w:val="TableTextLeft"/>
              <w:rPr>
                <w:rStyle w:val="Strong"/>
              </w:rPr>
            </w:pPr>
            <w:r w:rsidRPr="005412ED">
              <w:rPr>
                <w:rStyle w:val="Strong"/>
              </w:rPr>
              <w:t>Reportable non</w:t>
            </w:r>
            <w:r w:rsidR="00B84FF2" w:rsidRPr="005412ED">
              <w:rPr>
                <w:rStyle w:val="Strong"/>
              </w:rPr>
              <w:noBreakHyphen/>
            </w:r>
            <w:r w:rsidRPr="005412ED">
              <w:rPr>
                <w:rStyle w:val="Strong"/>
              </w:rPr>
              <w:t xml:space="preserve">consultancy contracts </w:t>
            </w:r>
          </w:p>
        </w:tc>
        <w:tc>
          <w:tcPr>
            <w:tcW w:w="1536" w:type="dxa"/>
            <w:tcBorders>
              <w:top w:val="single" w:sz="4" w:space="0" w:color="29114B" w:themeColor="text2"/>
              <w:left w:val="nil"/>
            </w:tcBorders>
            <w:shd w:val="clear" w:color="auto" w:fill="CAE6F2" w:themeFill="accent3" w:themeFillTint="33"/>
          </w:tcPr>
          <w:p w14:paraId="77ED9151" w14:textId="77777777" w:rsidR="006C2B0E" w:rsidRPr="005412ED" w:rsidRDefault="006C2B0E" w:rsidP="00625DAB">
            <w:pPr>
              <w:pStyle w:val="TableTextLeft"/>
              <w:rPr>
                <w:b/>
                <w:bCs/>
              </w:rPr>
            </w:pPr>
          </w:p>
        </w:tc>
      </w:tr>
      <w:tr w:rsidR="00BF5581" w:rsidRPr="00671562" w14:paraId="7A56EBBC" w14:textId="77777777" w:rsidTr="00592520">
        <w:trPr>
          <w:trHeight w:val="20"/>
        </w:trPr>
        <w:tc>
          <w:tcPr>
            <w:tcW w:w="1159" w:type="dxa"/>
          </w:tcPr>
          <w:p w14:paraId="6B881CBF" w14:textId="77777777" w:rsidR="006C2B0E" w:rsidRPr="007C42BA" w:rsidRDefault="006C2B0E" w:rsidP="00625DAB">
            <w:pPr>
              <w:pStyle w:val="TableTextLeft"/>
            </w:pPr>
            <w:r w:rsidRPr="00671562">
              <w:t>17AG(7</w:t>
            </w:r>
            <w:proofErr w:type="gramStart"/>
            <w:r w:rsidRPr="00671562">
              <w:t>A)(</w:t>
            </w:r>
            <w:proofErr w:type="gramEnd"/>
            <w:r w:rsidRPr="00671562">
              <w:t xml:space="preserve">a) </w:t>
            </w:r>
          </w:p>
          <w:p w14:paraId="5FC3C166" w14:textId="77777777" w:rsidR="006C2B0E" w:rsidRPr="007C42BA" w:rsidRDefault="006C2B0E" w:rsidP="00625DAB">
            <w:pPr>
              <w:pStyle w:val="TableTextLeft"/>
            </w:pPr>
          </w:p>
        </w:tc>
        <w:tc>
          <w:tcPr>
            <w:tcW w:w="1388" w:type="dxa"/>
          </w:tcPr>
          <w:p w14:paraId="73DF4330" w14:textId="234F7D5B" w:rsidR="006C2B0E" w:rsidRPr="007C42BA" w:rsidRDefault="006C2B0E" w:rsidP="00625DAB">
            <w:pPr>
              <w:pStyle w:val="TableTextLeft"/>
              <w:rPr>
                <w:highlight w:val="yellow"/>
              </w:rPr>
            </w:pPr>
            <w:r w:rsidRPr="00DF31C0">
              <w:t>Part 3 (C)</w:t>
            </w:r>
          </w:p>
        </w:tc>
        <w:tc>
          <w:tcPr>
            <w:tcW w:w="3628" w:type="dxa"/>
          </w:tcPr>
          <w:p w14:paraId="5721802C" w14:textId="38C0FDBD" w:rsidR="006C2B0E" w:rsidRPr="007C42BA" w:rsidRDefault="006C2B0E" w:rsidP="00625DAB">
            <w:pPr>
              <w:pStyle w:val="TableTextLeft"/>
            </w:pPr>
            <w:r w:rsidRPr="00671562">
              <w:t>A summary statement detailing the number of new reportable non</w:t>
            </w:r>
            <w:r w:rsidR="00B84FF2">
              <w:noBreakHyphen/>
            </w:r>
            <w:r w:rsidRPr="00671562">
              <w:t xml:space="preserve">consultancy contracts </w:t>
            </w:r>
            <w:proofErr w:type="gramStart"/>
            <w:r w:rsidRPr="00671562">
              <w:t>entered into</w:t>
            </w:r>
            <w:proofErr w:type="gramEnd"/>
            <w:r w:rsidRPr="00671562">
              <w:t xml:space="preserve"> during the period; the total actual expenditure on such contracts (inclusive of GST); the number of ongoing reportable non</w:t>
            </w:r>
            <w:r w:rsidR="00B84FF2">
              <w:noBreakHyphen/>
            </w:r>
            <w:r w:rsidRPr="00671562">
              <w:t xml:space="preserve">consultancy contracts that were entered into during a previous reporting period; and the total actual expenditure in the reporting period on those ongoing contracts (inclusive of GST). </w:t>
            </w:r>
          </w:p>
        </w:tc>
        <w:tc>
          <w:tcPr>
            <w:tcW w:w="1536" w:type="dxa"/>
          </w:tcPr>
          <w:p w14:paraId="3B3EFC04" w14:textId="77777777" w:rsidR="006C2B0E" w:rsidRPr="007C42BA" w:rsidRDefault="006C2B0E" w:rsidP="00625DAB">
            <w:pPr>
              <w:pStyle w:val="TableTextLeft"/>
            </w:pPr>
            <w:r w:rsidRPr="00671562">
              <w:t>Mandatory</w:t>
            </w:r>
          </w:p>
        </w:tc>
      </w:tr>
      <w:tr w:rsidR="00BF5581" w:rsidRPr="00671562" w14:paraId="34ABE4F4" w14:textId="77777777" w:rsidTr="00592520">
        <w:trPr>
          <w:trHeight w:val="20"/>
        </w:trPr>
        <w:tc>
          <w:tcPr>
            <w:tcW w:w="1159" w:type="dxa"/>
          </w:tcPr>
          <w:p w14:paraId="739E73AB" w14:textId="77777777" w:rsidR="006C2B0E" w:rsidRPr="007C42BA" w:rsidRDefault="006C2B0E" w:rsidP="00625DAB">
            <w:pPr>
              <w:pStyle w:val="TableTextLeft"/>
            </w:pPr>
            <w:r w:rsidRPr="00671562">
              <w:t>17AG(7</w:t>
            </w:r>
            <w:proofErr w:type="gramStart"/>
            <w:r w:rsidRPr="00671562">
              <w:t>A)(</w:t>
            </w:r>
            <w:proofErr w:type="gramEnd"/>
            <w:r w:rsidRPr="00671562">
              <w:t xml:space="preserve">b) </w:t>
            </w:r>
          </w:p>
        </w:tc>
        <w:tc>
          <w:tcPr>
            <w:tcW w:w="1388" w:type="dxa"/>
          </w:tcPr>
          <w:p w14:paraId="20C86860" w14:textId="3B88CA79" w:rsidR="006C2B0E" w:rsidRPr="007C42BA" w:rsidRDefault="006C2B0E" w:rsidP="00625DAB">
            <w:pPr>
              <w:pStyle w:val="TableTextLeft"/>
              <w:rPr>
                <w:highlight w:val="yellow"/>
              </w:rPr>
            </w:pPr>
            <w:r w:rsidRPr="00DF31C0">
              <w:t>Part 3 (C)</w:t>
            </w:r>
          </w:p>
        </w:tc>
        <w:tc>
          <w:tcPr>
            <w:tcW w:w="3628" w:type="dxa"/>
          </w:tcPr>
          <w:p w14:paraId="4358EB17" w14:textId="4481C3D2" w:rsidR="006C2B0E" w:rsidRPr="007C42BA" w:rsidRDefault="006C2B0E" w:rsidP="00625DAB">
            <w:pPr>
              <w:pStyle w:val="TableTextLeft"/>
            </w:pPr>
            <w:r w:rsidRPr="00671562">
              <w:t xml:space="preserve">A statement that </w:t>
            </w:r>
            <w:r w:rsidR="00B84FF2">
              <w:t>‘</w:t>
            </w:r>
            <w:r w:rsidRPr="00671562">
              <w:t>Annual reports contain information about actual expenditure on reportable non</w:t>
            </w:r>
            <w:r w:rsidR="00B84FF2">
              <w:noBreakHyphen/>
            </w:r>
            <w:r w:rsidRPr="00671562">
              <w:t>consultancy contracts. Information on the value of reportable non</w:t>
            </w:r>
            <w:r w:rsidR="00B84FF2">
              <w:noBreakHyphen/>
            </w:r>
            <w:r w:rsidRPr="00671562">
              <w:t xml:space="preserve">consultancy contracts is available on the </w:t>
            </w:r>
            <w:proofErr w:type="spellStart"/>
            <w:r w:rsidRPr="00671562">
              <w:t>AusTender</w:t>
            </w:r>
            <w:proofErr w:type="spellEnd"/>
            <w:r w:rsidRPr="00671562">
              <w:t xml:space="preserve"> website</w:t>
            </w:r>
            <w:r w:rsidR="00343772" w:rsidRPr="00671562">
              <w:t>.</w:t>
            </w:r>
            <w:r w:rsidR="00B84FF2">
              <w:t>’</w:t>
            </w:r>
            <w:r w:rsidR="00343772" w:rsidRPr="00671562">
              <w:t xml:space="preserve"> </w:t>
            </w:r>
          </w:p>
        </w:tc>
        <w:tc>
          <w:tcPr>
            <w:tcW w:w="1536" w:type="dxa"/>
          </w:tcPr>
          <w:p w14:paraId="453F9E62" w14:textId="77777777" w:rsidR="006C2B0E" w:rsidRPr="007C42BA" w:rsidRDefault="006C2B0E" w:rsidP="00625DAB">
            <w:pPr>
              <w:pStyle w:val="TableTextLeft"/>
            </w:pPr>
            <w:r w:rsidRPr="00671562">
              <w:t>Mandatory</w:t>
            </w:r>
          </w:p>
        </w:tc>
      </w:tr>
      <w:tr w:rsidR="006E22F3" w:rsidRPr="00671562" w14:paraId="0900546C" w14:textId="77777777" w:rsidTr="00592520">
        <w:trPr>
          <w:trHeight w:val="20"/>
        </w:trPr>
        <w:tc>
          <w:tcPr>
            <w:tcW w:w="1159" w:type="dxa"/>
          </w:tcPr>
          <w:p w14:paraId="417B25D4" w14:textId="77777777" w:rsidR="006C2B0E" w:rsidRPr="007C42BA" w:rsidRDefault="006C2B0E" w:rsidP="00625DAB">
            <w:pPr>
              <w:pStyle w:val="TableTextLeft"/>
              <w:rPr>
                <w:bCs/>
              </w:rPr>
            </w:pPr>
            <w:r w:rsidRPr="00671562">
              <w:t>17</w:t>
            </w:r>
            <w:proofErr w:type="gramStart"/>
            <w:r w:rsidRPr="00671562">
              <w:t>AD(</w:t>
            </w:r>
            <w:proofErr w:type="spellStart"/>
            <w:proofErr w:type="gramEnd"/>
            <w:r w:rsidRPr="00671562">
              <w:t>daa</w:t>
            </w:r>
            <w:proofErr w:type="spellEnd"/>
            <w:r w:rsidRPr="00671562">
              <w:t>)</w:t>
            </w:r>
          </w:p>
        </w:tc>
        <w:tc>
          <w:tcPr>
            <w:tcW w:w="6552" w:type="dxa"/>
            <w:gridSpan w:val="3"/>
          </w:tcPr>
          <w:p w14:paraId="2C6710E8" w14:textId="48ED3D71" w:rsidR="006C2B0E" w:rsidRPr="007C42BA" w:rsidRDefault="006C2B0E" w:rsidP="00625DAB">
            <w:pPr>
              <w:pStyle w:val="TableTextLeft"/>
              <w:rPr>
                <w:bCs/>
              </w:rPr>
            </w:pPr>
            <w:r w:rsidRPr="00671562">
              <w:t>Additional information about organisations receiving amounts under reportable consultancy contracts or reportable non</w:t>
            </w:r>
            <w:r w:rsidR="00B84FF2">
              <w:noBreakHyphen/>
            </w:r>
            <w:r w:rsidRPr="00671562">
              <w:t xml:space="preserve">consultancy contracts </w:t>
            </w:r>
          </w:p>
        </w:tc>
      </w:tr>
      <w:tr w:rsidR="00BF5581" w:rsidRPr="00671562" w14:paraId="173BDA94" w14:textId="77777777" w:rsidTr="00592520">
        <w:trPr>
          <w:trHeight w:val="20"/>
        </w:trPr>
        <w:tc>
          <w:tcPr>
            <w:tcW w:w="1159" w:type="dxa"/>
            <w:tcBorders>
              <w:bottom w:val="single" w:sz="4" w:space="0" w:color="29114B" w:themeColor="text2"/>
            </w:tcBorders>
          </w:tcPr>
          <w:p w14:paraId="6CB3794A" w14:textId="77777777" w:rsidR="006C2B0E" w:rsidRPr="007C42BA" w:rsidRDefault="006C2B0E" w:rsidP="00625DAB">
            <w:pPr>
              <w:pStyle w:val="TableTextLeft"/>
            </w:pPr>
            <w:r w:rsidRPr="00671562">
              <w:t>17AGA</w:t>
            </w:r>
          </w:p>
        </w:tc>
        <w:tc>
          <w:tcPr>
            <w:tcW w:w="1388" w:type="dxa"/>
            <w:tcBorders>
              <w:bottom w:val="single" w:sz="4" w:space="0" w:color="29114B" w:themeColor="text2"/>
            </w:tcBorders>
          </w:tcPr>
          <w:p w14:paraId="3C4105B7" w14:textId="09CC6990" w:rsidR="006C2B0E" w:rsidRPr="007C42BA" w:rsidRDefault="006C2B0E" w:rsidP="00625DAB">
            <w:pPr>
              <w:pStyle w:val="TableTextLeft"/>
            </w:pPr>
            <w:r w:rsidRPr="00DF31C0">
              <w:t>Part 3 (C)</w:t>
            </w:r>
          </w:p>
        </w:tc>
        <w:tc>
          <w:tcPr>
            <w:tcW w:w="3628" w:type="dxa"/>
            <w:tcBorders>
              <w:bottom w:val="single" w:sz="4" w:space="0" w:color="29114B" w:themeColor="text2"/>
            </w:tcBorders>
          </w:tcPr>
          <w:p w14:paraId="258524CF" w14:textId="4C40A686" w:rsidR="006C2B0E" w:rsidRPr="007C42BA" w:rsidRDefault="006C2B0E" w:rsidP="00625DAB">
            <w:pPr>
              <w:pStyle w:val="TableTextLeft"/>
            </w:pPr>
            <w:r w:rsidRPr="00671562">
              <w:t>Additional information, in accordance with section 17AGA, about organisations receiving amounts under reportable consultancy contracts or reportable non</w:t>
            </w:r>
            <w:r w:rsidR="00B84FF2">
              <w:noBreakHyphen/>
            </w:r>
            <w:r w:rsidRPr="00671562">
              <w:t xml:space="preserve">consultancy contracts. </w:t>
            </w:r>
          </w:p>
        </w:tc>
        <w:tc>
          <w:tcPr>
            <w:tcW w:w="1536" w:type="dxa"/>
            <w:tcBorders>
              <w:bottom w:val="single" w:sz="4" w:space="0" w:color="29114B" w:themeColor="text2"/>
            </w:tcBorders>
          </w:tcPr>
          <w:p w14:paraId="7FE1DF2E" w14:textId="77777777" w:rsidR="006C2B0E" w:rsidRPr="007C42BA" w:rsidRDefault="006C2B0E" w:rsidP="00625DAB">
            <w:pPr>
              <w:pStyle w:val="TableTextLeft"/>
            </w:pPr>
            <w:r w:rsidRPr="00671562">
              <w:t>Mandatory</w:t>
            </w:r>
          </w:p>
        </w:tc>
      </w:tr>
      <w:tr w:rsidR="00BF5581" w:rsidRPr="00671562" w14:paraId="7C425B41" w14:textId="77777777" w:rsidTr="00592520">
        <w:trPr>
          <w:trHeight w:val="20"/>
        </w:trPr>
        <w:tc>
          <w:tcPr>
            <w:tcW w:w="1159" w:type="dxa"/>
            <w:tcBorders>
              <w:top w:val="single" w:sz="4" w:space="0" w:color="29114B" w:themeColor="text2"/>
              <w:right w:val="nil"/>
            </w:tcBorders>
            <w:shd w:val="clear" w:color="auto" w:fill="CAE6F2" w:themeFill="accent3" w:themeFillTint="33"/>
            <w:hideMark/>
          </w:tcPr>
          <w:p w14:paraId="6E3D24C6" w14:textId="77777777" w:rsidR="006C2B0E" w:rsidRPr="005412ED" w:rsidRDefault="006C2B0E" w:rsidP="00625DAB">
            <w:pPr>
              <w:pStyle w:val="TableTextLeft"/>
              <w:rPr>
                <w:b/>
                <w:bCs/>
              </w:rPr>
            </w:pPr>
            <w:r w:rsidRPr="005412ED">
              <w:rPr>
                <w:b/>
                <w:bCs/>
              </w:rPr>
              <w:t> </w:t>
            </w:r>
          </w:p>
        </w:tc>
        <w:tc>
          <w:tcPr>
            <w:tcW w:w="5016" w:type="dxa"/>
            <w:gridSpan w:val="2"/>
            <w:tcBorders>
              <w:top w:val="single" w:sz="4" w:space="0" w:color="29114B" w:themeColor="text2"/>
              <w:left w:val="nil"/>
              <w:right w:val="nil"/>
            </w:tcBorders>
            <w:shd w:val="clear" w:color="auto" w:fill="CAE6F2" w:themeFill="accent3" w:themeFillTint="33"/>
            <w:hideMark/>
          </w:tcPr>
          <w:p w14:paraId="3AB8A4EF" w14:textId="77777777" w:rsidR="006C2B0E" w:rsidRPr="005412ED" w:rsidRDefault="006C2B0E" w:rsidP="00625DAB">
            <w:pPr>
              <w:pStyle w:val="TableTextLeft"/>
              <w:rPr>
                <w:b/>
                <w:bCs/>
              </w:rPr>
            </w:pPr>
            <w:r w:rsidRPr="005412ED">
              <w:rPr>
                <w:b/>
                <w:bCs/>
              </w:rPr>
              <w:t>Australian National Audit Office access clauses</w:t>
            </w:r>
          </w:p>
        </w:tc>
        <w:tc>
          <w:tcPr>
            <w:tcW w:w="1536" w:type="dxa"/>
            <w:tcBorders>
              <w:top w:val="single" w:sz="4" w:space="0" w:color="29114B" w:themeColor="text2"/>
              <w:left w:val="nil"/>
            </w:tcBorders>
            <w:shd w:val="clear" w:color="auto" w:fill="CAE6F2" w:themeFill="accent3" w:themeFillTint="33"/>
            <w:hideMark/>
          </w:tcPr>
          <w:p w14:paraId="589C38F8" w14:textId="77777777" w:rsidR="006C2B0E" w:rsidRPr="005412ED" w:rsidRDefault="006C2B0E" w:rsidP="00625DAB">
            <w:pPr>
              <w:pStyle w:val="TableTextLeft"/>
              <w:rPr>
                <w:b/>
                <w:bCs/>
              </w:rPr>
            </w:pPr>
            <w:r w:rsidRPr="005412ED">
              <w:rPr>
                <w:b/>
                <w:bCs/>
              </w:rPr>
              <w:t> </w:t>
            </w:r>
          </w:p>
        </w:tc>
      </w:tr>
      <w:tr w:rsidR="00BF5581" w:rsidRPr="00671562" w14:paraId="23142870" w14:textId="77777777" w:rsidTr="00592520">
        <w:trPr>
          <w:trHeight w:val="20"/>
        </w:trPr>
        <w:tc>
          <w:tcPr>
            <w:tcW w:w="1159" w:type="dxa"/>
            <w:tcBorders>
              <w:bottom w:val="single" w:sz="4" w:space="0" w:color="29114B" w:themeColor="text2"/>
            </w:tcBorders>
            <w:hideMark/>
          </w:tcPr>
          <w:p w14:paraId="18B3D2AA" w14:textId="77777777" w:rsidR="006C2B0E" w:rsidRPr="007C42BA" w:rsidRDefault="006C2B0E" w:rsidP="00625DAB">
            <w:pPr>
              <w:pStyle w:val="TableTextLeft"/>
            </w:pPr>
            <w:r w:rsidRPr="00671562">
              <w:t>17</w:t>
            </w:r>
            <w:proofErr w:type="gramStart"/>
            <w:r w:rsidRPr="00671562">
              <w:t>AG(</w:t>
            </w:r>
            <w:proofErr w:type="gramEnd"/>
            <w:r w:rsidRPr="00671562">
              <w:t>8)</w:t>
            </w:r>
          </w:p>
        </w:tc>
        <w:tc>
          <w:tcPr>
            <w:tcW w:w="1388" w:type="dxa"/>
            <w:tcBorders>
              <w:bottom w:val="single" w:sz="4" w:space="0" w:color="29114B" w:themeColor="text2"/>
            </w:tcBorders>
            <w:hideMark/>
          </w:tcPr>
          <w:p w14:paraId="45A57596" w14:textId="01FA787B" w:rsidR="006C2B0E" w:rsidRPr="007C42BA" w:rsidRDefault="006C2B0E" w:rsidP="00625DAB">
            <w:pPr>
              <w:pStyle w:val="TableTextLeft"/>
            </w:pPr>
            <w:r w:rsidRPr="00DF31C0">
              <w:t>Part 3 (C)</w:t>
            </w:r>
          </w:p>
        </w:tc>
        <w:tc>
          <w:tcPr>
            <w:tcW w:w="3628" w:type="dxa"/>
            <w:tcBorders>
              <w:bottom w:val="single" w:sz="4" w:space="0" w:color="29114B" w:themeColor="text2"/>
            </w:tcBorders>
            <w:hideMark/>
          </w:tcPr>
          <w:p w14:paraId="779CCD50" w14:textId="2447509C" w:rsidR="006C2B0E" w:rsidRPr="007C42BA" w:rsidRDefault="006C2B0E" w:rsidP="00625DAB">
            <w:pPr>
              <w:pStyle w:val="TableTextLeft"/>
            </w:pPr>
            <w:r w:rsidRPr="00671562">
              <w:t>If an entity entered into a contract with a value of more than $100</w:t>
            </w:r>
            <w:r w:rsidR="00343772">
              <w:t>,</w:t>
            </w:r>
            <w:r w:rsidRPr="00671562">
              <w:t>000 (inclusive of GST) and the contract did not provide the Auditor</w:t>
            </w:r>
            <w:r w:rsidR="00B84FF2">
              <w:noBreakHyphen/>
            </w:r>
            <w:r w:rsidRPr="00671562">
              <w:t>General with access to the contractor</w:t>
            </w:r>
            <w:r w:rsidR="00B84FF2">
              <w:t>’</w:t>
            </w:r>
            <w:r w:rsidRPr="00671562">
              <w:t>s premises, the report must include the name of the contractor, purpose and value of the contract, and the reason why a clause allowing access was not included in the contract.</w:t>
            </w:r>
          </w:p>
        </w:tc>
        <w:tc>
          <w:tcPr>
            <w:tcW w:w="1536" w:type="dxa"/>
            <w:tcBorders>
              <w:bottom w:val="single" w:sz="4" w:space="0" w:color="29114B" w:themeColor="text2"/>
            </w:tcBorders>
            <w:hideMark/>
          </w:tcPr>
          <w:p w14:paraId="557D5D63" w14:textId="2478DC14" w:rsidR="006C2B0E" w:rsidRPr="007C42BA" w:rsidRDefault="006C2B0E" w:rsidP="00625DAB">
            <w:pPr>
              <w:pStyle w:val="TableTextLeft"/>
            </w:pPr>
            <w:r w:rsidRPr="00671562">
              <w:t xml:space="preserve">If applicable, </w:t>
            </w:r>
            <w:r w:rsidR="00343772">
              <w:t>m</w:t>
            </w:r>
            <w:r w:rsidR="00343772" w:rsidRPr="00671562">
              <w:t>andatory</w:t>
            </w:r>
          </w:p>
          <w:p w14:paraId="45748B63" w14:textId="77777777" w:rsidR="006C2B0E" w:rsidRPr="007C42BA" w:rsidRDefault="006C2B0E" w:rsidP="00625DAB">
            <w:pPr>
              <w:pStyle w:val="TableTextLeft"/>
            </w:pPr>
          </w:p>
        </w:tc>
      </w:tr>
      <w:tr w:rsidR="00BF5581" w:rsidRPr="00671562" w14:paraId="3FFBE483" w14:textId="77777777" w:rsidTr="00592520">
        <w:trPr>
          <w:trHeight w:val="20"/>
        </w:trPr>
        <w:tc>
          <w:tcPr>
            <w:tcW w:w="1159" w:type="dxa"/>
            <w:tcBorders>
              <w:top w:val="single" w:sz="4" w:space="0" w:color="29114B" w:themeColor="text2"/>
              <w:right w:val="nil"/>
            </w:tcBorders>
            <w:shd w:val="clear" w:color="auto" w:fill="CAE6F2" w:themeFill="accent3" w:themeFillTint="33"/>
            <w:hideMark/>
          </w:tcPr>
          <w:p w14:paraId="57601180" w14:textId="77777777" w:rsidR="006C2B0E" w:rsidRPr="005412ED" w:rsidRDefault="006C2B0E" w:rsidP="00625DAB">
            <w:pPr>
              <w:pStyle w:val="TableTextLeft"/>
              <w:rPr>
                <w:b/>
                <w:bCs/>
              </w:rPr>
            </w:pPr>
            <w:r w:rsidRPr="005412ED">
              <w:rPr>
                <w:b/>
                <w:bCs/>
              </w:rPr>
              <w:t> </w:t>
            </w:r>
          </w:p>
        </w:tc>
        <w:tc>
          <w:tcPr>
            <w:tcW w:w="5016" w:type="dxa"/>
            <w:gridSpan w:val="2"/>
            <w:tcBorders>
              <w:top w:val="single" w:sz="4" w:space="0" w:color="29114B" w:themeColor="text2"/>
              <w:left w:val="nil"/>
              <w:right w:val="nil"/>
            </w:tcBorders>
            <w:shd w:val="clear" w:color="auto" w:fill="CAE6F2" w:themeFill="accent3" w:themeFillTint="33"/>
            <w:hideMark/>
          </w:tcPr>
          <w:p w14:paraId="1B8C39EA" w14:textId="77777777" w:rsidR="006C2B0E" w:rsidRPr="005412ED" w:rsidRDefault="006C2B0E" w:rsidP="00625DAB">
            <w:pPr>
              <w:pStyle w:val="TableTextLeft"/>
              <w:rPr>
                <w:b/>
                <w:bCs/>
              </w:rPr>
            </w:pPr>
            <w:r w:rsidRPr="005412ED">
              <w:rPr>
                <w:b/>
                <w:bCs/>
              </w:rPr>
              <w:t>Exempt contracts</w:t>
            </w:r>
          </w:p>
        </w:tc>
        <w:tc>
          <w:tcPr>
            <w:tcW w:w="1536" w:type="dxa"/>
            <w:tcBorders>
              <w:top w:val="single" w:sz="4" w:space="0" w:color="29114B" w:themeColor="text2"/>
              <w:left w:val="nil"/>
            </w:tcBorders>
            <w:shd w:val="clear" w:color="auto" w:fill="CAE6F2" w:themeFill="accent3" w:themeFillTint="33"/>
            <w:hideMark/>
          </w:tcPr>
          <w:p w14:paraId="6D967463" w14:textId="77777777" w:rsidR="006C2B0E" w:rsidRPr="005412ED" w:rsidRDefault="006C2B0E" w:rsidP="00625DAB">
            <w:pPr>
              <w:pStyle w:val="TableTextLeft"/>
              <w:rPr>
                <w:b/>
                <w:bCs/>
              </w:rPr>
            </w:pPr>
            <w:r w:rsidRPr="005412ED">
              <w:rPr>
                <w:b/>
                <w:bCs/>
              </w:rPr>
              <w:t> </w:t>
            </w:r>
          </w:p>
        </w:tc>
      </w:tr>
      <w:tr w:rsidR="00BF5581" w:rsidRPr="00671562" w14:paraId="6B644996" w14:textId="77777777" w:rsidTr="00592520">
        <w:trPr>
          <w:trHeight w:val="20"/>
        </w:trPr>
        <w:tc>
          <w:tcPr>
            <w:tcW w:w="1159" w:type="dxa"/>
            <w:hideMark/>
          </w:tcPr>
          <w:p w14:paraId="3D7A5AD2" w14:textId="77777777" w:rsidR="006C2B0E" w:rsidRPr="007C42BA" w:rsidRDefault="006C2B0E" w:rsidP="00625DAB">
            <w:pPr>
              <w:pStyle w:val="TableTextLeft"/>
            </w:pPr>
            <w:r w:rsidRPr="00671562">
              <w:t>17</w:t>
            </w:r>
            <w:proofErr w:type="gramStart"/>
            <w:r w:rsidRPr="00671562">
              <w:t>AG(</w:t>
            </w:r>
            <w:proofErr w:type="gramEnd"/>
            <w:r w:rsidRPr="00671562">
              <w:t>9)</w:t>
            </w:r>
          </w:p>
        </w:tc>
        <w:tc>
          <w:tcPr>
            <w:tcW w:w="1388" w:type="dxa"/>
            <w:hideMark/>
          </w:tcPr>
          <w:p w14:paraId="19FAECFA" w14:textId="00ECBEE2" w:rsidR="006C2B0E" w:rsidRPr="007C42BA" w:rsidRDefault="006C2B0E" w:rsidP="00625DAB">
            <w:pPr>
              <w:pStyle w:val="TableTextLeft"/>
            </w:pPr>
            <w:r w:rsidRPr="00DF31C0">
              <w:t>Part 3 (C)</w:t>
            </w:r>
          </w:p>
        </w:tc>
        <w:tc>
          <w:tcPr>
            <w:tcW w:w="3628" w:type="dxa"/>
            <w:hideMark/>
          </w:tcPr>
          <w:p w14:paraId="4A61FF9F" w14:textId="4B9FBCCA" w:rsidR="006C2B0E" w:rsidRPr="007C42BA" w:rsidRDefault="006C2B0E" w:rsidP="00625DAB">
            <w:pPr>
              <w:pStyle w:val="TableTextLeft"/>
            </w:pPr>
            <w:r w:rsidRPr="00671562">
              <w:t>If an entity entered into a contract or there is a standing offer with a value greater than $10</w:t>
            </w:r>
            <w:r w:rsidR="00343772">
              <w:t>,</w:t>
            </w:r>
            <w:r w:rsidRPr="00671562">
              <w:t xml:space="preserve">000 (inclusive of GST) which has been exempted from being published in </w:t>
            </w:r>
            <w:proofErr w:type="spellStart"/>
            <w:r w:rsidRPr="00671562">
              <w:t>AusTender</w:t>
            </w:r>
            <w:proofErr w:type="spellEnd"/>
            <w:r w:rsidRPr="00671562">
              <w:t xml:space="preserve"> because it would disclose exempt matters under the FOI Act, the annual report must include a statement that the contract or standing offer has been exempted, and the value of the contract or standing offer, to the extent that doing so does not disclose the exempt matters.</w:t>
            </w:r>
          </w:p>
        </w:tc>
        <w:tc>
          <w:tcPr>
            <w:tcW w:w="1536" w:type="dxa"/>
            <w:hideMark/>
          </w:tcPr>
          <w:p w14:paraId="2C985792" w14:textId="4A1A5CD6" w:rsidR="006C2B0E" w:rsidRPr="007C42BA" w:rsidRDefault="006C2B0E" w:rsidP="00625DAB">
            <w:pPr>
              <w:pStyle w:val="TableTextLeft"/>
            </w:pPr>
            <w:r w:rsidRPr="00671562">
              <w:t xml:space="preserve">If applicable, </w:t>
            </w:r>
            <w:r w:rsidR="00343772">
              <w:t>m</w:t>
            </w:r>
            <w:r w:rsidR="00343772" w:rsidRPr="00671562">
              <w:t>andatory</w:t>
            </w:r>
          </w:p>
        </w:tc>
      </w:tr>
    </w:tbl>
    <w:p w14:paraId="41573E52" w14:textId="588CFA2A" w:rsidR="0048098F" w:rsidRDefault="0048098F" w:rsidP="00D30A4D"/>
    <w:tbl>
      <w:tblPr>
        <w:tblStyle w:val="AOFMTablemain"/>
        <w:tblW w:w="5000" w:type="pct"/>
        <w:tblLayout w:type="fixed"/>
        <w:tblLook w:val="06A0" w:firstRow="1" w:lastRow="0" w:firstColumn="1" w:lastColumn="0" w:noHBand="1" w:noVBand="1"/>
      </w:tblPr>
      <w:tblGrid>
        <w:gridCol w:w="1308"/>
        <w:gridCol w:w="1386"/>
        <w:gridCol w:w="3685"/>
        <w:gridCol w:w="1332"/>
      </w:tblGrid>
      <w:tr w:rsidR="006C235E" w:rsidRPr="00673A69" w14:paraId="28D55658"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308" w:type="dxa"/>
            <w:tcBorders>
              <w:bottom w:val="single" w:sz="4" w:space="0" w:color="29114B" w:themeColor="text2"/>
            </w:tcBorders>
            <w:tcMar>
              <w:top w:w="57" w:type="dxa"/>
              <w:bottom w:w="57" w:type="dxa"/>
            </w:tcMar>
            <w:vAlign w:val="bottom"/>
          </w:tcPr>
          <w:p w14:paraId="00912D30" w14:textId="77777777" w:rsidR="00673A69" w:rsidRPr="0048098F" w:rsidRDefault="00673A69" w:rsidP="00E46CBD">
            <w:pPr>
              <w:pStyle w:val="TableColumnHeadingLeft"/>
              <w:rPr>
                <w:rStyle w:val="Strong"/>
                <w:b/>
                <w:bCs w:val="0"/>
              </w:rPr>
            </w:pPr>
            <w:r w:rsidRPr="0048098F">
              <w:lastRenderedPageBreak/>
              <w:t>PGPA rule reference</w:t>
            </w:r>
          </w:p>
        </w:tc>
        <w:tc>
          <w:tcPr>
            <w:tcW w:w="1386" w:type="dxa"/>
            <w:tcBorders>
              <w:bottom w:val="single" w:sz="4" w:space="0" w:color="29114B" w:themeColor="text2"/>
            </w:tcBorders>
            <w:tcMar>
              <w:top w:w="57" w:type="dxa"/>
              <w:bottom w:w="57" w:type="dxa"/>
            </w:tcMar>
            <w:vAlign w:val="bottom"/>
          </w:tcPr>
          <w:p w14:paraId="4E41E8B7" w14:textId="77777777" w:rsidR="00673A69" w:rsidRPr="0048098F" w:rsidRDefault="00673A69" w:rsidP="00E46CBD">
            <w:pPr>
              <w:pStyle w:val="TableColumnHeadingLeft"/>
              <w:rPr>
                <w:rStyle w:val="Strong"/>
                <w:b/>
                <w:bCs w:val="0"/>
              </w:rPr>
            </w:pPr>
            <w:r w:rsidRPr="0048098F">
              <w:t>Part of report</w:t>
            </w:r>
          </w:p>
        </w:tc>
        <w:tc>
          <w:tcPr>
            <w:tcW w:w="3685" w:type="dxa"/>
            <w:tcBorders>
              <w:bottom w:val="single" w:sz="4" w:space="0" w:color="29114B" w:themeColor="text2"/>
            </w:tcBorders>
            <w:tcMar>
              <w:top w:w="57" w:type="dxa"/>
              <w:bottom w:w="57" w:type="dxa"/>
            </w:tcMar>
            <w:vAlign w:val="bottom"/>
          </w:tcPr>
          <w:p w14:paraId="5C7F4D0C" w14:textId="5331A6DF" w:rsidR="00673A69" w:rsidRPr="0048098F" w:rsidRDefault="00673A69" w:rsidP="00E46CBD">
            <w:pPr>
              <w:pStyle w:val="TableColumnHeadingLeft"/>
              <w:rPr>
                <w:rStyle w:val="Strong"/>
                <w:b/>
                <w:bCs w:val="0"/>
              </w:rPr>
            </w:pPr>
            <w:r w:rsidRPr="0048098F">
              <w:rPr>
                <w:rStyle w:val="Strong"/>
                <w:b/>
                <w:bCs w:val="0"/>
              </w:rPr>
              <w:t>Description</w:t>
            </w:r>
          </w:p>
        </w:tc>
        <w:tc>
          <w:tcPr>
            <w:tcW w:w="1332" w:type="dxa"/>
            <w:tcBorders>
              <w:bottom w:val="single" w:sz="4" w:space="0" w:color="29114B" w:themeColor="text2"/>
            </w:tcBorders>
            <w:tcMar>
              <w:top w:w="57" w:type="dxa"/>
              <w:bottom w:w="57" w:type="dxa"/>
            </w:tcMar>
            <w:vAlign w:val="bottom"/>
          </w:tcPr>
          <w:p w14:paraId="2D9784FB" w14:textId="77777777" w:rsidR="00673A69" w:rsidRPr="0048098F" w:rsidRDefault="00673A69" w:rsidP="00E46CBD">
            <w:pPr>
              <w:pStyle w:val="TableColumnHeadingLeft"/>
            </w:pPr>
            <w:r w:rsidRPr="0048098F">
              <w:t>Requirement</w:t>
            </w:r>
          </w:p>
        </w:tc>
      </w:tr>
      <w:tr w:rsidR="0048098F" w:rsidRPr="005412ED" w14:paraId="07119EEF" w14:textId="77777777" w:rsidTr="000E74BE">
        <w:trPr>
          <w:trHeight w:val="20"/>
        </w:trPr>
        <w:tc>
          <w:tcPr>
            <w:tcW w:w="1308" w:type="dxa"/>
            <w:tcBorders>
              <w:top w:val="single" w:sz="4" w:space="0" w:color="29114B" w:themeColor="text2"/>
              <w:right w:val="nil"/>
            </w:tcBorders>
            <w:shd w:val="clear" w:color="auto" w:fill="CAE6F2" w:themeFill="accent3" w:themeFillTint="33"/>
            <w:tcMar>
              <w:top w:w="57" w:type="dxa"/>
              <w:bottom w:w="57" w:type="dxa"/>
            </w:tcMar>
          </w:tcPr>
          <w:p w14:paraId="577C63C8" w14:textId="77777777" w:rsidR="0048098F" w:rsidRPr="005412ED" w:rsidRDefault="0048098F" w:rsidP="00625DAB">
            <w:pPr>
              <w:pStyle w:val="TableTextLeft"/>
              <w:rPr>
                <w:b/>
                <w:bCs/>
              </w:rPr>
            </w:pPr>
          </w:p>
        </w:tc>
        <w:tc>
          <w:tcPr>
            <w:tcW w:w="1386" w:type="dxa"/>
            <w:tcBorders>
              <w:top w:val="single" w:sz="4" w:space="0" w:color="29114B" w:themeColor="text2"/>
              <w:left w:val="nil"/>
              <w:right w:val="nil"/>
            </w:tcBorders>
            <w:shd w:val="clear" w:color="auto" w:fill="CAE6F2" w:themeFill="accent3" w:themeFillTint="33"/>
            <w:tcMar>
              <w:top w:w="57" w:type="dxa"/>
              <w:bottom w:w="57" w:type="dxa"/>
            </w:tcMar>
          </w:tcPr>
          <w:p w14:paraId="5A0CCF00" w14:textId="386D3274" w:rsidR="0048098F" w:rsidRPr="005412ED" w:rsidRDefault="0048098F" w:rsidP="00625DAB">
            <w:pPr>
              <w:pStyle w:val="TableTextLeft"/>
              <w:rPr>
                <w:b/>
                <w:bCs/>
              </w:rPr>
            </w:pPr>
            <w:r w:rsidRPr="005412ED">
              <w:rPr>
                <w:b/>
                <w:bCs/>
              </w:rPr>
              <w:t>Small business</w:t>
            </w:r>
          </w:p>
        </w:tc>
        <w:tc>
          <w:tcPr>
            <w:tcW w:w="3685" w:type="dxa"/>
            <w:tcBorders>
              <w:top w:val="single" w:sz="4" w:space="0" w:color="29114B" w:themeColor="text2"/>
              <w:left w:val="nil"/>
              <w:right w:val="nil"/>
            </w:tcBorders>
            <w:shd w:val="clear" w:color="auto" w:fill="CAE6F2" w:themeFill="accent3" w:themeFillTint="33"/>
            <w:tcMar>
              <w:top w:w="57" w:type="dxa"/>
              <w:bottom w:w="57" w:type="dxa"/>
            </w:tcMar>
          </w:tcPr>
          <w:p w14:paraId="386E2557" w14:textId="77777777" w:rsidR="0048098F" w:rsidRPr="005412ED" w:rsidRDefault="0048098F" w:rsidP="00625DAB">
            <w:pPr>
              <w:pStyle w:val="TableTextLeft"/>
              <w:rPr>
                <w:b/>
                <w:bCs/>
              </w:rPr>
            </w:pP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749B5B7C" w14:textId="77777777" w:rsidR="0048098F" w:rsidRPr="005412ED" w:rsidRDefault="0048098F" w:rsidP="00625DAB">
            <w:pPr>
              <w:pStyle w:val="TableTextLeft"/>
              <w:rPr>
                <w:b/>
                <w:bCs/>
              </w:rPr>
            </w:pPr>
          </w:p>
        </w:tc>
      </w:tr>
      <w:tr w:rsidR="00D05DE1" w:rsidRPr="00673A69" w14:paraId="60A8B364" w14:textId="77777777" w:rsidTr="000E74BE">
        <w:trPr>
          <w:trHeight w:val="20"/>
        </w:trPr>
        <w:tc>
          <w:tcPr>
            <w:tcW w:w="1308" w:type="dxa"/>
            <w:tcMar>
              <w:top w:w="57" w:type="dxa"/>
              <w:bottom w:w="57" w:type="dxa"/>
            </w:tcMar>
            <w:hideMark/>
          </w:tcPr>
          <w:p w14:paraId="1B5C4F62" w14:textId="77777777" w:rsidR="00D05DE1" w:rsidRPr="00533911" w:rsidRDefault="00D05DE1" w:rsidP="00625DAB">
            <w:pPr>
              <w:pStyle w:val="TableTextLeft"/>
            </w:pPr>
            <w:r w:rsidRPr="00673A69">
              <w:t>17</w:t>
            </w:r>
            <w:proofErr w:type="gramStart"/>
            <w:r w:rsidRPr="00673A69">
              <w:t>AG(</w:t>
            </w:r>
            <w:proofErr w:type="gramEnd"/>
            <w:r w:rsidRPr="00673A69">
              <w:t>10)(a)</w:t>
            </w:r>
          </w:p>
        </w:tc>
        <w:tc>
          <w:tcPr>
            <w:tcW w:w="1386" w:type="dxa"/>
            <w:tcMar>
              <w:top w:w="57" w:type="dxa"/>
              <w:bottom w:w="57" w:type="dxa"/>
            </w:tcMar>
            <w:hideMark/>
          </w:tcPr>
          <w:p w14:paraId="3F5E3134" w14:textId="1563A06D" w:rsidR="00D05DE1" w:rsidRPr="00533911" w:rsidRDefault="00D05DE1" w:rsidP="00625DAB">
            <w:pPr>
              <w:pStyle w:val="TableTextLeft"/>
              <w:rPr>
                <w:highlight w:val="yellow"/>
              </w:rPr>
            </w:pPr>
            <w:r w:rsidRPr="00DF31C0">
              <w:t>Part 3 (C)</w:t>
            </w:r>
          </w:p>
        </w:tc>
        <w:tc>
          <w:tcPr>
            <w:tcW w:w="3685" w:type="dxa"/>
            <w:tcMar>
              <w:top w:w="57" w:type="dxa"/>
              <w:bottom w:w="57" w:type="dxa"/>
            </w:tcMar>
            <w:hideMark/>
          </w:tcPr>
          <w:p w14:paraId="1B926020" w14:textId="01F25FD0" w:rsidR="00D05DE1" w:rsidRPr="00533911" w:rsidRDefault="00D05DE1" w:rsidP="00625DAB">
            <w:pPr>
              <w:pStyle w:val="TableTextLeft"/>
            </w:pPr>
            <w:r w:rsidRPr="00673A69">
              <w:t xml:space="preserve">A statement </w:t>
            </w:r>
            <w:proofErr w:type="gramStart"/>
            <w:r w:rsidRPr="00673A69">
              <w:t>that </w:t>
            </w:r>
            <w:r w:rsidR="00B84FF2">
              <w:t>’</w:t>
            </w:r>
            <w:proofErr w:type="gramEnd"/>
            <w:r w:rsidR="00343772" w:rsidRPr="00673A69">
              <w:t>[</w:t>
            </w:r>
            <w:r w:rsidRPr="00673A69">
              <w:t xml:space="preserve">Name of entity] supports small business participation in the Commonwealth Government procurement market. Small and </w:t>
            </w:r>
            <w:r w:rsidR="00B354BD">
              <w:t>m</w:t>
            </w:r>
            <w:r w:rsidR="00B354BD" w:rsidRPr="00673A69">
              <w:t xml:space="preserve">edium </w:t>
            </w:r>
            <w:r w:rsidR="00B354BD">
              <w:t>e</w:t>
            </w:r>
            <w:r w:rsidR="00B354BD" w:rsidRPr="00673A69">
              <w:t xml:space="preserve">nterprises </w:t>
            </w:r>
            <w:r w:rsidRPr="00673A69">
              <w:t xml:space="preserve">(SME) and </w:t>
            </w:r>
            <w:r w:rsidR="00B354BD">
              <w:t>s</w:t>
            </w:r>
            <w:r w:rsidR="00B354BD" w:rsidRPr="00673A69">
              <w:t xml:space="preserve">mall </w:t>
            </w:r>
            <w:r w:rsidR="00B354BD">
              <w:t>e</w:t>
            </w:r>
            <w:r w:rsidR="00B354BD" w:rsidRPr="00673A69">
              <w:t xml:space="preserve">nterprise </w:t>
            </w:r>
            <w:r w:rsidRPr="00673A69">
              <w:t>participation statistics are available on the Department of Finance</w:t>
            </w:r>
            <w:r w:rsidR="00B84FF2">
              <w:t>’</w:t>
            </w:r>
            <w:r w:rsidRPr="00673A69">
              <w:t>s website.</w:t>
            </w:r>
            <w:r w:rsidR="00B84FF2">
              <w:t>’</w:t>
            </w:r>
          </w:p>
        </w:tc>
        <w:tc>
          <w:tcPr>
            <w:tcW w:w="1332" w:type="dxa"/>
            <w:tcMar>
              <w:top w:w="57" w:type="dxa"/>
              <w:bottom w:w="57" w:type="dxa"/>
            </w:tcMar>
            <w:hideMark/>
          </w:tcPr>
          <w:p w14:paraId="597E62FF" w14:textId="77777777" w:rsidR="00D05DE1" w:rsidRPr="00533911" w:rsidRDefault="00D05DE1" w:rsidP="00625DAB">
            <w:pPr>
              <w:pStyle w:val="TableTextLeft"/>
            </w:pPr>
            <w:r w:rsidRPr="00673A69">
              <w:t>Mandatory</w:t>
            </w:r>
          </w:p>
        </w:tc>
      </w:tr>
      <w:tr w:rsidR="00D05DE1" w:rsidRPr="00673A69" w14:paraId="372879D1" w14:textId="77777777" w:rsidTr="000E74BE">
        <w:trPr>
          <w:trHeight w:val="20"/>
        </w:trPr>
        <w:tc>
          <w:tcPr>
            <w:tcW w:w="1308" w:type="dxa"/>
            <w:tcMar>
              <w:top w:w="57" w:type="dxa"/>
              <w:bottom w:w="57" w:type="dxa"/>
            </w:tcMar>
            <w:hideMark/>
          </w:tcPr>
          <w:p w14:paraId="42F6EC9A" w14:textId="77777777" w:rsidR="00D05DE1" w:rsidRPr="00533911" w:rsidRDefault="00D05DE1" w:rsidP="00625DAB">
            <w:pPr>
              <w:pStyle w:val="TableTextLeft"/>
            </w:pPr>
            <w:r w:rsidRPr="00673A69">
              <w:t>17</w:t>
            </w:r>
            <w:proofErr w:type="gramStart"/>
            <w:r w:rsidRPr="00673A69">
              <w:t>AG(</w:t>
            </w:r>
            <w:proofErr w:type="gramEnd"/>
            <w:r w:rsidRPr="00673A69">
              <w:t>10)(b)</w:t>
            </w:r>
          </w:p>
        </w:tc>
        <w:tc>
          <w:tcPr>
            <w:tcW w:w="1386" w:type="dxa"/>
            <w:tcMar>
              <w:top w:w="57" w:type="dxa"/>
              <w:bottom w:w="57" w:type="dxa"/>
            </w:tcMar>
            <w:hideMark/>
          </w:tcPr>
          <w:p w14:paraId="15DFB1A8" w14:textId="2A0E222D" w:rsidR="00D05DE1" w:rsidRPr="00DF31C0" w:rsidRDefault="00D05DE1" w:rsidP="00625DAB">
            <w:pPr>
              <w:pStyle w:val="TableTextLeft"/>
            </w:pPr>
            <w:r w:rsidRPr="00DF31C0">
              <w:t>Part 3 (C)</w:t>
            </w:r>
          </w:p>
        </w:tc>
        <w:tc>
          <w:tcPr>
            <w:tcW w:w="3685" w:type="dxa"/>
            <w:tcMar>
              <w:top w:w="57" w:type="dxa"/>
              <w:bottom w:w="57" w:type="dxa"/>
            </w:tcMar>
            <w:hideMark/>
          </w:tcPr>
          <w:p w14:paraId="41AF281D" w14:textId="77777777" w:rsidR="00D05DE1" w:rsidRPr="00533911" w:rsidRDefault="00D05DE1" w:rsidP="00625DAB">
            <w:pPr>
              <w:pStyle w:val="TableTextLeft"/>
            </w:pPr>
            <w:r w:rsidRPr="00673A69">
              <w:t>An outline of the ways in which the procurement practices of the entity support small and medium enterprises.</w:t>
            </w:r>
          </w:p>
        </w:tc>
        <w:tc>
          <w:tcPr>
            <w:tcW w:w="1332" w:type="dxa"/>
            <w:tcMar>
              <w:top w:w="57" w:type="dxa"/>
              <w:bottom w:w="57" w:type="dxa"/>
            </w:tcMar>
            <w:hideMark/>
          </w:tcPr>
          <w:p w14:paraId="77A2AF35" w14:textId="77777777" w:rsidR="00D05DE1" w:rsidRPr="00533911" w:rsidRDefault="00D05DE1" w:rsidP="00625DAB">
            <w:pPr>
              <w:pStyle w:val="TableTextLeft"/>
            </w:pPr>
            <w:r w:rsidRPr="00673A69">
              <w:t>Mandatory</w:t>
            </w:r>
          </w:p>
        </w:tc>
      </w:tr>
      <w:tr w:rsidR="00D05DE1" w:rsidRPr="00673A69" w14:paraId="49951BD9" w14:textId="77777777" w:rsidTr="000E74BE">
        <w:trPr>
          <w:trHeight w:val="20"/>
        </w:trPr>
        <w:tc>
          <w:tcPr>
            <w:tcW w:w="1308" w:type="dxa"/>
            <w:tcBorders>
              <w:bottom w:val="single" w:sz="4" w:space="0" w:color="29114B" w:themeColor="text2"/>
            </w:tcBorders>
            <w:tcMar>
              <w:top w:w="57" w:type="dxa"/>
              <w:bottom w:w="57" w:type="dxa"/>
            </w:tcMar>
            <w:hideMark/>
          </w:tcPr>
          <w:p w14:paraId="26D6209E" w14:textId="77777777" w:rsidR="00D05DE1" w:rsidRPr="00533911" w:rsidRDefault="00D05DE1" w:rsidP="00625DAB">
            <w:pPr>
              <w:pStyle w:val="TableTextLeft"/>
            </w:pPr>
            <w:r w:rsidRPr="00673A69">
              <w:t>17</w:t>
            </w:r>
            <w:proofErr w:type="gramStart"/>
            <w:r w:rsidRPr="00673A69">
              <w:t>AG(</w:t>
            </w:r>
            <w:proofErr w:type="gramEnd"/>
            <w:r w:rsidRPr="00673A69">
              <w:t>10)(c)</w:t>
            </w:r>
          </w:p>
        </w:tc>
        <w:tc>
          <w:tcPr>
            <w:tcW w:w="1386" w:type="dxa"/>
            <w:tcBorders>
              <w:bottom w:val="single" w:sz="4" w:space="0" w:color="29114B" w:themeColor="text2"/>
            </w:tcBorders>
            <w:tcMar>
              <w:top w:w="57" w:type="dxa"/>
              <w:bottom w:w="57" w:type="dxa"/>
            </w:tcMar>
            <w:hideMark/>
          </w:tcPr>
          <w:p w14:paraId="7FAE1121" w14:textId="7B41E1FB" w:rsidR="00D05DE1" w:rsidRPr="00DF31C0" w:rsidRDefault="00D05DE1" w:rsidP="00625DAB">
            <w:pPr>
              <w:pStyle w:val="TableTextLeft"/>
            </w:pPr>
            <w:r w:rsidRPr="00DF31C0">
              <w:t>Part 3 (C)</w:t>
            </w:r>
          </w:p>
        </w:tc>
        <w:tc>
          <w:tcPr>
            <w:tcW w:w="3685" w:type="dxa"/>
            <w:tcBorders>
              <w:bottom w:val="single" w:sz="4" w:space="0" w:color="29114B" w:themeColor="text2"/>
            </w:tcBorders>
            <w:tcMar>
              <w:top w:w="57" w:type="dxa"/>
              <w:bottom w:w="57" w:type="dxa"/>
            </w:tcMar>
            <w:hideMark/>
          </w:tcPr>
          <w:p w14:paraId="53D426FB" w14:textId="2A71D24F" w:rsidR="00D05DE1" w:rsidRPr="00533911" w:rsidRDefault="00D05DE1" w:rsidP="00625DAB">
            <w:pPr>
              <w:pStyle w:val="TableTextLeft"/>
            </w:pPr>
            <w:r w:rsidRPr="00673A69">
              <w:t xml:space="preserve">If the entity is considered by the Department administered by the </w:t>
            </w:r>
            <w:proofErr w:type="gramStart"/>
            <w:r w:rsidRPr="00673A69">
              <w:t>Finance Minister</w:t>
            </w:r>
            <w:proofErr w:type="gramEnd"/>
            <w:r w:rsidRPr="00673A69">
              <w:t xml:space="preserve"> as material in nature</w:t>
            </w:r>
            <w:r w:rsidR="00343772">
              <w:t xml:space="preserve"> – </w:t>
            </w:r>
            <w:r w:rsidRPr="00673A69">
              <w:t xml:space="preserve">a statement that </w:t>
            </w:r>
            <w:r w:rsidR="00B84FF2">
              <w:t>‘</w:t>
            </w:r>
            <w:r w:rsidR="00343772" w:rsidRPr="00673A69">
              <w:t>[</w:t>
            </w:r>
            <w:r w:rsidRPr="00673A69">
              <w:t>Name of entity] recognises the importance of ensuring that small businesses are paid on time. The results of the Survey of Australian Government Payments to Small Business are available on the Treasury</w:t>
            </w:r>
            <w:r w:rsidR="00B84FF2">
              <w:t>’</w:t>
            </w:r>
            <w:r w:rsidRPr="00673A69">
              <w:t>s website.</w:t>
            </w:r>
            <w:r w:rsidR="00B84FF2">
              <w:t>’</w:t>
            </w:r>
          </w:p>
        </w:tc>
        <w:tc>
          <w:tcPr>
            <w:tcW w:w="1332" w:type="dxa"/>
            <w:tcBorders>
              <w:bottom w:val="single" w:sz="4" w:space="0" w:color="29114B" w:themeColor="text2"/>
            </w:tcBorders>
            <w:tcMar>
              <w:top w:w="57" w:type="dxa"/>
              <w:bottom w:w="57" w:type="dxa"/>
            </w:tcMar>
            <w:hideMark/>
          </w:tcPr>
          <w:p w14:paraId="0CE85F1A" w14:textId="432B20A5" w:rsidR="00D05DE1" w:rsidRPr="00533911" w:rsidRDefault="00D05DE1" w:rsidP="00625DAB">
            <w:pPr>
              <w:pStyle w:val="TableTextLeft"/>
            </w:pPr>
            <w:r w:rsidRPr="00673A69">
              <w:t xml:space="preserve">If applicable, </w:t>
            </w:r>
            <w:r w:rsidR="00343772">
              <w:t>m</w:t>
            </w:r>
            <w:r w:rsidR="00343772" w:rsidRPr="00673A69">
              <w:t>andatory</w:t>
            </w:r>
          </w:p>
        </w:tc>
      </w:tr>
      <w:tr w:rsidR="00D05DE1" w:rsidRPr="00673A69" w14:paraId="3E2B3700" w14:textId="77777777" w:rsidTr="000E74BE">
        <w:trPr>
          <w:trHeight w:val="20"/>
        </w:trPr>
        <w:tc>
          <w:tcPr>
            <w:tcW w:w="1308" w:type="dxa"/>
            <w:tcBorders>
              <w:top w:val="single" w:sz="4" w:space="0" w:color="29114B" w:themeColor="text2"/>
              <w:right w:val="nil"/>
            </w:tcBorders>
            <w:shd w:val="clear" w:color="auto" w:fill="CAE6F2" w:themeFill="accent3" w:themeFillTint="33"/>
            <w:tcMar>
              <w:top w:w="57" w:type="dxa"/>
              <w:bottom w:w="57" w:type="dxa"/>
            </w:tcMar>
            <w:hideMark/>
          </w:tcPr>
          <w:p w14:paraId="785A1E88" w14:textId="77777777" w:rsidR="00D05DE1" w:rsidRPr="005412ED" w:rsidRDefault="00D05DE1" w:rsidP="00625DAB">
            <w:pPr>
              <w:pStyle w:val="TableTextLeft"/>
              <w:rPr>
                <w:b/>
                <w:bCs/>
              </w:rPr>
            </w:pPr>
            <w:r w:rsidRPr="005412ED">
              <w:rPr>
                <w:b/>
                <w:bCs/>
              </w:rPr>
              <w:t> </w:t>
            </w:r>
          </w:p>
        </w:tc>
        <w:tc>
          <w:tcPr>
            <w:tcW w:w="5071" w:type="dxa"/>
            <w:gridSpan w:val="2"/>
            <w:tcBorders>
              <w:top w:val="single" w:sz="4" w:space="0" w:color="29114B" w:themeColor="text2"/>
              <w:left w:val="nil"/>
              <w:right w:val="nil"/>
            </w:tcBorders>
            <w:shd w:val="clear" w:color="auto" w:fill="CAE6F2" w:themeFill="accent3" w:themeFillTint="33"/>
            <w:tcMar>
              <w:top w:w="57" w:type="dxa"/>
              <w:bottom w:w="57" w:type="dxa"/>
            </w:tcMar>
            <w:hideMark/>
          </w:tcPr>
          <w:p w14:paraId="34524B48" w14:textId="77777777" w:rsidR="00D05DE1" w:rsidRPr="005412ED" w:rsidRDefault="00D05DE1" w:rsidP="00625DAB">
            <w:pPr>
              <w:pStyle w:val="TableTextLeft"/>
              <w:rPr>
                <w:b/>
                <w:bCs/>
              </w:rPr>
            </w:pPr>
            <w:r w:rsidRPr="005412ED">
              <w:rPr>
                <w:b/>
                <w:bCs/>
              </w:rPr>
              <w:t>Financial statements</w:t>
            </w:r>
          </w:p>
        </w:tc>
        <w:tc>
          <w:tcPr>
            <w:tcW w:w="1332" w:type="dxa"/>
            <w:tcBorders>
              <w:top w:val="single" w:sz="4" w:space="0" w:color="29114B" w:themeColor="text2"/>
              <w:left w:val="nil"/>
            </w:tcBorders>
            <w:shd w:val="clear" w:color="auto" w:fill="CAE6F2" w:themeFill="accent3" w:themeFillTint="33"/>
            <w:tcMar>
              <w:top w:w="57" w:type="dxa"/>
              <w:bottom w:w="57" w:type="dxa"/>
            </w:tcMar>
            <w:hideMark/>
          </w:tcPr>
          <w:p w14:paraId="541ED701" w14:textId="77777777" w:rsidR="00D05DE1" w:rsidRPr="005412ED" w:rsidRDefault="00D05DE1" w:rsidP="00625DAB">
            <w:pPr>
              <w:pStyle w:val="TableTextLeft"/>
              <w:rPr>
                <w:b/>
                <w:bCs/>
              </w:rPr>
            </w:pPr>
            <w:r w:rsidRPr="005412ED">
              <w:rPr>
                <w:b/>
                <w:bCs/>
              </w:rPr>
              <w:t> </w:t>
            </w:r>
          </w:p>
        </w:tc>
      </w:tr>
      <w:tr w:rsidR="00D05DE1" w:rsidRPr="00673A69" w14:paraId="30C94A70" w14:textId="77777777" w:rsidTr="000E74BE">
        <w:trPr>
          <w:trHeight w:val="20"/>
        </w:trPr>
        <w:tc>
          <w:tcPr>
            <w:tcW w:w="1308" w:type="dxa"/>
            <w:tcBorders>
              <w:bottom w:val="single" w:sz="4" w:space="0" w:color="29114B" w:themeColor="text2"/>
            </w:tcBorders>
            <w:tcMar>
              <w:top w:w="57" w:type="dxa"/>
              <w:bottom w:w="57" w:type="dxa"/>
            </w:tcMar>
            <w:hideMark/>
          </w:tcPr>
          <w:p w14:paraId="1AE9DB96" w14:textId="77777777" w:rsidR="00D05DE1" w:rsidRPr="00533911" w:rsidRDefault="00D05DE1" w:rsidP="00625DAB">
            <w:pPr>
              <w:pStyle w:val="TableTextLeft"/>
            </w:pPr>
            <w:r w:rsidRPr="00673A69">
              <w:t>17AD(e)</w:t>
            </w:r>
          </w:p>
        </w:tc>
        <w:tc>
          <w:tcPr>
            <w:tcW w:w="1386" w:type="dxa"/>
            <w:tcBorders>
              <w:bottom w:val="single" w:sz="4" w:space="0" w:color="29114B" w:themeColor="text2"/>
            </w:tcBorders>
            <w:tcMar>
              <w:top w:w="57" w:type="dxa"/>
              <w:bottom w:w="57" w:type="dxa"/>
            </w:tcMar>
            <w:hideMark/>
          </w:tcPr>
          <w:p w14:paraId="1899C224" w14:textId="29875119" w:rsidR="00D05DE1" w:rsidRPr="00533911" w:rsidRDefault="00D05DE1" w:rsidP="00625DAB">
            <w:pPr>
              <w:pStyle w:val="TableTextLeft"/>
            </w:pPr>
            <w:r w:rsidRPr="00DF31C0">
              <w:t>Part 4</w:t>
            </w:r>
          </w:p>
        </w:tc>
        <w:tc>
          <w:tcPr>
            <w:tcW w:w="3685" w:type="dxa"/>
            <w:tcBorders>
              <w:bottom w:val="single" w:sz="4" w:space="0" w:color="29114B" w:themeColor="text2"/>
            </w:tcBorders>
            <w:tcMar>
              <w:top w:w="57" w:type="dxa"/>
              <w:bottom w:w="57" w:type="dxa"/>
            </w:tcMar>
            <w:hideMark/>
          </w:tcPr>
          <w:p w14:paraId="5DB99ED7" w14:textId="77777777" w:rsidR="00D05DE1" w:rsidRPr="00533911" w:rsidRDefault="00D05DE1" w:rsidP="00625DAB">
            <w:pPr>
              <w:pStyle w:val="TableTextLeft"/>
            </w:pPr>
            <w:r w:rsidRPr="00673A69">
              <w:t>Inclusion of the annual financial statements in accordance with subsection 43(4) of the Act.</w:t>
            </w:r>
          </w:p>
        </w:tc>
        <w:tc>
          <w:tcPr>
            <w:tcW w:w="1332" w:type="dxa"/>
            <w:tcBorders>
              <w:bottom w:val="single" w:sz="4" w:space="0" w:color="29114B" w:themeColor="text2"/>
            </w:tcBorders>
            <w:tcMar>
              <w:top w:w="57" w:type="dxa"/>
              <w:bottom w:w="57" w:type="dxa"/>
            </w:tcMar>
            <w:hideMark/>
          </w:tcPr>
          <w:p w14:paraId="350F8E0D" w14:textId="77777777" w:rsidR="00D05DE1" w:rsidRPr="00533911" w:rsidRDefault="00D05DE1" w:rsidP="00625DAB">
            <w:pPr>
              <w:pStyle w:val="TableTextLeft"/>
            </w:pPr>
            <w:r w:rsidRPr="00673A69">
              <w:t>Mandatory</w:t>
            </w:r>
          </w:p>
        </w:tc>
      </w:tr>
      <w:tr w:rsidR="00D05DE1" w:rsidRPr="00673A69" w14:paraId="3F16D198" w14:textId="77777777" w:rsidTr="000E74BE">
        <w:trPr>
          <w:trHeight w:val="20"/>
        </w:trPr>
        <w:tc>
          <w:tcPr>
            <w:tcW w:w="1308" w:type="dxa"/>
            <w:tcBorders>
              <w:top w:val="single" w:sz="4" w:space="0" w:color="29114B" w:themeColor="text2"/>
              <w:right w:val="nil"/>
            </w:tcBorders>
            <w:shd w:val="clear" w:color="auto" w:fill="CAE6F2" w:themeFill="accent3" w:themeFillTint="33"/>
            <w:tcMar>
              <w:top w:w="57" w:type="dxa"/>
              <w:bottom w:w="57" w:type="dxa"/>
            </w:tcMar>
          </w:tcPr>
          <w:p w14:paraId="353969A1" w14:textId="77777777" w:rsidR="00D05DE1" w:rsidRPr="005412ED" w:rsidRDefault="00D05DE1" w:rsidP="00625DAB">
            <w:pPr>
              <w:pStyle w:val="TableTextLeft"/>
              <w:rPr>
                <w:b/>
                <w:bCs/>
              </w:rPr>
            </w:pPr>
          </w:p>
        </w:tc>
        <w:tc>
          <w:tcPr>
            <w:tcW w:w="5071" w:type="dxa"/>
            <w:gridSpan w:val="2"/>
            <w:tcBorders>
              <w:top w:val="single" w:sz="4" w:space="0" w:color="29114B" w:themeColor="text2"/>
              <w:left w:val="nil"/>
              <w:right w:val="nil"/>
            </w:tcBorders>
            <w:shd w:val="clear" w:color="auto" w:fill="CAE6F2" w:themeFill="accent3" w:themeFillTint="33"/>
            <w:tcMar>
              <w:top w:w="57" w:type="dxa"/>
              <w:bottom w:w="57" w:type="dxa"/>
            </w:tcMar>
          </w:tcPr>
          <w:p w14:paraId="76960F24" w14:textId="77777777" w:rsidR="00D05DE1" w:rsidRPr="005412ED" w:rsidRDefault="00D05DE1" w:rsidP="00625DAB">
            <w:pPr>
              <w:pStyle w:val="TableTextLeft"/>
              <w:rPr>
                <w:b/>
                <w:bCs/>
              </w:rPr>
            </w:pPr>
            <w:r w:rsidRPr="005412ED">
              <w:rPr>
                <w:b/>
                <w:bCs/>
              </w:rPr>
              <w:t>Executive remuneration</w:t>
            </w:r>
          </w:p>
        </w:tc>
        <w:tc>
          <w:tcPr>
            <w:tcW w:w="1332" w:type="dxa"/>
            <w:tcBorders>
              <w:top w:val="single" w:sz="4" w:space="0" w:color="29114B" w:themeColor="text2"/>
              <w:left w:val="nil"/>
            </w:tcBorders>
            <w:shd w:val="clear" w:color="auto" w:fill="CAE6F2" w:themeFill="accent3" w:themeFillTint="33"/>
            <w:tcMar>
              <w:top w:w="57" w:type="dxa"/>
              <w:bottom w:w="57" w:type="dxa"/>
            </w:tcMar>
          </w:tcPr>
          <w:p w14:paraId="75CFC71E" w14:textId="77777777" w:rsidR="00D05DE1" w:rsidRPr="005412ED" w:rsidRDefault="00D05DE1" w:rsidP="00625DAB">
            <w:pPr>
              <w:pStyle w:val="TableTextLeft"/>
              <w:rPr>
                <w:b/>
                <w:bCs/>
              </w:rPr>
            </w:pPr>
          </w:p>
        </w:tc>
      </w:tr>
      <w:tr w:rsidR="00D05DE1" w:rsidRPr="00673A69" w14:paraId="481F2116" w14:textId="77777777" w:rsidTr="000E74BE">
        <w:trPr>
          <w:trHeight w:val="20"/>
        </w:trPr>
        <w:tc>
          <w:tcPr>
            <w:tcW w:w="1308" w:type="dxa"/>
            <w:tcMar>
              <w:top w:w="57" w:type="dxa"/>
              <w:bottom w:w="57" w:type="dxa"/>
            </w:tcMar>
          </w:tcPr>
          <w:p w14:paraId="69738C42" w14:textId="77777777" w:rsidR="00D05DE1" w:rsidRPr="00533911" w:rsidRDefault="00D05DE1" w:rsidP="00625DAB">
            <w:pPr>
              <w:pStyle w:val="TableTextLeft"/>
            </w:pPr>
            <w:r w:rsidRPr="00673A69">
              <w:t>17</w:t>
            </w:r>
            <w:proofErr w:type="gramStart"/>
            <w:r w:rsidRPr="00673A69">
              <w:t>AD(</w:t>
            </w:r>
            <w:proofErr w:type="gramEnd"/>
            <w:r w:rsidRPr="00673A69">
              <w:t>da)</w:t>
            </w:r>
          </w:p>
        </w:tc>
        <w:tc>
          <w:tcPr>
            <w:tcW w:w="1386" w:type="dxa"/>
            <w:tcMar>
              <w:top w:w="57" w:type="dxa"/>
              <w:bottom w:w="57" w:type="dxa"/>
            </w:tcMar>
          </w:tcPr>
          <w:p w14:paraId="10D8AA3A" w14:textId="77777777" w:rsidR="00D05DE1" w:rsidRPr="00533911" w:rsidRDefault="00D05DE1" w:rsidP="00625DAB">
            <w:pPr>
              <w:pStyle w:val="TableTextLeft"/>
            </w:pPr>
            <w:r w:rsidRPr="00DF31C0">
              <w:t>Part 3 (C)</w:t>
            </w:r>
          </w:p>
        </w:tc>
        <w:tc>
          <w:tcPr>
            <w:tcW w:w="3685" w:type="dxa"/>
            <w:tcMar>
              <w:top w:w="57" w:type="dxa"/>
              <w:bottom w:w="57" w:type="dxa"/>
            </w:tcMar>
          </w:tcPr>
          <w:p w14:paraId="63073C46" w14:textId="77777777" w:rsidR="00D05DE1" w:rsidRPr="00533911" w:rsidRDefault="00D05DE1" w:rsidP="00625DAB">
            <w:pPr>
              <w:pStyle w:val="TableTextLeft"/>
            </w:pPr>
            <w:r w:rsidRPr="00673A69">
              <w:t>Information about executive remuneration in accordance with Subdivision C of Division 3A of Part 2–3 of the Rule.</w:t>
            </w:r>
          </w:p>
        </w:tc>
        <w:tc>
          <w:tcPr>
            <w:tcW w:w="1332" w:type="dxa"/>
            <w:tcMar>
              <w:top w:w="57" w:type="dxa"/>
              <w:bottom w:w="57" w:type="dxa"/>
            </w:tcMar>
          </w:tcPr>
          <w:p w14:paraId="27A03507" w14:textId="77777777" w:rsidR="00D05DE1" w:rsidRPr="00533911" w:rsidRDefault="00D05DE1" w:rsidP="00625DAB">
            <w:pPr>
              <w:pStyle w:val="TableTextLeft"/>
            </w:pPr>
            <w:r w:rsidRPr="00673A69">
              <w:t>Mandatory</w:t>
            </w:r>
          </w:p>
        </w:tc>
      </w:tr>
    </w:tbl>
    <w:p w14:paraId="654E004C" w14:textId="77777777" w:rsidR="006F098D" w:rsidRDefault="006F098D" w:rsidP="00D30A4D"/>
    <w:p w14:paraId="175C262C" w14:textId="77777777" w:rsidR="006F098D" w:rsidRDefault="006F098D">
      <w:pPr>
        <w:spacing w:after="0" w:line="240" w:lineRule="auto"/>
      </w:pPr>
      <w:r>
        <w:br w:type="page"/>
      </w:r>
    </w:p>
    <w:tbl>
      <w:tblPr>
        <w:tblStyle w:val="AOFMTablemain"/>
        <w:tblW w:w="5000" w:type="pct"/>
        <w:tblLayout w:type="fixed"/>
        <w:tblLook w:val="06A0" w:firstRow="1" w:lastRow="0" w:firstColumn="1" w:lastColumn="0" w:noHBand="1" w:noVBand="1"/>
      </w:tblPr>
      <w:tblGrid>
        <w:gridCol w:w="1319"/>
        <w:gridCol w:w="1375"/>
        <w:gridCol w:w="3586"/>
        <w:gridCol w:w="1431"/>
      </w:tblGrid>
      <w:tr w:rsidR="006C235E" w:rsidRPr="009228B9" w14:paraId="2BBEBA08" w14:textId="77777777" w:rsidTr="00E46CBD">
        <w:trPr>
          <w:cnfStyle w:val="100000000000" w:firstRow="1" w:lastRow="0" w:firstColumn="0" w:lastColumn="0" w:oddVBand="0" w:evenVBand="0" w:oddHBand="0" w:evenHBand="0" w:firstRowFirstColumn="0" w:firstRowLastColumn="0" w:lastRowFirstColumn="0" w:lastRowLastColumn="0"/>
          <w:trHeight w:val="20"/>
        </w:trPr>
        <w:tc>
          <w:tcPr>
            <w:tcW w:w="1319" w:type="dxa"/>
            <w:tcBorders>
              <w:bottom w:val="single" w:sz="4" w:space="0" w:color="29114B" w:themeColor="text2"/>
            </w:tcBorders>
            <w:tcMar>
              <w:top w:w="57" w:type="dxa"/>
              <w:bottom w:w="57" w:type="dxa"/>
            </w:tcMar>
            <w:vAlign w:val="bottom"/>
          </w:tcPr>
          <w:p w14:paraId="794D74E8" w14:textId="77777777" w:rsidR="000D1C52" w:rsidRPr="005C332C" w:rsidRDefault="000D1C52" w:rsidP="00E46CBD">
            <w:pPr>
              <w:pStyle w:val="TableColumnHeadingLeft"/>
            </w:pPr>
            <w:r w:rsidRPr="005C332C">
              <w:lastRenderedPageBreak/>
              <w:t>PGPA rule reference</w:t>
            </w:r>
          </w:p>
        </w:tc>
        <w:tc>
          <w:tcPr>
            <w:tcW w:w="1375" w:type="dxa"/>
            <w:tcBorders>
              <w:bottom w:val="single" w:sz="4" w:space="0" w:color="29114B" w:themeColor="text2"/>
            </w:tcBorders>
            <w:tcMar>
              <w:top w:w="57" w:type="dxa"/>
              <w:bottom w:w="57" w:type="dxa"/>
            </w:tcMar>
            <w:vAlign w:val="bottom"/>
          </w:tcPr>
          <w:p w14:paraId="2B8AD29B" w14:textId="77777777" w:rsidR="000D1C52" w:rsidRPr="005C332C" w:rsidRDefault="000D1C52" w:rsidP="00E46CBD">
            <w:pPr>
              <w:pStyle w:val="TableColumnHeadingLeft"/>
            </w:pPr>
            <w:r w:rsidRPr="005C332C">
              <w:t>Part of report</w:t>
            </w:r>
          </w:p>
        </w:tc>
        <w:tc>
          <w:tcPr>
            <w:tcW w:w="3586" w:type="dxa"/>
            <w:tcBorders>
              <w:bottom w:val="single" w:sz="4" w:space="0" w:color="29114B" w:themeColor="text2"/>
            </w:tcBorders>
            <w:tcMar>
              <w:top w:w="57" w:type="dxa"/>
              <w:bottom w:w="57" w:type="dxa"/>
            </w:tcMar>
            <w:vAlign w:val="bottom"/>
          </w:tcPr>
          <w:p w14:paraId="6454EA20" w14:textId="77777777" w:rsidR="000D1C52" w:rsidRPr="000D1C52" w:rsidRDefault="000D1C52" w:rsidP="00E46CBD">
            <w:pPr>
              <w:pStyle w:val="TableColumnHeadingLeft"/>
              <w:rPr>
                <w:bCs/>
              </w:rPr>
            </w:pPr>
            <w:r w:rsidRPr="005C332C">
              <w:t>Description</w:t>
            </w:r>
          </w:p>
        </w:tc>
        <w:tc>
          <w:tcPr>
            <w:tcW w:w="1431" w:type="dxa"/>
            <w:tcBorders>
              <w:bottom w:val="single" w:sz="4" w:space="0" w:color="29114B" w:themeColor="text2"/>
            </w:tcBorders>
            <w:tcMar>
              <w:top w:w="57" w:type="dxa"/>
              <w:bottom w:w="57" w:type="dxa"/>
            </w:tcMar>
            <w:vAlign w:val="bottom"/>
          </w:tcPr>
          <w:p w14:paraId="07BE5490" w14:textId="075F1129" w:rsidR="000D1C52" w:rsidRPr="005C332C" w:rsidRDefault="004C402C" w:rsidP="00E46CBD">
            <w:pPr>
              <w:pStyle w:val="TableColumnHeadingLeft"/>
              <w:rPr>
                <w:bCs/>
              </w:rPr>
            </w:pPr>
            <w:r>
              <w:rPr>
                <w:bCs/>
              </w:rPr>
              <w:t>Requirement</w:t>
            </w:r>
          </w:p>
        </w:tc>
      </w:tr>
      <w:tr w:rsidR="006F098D" w:rsidRPr="009228B9" w14:paraId="21F4C67E" w14:textId="77777777" w:rsidTr="00592520">
        <w:trPr>
          <w:trHeight w:val="20"/>
        </w:trPr>
        <w:tc>
          <w:tcPr>
            <w:tcW w:w="1319" w:type="dxa"/>
            <w:tcBorders>
              <w:top w:val="single" w:sz="4" w:space="0" w:color="29114B" w:themeColor="text2"/>
              <w:right w:val="nil"/>
            </w:tcBorders>
            <w:shd w:val="clear" w:color="auto" w:fill="CAE6F2" w:themeFill="accent3" w:themeFillTint="33"/>
            <w:tcMar>
              <w:top w:w="57" w:type="dxa"/>
              <w:bottom w:w="57" w:type="dxa"/>
            </w:tcMar>
            <w:hideMark/>
          </w:tcPr>
          <w:p w14:paraId="4EF394B4" w14:textId="77777777" w:rsidR="006F098D" w:rsidRPr="005C332C" w:rsidRDefault="006F098D" w:rsidP="0048098F">
            <w:pPr>
              <w:pStyle w:val="TableTextLeft"/>
              <w:rPr>
                <w:b/>
                <w:bCs/>
                <w:color w:val="000000"/>
              </w:rPr>
            </w:pPr>
            <w:r w:rsidRPr="005C332C">
              <w:rPr>
                <w:b/>
                <w:bCs/>
                <w:color w:val="000000"/>
              </w:rPr>
              <w:t>17AD(f)</w:t>
            </w:r>
          </w:p>
        </w:tc>
        <w:tc>
          <w:tcPr>
            <w:tcW w:w="6392" w:type="dxa"/>
            <w:gridSpan w:val="3"/>
            <w:tcBorders>
              <w:top w:val="single" w:sz="4" w:space="0" w:color="29114B" w:themeColor="text2"/>
              <w:left w:val="nil"/>
            </w:tcBorders>
            <w:shd w:val="clear" w:color="auto" w:fill="CAE6F2" w:themeFill="accent3" w:themeFillTint="33"/>
            <w:tcMar>
              <w:top w:w="57" w:type="dxa"/>
              <w:bottom w:w="57" w:type="dxa"/>
            </w:tcMar>
            <w:hideMark/>
          </w:tcPr>
          <w:p w14:paraId="719CA863" w14:textId="77777777" w:rsidR="006F098D" w:rsidRPr="005C332C" w:rsidRDefault="006F098D" w:rsidP="0048098F">
            <w:pPr>
              <w:pStyle w:val="TableTextLeft"/>
              <w:rPr>
                <w:b/>
                <w:bCs/>
                <w:color w:val="000000"/>
              </w:rPr>
            </w:pPr>
            <w:r w:rsidRPr="005C332C">
              <w:rPr>
                <w:b/>
                <w:bCs/>
                <w:color w:val="000000"/>
              </w:rPr>
              <w:t>Other mandatory information</w:t>
            </w:r>
          </w:p>
        </w:tc>
      </w:tr>
      <w:tr w:rsidR="006F098D" w:rsidRPr="009228B9" w14:paraId="34D577BF" w14:textId="77777777" w:rsidTr="00592520">
        <w:trPr>
          <w:trHeight w:val="20"/>
        </w:trPr>
        <w:tc>
          <w:tcPr>
            <w:tcW w:w="1319" w:type="dxa"/>
            <w:tcMar>
              <w:top w:w="57" w:type="dxa"/>
              <w:bottom w:w="57" w:type="dxa"/>
            </w:tcMar>
            <w:hideMark/>
          </w:tcPr>
          <w:p w14:paraId="466F923C" w14:textId="77777777" w:rsidR="006F098D" w:rsidRPr="005C332C" w:rsidRDefault="006F098D" w:rsidP="0048098F">
            <w:pPr>
              <w:pStyle w:val="TableTextLeft"/>
            </w:pPr>
            <w:r w:rsidRPr="005C332C">
              <w:t>17AH(1)(a)(</w:t>
            </w:r>
            <w:proofErr w:type="spellStart"/>
            <w:r w:rsidRPr="005C332C">
              <w:t>i</w:t>
            </w:r>
            <w:proofErr w:type="spellEnd"/>
            <w:r w:rsidRPr="005C332C">
              <w:t>)</w:t>
            </w:r>
          </w:p>
        </w:tc>
        <w:tc>
          <w:tcPr>
            <w:tcW w:w="1375" w:type="dxa"/>
            <w:tcMar>
              <w:top w:w="57" w:type="dxa"/>
              <w:bottom w:w="57" w:type="dxa"/>
            </w:tcMar>
            <w:hideMark/>
          </w:tcPr>
          <w:p w14:paraId="4149E60F" w14:textId="77777777" w:rsidR="006F098D" w:rsidRPr="00DF31C0" w:rsidRDefault="006F098D" w:rsidP="0048098F">
            <w:pPr>
              <w:pStyle w:val="TableTextLeft"/>
            </w:pPr>
            <w:r w:rsidRPr="00DF31C0">
              <w:t>Part 3 (C)</w:t>
            </w:r>
          </w:p>
        </w:tc>
        <w:tc>
          <w:tcPr>
            <w:tcW w:w="3586" w:type="dxa"/>
            <w:tcMar>
              <w:top w:w="57" w:type="dxa"/>
              <w:bottom w:w="57" w:type="dxa"/>
            </w:tcMar>
            <w:hideMark/>
          </w:tcPr>
          <w:p w14:paraId="4B0B9442" w14:textId="1B91F0D9" w:rsidR="006F098D" w:rsidRPr="005C332C" w:rsidRDefault="006F098D" w:rsidP="0048098F">
            <w:pPr>
              <w:pStyle w:val="TableTextLeft"/>
            </w:pPr>
            <w:r w:rsidRPr="005C332C">
              <w:t>If the entity conducted advertising campaigns, a statement that </w:t>
            </w:r>
            <w:r w:rsidR="00B84FF2">
              <w:rPr>
                <w:i/>
                <w:iCs/>
              </w:rPr>
              <w:t>’</w:t>
            </w:r>
            <w:r w:rsidRPr="005C332C">
              <w:rPr>
                <w:i/>
                <w:iCs/>
              </w:rPr>
              <w:t>During [reporting period], the [name of entity] conducted the following advertising campaigns: [name of advertising campaigns undertaken]. Further information on those advertising campaigns is available at [address of entity</w:t>
            </w:r>
            <w:r w:rsidR="00B84FF2">
              <w:rPr>
                <w:i/>
                <w:iCs/>
              </w:rPr>
              <w:t>’</w:t>
            </w:r>
            <w:r w:rsidRPr="005C332C">
              <w:rPr>
                <w:i/>
                <w:iCs/>
              </w:rPr>
              <w:t>s website] and in the reports on Australian Government advertising prepared by the Department of Finance. Those reports are available on the Department of Finance</w:t>
            </w:r>
            <w:r w:rsidR="00B84FF2">
              <w:rPr>
                <w:i/>
                <w:iCs/>
              </w:rPr>
              <w:t>’</w:t>
            </w:r>
            <w:r w:rsidRPr="005C332C">
              <w:rPr>
                <w:i/>
                <w:iCs/>
              </w:rPr>
              <w:t>s website.</w:t>
            </w:r>
            <w:r w:rsidR="00B84FF2">
              <w:rPr>
                <w:i/>
                <w:iCs/>
              </w:rPr>
              <w:t>’</w:t>
            </w:r>
          </w:p>
        </w:tc>
        <w:tc>
          <w:tcPr>
            <w:tcW w:w="1431" w:type="dxa"/>
            <w:tcMar>
              <w:top w:w="57" w:type="dxa"/>
              <w:bottom w:w="57" w:type="dxa"/>
            </w:tcMar>
            <w:hideMark/>
          </w:tcPr>
          <w:p w14:paraId="16437468" w14:textId="32D6652A" w:rsidR="006F098D" w:rsidRPr="005C332C" w:rsidRDefault="006F098D" w:rsidP="0048098F">
            <w:pPr>
              <w:pStyle w:val="TableTextLeft"/>
            </w:pPr>
            <w:r w:rsidRPr="005C332C">
              <w:t xml:space="preserve">If applicable, </w:t>
            </w:r>
            <w:r w:rsidR="00B354BD">
              <w:t>m</w:t>
            </w:r>
            <w:r w:rsidR="00B354BD" w:rsidRPr="005C332C">
              <w:t>andatory</w:t>
            </w:r>
          </w:p>
        </w:tc>
      </w:tr>
      <w:tr w:rsidR="009228B9" w:rsidRPr="009228B9" w14:paraId="0E4073C6" w14:textId="77777777" w:rsidTr="00592520">
        <w:trPr>
          <w:trHeight w:val="20"/>
        </w:trPr>
        <w:tc>
          <w:tcPr>
            <w:tcW w:w="1319" w:type="dxa"/>
            <w:tcMar>
              <w:top w:w="57" w:type="dxa"/>
              <w:bottom w:w="57" w:type="dxa"/>
            </w:tcMar>
            <w:hideMark/>
          </w:tcPr>
          <w:p w14:paraId="7C5FBC8A" w14:textId="77777777" w:rsidR="006F098D" w:rsidRPr="005C332C" w:rsidRDefault="006F098D" w:rsidP="004C3C24">
            <w:pPr>
              <w:pStyle w:val="TableTextLeft"/>
            </w:pPr>
            <w:r w:rsidRPr="005C332C">
              <w:t>17AH(1)(a)(ii)</w:t>
            </w:r>
          </w:p>
        </w:tc>
        <w:tc>
          <w:tcPr>
            <w:tcW w:w="1375" w:type="dxa"/>
            <w:tcMar>
              <w:top w:w="57" w:type="dxa"/>
              <w:bottom w:w="57" w:type="dxa"/>
            </w:tcMar>
            <w:hideMark/>
          </w:tcPr>
          <w:p w14:paraId="7FD0F862" w14:textId="77777777" w:rsidR="006F098D" w:rsidRPr="00DF31C0" w:rsidRDefault="006F098D" w:rsidP="004C3C24">
            <w:pPr>
              <w:pStyle w:val="TableTextLeft"/>
            </w:pPr>
            <w:r w:rsidRPr="00DF31C0">
              <w:t>Part 3 (C)</w:t>
            </w:r>
          </w:p>
        </w:tc>
        <w:tc>
          <w:tcPr>
            <w:tcW w:w="3586" w:type="dxa"/>
            <w:tcMar>
              <w:top w:w="57" w:type="dxa"/>
              <w:bottom w:w="57" w:type="dxa"/>
            </w:tcMar>
            <w:hideMark/>
          </w:tcPr>
          <w:p w14:paraId="0ED5CA5B" w14:textId="77777777" w:rsidR="006F098D" w:rsidRPr="005C332C" w:rsidRDefault="006F098D" w:rsidP="004C3C24">
            <w:pPr>
              <w:pStyle w:val="TableTextLeft"/>
            </w:pPr>
            <w:r w:rsidRPr="005C332C">
              <w:t>If the entity did not conduct advertising campaigns, a statement to that effect.</w:t>
            </w:r>
          </w:p>
        </w:tc>
        <w:tc>
          <w:tcPr>
            <w:tcW w:w="1431" w:type="dxa"/>
            <w:tcMar>
              <w:top w:w="57" w:type="dxa"/>
              <w:bottom w:w="57" w:type="dxa"/>
            </w:tcMar>
            <w:hideMark/>
          </w:tcPr>
          <w:p w14:paraId="3AC0B730" w14:textId="65F3BD38" w:rsidR="006F098D" w:rsidRPr="005C332C" w:rsidRDefault="006F098D" w:rsidP="004C3C24">
            <w:pPr>
              <w:pStyle w:val="TableTextLeft"/>
            </w:pPr>
            <w:r w:rsidRPr="005C332C">
              <w:t xml:space="preserve">If applicable, </w:t>
            </w:r>
            <w:r w:rsidR="00B354BD">
              <w:t>m</w:t>
            </w:r>
            <w:r w:rsidR="00B354BD" w:rsidRPr="005C332C">
              <w:t>andatory</w:t>
            </w:r>
          </w:p>
        </w:tc>
      </w:tr>
      <w:tr w:rsidR="009228B9" w:rsidRPr="009228B9" w14:paraId="624BDAD8" w14:textId="77777777" w:rsidTr="00592520">
        <w:trPr>
          <w:trHeight w:val="20"/>
        </w:trPr>
        <w:tc>
          <w:tcPr>
            <w:tcW w:w="1319" w:type="dxa"/>
            <w:tcMar>
              <w:top w:w="57" w:type="dxa"/>
              <w:bottom w:w="57" w:type="dxa"/>
            </w:tcMar>
            <w:hideMark/>
          </w:tcPr>
          <w:p w14:paraId="59A62368" w14:textId="77777777" w:rsidR="006F098D" w:rsidRPr="005C332C" w:rsidRDefault="006F098D" w:rsidP="004C3C24">
            <w:pPr>
              <w:pStyle w:val="TableTextLeft"/>
            </w:pPr>
            <w:r w:rsidRPr="005C332C">
              <w:t>17AH(1)(b)</w:t>
            </w:r>
          </w:p>
        </w:tc>
        <w:tc>
          <w:tcPr>
            <w:tcW w:w="1375" w:type="dxa"/>
            <w:tcMar>
              <w:top w:w="57" w:type="dxa"/>
              <w:bottom w:w="57" w:type="dxa"/>
            </w:tcMar>
            <w:hideMark/>
          </w:tcPr>
          <w:p w14:paraId="55A93AA0" w14:textId="77777777" w:rsidR="006F098D" w:rsidRPr="005C332C" w:rsidRDefault="006F098D" w:rsidP="004C3C24">
            <w:pPr>
              <w:pStyle w:val="TableTextLeft"/>
              <w:rPr>
                <w:highlight w:val="yellow"/>
              </w:rPr>
            </w:pPr>
            <w:r w:rsidRPr="00DF31C0">
              <w:t>Part 3 (C)</w:t>
            </w:r>
          </w:p>
        </w:tc>
        <w:tc>
          <w:tcPr>
            <w:tcW w:w="3586" w:type="dxa"/>
            <w:tcMar>
              <w:top w:w="57" w:type="dxa"/>
              <w:bottom w:w="57" w:type="dxa"/>
            </w:tcMar>
            <w:hideMark/>
          </w:tcPr>
          <w:p w14:paraId="583AF0E7" w14:textId="3FF9F1F9" w:rsidR="006F098D" w:rsidRPr="005C332C" w:rsidRDefault="006F098D" w:rsidP="004C3C24">
            <w:pPr>
              <w:pStyle w:val="TableTextLeft"/>
            </w:pPr>
            <w:r w:rsidRPr="005C332C">
              <w:t>A statement that </w:t>
            </w:r>
            <w:r w:rsidR="00B84FF2">
              <w:rPr>
                <w:i/>
                <w:iCs/>
              </w:rPr>
              <w:t>’</w:t>
            </w:r>
            <w:r w:rsidRPr="005C332C">
              <w:rPr>
                <w:i/>
                <w:iCs/>
              </w:rPr>
              <w:t>Information on grants awarded by [name of entity] during [reporting period] is available at [address of entity</w:t>
            </w:r>
            <w:r w:rsidR="00B84FF2">
              <w:rPr>
                <w:i/>
                <w:iCs/>
              </w:rPr>
              <w:t>’</w:t>
            </w:r>
            <w:r w:rsidRPr="005C332C">
              <w:rPr>
                <w:i/>
                <w:iCs/>
              </w:rPr>
              <w:t>s website].</w:t>
            </w:r>
            <w:r w:rsidR="00B84FF2">
              <w:rPr>
                <w:i/>
                <w:iCs/>
              </w:rPr>
              <w:t>’</w:t>
            </w:r>
          </w:p>
        </w:tc>
        <w:tc>
          <w:tcPr>
            <w:tcW w:w="1431" w:type="dxa"/>
            <w:tcMar>
              <w:top w:w="57" w:type="dxa"/>
              <w:bottom w:w="57" w:type="dxa"/>
            </w:tcMar>
            <w:hideMark/>
          </w:tcPr>
          <w:p w14:paraId="6838B385" w14:textId="2ED6EEC5" w:rsidR="006F098D" w:rsidRPr="005C332C" w:rsidRDefault="006F098D" w:rsidP="004C3C24">
            <w:pPr>
              <w:pStyle w:val="TableTextLeft"/>
            </w:pPr>
            <w:r w:rsidRPr="005C332C">
              <w:t xml:space="preserve">If applicable, </w:t>
            </w:r>
            <w:r w:rsidR="00B354BD">
              <w:t>m</w:t>
            </w:r>
            <w:r w:rsidR="00B354BD" w:rsidRPr="005C332C">
              <w:t>andatory</w:t>
            </w:r>
          </w:p>
        </w:tc>
      </w:tr>
      <w:tr w:rsidR="009228B9" w:rsidRPr="009228B9" w14:paraId="1D2CE271" w14:textId="77777777" w:rsidTr="00592520">
        <w:trPr>
          <w:trHeight w:val="20"/>
        </w:trPr>
        <w:tc>
          <w:tcPr>
            <w:tcW w:w="1319" w:type="dxa"/>
            <w:tcMar>
              <w:top w:w="57" w:type="dxa"/>
              <w:bottom w:w="57" w:type="dxa"/>
            </w:tcMar>
            <w:hideMark/>
          </w:tcPr>
          <w:p w14:paraId="13176F08" w14:textId="77777777" w:rsidR="006F098D" w:rsidRPr="005C332C" w:rsidRDefault="006F098D" w:rsidP="004C3C24">
            <w:pPr>
              <w:pStyle w:val="TableTextLeft"/>
            </w:pPr>
            <w:r w:rsidRPr="005C332C">
              <w:t>17AH(1)(c)</w:t>
            </w:r>
          </w:p>
        </w:tc>
        <w:tc>
          <w:tcPr>
            <w:tcW w:w="1375" w:type="dxa"/>
            <w:tcMar>
              <w:top w:w="57" w:type="dxa"/>
              <w:bottom w:w="57" w:type="dxa"/>
            </w:tcMar>
            <w:hideMark/>
          </w:tcPr>
          <w:p w14:paraId="050B423A" w14:textId="77777777" w:rsidR="006F098D" w:rsidRPr="00DF31C0" w:rsidRDefault="006F098D" w:rsidP="004C3C24">
            <w:pPr>
              <w:pStyle w:val="TableTextLeft"/>
            </w:pPr>
            <w:r w:rsidRPr="00DF31C0">
              <w:t>Part 3 (B)</w:t>
            </w:r>
          </w:p>
        </w:tc>
        <w:tc>
          <w:tcPr>
            <w:tcW w:w="3586" w:type="dxa"/>
            <w:tcMar>
              <w:top w:w="57" w:type="dxa"/>
              <w:bottom w:w="57" w:type="dxa"/>
            </w:tcMar>
            <w:hideMark/>
          </w:tcPr>
          <w:p w14:paraId="1BF86704" w14:textId="77777777" w:rsidR="006F098D" w:rsidRPr="005C332C" w:rsidRDefault="006F098D" w:rsidP="004C3C24">
            <w:pPr>
              <w:pStyle w:val="TableTextLeft"/>
            </w:pPr>
            <w:r w:rsidRPr="005C332C">
              <w:t>Outline of mechanisms of disability reporting, including reference to website for further information.</w:t>
            </w:r>
          </w:p>
        </w:tc>
        <w:tc>
          <w:tcPr>
            <w:tcW w:w="1431" w:type="dxa"/>
            <w:tcMar>
              <w:top w:w="57" w:type="dxa"/>
              <w:bottom w:w="57" w:type="dxa"/>
            </w:tcMar>
            <w:hideMark/>
          </w:tcPr>
          <w:p w14:paraId="2394C3EB" w14:textId="77777777" w:rsidR="006F098D" w:rsidRPr="005C332C" w:rsidRDefault="006F098D" w:rsidP="004C3C24">
            <w:pPr>
              <w:pStyle w:val="TableTextLeft"/>
            </w:pPr>
            <w:r w:rsidRPr="005C332C">
              <w:t>Mandatory</w:t>
            </w:r>
          </w:p>
        </w:tc>
      </w:tr>
      <w:tr w:rsidR="009228B9" w:rsidRPr="009228B9" w14:paraId="1E68775A" w14:textId="77777777" w:rsidTr="00592520">
        <w:trPr>
          <w:trHeight w:val="20"/>
        </w:trPr>
        <w:tc>
          <w:tcPr>
            <w:tcW w:w="1319" w:type="dxa"/>
            <w:tcMar>
              <w:top w:w="57" w:type="dxa"/>
              <w:bottom w:w="57" w:type="dxa"/>
            </w:tcMar>
            <w:hideMark/>
          </w:tcPr>
          <w:p w14:paraId="5DF7DB3F" w14:textId="77777777" w:rsidR="006F098D" w:rsidRPr="005C332C" w:rsidRDefault="006F098D" w:rsidP="004C3C24">
            <w:pPr>
              <w:pStyle w:val="TableTextLeft"/>
            </w:pPr>
            <w:r w:rsidRPr="005C332C">
              <w:t>17AH(1)(d)</w:t>
            </w:r>
          </w:p>
        </w:tc>
        <w:tc>
          <w:tcPr>
            <w:tcW w:w="1375" w:type="dxa"/>
            <w:tcMar>
              <w:top w:w="57" w:type="dxa"/>
              <w:bottom w:w="57" w:type="dxa"/>
            </w:tcMar>
            <w:hideMark/>
          </w:tcPr>
          <w:p w14:paraId="08A2E3B2" w14:textId="77777777" w:rsidR="006F098D" w:rsidRPr="00DF31C0" w:rsidRDefault="006F098D" w:rsidP="004C3C24">
            <w:pPr>
              <w:pStyle w:val="TableTextLeft"/>
            </w:pPr>
            <w:r w:rsidRPr="00DF31C0">
              <w:t>Part 3 (D)</w:t>
            </w:r>
          </w:p>
        </w:tc>
        <w:tc>
          <w:tcPr>
            <w:tcW w:w="3586" w:type="dxa"/>
            <w:tcMar>
              <w:top w:w="57" w:type="dxa"/>
              <w:bottom w:w="57" w:type="dxa"/>
            </w:tcMar>
            <w:hideMark/>
          </w:tcPr>
          <w:p w14:paraId="6C05D50A" w14:textId="00CCA3DF" w:rsidR="006F098D" w:rsidRPr="005C332C" w:rsidRDefault="006F098D" w:rsidP="004C3C24">
            <w:pPr>
              <w:pStyle w:val="TableTextLeft"/>
            </w:pPr>
            <w:r w:rsidRPr="005C332C">
              <w:t>Website reference to where the entity</w:t>
            </w:r>
            <w:r w:rsidR="00B84FF2">
              <w:t>’</w:t>
            </w:r>
            <w:r w:rsidRPr="005C332C">
              <w:t>s Information Publication Scheme statement pursuant to Part II of FOI Act</w:t>
            </w:r>
            <w:r w:rsidRPr="005C332C">
              <w:rPr>
                <w:i/>
                <w:iCs/>
              </w:rPr>
              <w:t> </w:t>
            </w:r>
            <w:r w:rsidRPr="005C332C">
              <w:t>can be found.</w:t>
            </w:r>
          </w:p>
        </w:tc>
        <w:tc>
          <w:tcPr>
            <w:tcW w:w="1431" w:type="dxa"/>
            <w:tcMar>
              <w:top w:w="57" w:type="dxa"/>
              <w:bottom w:w="57" w:type="dxa"/>
            </w:tcMar>
            <w:hideMark/>
          </w:tcPr>
          <w:p w14:paraId="36CAD55F" w14:textId="77777777" w:rsidR="006F098D" w:rsidRPr="005C332C" w:rsidRDefault="006F098D" w:rsidP="004C3C24">
            <w:pPr>
              <w:pStyle w:val="TableTextLeft"/>
            </w:pPr>
            <w:r w:rsidRPr="005C332C">
              <w:t>Mandatory</w:t>
            </w:r>
          </w:p>
        </w:tc>
      </w:tr>
      <w:tr w:rsidR="009228B9" w:rsidRPr="009228B9" w14:paraId="34E48B53" w14:textId="77777777" w:rsidTr="00592520">
        <w:trPr>
          <w:trHeight w:val="20"/>
        </w:trPr>
        <w:tc>
          <w:tcPr>
            <w:tcW w:w="1319" w:type="dxa"/>
            <w:tcMar>
              <w:top w:w="57" w:type="dxa"/>
              <w:bottom w:w="57" w:type="dxa"/>
            </w:tcMar>
            <w:hideMark/>
          </w:tcPr>
          <w:p w14:paraId="28B7895E" w14:textId="77777777" w:rsidR="006F098D" w:rsidRPr="005C332C" w:rsidRDefault="006F098D" w:rsidP="004C3C24">
            <w:pPr>
              <w:pStyle w:val="TableTextLeft"/>
            </w:pPr>
            <w:r w:rsidRPr="005C332C">
              <w:t>17AH(1)(e)</w:t>
            </w:r>
          </w:p>
        </w:tc>
        <w:tc>
          <w:tcPr>
            <w:tcW w:w="1375" w:type="dxa"/>
            <w:tcMar>
              <w:top w:w="57" w:type="dxa"/>
              <w:bottom w:w="57" w:type="dxa"/>
            </w:tcMar>
            <w:hideMark/>
          </w:tcPr>
          <w:p w14:paraId="241DB48A" w14:textId="77777777" w:rsidR="006F098D" w:rsidRPr="005C332C" w:rsidRDefault="006F098D" w:rsidP="004C3C24">
            <w:pPr>
              <w:pStyle w:val="TableTextLeft"/>
            </w:pPr>
            <w:r w:rsidRPr="005C332C">
              <w:t>Not applicable</w:t>
            </w:r>
          </w:p>
        </w:tc>
        <w:tc>
          <w:tcPr>
            <w:tcW w:w="3586" w:type="dxa"/>
            <w:tcMar>
              <w:top w:w="57" w:type="dxa"/>
              <w:bottom w:w="57" w:type="dxa"/>
            </w:tcMar>
            <w:hideMark/>
          </w:tcPr>
          <w:p w14:paraId="22A3E05C" w14:textId="77777777" w:rsidR="006F098D" w:rsidRPr="005C332C" w:rsidRDefault="006F098D" w:rsidP="004C3C24">
            <w:pPr>
              <w:pStyle w:val="TableTextLeft"/>
            </w:pPr>
            <w:r w:rsidRPr="005C332C">
              <w:t>Correction of material errors in previous annual report</w:t>
            </w:r>
          </w:p>
        </w:tc>
        <w:tc>
          <w:tcPr>
            <w:tcW w:w="1431" w:type="dxa"/>
            <w:tcMar>
              <w:top w:w="57" w:type="dxa"/>
              <w:bottom w:w="57" w:type="dxa"/>
            </w:tcMar>
            <w:hideMark/>
          </w:tcPr>
          <w:p w14:paraId="03E2F52E" w14:textId="77777777" w:rsidR="006F098D" w:rsidRPr="005C332C" w:rsidRDefault="006F098D" w:rsidP="004C3C24">
            <w:pPr>
              <w:pStyle w:val="TableTextLeft"/>
            </w:pPr>
            <w:r w:rsidRPr="005C332C">
              <w:t>If applicable, mandatory</w:t>
            </w:r>
          </w:p>
        </w:tc>
      </w:tr>
      <w:tr w:rsidR="006F098D" w:rsidRPr="009228B9" w14:paraId="3236ACC0" w14:textId="77777777" w:rsidTr="00592520">
        <w:trPr>
          <w:trHeight w:val="20"/>
        </w:trPr>
        <w:tc>
          <w:tcPr>
            <w:tcW w:w="1319" w:type="dxa"/>
            <w:tcMar>
              <w:top w:w="57" w:type="dxa"/>
              <w:bottom w:w="57" w:type="dxa"/>
            </w:tcMar>
            <w:hideMark/>
          </w:tcPr>
          <w:p w14:paraId="3EC1D009" w14:textId="77777777" w:rsidR="006F098D" w:rsidRPr="005C332C" w:rsidRDefault="006F098D" w:rsidP="004C3C24">
            <w:pPr>
              <w:pStyle w:val="TableTextLeft"/>
            </w:pPr>
            <w:r w:rsidRPr="005C332C">
              <w:t>17</w:t>
            </w:r>
            <w:proofErr w:type="gramStart"/>
            <w:r w:rsidRPr="005C332C">
              <w:t>AH(</w:t>
            </w:r>
            <w:proofErr w:type="gramEnd"/>
            <w:r w:rsidRPr="005C332C">
              <w:t>2)</w:t>
            </w:r>
          </w:p>
        </w:tc>
        <w:tc>
          <w:tcPr>
            <w:tcW w:w="1375" w:type="dxa"/>
            <w:tcMar>
              <w:top w:w="57" w:type="dxa"/>
              <w:bottom w:w="57" w:type="dxa"/>
            </w:tcMar>
            <w:hideMark/>
          </w:tcPr>
          <w:p w14:paraId="2C56BDCA" w14:textId="20F9551C" w:rsidR="006F098D" w:rsidRPr="005C332C" w:rsidRDefault="00AE2DD7" w:rsidP="004C3C24">
            <w:pPr>
              <w:pStyle w:val="TableTextLeft"/>
            </w:pPr>
            <w:r>
              <w:t>Part 3 (B and F)</w:t>
            </w:r>
          </w:p>
        </w:tc>
        <w:tc>
          <w:tcPr>
            <w:tcW w:w="3586" w:type="dxa"/>
            <w:tcMar>
              <w:top w:w="57" w:type="dxa"/>
              <w:bottom w:w="57" w:type="dxa"/>
            </w:tcMar>
            <w:hideMark/>
          </w:tcPr>
          <w:p w14:paraId="16BBC407" w14:textId="77777777" w:rsidR="006F098D" w:rsidRPr="005C332C" w:rsidRDefault="006F098D" w:rsidP="004C3C24">
            <w:pPr>
              <w:pStyle w:val="TableTextLeft"/>
            </w:pPr>
            <w:r w:rsidRPr="005C332C">
              <w:t>Information required by other legislation</w:t>
            </w:r>
          </w:p>
        </w:tc>
        <w:tc>
          <w:tcPr>
            <w:tcW w:w="1431" w:type="dxa"/>
            <w:tcMar>
              <w:top w:w="57" w:type="dxa"/>
              <w:bottom w:w="57" w:type="dxa"/>
            </w:tcMar>
            <w:hideMark/>
          </w:tcPr>
          <w:p w14:paraId="3C5C0B9F" w14:textId="77777777" w:rsidR="006F098D" w:rsidRPr="005C332C" w:rsidRDefault="006F098D" w:rsidP="004C3C24">
            <w:pPr>
              <w:pStyle w:val="TableTextLeft"/>
            </w:pPr>
            <w:r w:rsidRPr="005C332C">
              <w:t>Mandatory</w:t>
            </w:r>
          </w:p>
        </w:tc>
      </w:tr>
    </w:tbl>
    <w:p w14:paraId="753DFA5E" w14:textId="0A4F8C4F" w:rsidR="001C0165" w:rsidRDefault="001C0165">
      <w:pPr>
        <w:spacing w:after="0" w:line="240" w:lineRule="auto"/>
      </w:pPr>
      <w:r>
        <w:br w:type="page"/>
      </w:r>
    </w:p>
    <w:p w14:paraId="5AC0B056" w14:textId="77777777" w:rsidR="00D610F3" w:rsidRDefault="00D610F3" w:rsidP="00CE0BF9">
      <w:pPr>
        <w:pStyle w:val="Heading1"/>
      </w:pPr>
      <w:bookmarkStart w:id="2024" w:name="_Toc173327806"/>
      <w:bookmarkStart w:id="2025" w:name="_Toc173395326"/>
      <w:bookmarkStart w:id="2026" w:name="_Toc173395401"/>
      <w:bookmarkStart w:id="2027" w:name="_Toc173395738"/>
      <w:bookmarkStart w:id="2028" w:name="_Toc173396623"/>
      <w:bookmarkStart w:id="2029" w:name="_Toc173408220"/>
      <w:bookmarkStart w:id="2030" w:name="_Toc173411541"/>
      <w:bookmarkStart w:id="2031" w:name="_Toc173479220"/>
      <w:bookmarkStart w:id="2032" w:name="_Toc173743093"/>
      <w:bookmarkStart w:id="2033" w:name="_Toc173766811"/>
      <w:bookmarkStart w:id="2034" w:name="_Toc174468575"/>
      <w:bookmarkStart w:id="2035" w:name="_Toc175906705"/>
      <w:bookmarkStart w:id="2036" w:name="_Toc176163249"/>
      <w:bookmarkStart w:id="2037" w:name="_Toc205474347"/>
      <w:bookmarkStart w:id="2038" w:name="_Toc207792966"/>
      <w:bookmarkStart w:id="2039" w:name="_Toc207794007"/>
      <w:bookmarkStart w:id="2040" w:name="_Toc207795668"/>
      <w:bookmarkStart w:id="2041" w:name="_Toc207796183"/>
      <w:bookmarkStart w:id="2042" w:name="_Toc207797010"/>
      <w:bookmarkStart w:id="2043" w:name="_Toc207797318"/>
      <w:bookmarkStart w:id="2044" w:name="_Toc207800314"/>
      <w:bookmarkStart w:id="2045" w:name="_Toc207810892"/>
      <w:bookmarkStart w:id="2046" w:name="_Toc208913993"/>
      <w:bookmarkStart w:id="2047" w:name="_Toc208914172"/>
      <w:bookmarkStart w:id="2048" w:name="_Toc209424569"/>
      <w:bookmarkStart w:id="2049" w:name="_Toc209424611"/>
      <w:r>
        <w:lastRenderedPageBreak/>
        <w:t>Alphabetical index</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14:paraId="3FDB0D2F" w14:textId="77777777" w:rsidR="006F0690" w:rsidRDefault="006F0690" w:rsidP="00D672E5">
      <w:pPr>
        <w:pStyle w:val="Separator"/>
        <w:sectPr w:rsidR="006F0690" w:rsidSect="001E2AEB">
          <w:pgSz w:w="11907" w:h="16840" w:code="9"/>
          <w:pgMar w:top="2835" w:right="2098" w:bottom="2466" w:left="2098" w:header="1814" w:footer="1814" w:gutter="0"/>
          <w:cols w:space="708"/>
          <w:docGrid w:linePitch="360"/>
        </w:sectPr>
      </w:pPr>
    </w:p>
    <w:p w14:paraId="7A6A5D04" w14:textId="77777777" w:rsidR="004D499C" w:rsidRDefault="004D499C" w:rsidP="004D499C">
      <w:pPr>
        <w:pStyle w:val="Separator"/>
      </w:pPr>
      <w:r>
        <w:t>A</w:t>
      </w:r>
    </w:p>
    <w:p w14:paraId="5D7F6799" w14:textId="77777777" w:rsidR="004D499C" w:rsidRPr="004D499C" w:rsidRDefault="004D499C" w:rsidP="004D499C">
      <w:pPr>
        <w:pStyle w:val="Separator"/>
        <w:rPr>
          <w:b w:val="0"/>
          <w:bCs w:val="0"/>
        </w:rPr>
      </w:pPr>
      <w:r w:rsidRPr="004D499C">
        <w:rPr>
          <w:b w:val="0"/>
          <w:bCs w:val="0"/>
        </w:rPr>
        <w:t>accountable authority 10</w:t>
      </w:r>
    </w:p>
    <w:p w14:paraId="7BB6503D" w14:textId="77777777" w:rsidR="004D499C" w:rsidRPr="004D499C" w:rsidRDefault="004D499C" w:rsidP="004D499C">
      <w:pPr>
        <w:pStyle w:val="Separator"/>
        <w:rPr>
          <w:b w:val="0"/>
          <w:bCs w:val="0"/>
        </w:rPr>
      </w:pPr>
      <w:r w:rsidRPr="004D499C">
        <w:rPr>
          <w:b w:val="0"/>
          <w:bCs w:val="0"/>
        </w:rPr>
        <w:t>accrual debt servicing cost 19</w:t>
      </w:r>
    </w:p>
    <w:p w14:paraId="1C313770" w14:textId="77777777" w:rsidR="004D499C" w:rsidRPr="004D499C" w:rsidRDefault="004D499C" w:rsidP="004D499C">
      <w:pPr>
        <w:pStyle w:val="Separator"/>
        <w:rPr>
          <w:b w:val="0"/>
          <w:bCs w:val="0"/>
        </w:rPr>
      </w:pPr>
      <w:r w:rsidRPr="004D499C">
        <w:rPr>
          <w:b w:val="0"/>
          <w:bCs w:val="0"/>
        </w:rPr>
        <w:t>administered cash transfers 117</w:t>
      </w:r>
    </w:p>
    <w:p w14:paraId="27288028" w14:textId="77777777" w:rsidR="004D499C" w:rsidRPr="004D499C" w:rsidRDefault="004D499C" w:rsidP="004D499C">
      <w:pPr>
        <w:pStyle w:val="Separator"/>
        <w:rPr>
          <w:b w:val="0"/>
          <w:bCs w:val="0"/>
        </w:rPr>
      </w:pPr>
      <w:r w:rsidRPr="004D499C">
        <w:rPr>
          <w:b w:val="0"/>
          <w:bCs w:val="0"/>
        </w:rPr>
        <w:t>administered financial statements 112–151</w:t>
      </w:r>
    </w:p>
    <w:p w14:paraId="57C94869" w14:textId="77777777" w:rsidR="004D499C" w:rsidRPr="004D499C" w:rsidRDefault="004D499C" w:rsidP="004D499C">
      <w:pPr>
        <w:pStyle w:val="Separator"/>
        <w:rPr>
          <w:b w:val="0"/>
          <w:bCs w:val="0"/>
        </w:rPr>
      </w:pPr>
      <w:r w:rsidRPr="004D499C">
        <w:rPr>
          <w:b w:val="0"/>
          <w:bCs w:val="0"/>
        </w:rPr>
        <w:t>administered resourcing 94–95</w:t>
      </w:r>
    </w:p>
    <w:p w14:paraId="5FEBC1BA" w14:textId="77777777" w:rsidR="004D499C" w:rsidRPr="004D499C" w:rsidRDefault="004D499C" w:rsidP="004D499C">
      <w:pPr>
        <w:pStyle w:val="Separator"/>
        <w:rPr>
          <w:b w:val="0"/>
          <w:bCs w:val="0"/>
        </w:rPr>
      </w:pPr>
      <w:r w:rsidRPr="004D499C">
        <w:rPr>
          <w:b w:val="0"/>
          <w:bCs w:val="0"/>
        </w:rPr>
        <w:t>advertising campaigns 92</w:t>
      </w:r>
    </w:p>
    <w:p w14:paraId="7273F7C0" w14:textId="77777777" w:rsidR="004D499C" w:rsidRPr="004D499C" w:rsidRDefault="004D499C" w:rsidP="004D499C">
      <w:pPr>
        <w:pStyle w:val="Separator"/>
        <w:rPr>
          <w:b w:val="0"/>
          <w:bCs w:val="0"/>
        </w:rPr>
      </w:pPr>
      <w:r w:rsidRPr="004D499C">
        <w:rPr>
          <w:b w:val="0"/>
          <w:bCs w:val="0"/>
        </w:rPr>
        <w:t>Advisory Board 26, 44, 69</w:t>
      </w:r>
    </w:p>
    <w:p w14:paraId="65F47244" w14:textId="77777777" w:rsidR="004D499C" w:rsidRPr="004D499C" w:rsidRDefault="004D499C" w:rsidP="004D499C">
      <w:pPr>
        <w:pStyle w:val="Separator"/>
        <w:rPr>
          <w:b w:val="0"/>
          <w:bCs w:val="0"/>
        </w:rPr>
      </w:pPr>
      <w:r w:rsidRPr="004D499C">
        <w:rPr>
          <w:b w:val="0"/>
          <w:bCs w:val="0"/>
        </w:rPr>
        <w:t>agency resource statement 94</w:t>
      </w:r>
    </w:p>
    <w:p w14:paraId="6DD07BBC" w14:textId="77777777" w:rsidR="004D499C" w:rsidRPr="004D499C" w:rsidRDefault="004D499C" w:rsidP="004D499C">
      <w:pPr>
        <w:pStyle w:val="Separator"/>
        <w:rPr>
          <w:b w:val="0"/>
          <w:bCs w:val="0"/>
        </w:rPr>
      </w:pPr>
      <w:r w:rsidRPr="004D499C">
        <w:rPr>
          <w:b w:val="0"/>
          <w:bCs w:val="0"/>
        </w:rPr>
        <w:t>annual appropriations 170–171</w:t>
      </w:r>
    </w:p>
    <w:p w14:paraId="6E71EDD0" w14:textId="77777777" w:rsidR="000369F9" w:rsidRDefault="004D499C" w:rsidP="004D499C">
      <w:pPr>
        <w:pStyle w:val="Separator"/>
        <w:rPr>
          <w:b w:val="0"/>
          <w:bCs w:val="0"/>
        </w:rPr>
      </w:pPr>
      <w:r w:rsidRPr="004D499C">
        <w:rPr>
          <w:b w:val="0"/>
          <w:bCs w:val="0"/>
        </w:rPr>
        <w:t xml:space="preserve">appropriations 6, 119, 146–148, 153, 158, </w:t>
      </w:r>
    </w:p>
    <w:p w14:paraId="7227BDC0" w14:textId="0B8AFF54" w:rsidR="004D499C" w:rsidRPr="004D499C" w:rsidRDefault="004D499C" w:rsidP="004D499C">
      <w:pPr>
        <w:pStyle w:val="Separator"/>
        <w:rPr>
          <w:b w:val="0"/>
          <w:bCs w:val="0"/>
        </w:rPr>
      </w:pPr>
      <w:r w:rsidRPr="004D499C">
        <w:rPr>
          <w:b w:val="0"/>
          <w:bCs w:val="0"/>
        </w:rPr>
        <w:t>170–171</w:t>
      </w:r>
    </w:p>
    <w:p w14:paraId="79A762A9" w14:textId="77777777" w:rsidR="004D499C" w:rsidRPr="004D499C" w:rsidRDefault="004D499C" w:rsidP="004D499C">
      <w:pPr>
        <w:pStyle w:val="Separator"/>
        <w:rPr>
          <w:b w:val="0"/>
          <w:bCs w:val="0"/>
        </w:rPr>
      </w:pPr>
      <w:r w:rsidRPr="004D499C">
        <w:rPr>
          <w:b w:val="0"/>
          <w:bCs w:val="0"/>
        </w:rPr>
        <w:t>APS Integrity Taskforce Action Plan 75</w:t>
      </w:r>
    </w:p>
    <w:p w14:paraId="2580ED99" w14:textId="77777777" w:rsidR="004D499C" w:rsidRPr="004D499C" w:rsidRDefault="004D499C" w:rsidP="004D499C">
      <w:pPr>
        <w:pStyle w:val="Separator"/>
        <w:rPr>
          <w:b w:val="0"/>
          <w:bCs w:val="0"/>
        </w:rPr>
      </w:pPr>
      <w:r w:rsidRPr="004D499C">
        <w:rPr>
          <w:b w:val="0"/>
          <w:bCs w:val="0"/>
        </w:rPr>
        <w:t>APS Statistical Bulletin 84</w:t>
      </w:r>
    </w:p>
    <w:p w14:paraId="5E27D854" w14:textId="77777777" w:rsidR="004D499C" w:rsidRPr="004D499C" w:rsidRDefault="004D499C" w:rsidP="004D499C">
      <w:pPr>
        <w:pStyle w:val="Separator"/>
        <w:rPr>
          <w:b w:val="0"/>
          <w:bCs w:val="0"/>
        </w:rPr>
      </w:pPr>
      <w:r w:rsidRPr="004D499C">
        <w:rPr>
          <w:b w:val="0"/>
          <w:bCs w:val="0"/>
        </w:rPr>
        <w:t>APSC Executive Remuneration Management Policy 85</w:t>
      </w:r>
    </w:p>
    <w:p w14:paraId="39A2EEE0" w14:textId="77777777" w:rsidR="004D499C" w:rsidRPr="004D499C" w:rsidRDefault="004D499C" w:rsidP="004D499C">
      <w:pPr>
        <w:pStyle w:val="Separator"/>
        <w:rPr>
          <w:b w:val="0"/>
          <w:bCs w:val="0"/>
        </w:rPr>
      </w:pPr>
      <w:proofErr w:type="spellStart"/>
      <w:r w:rsidRPr="004D499C">
        <w:rPr>
          <w:b w:val="0"/>
          <w:bCs w:val="0"/>
        </w:rPr>
        <w:t>APSLearn</w:t>
      </w:r>
      <w:proofErr w:type="spellEnd"/>
      <w:r w:rsidRPr="004D499C">
        <w:rPr>
          <w:b w:val="0"/>
          <w:bCs w:val="0"/>
        </w:rPr>
        <w:t xml:space="preserve"> 77</w:t>
      </w:r>
    </w:p>
    <w:p w14:paraId="3AB2D17B" w14:textId="77777777" w:rsidR="004D499C" w:rsidRPr="004D499C" w:rsidRDefault="004D499C" w:rsidP="004D499C">
      <w:pPr>
        <w:pStyle w:val="Separator"/>
        <w:rPr>
          <w:b w:val="0"/>
          <w:bCs w:val="0"/>
        </w:rPr>
      </w:pPr>
      <w:r w:rsidRPr="004D499C">
        <w:rPr>
          <w:b w:val="0"/>
          <w:bCs w:val="0"/>
        </w:rPr>
        <w:t>Asian Development Bank (ADB) 51</w:t>
      </w:r>
    </w:p>
    <w:p w14:paraId="791B27CF" w14:textId="77777777" w:rsidR="004D499C" w:rsidRPr="004D499C" w:rsidRDefault="004D499C" w:rsidP="004D499C">
      <w:pPr>
        <w:pStyle w:val="Separator"/>
        <w:rPr>
          <w:b w:val="0"/>
          <w:bCs w:val="0"/>
        </w:rPr>
      </w:pPr>
      <w:r w:rsidRPr="004D499C">
        <w:rPr>
          <w:b w:val="0"/>
          <w:bCs w:val="0"/>
        </w:rPr>
        <w:t>asset portfolios 17</w:t>
      </w:r>
    </w:p>
    <w:p w14:paraId="21D31F05" w14:textId="77777777" w:rsidR="004D499C" w:rsidRPr="004D499C" w:rsidRDefault="004D499C" w:rsidP="004D499C">
      <w:pPr>
        <w:pStyle w:val="Separator"/>
        <w:rPr>
          <w:b w:val="0"/>
          <w:bCs w:val="0"/>
        </w:rPr>
      </w:pPr>
      <w:r w:rsidRPr="004D499C">
        <w:rPr>
          <w:b w:val="0"/>
          <w:bCs w:val="0"/>
        </w:rPr>
        <w:t>asset recognition threshold 161</w:t>
      </w:r>
    </w:p>
    <w:p w14:paraId="3B59CF2B" w14:textId="77777777" w:rsidR="004D499C" w:rsidRPr="004D499C" w:rsidRDefault="004D499C" w:rsidP="004D499C">
      <w:pPr>
        <w:pStyle w:val="Separator"/>
        <w:rPr>
          <w:b w:val="0"/>
          <w:bCs w:val="0"/>
        </w:rPr>
      </w:pPr>
      <w:r w:rsidRPr="004D499C">
        <w:rPr>
          <w:b w:val="0"/>
          <w:bCs w:val="0"/>
        </w:rPr>
        <w:t>asset-backed securities (ABS) 59</w:t>
      </w:r>
    </w:p>
    <w:p w14:paraId="7F6D81FA" w14:textId="77777777" w:rsidR="004D499C" w:rsidRPr="004D499C" w:rsidRDefault="004D499C" w:rsidP="004D499C">
      <w:pPr>
        <w:pStyle w:val="Separator"/>
        <w:rPr>
          <w:b w:val="0"/>
          <w:bCs w:val="0"/>
        </w:rPr>
      </w:pPr>
      <w:r w:rsidRPr="004D499C">
        <w:rPr>
          <w:b w:val="0"/>
          <w:bCs w:val="0"/>
        </w:rPr>
        <w:t xml:space="preserve">assets and liabilities </w:t>
      </w:r>
      <w:r w:rsidRPr="004D499C">
        <w:rPr>
          <w:b w:val="0"/>
          <w:bCs w:val="0"/>
        </w:rPr>
        <w:tab/>
        <w:t>115–116, 151, 154, 159–163, 175–178</w:t>
      </w:r>
    </w:p>
    <w:p w14:paraId="27206076" w14:textId="77777777" w:rsidR="004D499C" w:rsidRPr="004D499C" w:rsidRDefault="004D499C" w:rsidP="004D499C">
      <w:pPr>
        <w:pStyle w:val="Separator"/>
        <w:rPr>
          <w:b w:val="0"/>
          <w:bCs w:val="0"/>
        </w:rPr>
      </w:pPr>
      <w:r w:rsidRPr="004D499C">
        <w:rPr>
          <w:b w:val="0"/>
          <w:bCs w:val="0"/>
        </w:rPr>
        <w:t>assurance framework 74</w:t>
      </w:r>
    </w:p>
    <w:p w14:paraId="20216676" w14:textId="77777777" w:rsidR="004D499C" w:rsidRPr="004D499C" w:rsidRDefault="004D499C" w:rsidP="004D499C">
      <w:pPr>
        <w:pStyle w:val="Separator"/>
        <w:rPr>
          <w:b w:val="0"/>
          <w:bCs w:val="0"/>
        </w:rPr>
      </w:pPr>
      <w:r w:rsidRPr="004D499C">
        <w:rPr>
          <w:b w:val="0"/>
          <w:bCs w:val="0"/>
        </w:rPr>
        <w:t>Audit and Risk Committee 20, 67, 69, 70–71, 74, 75</w:t>
      </w:r>
    </w:p>
    <w:p w14:paraId="3C647D4E" w14:textId="77777777" w:rsidR="004D499C" w:rsidRPr="004D499C" w:rsidRDefault="004D499C" w:rsidP="004D499C">
      <w:pPr>
        <w:pStyle w:val="Separator"/>
        <w:rPr>
          <w:b w:val="0"/>
          <w:bCs w:val="0"/>
        </w:rPr>
      </w:pPr>
      <w:proofErr w:type="spellStart"/>
      <w:r w:rsidRPr="004D499C">
        <w:rPr>
          <w:b w:val="0"/>
          <w:bCs w:val="0"/>
        </w:rPr>
        <w:t>AusTender</w:t>
      </w:r>
      <w:proofErr w:type="spellEnd"/>
      <w:r w:rsidRPr="004D499C">
        <w:rPr>
          <w:b w:val="0"/>
          <w:bCs w:val="0"/>
        </w:rPr>
        <w:t xml:space="preserve"> 88, 89, 91</w:t>
      </w:r>
    </w:p>
    <w:p w14:paraId="7627FB44" w14:textId="77777777" w:rsidR="004D499C" w:rsidRPr="004D499C" w:rsidRDefault="004D499C" w:rsidP="004D499C">
      <w:pPr>
        <w:pStyle w:val="Separator"/>
        <w:rPr>
          <w:b w:val="0"/>
          <w:bCs w:val="0"/>
        </w:rPr>
      </w:pPr>
      <w:proofErr w:type="spellStart"/>
      <w:r w:rsidRPr="004D499C">
        <w:rPr>
          <w:b w:val="0"/>
          <w:bCs w:val="0"/>
        </w:rPr>
        <w:t>Austraclear</w:t>
      </w:r>
      <w:proofErr w:type="spellEnd"/>
      <w:r w:rsidRPr="004D499C">
        <w:rPr>
          <w:b w:val="0"/>
          <w:bCs w:val="0"/>
        </w:rPr>
        <w:t xml:space="preserve"> 38, 40</w:t>
      </w:r>
    </w:p>
    <w:p w14:paraId="76DF490D" w14:textId="77777777" w:rsidR="004D499C" w:rsidRPr="004D499C" w:rsidRDefault="004D499C" w:rsidP="004D499C">
      <w:pPr>
        <w:pStyle w:val="Separator"/>
        <w:rPr>
          <w:b w:val="0"/>
          <w:bCs w:val="0"/>
        </w:rPr>
      </w:pPr>
      <w:r w:rsidRPr="004D499C">
        <w:rPr>
          <w:b w:val="0"/>
          <w:bCs w:val="0"/>
        </w:rPr>
        <w:t>Australian Accounting Standards 173</w:t>
      </w:r>
    </w:p>
    <w:p w14:paraId="6F02608B" w14:textId="77777777" w:rsidR="004D499C" w:rsidRPr="004D499C" w:rsidRDefault="004D499C" w:rsidP="004D499C">
      <w:pPr>
        <w:pStyle w:val="Separator"/>
        <w:rPr>
          <w:b w:val="0"/>
          <w:bCs w:val="0"/>
        </w:rPr>
      </w:pPr>
      <w:r w:rsidRPr="004D499C">
        <w:rPr>
          <w:b w:val="0"/>
          <w:bCs w:val="0"/>
        </w:rPr>
        <w:t>Australian Bureau of Statistics 3</w:t>
      </w:r>
    </w:p>
    <w:p w14:paraId="493EB932" w14:textId="77777777" w:rsidR="004D499C" w:rsidRPr="004D499C" w:rsidRDefault="004D499C" w:rsidP="004D499C">
      <w:pPr>
        <w:pStyle w:val="Separator"/>
        <w:rPr>
          <w:b w:val="0"/>
          <w:bCs w:val="0"/>
        </w:rPr>
      </w:pPr>
      <w:r w:rsidRPr="004D499C">
        <w:rPr>
          <w:b w:val="0"/>
          <w:bCs w:val="0"/>
        </w:rPr>
        <w:t>Australian Business Economists (ABE) luncheon 51</w:t>
      </w:r>
    </w:p>
    <w:p w14:paraId="06538105" w14:textId="77777777" w:rsidR="004D499C" w:rsidRPr="004D499C" w:rsidRDefault="004D499C" w:rsidP="004D499C">
      <w:pPr>
        <w:pStyle w:val="Separator"/>
        <w:rPr>
          <w:b w:val="0"/>
          <w:bCs w:val="0"/>
        </w:rPr>
      </w:pPr>
      <w:r w:rsidRPr="004D499C">
        <w:rPr>
          <w:b w:val="0"/>
          <w:bCs w:val="0"/>
        </w:rPr>
        <w:t>Australian Business Securitisation Fund (ABSF) iv–v, 6, 18, 59–63, 124–125, 139–143, 147</w:t>
      </w:r>
    </w:p>
    <w:p w14:paraId="4C8945BA" w14:textId="77777777" w:rsidR="004D499C" w:rsidRPr="004D499C" w:rsidRDefault="004D499C" w:rsidP="004D499C">
      <w:pPr>
        <w:pStyle w:val="Separator"/>
        <w:rPr>
          <w:b w:val="0"/>
          <w:bCs w:val="0"/>
        </w:rPr>
      </w:pPr>
      <w:r w:rsidRPr="004D499C">
        <w:rPr>
          <w:b w:val="0"/>
          <w:bCs w:val="0"/>
        </w:rPr>
        <w:t>Australian Business Securitisation Fund Act 2019 68</w:t>
      </w:r>
    </w:p>
    <w:p w14:paraId="4944D127" w14:textId="77777777" w:rsidR="004D499C" w:rsidRPr="004D499C" w:rsidRDefault="004D499C" w:rsidP="004D499C">
      <w:pPr>
        <w:pStyle w:val="Separator"/>
        <w:rPr>
          <w:b w:val="0"/>
          <w:bCs w:val="0"/>
        </w:rPr>
      </w:pPr>
      <w:r w:rsidRPr="004D499C">
        <w:rPr>
          <w:b w:val="0"/>
          <w:bCs w:val="0"/>
        </w:rPr>
        <w:t>Australian Financial Markets Association 3</w:t>
      </w:r>
    </w:p>
    <w:p w14:paraId="7018A42D" w14:textId="77777777" w:rsidR="004D499C" w:rsidRPr="004D499C" w:rsidRDefault="004D499C" w:rsidP="004D499C">
      <w:pPr>
        <w:pStyle w:val="Separator"/>
        <w:rPr>
          <w:b w:val="0"/>
          <w:bCs w:val="0"/>
        </w:rPr>
      </w:pPr>
      <w:r w:rsidRPr="004D499C">
        <w:rPr>
          <w:b w:val="0"/>
          <w:bCs w:val="0"/>
        </w:rPr>
        <w:t>Australian Government Budget 8</w:t>
      </w:r>
    </w:p>
    <w:p w14:paraId="7C5F3879" w14:textId="77777777" w:rsidR="004D499C" w:rsidRPr="004D499C" w:rsidRDefault="004D499C" w:rsidP="004D499C">
      <w:pPr>
        <w:pStyle w:val="Separator"/>
        <w:rPr>
          <w:b w:val="0"/>
          <w:bCs w:val="0"/>
        </w:rPr>
      </w:pPr>
      <w:r w:rsidRPr="004D499C">
        <w:rPr>
          <w:b w:val="0"/>
          <w:bCs w:val="0"/>
        </w:rPr>
        <w:t>Australian Government Fixed Income Forum 4, 51, 52, 53</w:t>
      </w:r>
    </w:p>
    <w:p w14:paraId="6C0669F9" w14:textId="77777777" w:rsidR="004D499C" w:rsidRPr="004D499C" w:rsidRDefault="004D499C" w:rsidP="004D499C">
      <w:pPr>
        <w:pStyle w:val="Separator"/>
        <w:rPr>
          <w:b w:val="0"/>
          <w:bCs w:val="0"/>
        </w:rPr>
      </w:pPr>
      <w:r w:rsidRPr="004D499C">
        <w:rPr>
          <w:b w:val="0"/>
          <w:bCs w:val="0"/>
        </w:rPr>
        <w:t>Australian Government Pay On-Time Survey 92</w:t>
      </w:r>
    </w:p>
    <w:p w14:paraId="4D1C6493" w14:textId="77777777" w:rsidR="004D499C" w:rsidRPr="004D499C" w:rsidRDefault="004D499C" w:rsidP="003E24D6">
      <w:pPr>
        <w:pStyle w:val="Separator"/>
        <w:ind w:left="142"/>
        <w:rPr>
          <w:b w:val="0"/>
          <w:bCs w:val="0"/>
        </w:rPr>
      </w:pPr>
      <w:r w:rsidRPr="004D499C">
        <w:rPr>
          <w:b w:val="0"/>
          <w:bCs w:val="0"/>
        </w:rPr>
        <w:t>Australian Government Securities (AGS) see also Treasury Bonds; Treasury Indexed Bonds (TIBs); Treasury Notes (T-Notes)</w:t>
      </w:r>
    </w:p>
    <w:p w14:paraId="554B43A0" w14:textId="77777777" w:rsidR="004D499C" w:rsidRPr="004D499C" w:rsidRDefault="004D499C" w:rsidP="003E24D6">
      <w:pPr>
        <w:pStyle w:val="Separator"/>
        <w:ind w:left="142"/>
        <w:rPr>
          <w:b w:val="0"/>
          <w:bCs w:val="0"/>
        </w:rPr>
      </w:pPr>
      <w:r w:rsidRPr="004D499C">
        <w:rPr>
          <w:b w:val="0"/>
          <w:bCs w:val="0"/>
        </w:rPr>
        <w:t>accrual debt servicing cost 19</w:t>
      </w:r>
    </w:p>
    <w:p w14:paraId="436E445D" w14:textId="77777777" w:rsidR="004D499C" w:rsidRPr="004D499C" w:rsidRDefault="004D499C" w:rsidP="003E24D6">
      <w:pPr>
        <w:pStyle w:val="Separator"/>
        <w:ind w:left="142"/>
        <w:rPr>
          <w:b w:val="0"/>
          <w:bCs w:val="0"/>
        </w:rPr>
      </w:pPr>
      <w:r w:rsidRPr="004D499C">
        <w:rPr>
          <w:b w:val="0"/>
          <w:bCs w:val="0"/>
        </w:rPr>
        <w:t>debt management strategy 8</w:t>
      </w:r>
    </w:p>
    <w:p w14:paraId="78418B8F" w14:textId="77777777" w:rsidR="004D499C" w:rsidRPr="004D499C" w:rsidRDefault="004D499C" w:rsidP="003E24D6">
      <w:pPr>
        <w:pStyle w:val="Separator"/>
        <w:ind w:left="142"/>
        <w:rPr>
          <w:b w:val="0"/>
          <w:bCs w:val="0"/>
        </w:rPr>
      </w:pPr>
      <w:r w:rsidRPr="004D499C">
        <w:rPr>
          <w:b w:val="0"/>
          <w:bCs w:val="0"/>
        </w:rPr>
        <w:t>issuance 16</w:t>
      </w:r>
    </w:p>
    <w:p w14:paraId="0593DCBF" w14:textId="77777777" w:rsidR="004D499C" w:rsidRPr="004D499C" w:rsidRDefault="004D499C" w:rsidP="003E24D6">
      <w:pPr>
        <w:pStyle w:val="Separator"/>
        <w:ind w:left="142"/>
        <w:rPr>
          <w:b w:val="0"/>
          <w:bCs w:val="0"/>
        </w:rPr>
      </w:pPr>
      <w:r w:rsidRPr="004D499C">
        <w:rPr>
          <w:b w:val="0"/>
          <w:bCs w:val="0"/>
        </w:rPr>
        <w:t>issuance strategy 25</w:t>
      </w:r>
    </w:p>
    <w:p w14:paraId="14883F2A" w14:textId="77777777" w:rsidR="004D499C" w:rsidRPr="004D499C" w:rsidRDefault="004D499C" w:rsidP="003E24D6">
      <w:pPr>
        <w:pStyle w:val="Separator"/>
        <w:ind w:left="142"/>
        <w:rPr>
          <w:b w:val="0"/>
          <w:bCs w:val="0"/>
        </w:rPr>
      </w:pPr>
      <w:r w:rsidRPr="004D499C">
        <w:rPr>
          <w:b w:val="0"/>
          <w:bCs w:val="0"/>
        </w:rPr>
        <w:t>market volatility 22</w:t>
      </w:r>
    </w:p>
    <w:p w14:paraId="49EBF570" w14:textId="77777777" w:rsidR="004D499C" w:rsidRPr="004D499C" w:rsidRDefault="004D499C" w:rsidP="003E24D6">
      <w:pPr>
        <w:pStyle w:val="Separator"/>
        <w:ind w:left="142"/>
        <w:rPr>
          <w:b w:val="0"/>
          <w:bCs w:val="0"/>
        </w:rPr>
      </w:pPr>
      <w:r w:rsidRPr="004D499C">
        <w:rPr>
          <w:b w:val="0"/>
          <w:bCs w:val="0"/>
        </w:rPr>
        <w:t>Purpose 3 47–55</w:t>
      </w:r>
    </w:p>
    <w:p w14:paraId="7C33B8F4" w14:textId="77777777" w:rsidR="004D499C" w:rsidRPr="004D499C" w:rsidRDefault="004D499C" w:rsidP="003E24D6">
      <w:pPr>
        <w:pStyle w:val="Separator"/>
        <w:ind w:left="142"/>
        <w:rPr>
          <w:b w:val="0"/>
          <w:bCs w:val="0"/>
        </w:rPr>
      </w:pPr>
      <w:r w:rsidRPr="004D499C">
        <w:rPr>
          <w:b w:val="0"/>
          <w:bCs w:val="0"/>
        </w:rPr>
        <w:t>role of AOFM v, 6</w:t>
      </w:r>
    </w:p>
    <w:p w14:paraId="674B5EBA" w14:textId="77777777" w:rsidR="004D499C" w:rsidRPr="004D499C" w:rsidRDefault="004D499C" w:rsidP="004D499C">
      <w:pPr>
        <w:pStyle w:val="Separator"/>
        <w:rPr>
          <w:b w:val="0"/>
          <w:bCs w:val="0"/>
        </w:rPr>
      </w:pPr>
      <w:r w:rsidRPr="004D499C">
        <w:rPr>
          <w:b w:val="0"/>
          <w:bCs w:val="0"/>
        </w:rPr>
        <w:t>Australian Institute of Criminology 73</w:t>
      </w:r>
    </w:p>
    <w:p w14:paraId="517DE999" w14:textId="30BADBB2" w:rsidR="004D499C" w:rsidRPr="004D499C" w:rsidRDefault="004D499C" w:rsidP="004D499C">
      <w:pPr>
        <w:pStyle w:val="Separator"/>
        <w:rPr>
          <w:b w:val="0"/>
          <w:bCs w:val="0"/>
        </w:rPr>
      </w:pPr>
      <w:r w:rsidRPr="004D499C">
        <w:rPr>
          <w:b w:val="0"/>
          <w:bCs w:val="0"/>
        </w:rPr>
        <w:t>Australian National Audit Office (ANAO)</w:t>
      </w:r>
      <w:r w:rsidRPr="004D499C">
        <w:rPr>
          <w:b w:val="0"/>
          <w:bCs w:val="0"/>
        </w:rPr>
        <w:tab/>
        <w:t>75, 91, 179–181</w:t>
      </w:r>
    </w:p>
    <w:p w14:paraId="4B7444F1" w14:textId="77777777" w:rsidR="005A2659" w:rsidRDefault="005A2659" w:rsidP="004D499C">
      <w:pPr>
        <w:pStyle w:val="Separator"/>
        <w:rPr>
          <w:b w:val="0"/>
          <w:bCs w:val="0"/>
        </w:rPr>
      </w:pPr>
    </w:p>
    <w:p w14:paraId="66777F3A" w14:textId="5324F267" w:rsidR="004D499C" w:rsidRPr="004D499C" w:rsidRDefault="004D499C" w:rsidP="004D499C">
      <w:pPr>
        <w:pStyle w:val="Separator"/>
        <w:rPr>
          <w:b w:val="0"/>
          <w:bCs w:val="0"/>
        </w:rPr>
      </w:pPr>
      <w:r w:rsidRPr="004D499C">
        <w:rPr>
          <w:b w:val="0"/>
          <w:bCs w:val="0"/>
        </w:rPr>
        <w:t>Australian Public Service Code of Conduct and Values 75</w:t>
      </w:r>
    </w:p>
    <w:p w14:paraId="1158BC73" w14:textId="77777777" w:rsidR="004D499C" w:rsidRPr="004D499C" w:rsidRDefault="004D499C" w:rsidP="004D499C">
      <w:pPr>
        <w:pStyle w:val="Separator"/>
        <w:rPr>
          <w:b w:val="0"/>
          <w:bCs w:val="0"/>
        </w:rPr>
      </w:pPr>
      <w:r w:rsidRPr="004D499C">
        <w:rPr>
          <w:b w:val="0"/>
          <w:bCs w:val="0"/>
        </w:rPr>
        <w:t>Australian Public Service Commission (APSC) State of the Service reports 84</w:t>
      </w:r>
    </w:p>
    <w:p w14:paraId="14423C3B" w14:textId="77777777" w:rsidR="004D499C" w:rsidRPr="004D499C" w:rsidRDefault="004D499C" w:rsidP="004D499C">
      <w:pPr>
        <w:pStyle w:val="Separator"/>
        <w:rPr>
          <w:b w:val="0"/>
          <w:bCs w:val="0"/>
        </w:rPr>
      </w:pPr>
      <w:r w:rsidRPr="004D499C">
        <w:rPr>
          <w:b w:val="0"/>
          <w:bCs w:val="0"/>
        </w:rPr>
        <w:t>Australian Securities and Investments Commission Act 2001 (ASIC Act) 175</w:t>
      </w:r>
    </w:p>
    <w:p w14:paraId="4C0D5C9A" w14:textId="77777777" w:rsidR="004D499C" w:rsidRPr="004D499C" w:rsidRDefault="004D499C" w:rsidP="004D499C">
      <w:pPr>
        <w:pStyle w:val="Separator"/>
        <w:rPr>
          <w:b w:val="0"/>
          <w:bCs w:val="0"/>
        </w:rPr>
      </w:pPr>
      <w:r w:rsidRPr="004D499C">
        <w:rPr>
          <w:b w:val="0"/>
          <w:bCs w:val="0"/>
        </w:rPr>
        <w:t>Australian Securitisation Forum (ASF) 59, 61</w:t>
      </w:r>
    </w:p>
    <w:p w14:paraId="37A6707D" w14:textId="77777777" w:rsidR="004D499C" w:rsidRPr="004D499C" w:rsidRDefault="004D499C" w:rsidP="004D499C">
      <w:pPr>
        <w:pStyle w:val="Separator"/>
        <w:rPr>
          <w:b w:val="0"/>
          <w:bCs w:val="0"/>
        </w:rPr>
      </w:pPr>
      <w:r w:rsidRPr="004D499C">
        <w:rPr>
          <w:b w:val="0"/>
          <w:bCs w:val="0"/>
        </w:rPr>
        <w:t>Australian Taxation Office 43</w:t>
      </w:r>
    </w:p>
    <w:p w14:paraId="07363E82" w14:textId="77777777" w:rsidR="004D499C" w:rsidRDefault="004D499C" w:rsidP="004D499C">
      <w:pPr>
        <w:pStyle w:val="Separator"/>
      </w:pPr>
    </w:p>
    <w:p w14:paraId="4708C590" w14:textId="77777777" w:rsidR="004D499C" w:rsidRDefault="004D499C" w:rsidP="004D499C">
      <w:pPr>
        <w:pStyle w:val="Separator"/>
      </w:pPr>
      <w:r>
        <w:t>B</w:t>
      </w:r>
    </w:p>
    <w:p w14:paraId="368FF1F7" w14:textId="77777777" w:rsidR="004D499C" w:rsidRPr="004D499C" w:rsidRDefault="004D499C" w:rsidP="004D499C">
      <w:pPr>
        <w:pStyle w:val="Separator"/>
        <w:rPr>
          <w:b w:val="0"/>
          <w:bCs w:val="0"/>
        </w:rPr>
      </w:pPr>
      <w:r w:rsidRPr="004D499C">
        <w:rPr>
          <w:b w:val="0"/>
          <w:bCs w:val="0"/>
        </w:rPr>
        <w:t>basis of preparation of the financial statements 173</w:t>
      </w:r>
    </w:p>
    <w:p w14:paraId="4B42639A" w14:textId="77777777" w:rsidR="004D499C" w:rsidRPr="004D499C" w:rsidRDefault="004D499C" w:rsidP="004D499C">
      <w:pPr>
        <w:pStyle w:val="Separator"/>
        <w:rPr>
          <w:b w:val="0"/>
          <w:bCs w:val="0"/>
        </w:rPr>
      </w:pPr>
      <w:r w:rsidRPr="004D499C">
        <w:rPr>
          <w:b w:val="0"/>
          <w:bCs w:val="0"/>
        </w:rPr>
        <w:t xml:space="preserve">Bloomberg </w:t>
      </w:r>
      <w:proofErr w:type="spellStart"/>
      <w:r w:rsidRPr="004D499C">
        <w:rPr>
          <w:b w:val="0"/>
          <w:bCs w:val="0"/>
        </w:rPr>
        <w:t>AusBond</w:t>
      </w:r>
      <w:proofErr w:type="spellEnd"/>
      <w:r w:rsidRPr="004D499C">
        <w:rPr>
          <w:b w:val="0"/>
          <w:bCs w:val="0"/>
        </w:rPr>
        <w:t xml:space="preserve"> Treasury 0-1 Yr Index 21</w:t>
      </w:r>
    </w:p>
    <w:p w14:paraId="4CF3E0BD" w14:textId="77777777" w:rsidR="004D499C" w:rsidRPr="004D499C" w:rsidRDefault="004D499C" w:rsidP="004D499C">
      <w:pPr>
        <w:pStyle w:val="Separator"/>
        <w:rPr>
          <w:b w:val="0"/>
          <w:bCs w:val="0"/>
        </w:rPr>
      </w:pPr>
      <w:r w:rsidRPr="004D499C">
        <w:rPr>
          <w:b w:val="0"/>
          <w:bCs w:val="0"/>
        </w:rPr>
        <w:t>bond issuance framework 3</w:t>
      </w:r>
    </w:p>
    <w:p w14:paraId="43018BAD" w14:textId="77777777" w:rsidR="004D499C" w:rsidRPr="004D499C" w:rsidRDefault="004D499C" w:rsidP="004D499C">
      <w:pPr>
        <w:pStyle w:val="Separator"/>
        <w:rPr>
          <w:b w:val="0"/>
          <w:bCs w:val="0"/>
        </w:rPr>
      </w:pPr>
      <w:r w:rsidRPr="004D499C">
        <w:rPr>
          <w:b w:val="0"/>
          <w:bCs w:val="0"/>
        </w:rPr>
        <w:t>Budget 8</w:t>
      </w:r>
    </w:p>
    <w:p w14:paraId="2D583D99" w14:textId="77777777" w:rsidR="004D499C" w:rsidRPr="004D499C" w:rsidRDefault="004D499C" w:rsidP="004D499C">
      <w:pPr>
        <w:pStyle w:val="Separator"/>
        <w:rPr>
          <w:b w:val="0"/>
          <w:bCs w:val="0"/>
        </w:rPr>
      </w:pPr>
      <w:r w:rsidRPr="004D499C">
        <w:rPr>
          <w:b w:val="0"/>
          <w:bCs w:val="0"/>
        </w:rPr>
        <w:t>budget variances 149, 172</w:t>
      </w:r>
    </w:p>
    <w:p w14:paraId="2D3FD094" w14:textId="77777777" w:rsidR="004D499C" w:rsidRPr="004D499C" w:rsidRDefault="004D499C" w:rsidP="004D499C">
      <w:pPr>
        <w:pStyle w:val="Separator"/>
        <w:rPr>
          <w:b w:val="0"/>
          <w:bCs w:val="0"/>
        </w:rPr>
      </w:pPr>
      <w:r w:rsidRPr="004D499C">
        <w:rPr>
          <w:b w:val="0"/>
          <w:bCs w:val="0"/>
        </w:rPr>
        <w:t>business continuity 74</w:t>
      </w:r>
    </w:p>
    <w:p w14:paraId="7F3F0D29" w14:textId="043187E0" w:rsidR="00C1682E" w:rsidRPr="004D499C" w:rsidRDefault="004D499C" w:rsidP="004D499C">
      <w:pPr>
        <w:pStyle w:val="Separator"/>
        <w:rPr>
          <w:b w:val="0"/>
          <w:bCs w:val="0"/>
          <w:lang w:val="en-GB"/>
        </w:rPr>
      </w:pPr>
      <w:r w:rsidRPr="004D499C">
        <w:rPr>
          <w:b w:val="0"/>
          <w:bCs w:val="0"/>
        </w:rPr>
        <w:t>buybacks 35, 130</w:t>
      </w:r>
    </w:p>
    <w:p w14:paraId="6DABD427" w14:textId="77777777" w:rsidR="006E5D9D" w:rsidRPr="006E5D9D" w:rsidRDefault="00271697" w:rsidP="006E5D9D">
      <w:pPr>
        <w:pStyle w:val="Separator"/>
        <w:rPr>
          <w:lang w:val="en-GB"/>
        </w:rPr>
      </w:pPr>
      <w:r>
        <w:rPr>
          <w:lang w:val="en-GB"/>
        </w:rPr>
        <w:br w:type="column"/>
      </w:r>
      <w:r w:rsidR="006E5D9D" w:rsidRPr="006E5D9D">
        <w:rPr>
          <w:lang w:val="en-GB"/>
        </w:rPr>
        <w:lastRenderedPageBreak/>
        <w:t>C</w:t>
      </w:r>
    </w:p>
    <w:p w14:paraId="73F6DA92" w14:textId="77777777" w:rsidR="006E5D9D" w:rsidRPr="006E5D9D" w:rsidRDefault="006E5D9D" w:rsidP="006E5D9D">
      <w:pPr>
        <w:pStyle w:val="Separator"/>
        <w:rPr>
          <w:b w:val="0"/>
          <w:bCs w:val="0"/>
          <w:lang w:val="en-GB"/>
        </w:rPr>
      </w:pPr>
      <w:r w:rsidRPr="006E5D9D">
        <w:rPr>
          <w:b w:val="0"/>
          <w:bCs w:val="0"/>
          <w:lang w:val="en-GB"/>
        </w:rPr>
        <w:t>cash flow reconciliation 169</w:t>
      </w:r>
    </w:p>
    <w:p w14:paraId="602BFD5C" w14:textId="77777777" w:rsidR="006E5D9D" w:rsidRPr="006E5D9D" w:rsidRDefault="006E5D9D" w:rsidP="006E5D9D">
      <w:pPr>
        <w:pStyle w:val="Separator"/>
        <w:rPr>
          <w:b w:val="0"/>
          <w:bCs w:val="0"/>
          <w:lang w:val="en-GB"/>
        </w:rPr>
      </w:pPr>
      <w:r w:rsidRPr="006E5D9D">
        <w:rPr>
          <w:b w:val="0"/>
          <w:bCs w:val="0"/>
          <w:lang w:val="en-GB"/>
        </w:rPr>
        <w:t>cash flow statement 118–119, 145, 156</w:t>
      </w:r>
    </w:p>
    <w:p w14:paraId="12A3A909" w14:textId="77777777" w:rsidR="006E5D9D" w:rsidRPr="006E5D9D" w:rsidRDefault="006E5D9D" w:rsidP="006E5D9D">
      <w:pPr>
        <w:pStyle w:val="Separator"/>
        <w:rPr>
          <w:b w:val="0"/>
          <w:bCs w:val="0"/>
          <w:lang w:val="en-GB"/>
        </w:rPr>
      </w:pPr>
      <w:r w:rsidRPr="006E5D9D">
        <w:rPr>
          <w:b w:val="0"/>
          <w:bCs w:val="0"/>
          <w:lang w:val="en-GB"/>
        </w:rPr>
        <w:t>Cash Management Account (CMA) 44, 45, 46, 138</w:t>
      </w:r>
    </w:p>
    <w:p w14:paraId="2B98865A" w14:textId="77777777" w:rsidR="006E5D9D" w:rsidRPr="006E5D9D" w:rsidRDefault="006E5D9D" w:rsidP="006E5D9D">
      <w:pPr>
        <w:pStyle w:val="Separator"/>
        <w:rPr>
          <w:b w:val="0"/>
          <w:bCs w:val="0"/>
          <w:lang w:val="en-GB"/>
        </w:rPr>
      </w:pPr>
      <w:r w:rsidRPr="006E5D9D">
        <w:rPr>
          <w:b w:val="0"/>
          <w:bCs w:val="0"/>
          <w:lang w:val="en-GB"/>
        </w:rPr>
        <w:t>Cash Management Meeting 69</w:t>
      </w:r>
    </w:p>
    <w:p w14:paraId="1566FA7F" w14:textId="77777777" w:rsidR="006E5D9D" w:rsidRPr="006E5D9D" w:rsidRDefault="006E5D9D" w:rsidP="006E5D9D">
      <w:pPr>
        <w:pStyle w:val="Separator"/>
        <w:rPr>
          <w:b w:val="0"/>
          <w:bCs w:val="0"/>
          <w:lang w:val="en-GB"/>
        </w:rPr>
      </w:pPr>
      <w:r w:rsidRPr="006E5D9D">
        <w:rPr>
          <w:b w:val="0"/>
          <w:bCs w:val="0"/>
          <w:lang w:val="en-GB"/>
        </w:rPr>
        <w:t>Cash Management Portfolio (CMP) 17, 18, 45–46</w:t>
      </w:r>
    </w:p>
    <w:p w14:paraId="2AA49EC6" w14:textId="77777777" w:rsidR="006E5D9D" w:rsidRPr="006E5D9D" w:rsidRDefault="006E5D9D" w:rsidP="006E5D9D">
      <w:pPr>
        <w:pStyle w:val="Separator"/>
        <w:rPr>
          <w:b w:val="0"/>
          <w:bCs w:val="0"/>
          <w:lang w:val="en-GB"/>
        </w:rPr>
      </w:pPr>
      <w:r w:rsidRPr="006E5D9D">
        <w:rPr>
          <w:b w:val="0"/>
          <w:bCs w:val="0"/>
          <w:lang w:val="en-GB"/>
        </w:rPr>
        <w:t>cash management role</w:t>
      </w:r>
      <w:r w:rsidRPr="006E5D9D">
        <w:rPr>
          <w:b w:val="0"/>
          <w:bCs w:val="0"/>
          <w:lang w:val="en-GB"/>
        </w:rPr>
        <w:tab/>
        <w:t>6, 16, 43, 123, 138 see also Purpose 2</w:t>
      </w:r>
    </w:p>
    <w:p w14:paraId="086BD418" w14:textId="77777777" w:rsidR="006E5D9D" w:rsidRPr="006E5D9D" w:rsidRDefault="006E5D9D" w:rsidP="006E5D9D">
      <w:pPr>
        <w:pStyle w:val="Separator"/>
        <w:rPr>
          <w:b w:val="0"/>
          <w:bCs w:val="0"/>
          <w:lang w:val="en-GB"/>
        </w:rPr>
      </w:pPr>
      <w:r w:rsidRPr="006E5D9D">
        <w:rPr>
          <w:b w:val="0"/>
          <w:bCs w:val="0"/>
          <w:lang w:val="en-GB"/>
        </w:rPr>
        <w:t>cash operating surplus 94</w:t>
      </w:r>
    </w:p>
    <w:p w14:paraId="2BB45F1B" w14:textId="77777777" w:rsidR="006E5D9D" w:rsidRPr="006E5D9D" w:rsidRDefault="006E5D9D" w:rsidP="006E5D9D">
      <w:pPr>
        <w:pStyle w:val="Separator"/>
        <w:rPr>
          <w:b w:val="0"/>
          <w:bCs w:val="0"/>
          <w:lang w:val="en-GB"/>
        </w:rPr>
      </w:pPr>
      <w:r w:rsidRPr="006E5D9D">
        <w:rPr>
          <w:b w:val="0"/>
          <w:bCs w:val="0"/>
          <w:lang w:val="en-GB"/>
        </w:rPr>
        <w:t>cash outlay requirements 41–46</w:t>
      </w:r>
    </w:p>
    <w:p w14:paraId="41B1661A" w14:textId="77777777" w:rsidR="006E5D9D" w:rsidRPr="006E5D9D" w:rsidRDefault="006E5D9D" w:rsidP="006E5D9D">
      <w:pPr>
        <w:pStyle w:val="Separator"/>
        <w:rPr>
          <w:b w:val="0"/>
          <w:bCs w:val="0"/>
          <w:lang w:val="en-GB"/>
        </w:rPr>
      </w:pPr>
      <w:r w:rsidRPr="006E5D9D">
        <w:rPr>
          <w:b w:val="0"/>
          <w:bCs w:val="0"/>
          <w:lang w:val="en-GB"/>
        </w:rPr>
        <w:t>cash transfers to the OPA 117</w:t>
      </w:r>
    </w:p>
    <w:p w14:paraId="4DA6BE60" w14:textId="77777777" w:rsidR="006E5D9D" w:rsidRPr="006E5D9D" w:rsidRDefault="006E5D9D" w:rsidP="006E5D9D">
      <w:pPr>
        <w:pStyle w:val="Separator"/>
        <w:rPr>
          <w:b w:val="0"/>
          <w:bCs w:val="0"/>
          <w:lang w:val="en-GB"/>
        </w:rPr>
      </w:pPr>
      <w:r w:rsidRPr="006E5D9D">
        <w:rPr>
          <w:b w:val="0"/>
          <w:bCs w:val="0"/>
          <w:lang w:val="en-GB"/>
        </w:rPr>
        <w:t>Castlepoint 5</w:t>
      </w:r>
    </w:p>
    <w:p w14:paraId="10E234EE" w14:textId="77777777" w:rsidR="006E5D9D" w:rsidRPr="006E5D9D" w:rsidRDefault="006E5D9D" w:rsidP="006E5D9D">
      <w:pPr>
        <w:pStyle w:val="Separator"/>
        <w:rPr>
          <w:b w:val="0"/>
          <w:bCs w:val="0"/>
          <w:lang w:val="en-GB"/>
        </w:rPr>
      </w:pPr>
      <w:r w:rsidRPr="006E5D9D">
        <w:rPr>
          <w:b w:val="0"/>
          <w:bCs w:val="0"/>
          <w:lang w:val="en-GB"/>
        </w:rPr>
        <w:t>Census Action Plan 78</w:t>
      </w:r>
    </w:p>
    <w:p w14:paraId="51154FF3" w14:textId="77777777" w:rsidR="006E5D9D" w:rsidRPr="006E5D9D" w:rsidRDefault="006E5D9D" w:rsidP="006E5D9D">
      <w:pPr>
        <w:pStyle w:val="Separator"/>
        <w:rPr>
          <w:b w:val="0"/>
          <w:bCs w:val="0"/>
          <w:lang w:val="en-GB"/>
        </w:rPr>
      </w:pPr>
      <w:r w:rsidRPr="006E5D9D">
        <w:rPr>
          <w:b w:val="0"/>
          <w:bCs w:val="0"/>
          <w:lang w:val="en-GB"/>
        </w:rPr>
        <w:t>Chief Executive Officer</w:t>
      </w:r>
    </w:p>
    <w:p w14:paraId="39A8EDAD" w14:textId="77777777" w:rsidR="006E5D9D" w:rsidRPr="006E5D9D" w:rsidRDefault="006E5D9D" w:rsidP="005A2659">
      <w:pPr>
        <w:pStyle w:val="Separator"/>
        <w:ind w:left="142"/>
        <w:rPr>
          <w:b w:val="0"/>
          <w:bCs w:val="0"/>
          <w:lang w:val="en-GB"/>
        </w:rPr>
      </w:pPr>
      <w:r w:rsidRPr="006E5D9D">
        <w:rPr>
          <w:b w:val="0"/>
          <w:bCs w:val="0"/>
          <w:lang w:val="en-GB"/>
        </w:rPr>
        <w:t>review 3–5</w:t>
      </w:r>
    </w:p>
    <w:p w14:paraId="20B2DBDE" w14:textId="77777777" w:rsidR="006E5D9D" w:rsidRPr="006E5D9D" w:rsidRDefault="006E5D9D" w:rsidP="005A2659">
      <w:pPr>
        <w:pStyle w:val="Separator"/>
        <w:ind w:left="142"/>
        <w:rPr>
          <w:b w:val="0"/>
          <w:bCs w:val="0"/>
          <w:lang w:val="en-GB"/>
        </w:rPr>
      </w:pPr>
      <w:r w:rsidRPr="006E5D9D">
        <w:rPr>
          <w:b w:val="0"/>
          <w:bCs w:val="0"/>
          <w:lang w:val="en-GB"/>
        </w:rPr>
        <w:t>role 10, 50, 67, 74, 77, 85, 88, 94</w:t>
      </w:r>
    </w:p>
    <w:p w14:paraId="08A99B35" w14:textId="77777777" w:rsidR="006E5D9D" w:rsidRPr="006E5D9D" w:rsidRDefault="006E5D9D" w:rsidP="005A2659">
      <w:pPr>
        <w:pStyle w:val="Separator"/>
        <w:ind w:left="142"/>
        <w:rPr>
          <w:b w:val="0"/>
          <w:bCs w:val="0"/>
          <w:lang w:val="en-GB"/>
        </w:rPr>
      </w:pPr>
      <w:r w:rsidRPr="006E5D9D">
        <w:rPr>
          <w:b w:val="0"/>
          <w:bCs w:val="0"/>
          <w:lang w:val="en-GB"/>
        </w:rPr>
        <w:t>statement 111</w:t>
      </w:r>
    </w:p>
    <w:p w14:paraId="6DB405A3" w14:textId="77777777" w:rsidR="006E5D9D" w:rsidRPr="006E5D9D" w:rsidRDefault="006E5D9D" w:rsidP="006E5D9D">
      <w:pPr>
        <w:pStyle w:val="Separator"/>
        <w:rPr>
          <w:b w:val="0"/>
          <w:bCs w:val="0"/>
          <w:lang w:val="en-GB"/>
        </w:rPr>
      </w:pPr>
      <w:r w:rsidRPr="006E5D9D">
        <w:rPr>
          <w:b w:val="0"/>
          <w:bCs w:val="0"/>
          <w:lang w:val="en-GB"/>
        </w:rPr>
        <w:t>Chief Financial Officer 111</w:t>
      </w:r>
    </w:p>
    <w:p w14:paraId="2E491FB3" w14:textId="77777777" w:rsidR="006E5D9D" w:rsidRPr="006E5D9D" w:rsidRDefault="006E5D9D" w:rsidP="006E5D9D">
      <w:pPr>
        <w:pStyle w:val="Separator"/>
        <w:rPr>
          <w:b w:val="0"/>
          <w:bCs w:val="0"/>
          <w:lang w:val="en-GB"/>
        </w:rPr>
      </w:pPr>
      <w:r w:rsidRPr="006E5D9D">
        <w:rPr>
          <w:b w:val="0"/>
          <w:bCs w:val="0"/>
          <w:lang w:val="en-GB"/>
        </w:rPr>
        <w:t>Chief Operating Officer 4, 85</w:t>
      </w:r>
    </w:p>
    <w:p w14:paraId="4651D5A4" w14:textId="77777777" w:rsidR="006E5D9D" w:rsidRPr="006E5D9D" w:rsidRDefault="006E5D9D" w:rsidP="006E5D9D">
      <w:pPr>
        <w:pStyle w:val="Separator"/>
        <w:rPr>
          <w:b w:val="0"/>
          <w:bCs w:val="0"/>
          <w:lang w:val="en-GB"/>
        </w:rPr>
      </w:pPr>
      <w:r w:rsidRPr="006E5D9D">
        <w:rPr>
          <w:b w:val="0"/>
          <w:bCs w:val="0"/>
          <w:lang w:val="en-GB"/>
        </w:rPr>
        <w:t>climate change 3, 30, 72, 98–100, 101–107, 175</w:t>
      </w:r>
    </w:p>
    <w:p w14:paraId="4C7DD695" w14:textId="77777777" w:rsidR="006E5D9D" w:rsidRPr="006E5D9D" w:rsidRDefault="006E5D9D" w:rsidP="006E5D9D">
      <w:pPr>
        <w:pStyle w:val="Separator"/>
        <w:rPr>
          <w:b w:val="0"/>
          <w:bCs w:val="0"/>
          <w:lang w:val="en-GB"/>
        </w:rPr>
      </w:pPr>
      <w:r w:rsidRPr="006E5D9D">
        <w:rPr>
          <w:b w:val="0"/>
          <w:bCs w:val="0"/>
          <w:lang w:val="en-GB"/>
        </w:rPr>
        <w:t>Climate Risk and Opportunity Management Program 72</w:t>
      </w:r>
    </w:p>
    <w:p w14:paraId="129E0273" w14:textId="77777777" w:rsidR="006E5D9D" w:rsidRPr="006E5D9D" w:rsidRDefault="006E5D9D" w:rsidP="006E5D9D">
      <w:pPr>
        <w:pStyle w:val="Separator"/>
        <w:rPr>
          <w:b w:val="0"/>
          <w:bCs w:val="0"/>
          <w:lang w:val="en-GB"/>
        </w:rPr>
      </w:pPr>
      <w:r w:rsidRPr="006E5D9D">
        <w:rPr>
          <w:b w:val="0"/>
          <w:bCs w:val="0"/>
          <w:lang w:val="en-GB"/>
        </w:rPr>
        <w:t>code of conduct 75</w:t>
      </w:r>
    </w:p>
    <w:p w14:paraId="52D0B3F8" w14:textId="77777777" w:rsidR="006E5D9D" w:rsidRPr="006E5D9D" w:rsidRDefault="006E5D9D" w:rsidP="006E5D9D">
      <w:pPr>
        <w:pStyle w:val="Separator"/>
        <w:rPr>
          <w:b w:val="0"/>
          <w:bCs w:val="0"/>
          <w:lang w:val="en-GB"/>
        </w:rPr>
      </w:pPr>
      <w:r w:rsidRPr="006E5D9D">
        <w:rPr>
          <w:b w:val="0"/>
          <w:bCs w:val="0"/>
          <w:lang w:val="en-GB"/>
        </w:rPr>
        <w:t>Comcare 78</w:t>
      </w:r>
    </w:p>
    <w:p w14:paraId="2B9501CB" w14:textId="77777777" w:rsidR="006E5D9D" w:rsidRPr="006E5D9D" w:rsidRDefault="006E5D9D" w:rsidP="006E5D9D">
      <w:pPr>
        <w:pStyle w:val="Separator"/>
        <w:rPr>
          <w:b w:val="0"/>
          <w:bCs w:val="0"/>
          <w:lang w:val="en-GB"/>
        </w:rPr>
      </w:pPr>
      <w:proofErr w:type="spellStart"/>
      <w:r w:rsidRPr="006E5D9D">
        <w:rPr>
          <w:b w:val="0"/>
          <w:bCs w:val="0"/>
          <w:lang w:val="en-GB"/>
        </w:rPr>
        <w:t>Comcover</w:t>
      </w:r>
      <w:proofErr w:type="spellEnd"/>
      <w:r w:rsidRPr="006E5D9D">
        <w:rPr>
          <w:b w:val="0"/>
          <w:bCs w:val="0"/>
          <w:lang w:val="en-GB"/>
        </w:rPr>
        <w:t xml:space="preserve"> Risk Management Benchmarking Program 4</w:t>
      </w:r>
    </w:p>
    <w:p w14:paraId="0E729447" w14:textId="77777777" w:rsidR="006E5D9D" w:rsidRPr="006E5D9D" w:rsidRDefault="006E5D9D" w:rsidP="006E5D9D">
      <w:pPr>
        <w:pStyle w:val="Separator"/>
        <w:rPr>
          <w:b w:val="0"/>
          <w:bCs w:val="0"/>
          <w:lang w:val="en-GB"/>
        </w:rPr>
      </w:pPr>
      <w:r w:rsidRPr="006E5D9D">
        <w:rPr>
          <w:b w:val="0"/>
          <w:bCs w:val="0"/>
          <w:lang w:val="en-GB"/>
        </w:rPr>
        <w:t>committee structure 67, 69</w:t>
      </w:r>
    </w:p>
    <w:p w14:paraId="5CAF1EDD" w14:textId="77777777" w:rsidR="006E5D9D" w:rsidRPr="006E5D9D" w:rsidRDefault="006E5D9D" w:rsidP="006E5D9D">
      <w:pPr>
        <w:pStyle w:val="Separator"/>
        <w:rPr>
          <w:b w:val="0"/>
          <w:bCs w:val="0"/>
          <w:lang w:val="en-GB"/>
        </w:rPr>
      </w:pPr>
      <w:r w:rsidRPr="006E5D9D">
        <w:rPr>
          <w:b w:val="0"/>
          <w:bCs w:val="0"/>
          <w:lang w:val="en-GB"/>
        </w:rPr>
        <w:t>Commonwealth Climate Disclosure requirements 98, 101–107</w:t>
      </w:r>
    </w:p>
    <w:p w14:paraId="453FF188" w14:textId="77777777" w:rsidR="006E5D9D" w:rsidRPr="006E5D9D" w:rsidRDefault="006E5D9D" w:rsidP="006E5D9D">
      <w:pPr>
        <w:pStyle w:val="Separator"/>
        <w:rPr>
          <w:b w:val="0"/>
          <w:bCs w:val="0"/>
          <w:lang w:val="en-GB"/>
        </w:rPr>
      </w:pPr>
      <w:r w:rsidRPr="006E5D9D">
        <w:rPr>
          <w:b w:val="0"/>
          <w:bCs w:val="0"/>
          <w:lang w:val="en-GB"/>
        </w:rPr>
        <w:t>Commonwealth Fraud and Corruption Control Framework 75</w:t>
      </w:r>
    </w:p>
    <w:p w14:paraId="4121C1CD" w14:textId="77777777" w:rsidR="006E5D9D" w:rsidRPr="006E5D9D" w:rsidRDefault="006E5D9D" w:rsidP="006E5D9D">
      <w:pPr>
        <w:pStyle w:val="Separator"/>
        <w:rPr>
          <w:b w:val="0"/>
          <w:bCs w:val="0"/>
          <w:lang w:val="en-GB"/>
        </w:rPr>
      </w:pPr>
      <w:r w:rsidRPr="006E5D9D">
        <w:rPr>
          <w:b w:val="0"/>
          <w:bCs w:val="0"/>
          <w:lang w:val="en-GB"/>
        </w:rPr>
        <w:t>Commonwealth Inscribed Stock Act 1911 68, 146</w:t>
      </w:r>
    </w:p>
    <w:p w14:paraId="4714B5AE" w14:textId="77777777" w:rsidR="006E5D9D" w:rsidRPr="006E5D9D" w:rsidRDefault="006E5D9D" w:rsidP="006E5D9D">
      <w:pPr>
        <w:pStyle w:val="Separator"/>
        <w:rPr>
          <w:b w:val="0"/>
          <w:bCs w:val="0"/>
          <w:lang w:val="en-GB"/>
        </w:rPr>
      </w:pPr>
      <w:r w:rsidRPr="006E5D9D">
        <w:rPr>
          <w:b w:val="0"/>
          <w:bCs w:val="0"/>
          <w:lang w:val="en-GB"/>
        </w:rPr>
        <w:t>Commonwealth Integrity Maturity Framework 75</w:t>
      </w:r>
    </w:p>
    <w:p w14:paraId="008AB6BF" w14:textId="77777777" w:rsidR="006E5D9D" w:rsidRPr="006E5D9D" w:rsidRDefault="006E5D9D" w:rsidP="006E5D9D">
      <w:pPr>
        <w:pStyle w:val="Separator"/>
        <w:rPr>
          <w:b w:val="0"/>
          <w:bCs w:val="0"/>
          <w:lang w:val="en-GB"/>
        </w:rPr>
      </w:pPr>
      <w:r w:rsidRPr="006E5D9D">
        <w:rPr>
          <w:b w:val="0"/>
          <w:bCs w:val="0"/>
          <w:lang w:val="en-GB"/>
        </w:rPr>
        <w:t>Commonwealth Procurement Rules (CPRs) 88, 92</w:t>
      </w:r>
    </w:p>
    <w:p w14:paraId="64916B64" w14:textId="77777777" w:rsidR="006E5D9D" w:rsidRPr="006E5D9D" w:rsidRDefault="006E5D9D" w:rsidP="006E5D9D">
      <w:pPr>
        <w:pStyle w:val="Separator"/>
        <w:rPr>
          <w:b w:val="0"/>
          <w:bCs w:val="0"/>
          <w:lang w:val="en-GB"/>
        </w:rPr>
      </w:pPr>
      <w:r w:rsidRPr="006E5D9D">
        <w:rPr>
          <w:b w:val="0"/>
          <w:bCs w:val="0"/>
          <w:lang w:val="en-GB"/>
        </w:rPr>
        <w:t>Commonwealth Risk Management Policy 72</w:t>
      </w:r>
    </w:p>
    <w:p w14:paraId="39D1C966" w14:textId="77777777" w:rsidR="006E5D9D" w:rsidRPr="006E5D9D" w:rsidRDefault="006E5D9D" w:rsidP="006E5D9D">
      <w:pPr>
        <w:pStyle w:val="Separator"/>
        <w:rPr>
          <w:b w:val="0"/>
          <w:bCs w:val="0"/>
          <w:lang w:val="en-GB"/>
        </w:rPr>
      </w:pPr>
      <w:r w:rsidRPr="006E5D9D">
        <w:rPr>
          <w:b w:val="0"/>
          <w:bCs w:val="0"/>
          <w:lang w:val="en-GB"/>
        </w:rPr>
        <w:t xml:space="preserve">communications </w:t>
      </w:r>
      <w:proofErr w:type="gramStart"/>
      <w:r w:rsidRPr="006E5D9D">
        <w:rPr>
          <w:b w:val="0"/>
          <w:bCs w:val="0"/>
          <w:lang w:val="en-GB"/>
        </w:rPr>
        <w:t>functions</w:t>
      </w:r>
      <w:proofErr w:type="gramEnd"/>
      <w:r w:rsidRPr="006E5D9D">
        <w:rPr>
          <w:b w:val="0"/>
          <w:bCs w:val="0"/>
          <w:lang w:val="en-GB"/>
        </w:rPr>
        <w:t xml:space="preserve"> 11</w:t>
      </w:r>
    </w:p>
    <w:p w14:paraId="40282CD7" w14:textId="77777777" w:rsidR="006E5D9D" w:rsidRPr="006E5D9D" w:rsidRDefault="006E5D9D" w:rsidP="006E5D9D">
      <w:pPr>
        <w:pStyle w:val="Separator"/>
        <w:rPr>
          <w:b w:val="0"/>
          <w:bCs w:val="0"/>
          <w:lang w:val="en-GB"/>
        </w:rPr>
      </w:pPr>
      <w:r w:rsidRPr="006E5D9D">
        <w:rPr>
          <w:b w:val="0"/>
          <w:bCs w:val="0"/>
          <w:lang w:val="en-GB"/>
        </w:rPr>
        <w:t>competitive tender 9, 25, 27, 28, 35, 37</w:t>
      </w:r>
    </w:p>
    <w:p w14:paraId="604D0553" w14:textId="77777777" w:rsidR="006E5D9D" w:rsidRPr="006E5D9D" w:rsidRDefault="006E5D9D" w:rsidP="006E5D9D">
      <w:pPr>
        <w:pStyle w:val="Separator"/>
        <w:rPr>
          <w:b w:val="0"/>
          <w:bCs w:val="0"/>
          <w:lang w:val="en-GB"/>
        </w:rPr>
      </w:pPr>
      <w:r w:rsidRPr="006E5D9D">
        <w:rPr>
          <w:b w:val="0"/>
          <w:bCs w:val="0"/>
          <w:lang w:val="en-GB"/>
        </w:rPr>
        <w:t>compliance monitoring 74</w:t>
      </w:r>
    </w:p>
    <w:p w14:paraId="05D23D76" w14:textId="77777777" w:rsidR="006E5D9D" w:rsidRPr="006E5D9D" w:rsidRDefault="006E5D9D" w:rsidP="006E5D9D">
      <w:pPr>
        <w:pStyle w:val="Separator"/>
        <w:rPr>
          <w:b w:val="0"/>
          <w:bCs w:val="0"/>
          <w:lang w:val="en-GB"/>
        </w:rPr>
      </w:pPr>
      <w:r w:rsidRPr="006E5D9D">
        <w:rPr>
          <w:b w:val="0"/>
          <w:bCs w:val="0"/>
          <w:lang w:val="en-GB"/>
        </w:rPr>
        <w:t>compliance with annual report requirements 187–194</w:t>
      </w:r>
    </w:p>
    <w:p w14:paraId="6D8C9874" w14:textId="77777777" w:rsidR="006E5D9D" w:rsidRPr="006E5D9D" w:rsidRDefault="006E5D9D" w:rsidP="006E5D9D">
      <w:pPr>
        <w:pStyle w:val="Separator"/>
        <w:rPr>
          <w:b w:val="0"/>
          <w:bCs w:val="0"/>
          <w:lang w:val="en-GB"/>
        </w:rPr>
      </w:pPr>
      <w:r w:rsidRPr="006E5D9D">
        <w:rPr>
          <w:b w:val="0"/>
          <w:bCs w:val="0"/>
          <w:lang w:val="en-GB"/>
        </w:rPr>
        <w:t>comprehensive income schedule 113–114</w:t>
      </w:r>
    </w:p>
    <w:p w14:paraId="45C18A02" w14:textId="77777777" w:rsidR="006E5D9D" w:rsidRPr="006E5D9D" w:rsidRDefault="006E5D9D" w:rsidP="006E5D9D">
      <w:pPr>
        <w:pStyle w:val="Separator"/>
        <w:rPr>
          <w:b w:val="0"/>
          <w:bCs w:val="0"/>
          <w:lang w:val="en-GB"/>
        </w:rPr>
      </w:pPr>
      <w:r w:rsidRPr="006E5D9D">
        <w:rPr>
          <w:b w:val="0"/>
          <w:bCs w:val="0"/>
          <w:lang w:val="en-GB"/>
        </w:rPr>
        <w:t>comprehensive income statement 153</w:t>
      </w:r>
    </w:p>
    <w:p w14:paraId="2CD84FE9" w14:textId="77777777" w:rsidR="006E5D9D" w:rsidRPr="006E5D9D" w:rsidRDefault="006E5D9D" w:rsidP="006E5D9D">
      <w:pPr>
        <w:pStyle w:val="Separator"/>
        <w:rPr>
          <w:b w:val="0"/>
          <w:bCs w:val="0"/>
          <w:lang w:val="en-GB"/>
        </w:rPr>
      </w:pPr>
      <w:r w:rsidRPr="006E5D9D">
        <w:rPr>
          <w:b w:val="0"/>
          <w:bCs w:val="0"/>
          <w:lang w:val="en-GB"/>
        </w:rPr>
        <w:t>Computershare 38</w:t>
      </w:r>
    </w:p>
    <w:p w14:paraId="017E67AE" w14:textId="77777777" w:rsidR="006E5D9D" w:rsidRPr="006E5D9D" w:rsidRDefault="006E5D9D" w:rsidP="006E5D9D">
      <w:pPr>
        <w:pStyle w:val="Separator"/>
        <w:rPr>
          <w:b w:val="0"/>
          <w:bCs w:val="0"/>
          <w:lang w:val="en-GB"/>
        </w:rPr>
      </w:pPr>
      <w:r w:rsidRPr="006E5D9D">
        <w:rPr>
          <w:b w:val="0"/>
          <w:bCs w:val="0"/>
          <w:lang w:val="en-GB"/>
        </w:rPr>
        <w:t>consultancy, reportable 88–89</w:t>
      </w:r>
    </w:p>
    <w:p w14:paraId="695C1D01" w14:textId="77777777" w:rsidR="006E5D9D" w:rsidRPr="006E5D9D" w:rsidRDefault="006E5D9D" w:rsidP="006E5D9D">
      <w:pPr>
        <w:pStyle w:val="Separator"/>
        <w:rPr>
          <w:b w:val="0"/>
          <w:bCs w:val="0"/>
          <w:lang w:val="en-GB"/>
        </w:rPr>
      </w:pPr>
      <w:r w:rsidRPr="006E5D9D">
        <w:rPr>
          <w:b w:val="0"/>
          <w:bCs w:val="0"/>
          <w:lang w:val="en-GB"/>
        </w:rPr>
        <w:t>Consultation and Change Framework 73</w:t>
      </w:r>
    </w:p>
    <w:p w14:paraId="0DD1A24F" w14:textId="77777777" w:rsidR="006E5D9D" w:rsidRPr="006E5D9D" w:rsidRDefault="006E5D9D" w:rsidP="006E5D9D">
      <w:pPr>
        <w:pStyle w:val="Separator"/>
        <w:rPr>
          <w:b w:val="0"/>
          <w:bCs w:val="0"/>
          <w:lang w:val="en-GB"/>
        </w:rPr>
      </w:pPr>
      <w:r w:rsidRPr="006E5D9D">
        <w:rPr>
          <w:b w:val="0"/>
          <w:bCs w:val="0"/>
          <w:lang w:val="en-GB"/>
        </w:rPr>
        <w:t>Consumer Price Index (CPI) 3, 122</w:t>
      </w:r>
    </w:p>
    <w:p w14:paraId="3E4C61B4" w14:textId="77777777" w:rsidR="006E5D9D" w:rsidRPr="006E5D9D" w:rsidRDefault="006E5D9D" w:rsidP="006E5D9D">
      <w:pPr>
        <w:pStyle w:val="Separator"/>
        <w:rPr>
          <w:b w:val="0"/>
          <w:bCs w:val="0"/>
          <w:lang w:val="en-GB"/>
        </w:rPr>
      </w:pPr>
      <w:r w:rsidRPr="006E5D9D">
        <w:rPr>
          <w:b w:val="0"/>
          <w:bCs w:val="0"/>
          <w:lang w:val="en-GB"/>
        </w:rPr>
        <w:t>consumer price inflation 22</w:t>
      </w:r>
    </w:p>
    <w:p w14:paraId="134D084A" w14:textId="77777777" w:rsidR="006E5D9D" w:rsidRPr="006E5D9D" w:rsidRDefault="006E5D9D" w:rsidP="006E5D9D">
      <w:pPr>
        <w:pStyle w:val="Separator"/>
        <w:rPr>
          <w:b w:val="0"/>
          <w:bCs w:val="0"/>
          <w:lang w:val="en-GB"/>
        </w:rPr>
      </w:pPr>
      <w:r w:rsidRPr="006E5D9D">
        <w:rPr>
          <w:b w:val="0"/>
          <w:bCs w:val="0"/>
          <w:lang w:val="en-GB"/>
        </w:rPr>
        <w:t>contingent assets and liabilities 175</w:t>
      </w:r>
    </w:p>
    <w:p w14:paraId="0D43C6D1" w14:textId="77777777" w:rsidR="006E5D9D" w:rsidRPr="006E5D9D" w:rsidRDefault="006E5D9D" w:rsidP="006E5D9D">
      <w:pPr>
        <w:pStyle w:val="Separator"/>
        <w:rPr>
          <w:b w:val="0"/>
          <w:bCs w:val="0"/>
          <w:lang w:val="en-GB"/>
        </w:rPr>
      </w:pPr>
      <w:r w:rsidRPr="006E5D9D">
        <w:rPr>
          <w:b w:val="0"/>
          <w:bCs w:val="0"/>
          <w:lang w:val="en-GB"/>
        </w:rPr>
        <w:t>core responsibilities 6</w:t>
      </w:r>
    </w:p>
    <w:p w14:paraId="7C2F01C9" w14:textId="77777777" w:rsidR="006E5D9D" w:rsidRPr="006E5D9D" w:rsidRDefault="006E5D9D" w:rsidP="006E5D9D">
      <w:pPr>
        <w:pStyle w:val="Separator"/>
        <w:rPr>
          <w:b w:val="0"/>
          <w:bCs w:val="0"/>
          <w:lang w:val="en-GB"/>
        </w:rPr>
      </w:pPr>
      <w:r w:rsidRPr="006E5D9D">
        <w:rPr>
          <w:b w:val="0"/>
          <w:bCs w:val="0"/>
          <w:lang w:val="en-GB"/>
        </w:rPr>
        <w:t>corporate governance 67–76</w:t>
      </w:r>
    </w:p>
    <w:p w14:paraId="32646F43" w14:textId="77777777" w:rsidR="006E5D9D" w:rsidRPr="006E5D9D" w:rsidRDefault="006E5D9D" w:rsidP="006E5D9D">
      <w:pPr>
        <w:pStyle w:val="Separator"/>
        <w:rPr>
          <w:b w:val="0"/>
          <w:bCs w:val="0"/>
          <w:lang w:val="en-GB"/>
        </w:rPr>
      </w:pPr>
      <w:r w:rsidRPr="006E5D9D">
        <w:rPr>
          <w:b w:val="0"/>
          <w:bCs w:val="0"/>
          <w:lang w:val="en-GB"/>
        </w:rPr>
        <w:t>Corporate Plan 20</w:t>
      </w:r>
    </w:p>
    <w:p w14:paraId="520D1EE7" w14:textId="77777777" w:rsidR="006E5D9D" w:rsidRPr="006E5D9D" w:rsidRDefault="006E5D9D" w:rsidP="006E5D9D">
      <w:pPr>
        <w:pStyle w:val="Separator"/>
        <w:rPr>
          <w:b w:val="0"/>
          <w:bCs w:val="0"/>
          <w:lang w:val="en-GB"/>
        </w:rPr>
      </w:pPr>
      <w:r w:rsidRPr="006E5D9D">
        <w:rPr>
          <w:b w:val="0"/>
          <w:bCs w:val="0"/>
          <w:lang w:val="en-GB"/>
        </w:rPr>
        <w:t>corruption prevention and control 73, 75</w:t>
      </w:r>
    </w:p>
    <w:p w14:paraId="5C675B48" w14:textId="77777777" w:rsidR="006E5D9D" w:rsidRPr="006E5D9D" w:rsidRDefault="006E5D9D" w:rsidP="006E5D9D">
      <w:pPr>
        <w:pStyle w:val="Separator"/>
        <w:rPr>
          <w:b w:val="0"/>
          <w:bCs w:val="0"/>
          <w:lang w:val="en-GB"/>
        </w:rPr>
      </w:pPr>
      <w:r w:rsidRPr="006E5D9D">
        <w:rPr>
          <w:b w:val="0"/>
          <w:bCs w:val="0"/>
          <w:lang w:val="en-GB"/>
        </w:rPr>
        <w:t>coupon payments 38, 40</w:t>
      </w:r>
    </w:p>
    <w:p w14:paraId="0425D16C" w14:textId="393A8EDF" w:rsidR="006E5D9D" w:rsidRPr="006E5D9D" w:rsidRDefault="006E5D9D" w:rsidP="006E5D9D">
      <w:pPr>
        <w:pStyle w:val="Separator"/>
        <w:rPr>
          <w:b w:val="0"/>
          <w:bCs w:val="0"/>
          <w:lang w:val="en-GB"/>
        </w:rPr>
      </w:pPr>
      <w:r w:rsidRPr="006E5D9D">
        <w:rPr>
          <w:b w:val="0"/>
          <w:bCs w:val="0"/>
          <w:lang w:val="en-GB"/>
        </w:rPr>
        <w:t>COVID-</w:t>
      </w:r>
      <w:proofErr w:type="gramStart"/>
      <w:r w:rsidRPr="006E5D9D">
        <w:rPr>
          <w:b w:val="0"/>
          <w:bCs w:val="0"/>
          <w:lang w:val="en-GB"/>
        </w:rPr>
        <w:t>19</w:t>
      </w:r>
      <w:r w:rsidR="00176F6C">
        <w:rPr>
          <w:b w:val="0"/>
          <w:bCs w:val="0"/>
          <w:lang w:val="en-GB"/>
        </w:rPr>
        <w:t xml:space="preserve">  </w:t>
      </w:r>
      <w:r w:rsidRPr="006E5D9D">
        <w:rPr>
          <w:b w:val="0"/>
          <w:bCs w:val="0"/>
          <w:lang w:val="en-GB"/>
        </w:rPr>
        <w:t>4</w:t>
      </w:r>
      <w:proofErr w:type="gramEnd"/>
      <w:r w:rsidRPr="006E5D9D">
        <w:rPr>
          <w:b w:val="0"/>
          <w:bCs w:val="0"/>
          <w:lang w:val="en-GB"/>
        </w:rPr>
        <w:t>, 18, 59, 63 see also Structured Finance Support Fund (SFSF)</w:t>
      </w:r>
    </w:p>
    <w:p w14:paraId="39DFBDCE" w14:textId="77777777" w:rsidR="006E5D9D" w:rsidRPr="006E5D9D" w:rsidRDefault="006E5D9D" w:rsidP="006E5D9D">
      <w:pPr>
        <w:pStyle w:val="Separator"/>
        <w:rPr>
          <w:b w:val="0"/>
          <w:bCs w:val="0"/>
          <w:lang w:val="en-GB"/>
        </w:rPr>
      </w:pPr>
      <w:r w:rsidRPr="006E5D9D">
        <w:rPr>
          <w:b w:val="0"/>
          <w:bCs w:val="0"/>
          <w:lang w:val="en-GB"/>
        </w:rPr>
        <w:t>credit rating 40, 123</w:t>
      </w:r>
    </w:p>
    <w:p w14:paraId="578149B2" w14:textId="77777777" w:rsidR="006E5D9D" w:rsidRPr="006E5D9D" w:rsidRDefault="006E5D9D" w:rsidP="006E5D9D">
      <w:pPr>
        <w:pStyle w:val="Separator"/>
        <w:rPr>
          <w:b w:val="0"/>
          <w:bCs w:val="0"/>
          <w:lang w:val="en-GB"/>
        </w:rPr>
      </w:pPr>
      <w:r w:rsidRPr="006E5D9D">
        <w:rPr>
          <w:b w:val="0"/>
          <w:bCs w:val="0"/>
          <w:lang w:val="en-GB"/>
        </w:rPr>
        <w:t>credit risk 123–125</w:t>
      </w:r>
    </w:p>
    <w:p w14:paraId="15F524E8" w14:textId="77777777" w:rsidR="006E5D9D" w:rsidRPr="006E5D9D" w:rsidRDefault="006E5D9D" w:rsidP="006E5D9D">
      <w:pPr>
        <w:pStyle w:val="Separator"/>
        <w:rPr>
          <w:b w:val="0"/>
          <w:bCs w:val="0"/>
          <w:lang w:val="en-GB"/>
        </w:rPr>
      </w:pPr>
      <w:r w:rsidRPr="006E5D9D">
        <w:rPr>
          <w:b w:val="0"/>
          <w:bCs w:val="0"/>
          <w:lang w:val="en-GB"/>
        </w:rPr>
        <w:t>Cross, Don 71</w:t>
      </w:r>
    </w:p>
    <w:p w14:paraId="789599B1" w14:textId="77777777" w:rsidR="006E5D9D" w:rsidRPr="006E5D9D" w:rsidRDefault="006E5D9D" w:rsidP="006E5D9D">
      <w:pPr>
        <w:pStyle w:val="Separator"/>
        <w:rPr>
          <w:b w:val="0"/>
          <w:bCs w:val="0"/>
          <w:lang w:val="en-GB"/>
        </w:rPr>
      </w:pPr>
      <w:r w:rsidRPr="006E5D9D">
        <w:rPr>
          <w:b w:val="0"/>
          <w:bCs w:val="0"/>
          <w:lang w:val="en-GB"/>
        </w:rPr>
        <w:t>cross-skilling of staff 73</w:t>
      </w:r>
    </w:p>
    <w:p w14:paraId="1E360B19" w14:textId="77777777" w:rsidR="006E5D9D" w:rsidRPr="006E5D9D" w:rsidRDefault="006E5D9D" w:rsidP="006E5D9D">
      <w:pPr>
        <w:pStyle w:val="Separator"/>
        <w:rPr>
          <w:lang w:val="en-GB"/>
        </w:rPr>
      </w:pPr>
    </w:p>
    <w:p w14:paraId="1A5471DC" w14:textId="77777777" w:rsidR="006E5D9D" w:rsidRPr="006E5D9D" w:rsidRDefault="006E5D9D" w:rsidP="006E5D9D">
      <w:pPr>
        <w:pStyle w:val="Separator"/>
        <w:rPr>
          <w:lang w:val="en-GB"/>
        </w:rPr>
      </w:pPr>
      <w:r w:rsidRPr="006E5D9D">
        <w:rPr>
          <w:lang w:val="en-GB"/>
        </w:rPr>
        <w:t>D</w:t>
      </w:r>
    </w:p>
    <w:p w14:paraId="34A0CC1B" w14:textId="77777777" w:rsidR="006E5D9D" w:rsidRPr="006E5D9D" w:rsidRDefault="006E5D9D" w:rsidP="006E5D9D">
      <w:pPr>
        <w:pStyle w:val="Separator"/>
        <w:rPr>
          <w:b w:val="0"/>
          <w:bCs w:val="0"/>
          <w:lang w:val="en-GB"/>
        </w:rPr>
      </w:pPr>
      <w:r w:rsidRPr="006E5D9D">
        <w:rPr>
          <w:b w:val="0"/>
          <w:bCs w:val="0"/>
          <w:lang w:val="en-GB"/>
        </w:rPr>
        <w:t>debt issuance program iv</w:t>
      </w:r>
    </w:p>
    <w:p w14:paraId="17C2F0B7" w14:textId="77777777" w:rsidR="006E5D9D" w:rsidRPr="006E5D9D" w:rsidRDefault="006E5D9D" w:rsidP="006E5D9D">
      <w:pPr>
        <w:pStyle w:val="Separator"/>
        <w:rPr>
          <w:b w:val="0"/>
          <w:bCs w:val="0"/>
          <w:lang w:val="en-GB"/>
        </w:rPr>
      </w:pPr>
      <w:r w:rsidRPr="006E5D9D">
        <w:rPr>
          <w:b w:val="0"/>
          <w:bCs w:val="0"/>
          <w:lang w:val="en-GB"/>
        </w:rPr>
        <w:t>debt management role 6</w:t>
      </w:r>
    </w:p>
    <w:p w14:paraId="2C996C35" w14:textId="77777777" w:rsidR="006E5D9D" w:rsidRPr="006E5D9D" w:rsidRDefault="006E5D9D" w:rsidP="006E5D9D">
      <w:pPr>
        <w:pStyle w:val="Separator"/>
        <w:rPr>
          <w:b w:val="0"/>
          <w:bCs w:val="0"/>
          <w:lang w:val="en-GB"/>
        </w:rPr>
      </w:pPr>
      <w:r w:rsidRPr="006E5D9D">
        <w:rPr>
          <w:b w:val="0"/>
          <w:bCs w:val="0"/>
          <w:lang w:val="en-GB"/>
        </w:rPr>
        <w:t>debt management strategy 8, 25, 26–38, 67</w:t>
      </w:r>
    </w:p>
    <w:p w14:paraId="14D8EAEC" w14:textId="77777777" w:rsidR="006E5D9D" w:rsidRPr="006E5D9D" w:rsidRDefault="006E5D9D" w:rsidP="006E5D9D">
      <w:pPr>
        <w:pStyle w:val="Separator"/>
        <w:rPr>
          <w:b w:val="0"/>
          <w:bCs w:val="0"/>
          <w:lang w:val="en-GB"/>
        </w:rPr>
      </w:pPr>
      <w:r w:rsidRPr="006E5D9D">
        <w:rPr>
          <w:b w:val="0"/>
          <w:bCs w:val="0"/>
          <w:lang w:val="en-GB"/>
        </w:rPr>
        <w:t>debt registrar 38</w:t>
      </w:r>
    </w:p>
    <w:p w14:paraId="60B92604" w14:textId="77777777" w:rsidR="006E5D9D" w:rsidRPr="006E5D9D" w:rsidRDefault="006E5D9D" w:rsidP="006E5D9D">
      <w:pPr>
        <w:pStyle w:val="Separator"/>
        <w:rPr>
          <w:b w:val="0"/>
          <w:bCs w:val="0"/>
          <w:lang w:val="en-GB"/>
        </w:rPr>
      </w:pPr>
      <w:r w:rsidRPr="006E5D9D">
        <w:rPr>
          <w:b w:val="0"/>
          <w:bCs w:val="0"/>
          <w:lang w:val="en-GB"/>
        </w:rPr>
        <w:t>Debt Retirement Reserve Trust Account 92, 148</w:t>
      </w:r>
    </w:p>
    <w:p w14:paraId="39F44FD4" w14:textId="77777777" w:rsidR="006E5D9D" w:rsidRPr="006E5D9D" w:rsidRDefault="006E5D9D" w:rsidP="006E5D9D">
      <w:pPr>
        <w:pStyle w:val="Separator"/>
        <w:rPr>
          <w:b w:val="0"/>
          <w:bCs w:val="0"/>
          <w:lang w:val="en-GB"/>
        </w:rPr>
      </w:pPr>
      <w:r w:rsidRPr="006E5D9D">
        <w:rPr>
          <w:b w:val="0"/>
          <w:bCs w:val="0"/>
          <w:lang w:val="en-GB"/>
        </w:rPr>
        <w:t>debt servicing costs 27, 31</w:t>
      </w:r>
    </w:p>
    <w:p w14:paraId="6CA752D4" w14:textId="77777777" w:rsidR="006E5D9D" w:rsidRPr="006E5D9D" w:rsidRDefault="006E5D9D" w:rsidP="006E5D9D">
      <w:pPr>
        <w:pStyle w:val="Separator"/>
        <w:rPr>
          <w:b w:val="0"/>
          <w:bCs w:val="0"/>
          <w:lang w:val="en-GB"/>
        </w:rPr>
      </w:pPr>
      <w:r w:rsidRPr="006E5D9D">
        <w:rPr>
          <w:b w:val="0"/>
          <w:bCs w:val="0"/>
          <w:lang w:val="en-GB"/>
        </w:rPr>
        <w:t>delegated powers 67</w:t>
      </w:r>
    </w:p>
    <w:p w14:paraId="6A216E8C" w14:textId="77777777" w:rsidR="006E5D9D" w:rsidRPr="006E5D9D" w:rsidRDefault="006E5D9D" w:rsidP="006E5D9D">
      <w:pPr>
        <w:pStyle w:val="Separator"/>
        <w:rPr>
          <w:b w:val="0"/>
          <w:bCs w:val="0"/>
          <w:lang w:val="en-GB"/>
        </w:rPr>
      </w:pPr>
      <w:r w:rsidRPr="006E5D9D">
        <w:rPr>
          <w:b w:val="0"/>
          <w:bCs w:val="0"/>
          <w:lang w:val="en-GB"/>
        </w:rPr>
        <w:t>departmental financial statements 152–156</w:t>
      </w:r>
    </w:p>
    <w:p w14:paraId="1F9AE17B" w14:textId="77777777" w:rsidR="006E5D9D" w:rsidRPr="006E5D9D" w:rsidRDefault="006E5D9D" w:rsidP="006E5D9D">
      <w:pPr>
        <w:pStyle w:val="Separator"/>
        <w:rPr>
          <w:b w:val="0"/>
          <w:bCs w:val="0"/>
          <w:lang w:val="en-GB"/>
        </w:rPr>
      </w:pPr>
      <w:r w:rsidRPr="006E5D9D">
        <w:rPr>
          <w:b w:val="0"/>
          <w:bCs w:val="0"/>
          <w:lang w:val="en-GB"/>
        </w:rPr>
        <w:t>departmental resourcing 94–95</w:t>
      </w:r>
    </w:p>
    <w:p w14:paraId="13C8DF63" w14:textId="77777777" w:rsidR="006E5D9D" w:rsidRPr="006E5D9D" w:rsidRDefault="006E5D9D" w:rsidP="006E5D9D">
      <w:pPr>
        <w:pStyle w:val="Separator"/>
        <w:rPr>
          <w:b w:val="0"/>
          <w:bCs w:val="0"/>
          <w:lang w:val="en-GB"/>
        </w:rPr>
      </w:pPr>
      <w:r w:rsidRPr="006E5D9D">
        <w:rPr>
          <w:b w:val="0"/>
          <w:bCs w:val="0"/>
          <w:lang w:val="en-GB"/>
        </w:rPr>
        <w:t>depreciation 161, 162–163</w:t>
      </w:r>
    </w:p>
    <w:p w14:paraId="1C2E992E" w14:textId="77777777" w:rsidR="006E5D9D" w:rsidRPr="006E5D9D" w:rsidRDefault="006E5D9D" w:rsidP="006E5D9D">
      <w:pPr>
        <w:pStyle w:val="Separator"/>
        <w:rPr>
          <w:b w:val="0"/>
          <w:bCs w:val="0"/>
          <w:lang w:val="en-GB"/>
        </w:rPr>
      </w:pPr>
      <w:r w:rsidRPr="006E5D9D">
        <w:rPr>
          <w:b w:val="0"/>
          <w:bCs w:val="0"/>
          <w:lang w:val="en-GB"/>
        </w:rPr>
        <w:t>Deputy Chief Executive Officer 4, 10, 85</w:t>
      </w:r>
    </w:p>
    <w:p w14:paraId="42B746BD" w14:textId="77777777" w:rsidR="006E5D9D" w:rsidRPr="006E5D9D" w:rsidRDefault="006E5D9D" w:rsidP="006E5D9D">
      <w:pPr>
        <w:pStyle w:val="Separator"/>
        <w:rPr>
          <w:b w:val="0"/>
          <w:bCs w:val="0"/>
          <w:lang w:val="en-GB"/>
        </w:rPr>
      </w:pPr>
      <w:r w:rsidRPr="006E5D9D">
        <w:rPr>
          <w:b w:val="0"/>
          <w:bCs w:val="0"/>
          <w:lang w:val="en-GB"/>
        </w:rPr>
        <w:t>derecognition 163</w:t>
      </w:r>
    </w:p>
    <w:p w14:paraId="0C219003" w14:textId="77777777" w:rsidR="006E5D9D" w:rsidRPr="006E5D9D" w:rsidRDefault="006E5D9D" w:rsidP="006E5D9D">
      <w:pPr>
        <w:pStyle w:val="Separator"/>
        <w:rPr>
          <w:b w:val="0"/>
          <w:bCs w:val="0"/>
          <w:lang w:val="en-GB"/>
        </w:rPr>
      </w:pPr>
      <w:r w:rsidRPr="006E5D9D">
        <w:rPr>
          <w:b w:val="0"/>
          <w:bCs w:val="0"/>
          <w:lang w:val="en-GB"/>
        </w:rPr>
        <w:t>disability reporting 83–84</w:t>
      </w:r>
    </w:p>
    <w:p w14:paraId="7E9E8446" w14:textId="77777777" w:rsidR="006E5D9D" w:rsidRPr="006E5D9D" w:rsidRDefault="006E5D9D" w:rsidP="006E5D9D">
      <w:pPr>
        <w:pStyle w:val="Separator"/>
        <w:rPr>
          <w:b w:val="0"/>
          <w:bCs w:val="0"/>
          <w:lang w:val="en-GB"/>
        </w:rPr>
      </w:pPr>
      <w:r w:rsidRPr="006E5D9D">
        <w:rPr>
          <w:b w:val="0"/>
          <w:bCs w:val="0"/>
          <w:lang w:val="en-GB"/>
        </w:rPr>
        <w:t>diversifying the investor base 34</w:t>
      </w:r>
    </w:p>
    <w:p w14:paraId="224572AF" w14:textId="77777777" w:rsidR="006E5D9D" w:rsidRPr="006E5D9D" w:rsidRDefault="006E5D9D" w:rsidP="006E5D9D">
      <w:pPr>
        <w:pStyle w:val="Separator"/>
        <w:rPr>
          <w:b w:val="0"/>
          <w:bCs w:val="0"/>
          <w:lang w:val="en-GB"/>
        </w:rPr>
      </w:pPr>
      <w:r w:rsidRPr="006E5D9D">
        <w:rPr>
          <w:b w:val="0"/>
          <w:bCs w:val="0"/>
          <w:lang w:val="en-GB"/>
        </w:rPr>
        <w:t>diversity (value) 7</w:t>
      </w:r>
    </w:p>
    <w:p w14:paraId="5D4D63C9" w14:textId="77777777" w:rsidR="006E5D9D" w:rsidRPr="006E5D9D" w:rsidRDefault="006E5D9D" w:rsidP="006E5D9D">
      <w:pPr>
        <w:pStyle w:val="Separator"/>
        <w:rPr>
          <w:b w:val="0"/>
          <w:bCs w:val="0"/>
          <w:lang w:val="en-GB"/>
        </w:rPr>
      </w:pPr>
      <w:r w:rsidRPr="006E5D9D">
        <w:rPr>
          <w:b w:val="0"/>
          <w:bCs w:val="0"/>
          <w:lang w:val="en-GB"/>
        </w:rPr>
        <w:t>diversity networks (staff) 77</w:t>
      </w:r>
    </w:p>
    <w:p w14:paraId="7CFA0968" w14:textId="77777777" w:rsidR="006E5D9D" w:rsidRPr="006E5D9D" w:rsidRDefault="006E5D9D" w:rsidP="006E5D9D">
      <w:pPr>
        <w:pStyle w:val="Separator"/>
        <w:rPr>
          <w:b w:val="0"/>
          <w:bCs w:val="0"/>
          <w:lang w:val="en-GB"/>
        </w:rPr>
      </w:pPr>
    </w:p>
    <w:p w14:paraId="1F47D07F" w14:textId="77777777" w:rsidR="006E5D9D" w:rsidRPr="006E5D9D" w:rsidRDefault="006E5D9D" w:rsidP="006E5D9D">
      <w:pPr>
        <w:pStyle w:val="Separator"/>
        <w:rPr>
          <w:lang w:val="en-GB"/>
        </w:rPr>
      </w:pPr>
      <w:r w:rsidRPr="006E5D9D">
        <w:rPr>
          <w:lang w:val="en-GB"/>
        </w:rPr>
        <w:t>E</w:t>
      </w:r>
    </w:p>
    <w:p w14:paraId="21165967" w14:textId="77777777" w:rsidR="006E5D9D" w:rsidRPr="006E5D9D" w:rsidRDefault="006E5D9D" w:rsidP="006E5D9D">
      <w:pPr>
        <w:pStyle w:val="Separator"/>
        <w:rPr>
          <w:b w:val="0"/>
          <w:bCs w:val="0"/>
          <w:lang w:val="en-GB"/>
        </w:rPr>
      </w:pPr>
      <w:r w:rsidRPr="006E5D9D">
        <w:rPr>
          <w:b w:val="0"/>
          <w:bCs w:val="0"/>
          <w:lang w:val="en-GB"/>
        </w:rPr>
        <w:t>electricity greenhouse gas emissions 99</w:t>
      </w:r>
    </w:p>
    <w:p w14:paraId="71707FE9" w14:textId="77777777" w:rsidR="006E5D9D" w:rsidRPr="006E5D9D" w:rsidRDefault="006E5D9D" w:rsidP="006E5D9D">
      <w:pPr>
        <w:pStyle w:val="Separator"/>
        <w:rPr>
          <w:b w:val="0"/>
          <w:bCs w:val="0"/>
          <w:lang w:val="en-GB"/>
        </w:rPr>
      </w:pPr>
      <w:r w:rsidRPr="006E5D9D">
        <w:rPr>
          <w:b w:val="0"/>
          <w:bCs w:val="0"/>
          <w:lang w:val="en-GB"/>
        </w:rPr>
        <w:t>electronic securities settlement and depository system 37</w:t>
      </w:r>
    </w:p>
    <w:p w14:paraId="03E7F008" w14:textId="77777777" w:rsidR="006E5D9D" w:rsidRPr="006E5D9D" w:rsidRDefault="006E5D9D" w:rsidP="006E5D9D">
      <w:pPr>
        <w:pStyle w:val="Separator"/>
        <w:rPr>
          <w:b w:val="0"/>
          <w:bCs w:val="0"/>
          <w:lang w:val="en-GB"/>
        </w:rPr>
      </w:pPr>
      <w:r w:rsidRPr="006E5D9D">
        <w:rPr>
          <w:b w:val="0"/>
          <w:bCs w:val="0"/>
          <w:lang w:val="en-GB"/>
        </w:rPr>
        <w:t>Employee Assistance Program 78</w:t>
      </w:r>
    </w:p>
    <w:p w14:paraId="73F0030C" w14:textId="77777777" w:rsidR="006E5D9D" w:rsidRPr="006E5D9D" w:rsidRDefault="006E5D9D" w:rsidP="006E5D9D">
      <w:pPr>
        <w:pStyle w:val="Separator"/>
        <w:rPr>
          <w:b w:val="0"/>
          <w:bCs w:val="0"/>
          <w:lang w:val="en-GB"/>
        </w:rPr>
      </w:pPr>
      <w:r w:rsidRPr="006E5D9D">
        <w:rPr>
          <w:b w:val="0"/>
          <w:bCs w:val="0"/>
          <w:lang w:val="en-GB"/>
        </w:rPr>
        <w:t>employee management and development 77–78</w:t>
      </w:r>
    </w:p>
    <w:p w14:paraId="59B1E0A3" w14:textId="77777777" w:rsidR="006E5D9D" w:rsidRPr="006E5D9D" w:rsidRDefault="006E5D9D" w:rsidP="006E5D9D">
      <w:pPr>
        <w:pStyle w:val="Separator"/>
        <w:rPr>
          <w:b w:val="0"/>
          <w:bCs w:val="0"/>
          <w:lang w:val="en-GB"/>
        </w:rPr>
      </w:pPr>
      <w:r w:rsidRPr="006E5D9D">
        <w:rPr>
          <w:b w:val="0"/>
          <w:bCs w:val="0"/>
          <w:lang w:val="en-GB"/>
        </w:rPr>
        <w:t>employee provisions 164–166</w:t>
      </w:r>
    </w:p>
    <w:p w14:paraId="1803C208" w14:textId="77777777" w:rsidR="006E5D9D" w:rsidRPr="006E5D9D" w:rsidRDefault="006E5D9D" w:rsidP="006E5D9D">
      <w:pPr>
        <w:pStyle w:val="Separator"/>
        <w:rPr>
          <w:b w:val="0"/>
          <w:bCs w:val="0"/>
          <w:lang w:val="en-GB"/>
        </w:rPr>
      </w:pPr>
      <w:r w:rsidRPr="006E5D9D">
        <w:rPr>
          <w:b w:val="0"/>
          <w:bCs w:val="0"/>
          <w:lang w:val="en-GB"/>
        </w:rPr>
        <w:t>employee remuneration 84, 86, 157</w:t>
      </w:r>
    </w:p>
    <w:p w14:paraId="63376733" w14:textId="77777777" w:rsidR="006E5D9D" w:rsidRPr="006E5D9D" w:rsidRDefault="006E5D9D" w:rsidP="006E5D9D">
      <w:pPr>
        <w:pStyle w:val="Separator"/>
        <w:rPr>
          <w:b w:val="0"/>
          <w:bCs w:val="0"/>
          <w:lang w:val="en-GB"/>
        </w:rPr>
      </w:pPr>
      <w:r w:rsidRPr="006E5D9D">
        <w:rPr>
          <w:b w:val="0"/>
          <w:bCs w:val="0"/>
          <w:lang w:val="en-GB"/>
        </w:rPr>
        <w:t>employee statistics 79–82</w:t>
      </w:r>
    </w:p>
    <w:p w14:paraId="5F7EF581" w14:textId="77777777" w:rsidR="006E5D9D" w:rsidRPr="006E5D9D" w:rsidRDefault="006E5D9D" w:rsidP="006E5D9D">
      <w:pPr>
        <w:pStyle w:val="Separator"/>
        <w:rPr>
          <w:b w:val="0"/>
          <w:bCs w:val="0"/>
          <w:lang w:val="en-GB"/>
        </w:rPr>
      </w:pPr>
      <w:r w:rsidRPr="006E5D9D">
        <w:rPr>
          <w:b w:val="0"/>
          <w:bCs w:val="0"/>
          <w:lang w:val="en-GB"/>
        </w:rPr>
        <w:t>employment policies 4</w:t>
      </w:r>
    </w:p>
    <w:p w14:paraId="249D37DF" w14:textId="77777777" w:rsidR="006E5D9D" w:rsidRPr="006E5D9D" w:rsidRDefault="006E5D9D" w:rsidP="006E5D9D">
      <w:pPr>
        <w:pStyle w:val="Separator"/>
        <w:rPr>
          <w:b w:val="0"/>
          <w:bCs w:val="0"/>
          <w:lang w:val="en-GB"/>
        </w:rPr>
      </w:pPr>
      <w:r w:rsidRPr="006E5D9D">
        <w:rPr>
          <w:b w:val="0"/>
          <w:bCs w:val="0"/>
          <w:lang w:val="en-GB"/>
        </w:rPr>
        <w:t>Enterprise Agreement 4, 78</w:t>
      </w:r>
    </w:p>
    <w:p w14:paraId="3E752FF7" w14:textId="77777777" w:rsidR="006E5D9D" w:rsidRPr="006E5D9D" w:rsidRDefault="006E5D9D" w:rsidP="006E5D9D">
      <w:pPr>
        <w:pStyle w:val="Separator"/>
        <w:rPr>
          <w:b w:val="0"/>
          <w:bCs w:val="0"/>
          <w:lang w:val="en-GB"/>
        </w:rPr>
      </w:pPr>
      <w:r w:rsidRPr="006E5D9D">
        <w:rPr>
          <w:b w:val="0"/>
          <w:bCs w:val="0"/>
          <w:lang w:val="en-GB"/>
        </w:rPr>
        <w:t>Enterprise Risk and Assurance team 72</w:t>
      </w:r>
    </w:p>
    <w:p w14:paraId="30BDFB49" w14:textId="77777777" w:rsidR="006E5D9D" w:rsidRPr="006E5D9D" w:rsidRDefault="006E5D9D" w:rsidP="006E5D9D">
      <w:pPr>
        <w:pStyle w:val="Separator"/>
        <w:rPr>
          <w:b w:val="0"/>
          <w:bCs w:val="0"/>
          <w:lang w:val="en-GB"/>
        </w:rPr>
      </w:pPr>
      <w:r w:rsidRPr="006E5D9D">
        <w:rPr>
          <w:b w:val="0"/>
          <w:bCs w:val="0"/>
          <w:lang w:val="en-GB"/>
        </w:rPr>
        <w:t>Enterprise Risk Management (ERM) framework 72, 74</w:t>
      </w:r>
    </w:p>
    <w:p w14:paraId="035DF039" w14:textId="77777777" w:rsidR="006E5D9D" w:rsidRPr="006E5D9D" w:rsidRDefault="006E5D9D" w:rsidP="006E5D9D">
      <w:pPr>
        <w:pStyle w:val="Separator"/>
        <w:rPr>
          <w:b w:val="0"/>
          <w:bCs w:val="0"/>
          <w:lang w:val="en-GB"/>
        </w:rPr>
      </w:pPr>
      <w:r w:rsidRPr="006E5D9D">
        <w:rPr>
          <w:b w:val="0"/>
          <w:bCs w:val="0"/>
          <w:lang w:val="en-GB"/>
        </w:rPr>
        <w:t>Environment Protection and Biodiversity Conservation Act 1999 98</w:t>
      </w:r>
    </w:p>
    <w:p w14:paraId="45D55FDF" w14:textId="77777777" w:rsidR="006E5D9D" w:rsidRPr="006E5D9D" w:rsidRDefault="006E5D9D" w:rsidP="006E5D9D">
      <w:pPr>
        <w:pStyle w:val="Separator"/>
        <w:rPr>
          <w:b w:val="0"/>
          <w:bCs w:val="0"/>
          <w:lang w:val="en-GB"/>
        </w:rPr>
      </w:pPr>
      <w:r w:rsidRPr="006E5D9D">
        <w:rPr>
          <w:b w:val="0"/>
          <w:bCs w:val="0"/>
          <w:lang w:val="en-GB"/>
        </w:rPr>
        <w:t>equity changes statement 155</w:t>
      </w:r>
    </w:p>
    <w:p w14:paraId="25CBCB73" w14:textId="77777777" w:rsidR="006E5D9D" w:rsidRPr="006E5D9D" w:rsidRDefault="006E5D9D" w:rsidP="006E5D9D">
      <w:pPr>
        <w:pStyle w:val="Separator"/>
        <w:rPr>
          <w:b w:val="0"/>
          <w:bCs w:val="0"/>
          <w:lang w:val="en-GB"/>
        </w:rPr>
      </w:pPr>
      <w:r w:rsidRPr="006E5D9D">
        <w:rPr>
          <w:b w:val="0"/>
          <w:bCs w:val="0"/>
          <w:lang w:val="en-GB"/>
        </w:rPr>
        <w:t>equity injections 155</w:t>
      </w:r>
    </w:p>
    <w:p w14:paraId="1648C1AA" w14:textId="77777777" w:rsidR="006E5D9D" w:rsidRPr="006E5D9D" w:rsidRDefault="006E5D9D" w:rsidP="006E5D9D">
      <w:pPr>
        <w:pStyle w:val="Separator"/>
        <w:rPr>
          <w:b w:val="0"/>
          <w:bCs w:val="0"/>
          <w:lang w:val="en-GB"/>
        </w:rPr>
      </w:pPr>
      <w:r w:rsidRPr="006E5D9D">
        <w:rPr>
          <w:b w:val="0"/>
          <w:bCs w:val="0"/>
          <w:lang w:val="en-GB"/>
        </w:rPr>
        <w:t>ethical standards 75</w:t>
      </w:r>
    </w:p>
    <w:p w14:paraId="003A43CB" w14:textId="77777777" w:rsidR="006E5D9D" w:rsidRPr="006E5D9D" w:rsidRDefault="006E5D9D" w:rsidP="006E5D9D">
      <w:pPr>
        <w:pStyle w:val="Separator"/>
        <w:rPr>
          <w:b w:val="0"/>
          <w:bCs w:val="0"/>
          <w:lang w:val="en-GB"/>
        </w:rPr>
      </w:pPr>
      <w:r w:rsidRPr="006E5D9D">
        <w:rPr>
          <w:b w:val="0"/>
          <w:bCs w:val="0"/>
          <w:lang w:val="en-GB"/>
        </w:rPr>
        <w:t>events after the reporting period 174</w:t>
      </w:r>
    </w:p>
    <w:p w14:paraId="56477C97" w14:textId="77777777" w:rsidR="006E5D9D" w:rsidRPr="006E5D9D" w:rsidRDefault="006E5D9D" w:rsidP="006E5D9D">
      <w:pPr>
        <w:pStyle w:val="Separator"/>
        <w:rPr>
          <w:b w:val="0"/>
          <w:bCs w:val="0"/>
          <w:lang w:val="en-GB"/>
        </w:rPr>
      </w:pPr>
      <w:r w:rsidRPr="006E5D9D">
        <w:rPr>
          <w:b w:val="0"/>
          <w:bCs w:val="0"/>
          <w:lang w:val="en-GB"/>
        </w:rPr>
        <w:t>excellence (value) 7</w:t>
      </w:r>
    </w:p>
    <w:p w14:paraId="0F838F64" w14:textId="77777777" w:rsidR="006E5D9D" w:rsidRPr="006E5D9D" w:rsidRDefault="006E5D9D" w:rsidP="006E5D9D">
      <w:pPr>
        <w:pStyle w:val="Separator"/>
        <w:rPr>
          <w:b w:val="0"/>
          <w:bCs w:val="0"/>
          <w:lang w:val="en-GB"/>
        </w:rPr>
      </w:pPr>
      <w:r w:rsidRPr="006E5D9D">
        <w:rPr>
          <w:b w:val="0"/>
          <w:bCs w:val="0"/>
          <w:lang w:val="en-GB"/>
        </w:rPr>
        <w:t>Executive Leadership Group 4, 20, 69, 72</w:t>
      </w:r>
    </w:p>
    <w:p w14:paraId="4520ABB8" w14:textId="77777777" w:rsidR="006E5D9D" w:rsidRPr="006E5D9D" w:rsidRDefault="006E5D9D" w:rsidP="006E5D9D">
      <w:pPr>
        <w:pStyle w:val="Separator"/>
        <w:rPr>
          <w:b w:val="0"/>
          <w:bCs w:val="0"/>
          <w:lang w:val="en-GB"/>
        </w:rPr>
      </w:pPr>
      <w:r w:rsidRPr="006E5D9D">
        <w:rPr>
          <w:b w:val="0"/>
          <w:bCs w:val="0"/>
          <w:lang w:val="en-GB"/>
        </w:rPr>
        <w:t>exempt contracts 91</w:t>
      </w:r>
    </w:p>
    <w:p w14:paraId="11689B1F" w14:textId="77777777" w:rsidR="006E5D9D" w:rsidRPr="006E5D9D" w:rsidRDefault="006E5D9D" w:rsidP="006E5D9D">
      <w:pPr>
        <w:pStyle w:val="Separator"/>
        <w:rPr>
          <w:b w:val="0"/>
          <w:bCs w:val="0"/>
          <w:lang w:val="en-GB"/>
        </w:rPr>
      </w:pPr>
      <w:r w:rsidRPr="006E5D9D">
        <w:rPr>
          <w:b w:val="0"/>
          <w:bCs w:val="0"/>
          <w:lang w:val="en-GB"/>
        </w:rPr>
        <w:t>expenses (departmental) 157</w:t>
      </w:r>
    </w:p>
    <w:p w14:paraId="7513AF9A" w14:textId="1687D05D" w:rsidR="006E5D9D" w:rsidRPr="006E5D9D" w:rsidRDefault="006E5D9D" w:rsidP="006E5D9D">
      <w:pPr>
        <w:pStyle w:val="Separator"/>
        <w:rPr>
          <w:b w:val="0"/>
          <w:bCs w:val="0"/>
          <w:lang w:val="en-GB"/>
        </w:rPr>
      </w:pPr>
      <w:r w:rsidRPr="006E5D9D">
        <w:rPr>
          <w:b w:val="0"/>
          <w:bCs w:val="0"/>
          <w:lang w:val="en-GB"/>
        </w:rPr>
        <w:t>external auditors 70 see also Australian National Audit Office (ANAO)</w:t>
      </w:r>
    </w:p>
    <w:p w14:paraId="72AF933D" w14:textId="0F44A1C2" w:rsidR="00C1682E" w:rsidRPr="006E5D9D" w:rsidRDefault="006E5D9D" w:rsidP="006E5D9D">
      <w:pPr>
        <w:pStyle w:val="Separator"/>
        <w:rPr>
          <w:b w:val="0"/>
          <w:bCs w:val="0"/>
          <w:lang w:val="en-GB"/>
        </w:rPr>
      </w:pPr>
      <w:r w:rsidRPr="006E5D9D">
        <w:rPr>
          <w:b w:val="0"/>
          <w:bCs w:val="0"/>
          <w:lang w:val="en-GB"/>
        </w:rPr>
        <w:t>external scrutiny 76</w:t>
      </w:r>
    </w:p>
    <w:p w14:paraId="06D9D106" w14:textId="77777777" w:rsidR="004C0D5A" w:rsidRPr="004C0D5A" w:rsidRDefault="00271697" w:rsidP="004C0D5A">
      <w:pPr>
        <w:pStyle w:val="Separator"/>
        <w:rPr>
          <w:lang w:val="en-GB"/>
        </w:rPr>
      </w:pPr>
      <w:r>
        <w:rPr>
          <w:lang w:val="en-GB"/>
        </w:rPr>
        <w:br w:type="column"/>
      </w:r>
      <w:r w:rsidR="004C0D5A" w:rsidRPr="004C0D5A">
        <w:rPr>
          <w:lang w:val="en-GB"/>
        </w:rPr>
        <w:lastRenderedPageBreak/>
        <w:t>F</w:t>
      </w:r>
    </w:p>
    <w:p w14:paraId="6D347BDD" w14:textId="77777777" w:rsidR="004C0D5A" w:rsidRPr="004C0D5A" w:rsidRDefault="004C0D5A" w:rsidP="004C0D5A">
      <w:pPr>
        <w:pStyle w:val="Separator"/>
        <w:rPr>
          <w:b w:val="0"/>
          <w:bCs w:val="0"/>
          <w:lang w:val="en-GB"/>
        </w:rPr>
      </w:pPr>
      <w:r w:rsidRPr="004C0D5A">
        <w:rPr>
          <w:b w:val="0"/>
          <w:bCs w:val="0"/>
          <w:lang w:val="en-GB"/>
        </w:rPr>
        <w:t>fair value 19, 116, 129</w:t>
      </w:r>
    </w:p>
    <w:p w14:paraId="1180BF54" w14:textId="77777777" w:rsidR="004C0D5A" w:rsidRPr="004C0D5A" w:rsidRDefault="004C0D5A" w:rsidP="004C0D5A">
      <w:pPr>
        <w:pStyle w:val="Separator"/>
        <w:rPr>
          <w:b w:val="0"/>
          <w:bCs w:val="0"/>
          <w:lang w:val="en-GB"/>
        </w:rPr>
      </w:pPr>
      <w:r w:rsidRPr="004C0D5A">
        <w:rPr>
          <w:b w:val="0"/>
          <w:bCs w:val="0"/>
          <w:lang w:val="en-GB"/>
        </w:rPr>
        <w:t>Federal Court of Australia (FCA) 175</w:t>
      </w:r>
    </w:p>
    <w:p w14:paraId="1338BEAD" w14:textId="77777777" w:rsidR="004C0D5A" w:rsidRPr="004C0D5A" w:rsidRDefault="004C0D5A" w:rsidP="004C0D5A">
      <w:pPr>
        <w:pStyle w:val="Separator"/>
        <w:rPr>
          <w:b w:val="0"/>
          <w:bCs w:val="0"/>
          <w:lang w:val="en-GB"/>
        </w:rPr>
      </w:pPr>
      <w:r w:rsidRPr="004C0D5A">
        <w:rPr>
          <w:b w:val="0"/>
          <w:bCs w:val="0"/>
          <w:lang w:val="en-GB"/>
        </w:rPr>
        <w:t>female employees 80</w:t>
      </w:r>
    </w:p>
    <w:p w14:paraId="02F7BF6E" w14:textId="042AA1DB" w:rsidR="004C0D5A" w:rsidRPr="004C0D5A" w:rsidRDefault="004C0D5A" w:rsidP="004C0D5A">
      <w:pPr>
        <w:pStyle w:val="Separator"/>
        <w:rPr>
          <w:b w:val="0"/>
          <w:bCs w:val="0"/>
          <w:lang w:val="en-GB"/>
        </w:rPr>
      </w:pPr>
      <w:r w:rsidRPr="004C0D5A">
        <w:rPr>
          <w:b w:val="0"/>
          <w:bCs w:val="0"/>
          <w:lang w:val="en-GB"/>
        </w:rPr>
        <w:t>Financial Agreement Act 1994 (FA Act)</w:t>
      </w:r>
      <w:r w:rsidRPr="004C0D5A">
        <w:rPr>
          <w:b w:val="0"/>
          <w:bCs w:val="0"/>
          <w:lang w:val="en-GB"/>
        </w:rPr>
        <w:tab/>
        <w:t>92, 146, 148</w:t>
      </w:r>
    </w:p>
    <w:p w14:paraId="7577847F" w14:textId="77777777" w:rsidR="004C0D5A" w:rsidRPr="004C0D5A" w:rsidRDefault="004C0D5A" w:rsidP="004C0D5A">
      <w:pPr>
        <w:pStyle w:val="Separator"/>
        <w:rPr>
          <w:b w:val="0"/>
          <w:bCs w:val="0"/>
          <w:lang w:val="en-GB"/>
        </w:rPr>
      </w:pPr>
      <w:r w:rsidRPr="004C0D5A">
        <w:rPr>
          <w:b w:val="0"/>
          <w:bCs w:val="0"/>
          <w:lang w:val="en-GB"/>
        </w:rPr>
        <w:t>financial instruments 176</w:t>
      </w:r>
    </w:p>
    <w:p w14:paraId="0522FC6C" w14:textId="77777777" w:rsidR="004C0D5A" w:rsidRPr="004C0D5A" w:rsidRDefault="004C0D5A" w:rsidP="004C0D5A">
      <w:pPr>
        <w:pStyle w:val="Separator"/>
        <w:rPr>
          <w:b w:val="0"/>
          <w:bCs w:val="0"/>
          <w:lang w:val="en-GB"/>
        </w:rPr>
      </w:pPr>
      <w:r w:rsidRPr="004C0D5A">
        <w:rPr>
          <w:b w:val="0"/>
          <w:bCs w:val="0"/>
          <w:lang w:val="en-GB"/>
        </w:rPr>
        <w:t>financial performance 94–97</w:t>
      </w:r>
    </w:p>
    <w:p w14:paraId="2A3A5E3A" w14:textId="77777777" w:rsidR="004C0D5A" w:rsidRPr="004C0D5A" w:rsidRDefault="004C0D5A" w:rsidP="004C0D5A">
      <w:pPr>
        <w:pStyle w:val="Separator"/>
        <w:rPr>
          <w:b w:val="0"/>
          <w:bCs w:val="0"/>
          <w:lang w:val="en-GB"/>
        </w:rPr>
      </w:pPr>
      <w:r w:rsidRPr="004C0D5A">
        <w:rPr>
          <w:b w:val="0"/>
          <w:bCs w:val="0"/>
          <w:lang w:val="en-GB"/>
        </w:rPr>
        <w:t>financial risk management 16–19</w:t>
      </w:r>
    </w:p>
    <w:p w14:paraId="1C3DAA3E" w14:textId="77777777" w:rsidR="004C0D5A" w:rsidRPr="004C0D5A" w:rsidRDefault="004C0D5A" w:rsidP="004C0D5A">
      <w:pPr>
        <w:pStyle w:val="Separator"/>
        <w:rPr>
          <w:b w:val="0"/>
          <w:bCs w:val="0"/>
          <w:lang w:val="en-GB"/>
        </w:rPr>
      </w:pPr>
      <w:r w:rsidRPr="004C0D5A">
        <w:rPr>
          <w:b w:val="0"/>
          <w:bCs w:val="0"/>
          <w:lang w:val="en-GB"/>
        </w:rPr>
        <w:t>Financial Risk Policy 75</w:t>
      </w:r>
    </w:p>
    <w:p w14:paraId="04B8D7D5" w14:textId="77777777" w:rsidR="004C0D5A" w:rsidRPr="004C0D5A" w:rsidRDefault="004C0D5A" w:rsidP="004C0D5A">
      <w:pPr>
        <w:pStyle w:val="Separator"/>
        <w:rPr>
          <w:b w:val="0"/>
          <w:bCs w:val="0"/>
          <w:lang w:val="en-GB"/>
        </w:rPr>
      </w:pPr>
      <w:r w:rsidRPr="004C0D5A">
        <w:rPr>
          <w:b w:val="0"/>
          <w:bCs w:val="0"/>
          <w:lang w:val="en-GB"/>
        </w:rPr>
        <w:t>financial statements 111–178</w:t>
      </w:r>
    </w:p>
    <w:p w14:paraId="423CA88C" w14:textId="77777777" w:rsidR="004C0D5A" w:rsidRPr="004C0D5A" w:rsidRDefault="004C0D5A" w:rsidP="004C0D5A">
      <w:pPr>
        <w:pStyle w:val="Separator"/>
        <w:rPr>
          <w:b w:val="0"/>
          <w:bCs w:val="0"/>
          <w:lang w:val="en-GB"/>
        </w:rPr>
      </w:pPr>
      <w:r w:rsidRPr="004C0D5A">
        <w:rPr>
          <w:b w:val="0"/>
          <w:bCs w:val="0"/>
          <w:lang w:val="en-GB"/>
        </w:rPr>
        <w:t>financing the Budget 8–9</w:t>
      </w:r>
    </w:p>
    <w:p w14:paraId="2C1AD61B" w14:textId="77777777" w:rsidR="004C0D5A" w:rsidRPr="004C0D5A" w:rsidRDefault="004C0D5A" w:rsidP="004C0D5A">
      <w:pPr>
        <w:pStyle w:val="Separator"/>
        <w:rPr>
          <w:b w:val="0"/>
          <w:bCs w:val="0"/>
          <w:lang w:val="en-GB"/>
        </w:rPr>
      </w:pPr>
      <w:r w:rsidRPr="004C0D5A">
        <w:rPr>
          <w:b w:val="0"/>
          <w:bCs w:val="0"/>
          <w:lang w:val="en-GB"/>
        </w:rPr>
        <w:t>First Nations employees 83</w:t>
      </w:r>
    </w:p>
    <w:p w14:paraId="1C949C15" w14:textId="77777777" w:rsidR="004C0D5A" w:rsidRPr="004C0D5A" w:rsidRDefault="004C0D5A" w:rsidP="004C0D5A">
      <w:pPr>
        <w:pStyle w:val="Separator"/>
        <w:rPr>
          <w:b w:val="0"/>
          <w:bCs w:val="0"/>
          <w:lang w:val="en-GB"/>
        </w:rPr>
      </w:pPr>
      <w:r w:rsidRPr="004C0D5A">
        <w:rPr>
          <w:b w:val="0"/>
          <w:bCs w:val="0"/>
          <w:lang w:val="en-GB"/>
        </w:rPr>
        <w:t>flexible working 78, 85</w:t>
      </w:r>
    </w:p>
    <w:p w14:paraId="0C34960B" w14:textId="77777777" w:rsidR="004C0D5A" w:rsidRPr="004C0D5A" w:rsidRDefault="004C0D5A" w:rsidP="004C0D5A">
      <w:pPr>
        <w:pStyle w:val="Separator"/>
        <w:rPr>
          <w:b w:val="0"/>
          <w:bCs w:val="0"/>
          <w:lang w:val="en-GB"/>
        </w:rPr>
      </w:pPr>
      <w:r w:rsidRPr="004C0D5A">
        <w:rPr>
          <w:b w:val="0"/>
          <w:bCs w:val="0"/>
          <w:lang w:val="en-GB"/>
        </w:rPr>
        <w:t>forbearance Special Purpose Vehicle (</w:t>
      </w:r>
      <w:proofErr w:type="spellStart"/>
      <w:r w:rsidRPr="004C0D5A">
        <w:rPr>
          <w:b w:val="0"/>
          <w:bCs w:val="0"/>
          <w:lang w:val="en-GB"/>
        </w:rPr>
        <w:t>fSPV</w:t>
      </w:r>
      <w:proofErr w:type="spellEnd"/>
      <w:r w:rsidRPr="004C0D5A">
        <w:rPr>
          <w:b w:val="0"/>
          <w:bCs w:val="0"/>
          <w:lang w:val="en-GB"/>
        </w:rPr>
        <w:t>) 63, 139, 142, 148</w:t>
      </w:r>
    </w:p>
    <w:p w14:paraId="586CD140" w14:textId="77777777" w:rsidR="004C0D5A" w:rsidRPr="004C0D5A" w:rsidRDefault="004C0D5A" w:rsidP="004C0D5A">
      <w:pPr>
        <w:pStyle w:val="Separator"/>
        <w:rPr>
          <w:b w:val="0"/>
          <w:bCs w:val="0"/>
          <w:lang w:val="en-GB"/>
        </w:rPr>
      </w:pPr>
      <w:r w:rsidRPr="004C0D5A">
        <w:rPr>
          <w:b w:val="0"/>
          <w:bCs w:val="0"/>
          <w:lang w:val="en-GB"/>
        </w:rPr>
        <w:t>forecasting 43</w:t>
      </w:r>
    </w:p>
    <w:p w14:paraId="61A4795C" w14:textId="77777777" w:rsidR="004C0D5A" w:rsidRPr="004C0D5A" w:rsidRDefault="004C0D5A" w:rsidP="004C0D5A">
      <w:pPr>
        <w:pStyle w:val="Separator"/>
        <w:rPr>
          <w:b w:val="0"/>
          <w:bCs w:val="0"/>
          <w:lang w:val="en-GB"/>
        </w:rPr>
      </w:pPr>
      <w:r w:rsidRPr="004C0D5A">
        <w:rPr>
          <w:b w:val="0"/>
          <w:bCs w:val="0"/>
          <w:lang w:val="en-GB"/>
        </w:rPr>
        <w:t>foreign trade policy 22</w:t>
      </w:r>
    </w:p>
    <w:p w14:paraId="7DD0BAF3" w14:textId="77777777" w:rsidR="004C0D5A" w:rsidRPr="004C0D5A" w:rsidRDefault="004C0D5A" w:rsidP="004C0D5A">
      <w:pPr>
        <w:pStyle w:val="Separator"/>
        <w:rPr>
          <w:b w:val="0"/>
          <w:bCs w:val="0"/>
          <w:lang w:val="en-GB"/>
        </w:rPr>
      </w:pPr>
      <w:r w:rsidRPr="004C0D5A">
        <w:rPr>
          <w:b w:val="0"/>
          <w:bCs w:val="0"/>
          <w:lang w:val="en-GB"/>
        </w:rPr>
        <w:t>fraud prevention and control 73, 75</w:t>
      </w:r>
    </w:p>
    <w:p w14:paraId="4BA0F822" w14:textId="77777777" w:rsidR="004C0D5A" w:rsidRPr="004C0D5A" w:rsidRDefault="004C0D5A" w:rsidP="004C0D5A">
      <w:pPr>
        <w:pStyle w:val="Separator"/>
        <w:rPr>
          <w:b w:val="0"/>
          <w:bCs w:val="0"/>
          <w:lang w:val="en-GB"/>
        </w:rPr>
      </w:pPr>
      <w:r w:rsidRPr="004C0D5A">
        <w:rPr>
          <w:b w:val="0"/>
          <w:bCs w:val="0"/>
          <w:lang w:val="en-GB"/>
        </w:rPr>
        <w:t>Freedom of Information Act 1982 (FOI Act) 91, 93</w:t>
      </w:r>
    </w:p>
    <w:p w14:paraId="795C13EE" w14:textId="77777777" w:rsidR="004C0D5A" w:rsidRPr="004C0D5A" w:rsidRDefault="004C0D5A" w:rsidP="004C0D5A">
      <w:pPr>
        <w:pStyle w:val="Separator"/>
        <w:rPr>
          <w:b w:val="0"/>
          <w:bCs w:val="0"/>
          <w:lang w:val="en-GB"/>
        </w:rPr>
      </w:pPr>
      <w:r w:rsidRPr="004C0D5A">
        <w:rPr>
          <w:b w:val="0"/>
          <w:bCs w:val="0"/>
          <w:lang w:val="en-GB"/>
        </w:rPr>
        <w:t>Fringe Benefits Tax (FBT) 174</w:t>
      </w:r>
    </w:p>
    <w:p w14:paraId="5C757AA9" w14:textId="77777777" w:rsidR="004C0D5A" w:rsidRPr="004C0D5A" w:rsidRDefault="004C0D5A" w:rsidP="004C0D5A">
      <w:pPr>
        <w:pStyle w:val="Separator"/>
        <w:rPr>
          <w:b w:val="0"/>
          <w:bCs w:val="0"/>
          <w:lang w:val="en-GB"/>
        </w:rPr>
      </w:pPr>
      <w:r w:rsidRPr="004C0D5A">
        <w:rPr>
          <w:b w:val="0"/>
          <w:bCs w:val="0"/>
          <w:lang w:val="en-GB"/>
        </w:rPr>
        <w:t>front office 10, 50</w:t>
      </w:r>
    </w:p>
    <w:p w14:paraId="21EF8023" w14:textId="77777777" w:rsidR="004C0D5A" w:rsidRPr="004C0D5A" w:rsidRDefault="004C0D5A" w:rsidP="004C0D5A">
      <w:pPr>
        <w:pStyle w:val="Separator"/>
        <w:rPr>
          <w:b w:val="0"/>
          <w:bCs w:val="0"/>
          <w:lang w:val="en-GB"/>
        </w:rPr>
      </w:pPr>
      <w:r w:rsidRPr="004C0D5A">
        <w:rPr>
          <w:b w:val="0"/>
          <w:bCs w:val="0"/>
          <w:lang w:val="en-GB"/>
        </w:rPr>
        <w:t>full-time/part-time employees 81</w:t>
      </w:r>
    </w:p>
    <w:p w14:paraId="7C1370EA" w14:textId="77777777" w:rsidR="004C0D5A" w:rsidRPr="004C0D5A" w:rsidRDefault="004C0D5A" w:rsidP="004C0D5A">
      <w:pPr>
        <w:pStyle w:val="Separator"/>
        <w:rPr>
          <w:b w:val="0"/>
          <w:bCs w:val="0"/>
          <w:lang w:val="en-GB"/>
        </w:rPr>
      </w:pPr>
      <w:r w:rsidRPr="004C0D5A">
        <w:rPr>
          <w:b w:val="0"/>
          <w:bCs w:val="0"/>
          <w:lang w:val="en-GB"/>
        </w:rPr>
        <w:t>Funding, Strategy and Research (FSR) team 3</w:t>
      </w:r>
    </w:p>
    <w:p w14:paraId="10DFB5AD" w14:textId="77777777" w:rsidR="004C0D5A" w:rsidRPr="004C0D5A" w:rsidRDefault="004C0D5A" w:rsidP="004C0D5A">
      <w:pPr>
        <w:pStyle w:val="Separator"/>
        <w:rPr>
          <w:b w:val="0"/>
          <w:bCs w:val="0"/>
          <w:lang w:val="en-GB"/>
        </w:rPr>
      </w:pPr>
      <w:r w:rsidRPr="004C0D5A">
        <w:rPr>
          <w:b w:val="0"/>
          <w:bCs w:val="0"/>
          <w:lang w:val="en-GB"/>
        </w:rPr>
        <w:t>funding risk 43</w:t>
      </w:r>
    </w:p>
    <w:p w14:paraId="71495A47" w14:textId="77777777" w:rsidR="004C0D5A" w:rsidRPr="004C0D5A" w:rsidRDefault="004C0D5A" w:rsidP="004C0D5A">
      <w:pPr>
        <w:pStyle w:val="Separator"/>
        <w:rPr>
          <w:b w:val="0"/>
          <w:bCs w:val="0"/>
          <w:lang w:val="en-GB"/>
        </w:rPr>
      </w:pPr>
      <w:r w:rsidRPr="004C0D5A">
        <w:rPr>
          <w:b w:val="0"/>
          <w:bCs w:val="0"/>
          <w:lang w:val="en-GB"/>
        </w:rPr>
        <w:t>future-ready workforce 73</w:t>
      </w:r>
    </w:p>
    <w:p w14:paraId="26194AFC" w14:textId="77777777" w:rsidR="004C0D5A" w:rsidRPr="004C0D5A" w:rsidRDefault="004C0D5A" w:rsidP="004C0D5A">
      <w:pPr>
        <w:pStyle w:val="Separator"/>
        <w:rPr>
          <w:b w:val="0"/>
          <w:bCs w:val="0"/>
          <w:lang w:val="en-GB"/>
        </w:rPr>
      </w:pPr>
      <w:r w:rsidRPr="004C0D5A">
        <w:rPr>
          <w:b w:val="0"/>
          <w:bCs w:val="0"/>
          <w:lang w:val="en-GB"/>
        </w:rPr>
        <w:t xml:space="preserve">futures </w:t>
      </w:r>
      <w:proofErr w:type="gramStart"/>
      <w:r w:rsidRPr="004C0D5A">
        <w:rPr>
          <w:b w:val="0"/>
          <w:bCs w:val="0"/>
          <w:lang w:val="en-GB"/>
        </w:rPr>
        <w:t>contracts</w:t>
      </w:r>
      <w:proofErr w:type="gramEnd"/>
      <w:r w:rsidRPr="004C0D5A">
        <w:rPr>
          <w:b w:val="0"/>
          <w:bCs w:val="0"/>
          <w:lang w:val="en-GB"/>
        </w:rPr>
        <w:t xml:space="preserve"> 27, 54</w:t>
      </w:r>
    </w:p>
    <w:p w14:paraId="335E5C52" w14:textId="77777777" w:rsidR="004C0D5A" w:rsidRPr="004C0D5A" w:rsidRDefault="004C0D5A" w:rsidP="004C0D5A">
      <w:pPr>
        <w:pStyle w:val="Separator"/>
        <w:rPr>
          <w:lang w:val="en-GB"/>
        </w:rPr>
      </w:pPr>
    </w:p>
    <w:p w14:paraId="46088729" w14:textId="77777777" w:rsidR="004C0D5A" w:rsidRPr="004C0D5A" w:rsidRDefault="004C0D5A" w:rsidP="004C0D5A">
      <w:pPr>
        <w:pStyle w:val="Separator"/>
        <w:rPr>
          <w:lang w:val="en-GB"/>
        </w:rPr>
      </w:pPr>
      <w:r w:rsidRPr="004C0D5A">
        <w:rPr>
          <w:lang w:val="en-GB"/>
        </w:rPr>
        <w:t>G</w:t>
      </w:r>
    </w:p>
    <w:p w14:paraId="503613C6" w14:textId="77777777" w:rsidR="004C0D5A" w:rsidRPr="004C0D5A" w:rsidRDefault="004C0D5A" w:rsidP="004C0D5A">
      <w:pPr>
        <w:pStyle w:val="Separator"/>
        <w:rPr>
          <w:b w:val="0"/>
          <w:bCs w:val="0"/>
          <w:lang w:val="en-GB"/>
        </w:rPr>
      </w:pPr>
      <w:r w:rsidRPr="004C0D5A">
        <w:rPr>
          <w:b w:val="0"/>
          <w:bCs w:val="0"/>
          <w:lang w:val="en-GB"/>
        </w:rPr>
        <w:t>geopolitical tensions 22</w:t>
      </w:r>
    </w:p>
    <w:p w14:paraId="45A171A4" w14:textId="77777777" w:rsidR="004C0D5A" w:rsidRPr="004C0D5A" w:rsidRDefault="004C0D5A" w:rsidP="004C0D5A">
      <w:pPr>
        <w:pStyle w:val="Separator"/>
        <w:rPr>
          <w:b w:val="0"/>
          <w:bCs w:val="0"/>
          <w:lang w:val="en-GB"/>
        </w:rPr>
      </w:pPr>
      <w:r w:rsidRPr="004C0D5A">
        <w:rPr>
          <w:b w:val="0"/>
          <w:bCs w:val="0"/>
          <w:lang w:val="en-GB"/>
        </w:rPr>
        <w:t>glossary of abbreviations 185–186</w:t>
      </w:r>
    </w:p>
    <w:p w14:paraId="5D916AD5" w14:textId="77777777" w:rsidR="004C0D5A" w:rsidRPr="004C0D5A" w:rsidRDefault="004C0D5A" w:rsidP="004C0D5A">
      <w:pPr>
        <w:pStyle w:val="Separator"/>
        <w:rPr>
          <w:b w:val="0"/>
          <w:bCs w:val="0"/>
          <w:lang w:val="en-GB"/>
        </w:rPr>
      </w:pPr>
      <w:r w:rsidRPr="004C0D5A">
        <w:rPr>
          <w:b w:val="0"/>
          <w:bCs w:val="0"/>
          <w:lang w:val="en-GB"/>
        </w:rPr>
        <w:t>Goods and Services Tax (GST) 174</w:t>
      </w:r>
    </w:p>
    <w:p w14:paraId="2EBC4772" w14:textId="77777777" w:rsidR="004C0D5A" w:rsidRPr="004C0D5A" w:rsidRDefault="004C0D5A" w:rsidP="004C0D5A">
      <w:pPr>
        <w:pStyle w:val="Separator"/>
        <w:rPr>
          <w:b w:val="0"/>
          <w:bCs w:val="0"/>
          <w:lang w:val="en-GB"/>
        </w:rPr>
      </w:pPr>
      <w:r w:rsidRPr="004C0D5A">
        <w:rPr>
          <w:b w:val="0"/>
          <w:bCs w:val="0"/>
          <w:lang w:val="en-GB"/>
        </w:rPr>
        <w:t>governing legislation 68</w:t>
      </w:r>
    </w:p>
    <w:p w14:paraId="080DA0A2" w14:textId="77777777" w:rsidR="004C0D5A" w:rsidRPr="004C0D5A" w:rsidRDefault="004C0D5A" w:rsidP="004C0D5A">
      <w:pPr>
        <w:pStyle w:val="Separator"/>
        <w:rPr>
          <w:b w:val="0"/>
          <w:bCs w:val="0"/>
          <w:lang w:val="en-GB"/>
        </w:rPr>
      </w:pPr>
      <w:r w:rsidRPr="004C0D5A">
        <w:rPr>
          <w:b w:val="0"/>
          <w:bCs w:val="0"/>
          <w:lang w:val="en-GB"/>
        </w:rPr>
        <w:t>Government Operations Strategy 98</w:t>
      </w:r>
    </w:p>
    <w:p w14:paraId="0DD80D85" w14:textId="77777777" w:rsidR="004C0D5A" w:rsidRPr="004C0D5A" w:rsidRDefault="004C0D5A" w:rsidP="004C0D5A">
      <w:pPr>
        <w:pStyle w:val="Separator"/>
        <w:rPr>
          <w:b w:val="0"/>
          <w:bCs w:val="0"/>
          <w:lang w:val="en-GB"/>
        </w:rPr>
      </w:pPr>
      <w:r w:rsidRPr="004C0D5A">
        <w:rPr>
          <w:b w:val="0"/>
          <w:bCs w:val="0"/>
          <w:lang w:val="en-GB"/>
        </w:rPr>
        <w:t>grants 92</w:t>
      </w:r>
    </w:p>
    <w:p w14:paraId="348B504E" w14:textId="77777777" w:rsidR="004C0D5A" w:rsidRPr="004C0D5A" w:rsidRDefault="004C0D5A" w:rsidP="004C0D5A">
      <w:pPr>
        <w:pStyle w:val="Separator"/>
        <w:rPr>
          <w:b w:val="0"/>
          <w:bCs w:val="0"/>
          <w:lang w:val="en-GB"/>
        </w:rPr>
      </w:pPr>
      <w:r w:rsidRPr="004C0D5A">
        <w:rPr>
          <w:b w:val="0"/>
          <w:bCs w:val="0"/>
          <w:lang w:val="en-GB"/>
        </w:rPr>
        <w:t>Green Treasury Bonds iv, 3, 17, 29, 30, 51</w:t>
      </w:r>
    </w:p>
    <w:p w14:paraId="5F948186" w14:textId="77777777" w:rsidR="004C0D5A" w:rsidRPr="004C0D5A" w:rsidRDefault="004C0D5A" w:rsidP="004C0D5A">
      <w:pPr>
        <w:pStyle w:val="Separator"/>
        <w:rPr>
          <w:b w:val="0"/>
          <w:bCs w:val="0"/>
          <w:lang w:val="en-GB"/>
        </w:rPr>
      </w:pPr>
      <w:r w:rsidRPr="004C0D5A">
        <w:rPr>
          <w:b w:val="0"/>
          <w:bCs w:val="0"/>
          <w:lang w:val="en-GB"/>
        </w:rPr>
        <w:t>greenhouse gases 98–100</w:t>
      </w:r>
    </w:p>
    <w:p w14:paraId="5F39CC91" w14:textId="77777777" w:rsidR="004C0D5A" w:rsidRPr="004C0D5A" w:rsidRDefault="004C0D5A" w:rsidP="004C0D5A">
      <w:pPr>
        <w:pStyle w:val="Separator"/>
        <w:rPr>
          <w:lang w:val="en-GB"/>
        </w:rPr>
      </w:pPr>
    </w:p>
    <w:p w14:paraId="4769BD2D" w14:textId="77777777" w:rsidR="004C0D5A" w:rsidRPr="004C0D5A" w:rsidRDefault="004C0D5A" w:rsidP="004C0D5A">
      <w:pPr>
        <w:pStyle w:val="Separator"/>
        <w:rPr>
          <w:lang w:val="en-GB"/>
        </w:rPr>
      </w:pPr>
      <w:r w:rsidRPr="004C0D5A">
        <w:rPr>
          <w:lang w:val="en-GB"/>
        </w:rPr>
        <w:t>H</w:t>
      </w:r>
    </w:p>
    <w:p w14:paraId="3E8B53C5" w14:textId="77777777" w:rsidR="004C0D5A" w:rsidRPr="004C0D5A" w:rsidRDefault="004C0D5A" w:rsidP="004C0D5A">
      <w:pPr>
        <w:pStyle w:val="Separator"/>
        <w:rPr>
          <w:b w:val="0"/>
          <w:bCs w:val="0"/>
          <w:lang w:val="en-GB"/>
        </w:rPr>
      </w:pPr>
      <w:r w:rsidRPr="004C0D5A">
        <w:rPr>
          <w:b w:val="0"/>
          <w:bCs w:val="0"/>
          <w:lang w:val="en-GB"/>
        </w:rPr>
        <w:t>health and safety at work 78</w:t>
      </w:r>
    </w:p>
    <w:p w14:paraId="0219800A" w14:textId="77777777" w:rsidR="004C0D5A" w:rsidRPr="004C0D5A" w:rsidRDefault="004C0D5A" w:rsidP="004C0D5A">
      <w:pPr>
        <w:pStyle w:val="Separator"/>
        <w:rPr>
          <w:b w:val="0"/>
          <w:bCs w:val="0"/>
          <w:lang w:val="en-GB"/>
        </w:rPr>
      </w:pPr>
      <w:r w:rsidRPr="004C0D5A">
        <w:rPr>
          <w:b w:val="0"/>
          <w:bCs w:val="0"/>
          <w:lang w:val="en-GB"/>
        </w:rPr>
        <w:t>high cash liquidity iv</w:t>
      </w:r>
    </w:p>
    <w:p w14:paraId="2751C073" w14:textId="77777777" w:rsidR="004C0D5A" w:rsidRPr="004C0D5A" w:rsidRDefault="004C0D5A" w:rsidP="004C0D5A">
      <w:pPr>
        <w:pStyle w:val="Separator"/>
        <w:rPr>
          <w:b w:val="0"/>
          <w:bCs w:val="0"/>
          <w:lang w:val="en-GB"/>
        </w:rPr>
      </w:pPr>
      <w:r w:rsidRPr="004C0D5A">
        <w:rPr>
          <w:b w:val="0"/>
          <w:bCs w:val="0"/>
          <w:lang w:val="en-GB"/>
        </w:rPr>
        <w:t>highly paid staff 85, 87</w:t>
      </w:r>
    </w:p>
    <w:p w14:paraId="0650B3D4" w14:textId="77777777" w:rsidR="004C0D5A" w:rsidRPr="004C0D5A" w:rsidRDefault="004C0D5A" w:rsidP="004C0D5A">
      <w:pPr>
        <w:pStyle w:val="Separator"/>
        <w:rPr>
          <w:b w:val="0"/>
          <w:bCs w:val="0"/>
          <w:lang w:val="en-GB"/>
        </w:rPr>
      </w:pPr>
      <w:r w:rsidRPr="004C0D5A">
        <w:rPr>
          <w:b w:val="0"/>
          <w:bCs w:val="0"/>
          <w:lang w:val="en-GB"/>
        </w:rPr>
        <w:t>Hughes, Anna 10, 15, 86, 111</w:t>
      </w:r>
    </w:p>
    <w:p w14:paraId="610F9166" w14:textId="77777777" w:rsidR="004C0D5A" w:rsidRPr="004C0D5A" w:rsidRDefault="004C0D5A" w:rsidP="004C0D5A">
      <w:pPr>
        <w:pStyle w:val="Separator"/>
        <w:rPr>
          <w:b w:val="0"/>
          <w:bCs w:val="0"/>
          <w:lang w:val="en-GB"/>
        </w:rPr>
      </w:pPr>
      <w:r w:rsidRPr="004C0D5A">
        <w:rPr>
          <w:b w:val="0"/>
          <w:bCs w:val="0"/>
          <w:lang w:val="en-GB"/>
        </w:rPr>
        <w:t>human resources functions 11</w:t>
      </w:r>
    </w:p>
    <w:p w14:paraId="2D49D78A" w14:textId="77777777" w:rsidR="004C0D5A" w:rsidRPr="004C0D5A" w:rsidRDefault="004C0D5A" w:rsidP="004C0D5A">
      <w:pPr>
        <w:pStyle w:val="Separator"/>
        <w:rPr>
          <w:lang w:val="en-GB"/>
        </w:rPr>
      </w:pPr>
    </w:p>
    <w:p w14:paraId="04DE88AD" w14:textId="77777777" w:rsidR="004C0D5A" w:rsidRPr="004C0D5A" w:rsidRDefault="004C0D5A" w:rsidP="004C0D5A">
      <w:pPr>
        <w:pStyle w:val="Separator"/>
        <w:rPr>
          <w:lang w:val="en-GB"/>
        </w:rPr>
      </w:pPr>
      <w:r w:rsidRPr="004C0D5A">
        <w:rPr>
          <w:lang w:val="en-GB"/>
        </w:rPr>
        <w:t>I</w:t>
      </w:r>
    </w:p>
    <w:p w14:paraId="682E0985" w14:textId="77777777" w:rsidR="004C0D5A" w:rsidRPr="004C0D5A" w:rsidRDefault="004C0D5A" w:rsidP="004C0D5A">
      <w:pPr>
        <w:pStyle w:val="Separator"/>
        <w:rPr>
          <w:b w:val="0"/>
          <w:bCs w:val="0"/>
          <w:lang w:val="en-GB"/>
        </w:rPr>
      </w:pPr>
      <w:r w:rsidRPr="004C0D5A">
        <w:rPr>
          <w:b w:val="0"/>
          <w:bCs w:val="0"/>
          <w:lang w:val="en-GB"/>
        </w:rPr>
        <w:t>impairment 163, 176–177</w:t>
      </w:r>
    </w:p>
    <w:p w14:paraId="493027C1" w14:textId="77777777" w:rsidR="004C0D5A" w:rsidRPr="004C0D5A" w:rsidRDefault="004C0D5A" w:rsidP="004C0D5A">
      <w:pPr>
        <w:pStyle w:val="Separator"/>
        <w:rPr>
          <w:b w:val="0"/>
          <w:bCs w:val="0"/>
          <w:lang w:val="en-GB"/>
        </w:rPr>
      </w:pPr>
      <w:r w:rsidRPr="004C0D5A">
        <w:rPr>
          <w:b w:val="0"/>
          <w:bCs w:val="0"/>
          <w:lang w:val="en-GB"/>
        </w:rPr>
        <w:t>independent auditor’s report 179–181</w:t>
      </w:r>
    </w:p>
    <w:p w14:paraId="5771FB4B" w14:textId="77777777" w:rsidR="004C0D5A" w:rsidRPr="004C0D5A" w:rsidRDefault="004C0D5A" w:rsidP="004C0D5A">
      <w:pPr>
        <w:pStyle w:val="Separator"/>
        <w:rPr>
          <w:b w:val="0"/>
          <w:bCs w:val="0"/>
          <w:lang w:val="en-GB"/>
        </w:rPr>
      </w:pPr>
      <w:r w:rsidRPr="004C0D5A">
        <w:rPr>
          <w:b w:val="0"/>
          <w:bCs w:val="0"/>
          <w:lang w:val="en-GB"/>
        </w:rPr>
        <w:t>industry events 51, 52</w:t>
      </w:r>
    </w:p>
    <w:p w14:paraId="4AC24077" w14:textId="77777777" w:rsidR="004C0D5A" w:rsidRPr="004C0D5A" w:rsidRDefault="004C0D5A" w:rsidP="004C0D5A">
      <w:pPr>
        <w:pStyle w:val="Separator"/>
        <w:rPr>
          <w:b w:val="0"/>
          <w:bCs w:val="0"/>
          <w:lang w:val="en-GB"/>
        </w:rPr>
      </w:pPr>
      <w:r w:rsidRPr="004C0D5A">
        <w:rPr>
          <w:b w:val="0"/>
          <w:bCs w:val="0"/>
          <w:lang w:val="en-GB"/>
        </w:rPr>
        <w:t>inflation 22, 35, 122–123</w:t>
      </w:r>
    </w:p>
    <w:p w14:paraId="192FF55E" w14:textId="77777777" w:rsidR="004C0D5A" w:rsidRPr="004C0D5A" w:rsidRDefault="004C0D5A" w:rsidP="004C0D5A">
      <w:pPr>
        <w:pStyle w:val="Separator"/>
        <w:rPr>
          <w:b w:val="0"/>
          <w:bCs w:val="0"/>
          <w:lang w:val="en-GB"/>
        </w:rPr>
      </w:pPr>
      <w:r w:rsidRPr="004C0D5A">
        <w:rPr>
          <w:b w:val="0"/>
          <w:bCs w:val="0"/>
          <w:lang w:val="en-GB"/>
        </w:rPr>
        <w:t>Information Publication Scheme (IPS) 93</w:t>
      </w:r>
    </w:p>
    <w:p w14:paraId="5FE4CC59" w14:textId="77777777" w:rsidR="004C0D5A" w:rsidRPr="004C0D5A" w:rsidRDefault="004C0D5A" w:rsidP="004C0D5A">
      <w:pPr>
        <w:pStyle w:val="Separator"/>
        <w:rPr>
          <w:b w:val="0"/>
          <w:bCs w:val="0"/>
          <w:lang w:val="en-GB"/>
        </w:rPr>
      </w:pPr>
      <w:r w:rsidRPr="004C0D5A">
        <w:rPr>
          <w:b w:val="0"/>
          <w:bCs w:val="0"/>
          <w:lang w:val="en-GB"/>
        </w:rPr>
        <w:t>Ingram, Cath 71</w:t>
      </w:r>
    </w:p>
    <w:p w14:paraId="67804AD2" w14:textId="77777777" w:rsidR="004C0D5A" w:rsidRPr="004C0D5A" w:rsidRDefault="004C0D5A" w:rsidP="004C0D5A">
      <w:pPr>
        <w:pStyle w:val="Separator"/>
        <w:rPr>
          <w:b w:val="0"/>
          <w:bCs w:val="0"/>
          <w:lang w:val="en-GB"/>
        </w:rPr>
      </w:pPr>
      <w:r w:rsidRPr="004C0D5A">
        <w:rPr>
          <w:b w:val="0"/>
          <w:bCs w:val="0"/>
          <w:lang w:val="en-GB"/>
        </w:rPr>
        <w:t>intangible assets 162</w:t>
      </w:r>
    </w:p>
    <w:p w14:paraId="3FC347FC" w14:textId="77777777" w:rsidR="004C0D5A" w:rsidRPr="004C0D5A" w:rsidRDefault="004C0D5A" w:rsidP="004C0D5A">
      <w:pPr>
        <w:pStyle w:val="Separator"/>
        <w:rPr>
          <w:b w:val="0"/>
          <w:bCs w:val="0"/>
          <w:lang w:val="en-GB"/>
        </w:rPr>
      </w:pPr>
      <w:r w:rsidRPr="004C0D5A">
        <w:rPr>
          <w:b w:val="0"/>
          <w:bCs w:val="0"/>
          <w:lang w:val="en-GB"/>
        </w:rPr>
        <w:t>integrity and ethical standards 75</w:t>
      </w:r>
    </w:p>
    <w:p w14:paraId="41AD6564" w14:textId="77777777" w:rsidR="004C0D5A" w:rsidRPr="004C0D5A" w:rsidRDefault="004C0D5A" w:rsidP="004C0D5A">
      <w:pPr>
        <w:pStyle w:val="Separator"/>
        <w:rPr>
          <w:b w:val="0"/>
          <w:bCs w:val="0"/>
          <w:lang w:val="en-GB"/>
        </w:rPr>
      </w:pPr>
      <w:r w:rsidRPr="004C0D5A">
        <w:rPr>
          <w:b w:val="0"/>
          <w:bCs w:val="0"/>
          <w:lang w:val="en-GB"/>
        </w:rPr>
        <w:t>Integrity Good Practice Guide 75</w:t>
      </w:r>
    </w:p>
    <w:p w14:paraId="341774D0" w14:textId="77777777" w:rsidR="004C0D5A" w:rsidRPr="004C0D5A" w:rsidRDefault="004C0D5A" w:rsidP="004C0D5A">
      <w:pPr>
        <w:pStyle w:val="Separator"/>
        <w:rPr>
          <w:b w:val="0"/>
          <w:bCs w:val="0"/>
          <w:lang w:val="en-GB"/>
        </w:rPr>
      </w:pPr>
      <w:r w:rsidRPr="004C0D5A">
        <w:rPr>
          <w:b w:val="0"/>
          <w:bCs w:val="0"/>
          <w:lang w:val="en-GB"/>
        </w:rPr>
        <w:t>interest costs 19, 27</w:t>
      </w:r>
    </w:p>
    <w:p w14:paraId="02E90DFB" w14:textId="77777777" w:rsidR="004C0D5A" w:rsidRPr="004C0D5A" w:rsidRDefault="004C0D5A" w:rsidP="004C0D5A">
      <w:pPr>
        <w:pStyle w:val="Separator"/>
        <w:rPr>
          <w:b w:val="0"/>
          <w:bCs w:val="0"/>
          <w:lang w:val="en-GB"/>
        </w:rPr>
      </w:pPr>
      <w:r w:rsidRPr="004C0D5A">
        <w:rPr>
          <w:b w:val="0"/>
          <w:bCs w:val="0"/>
          <w:lang w:val="en-GB"/>
        </w:rPr>
        <w:t>interest rates 16, 22, 62, 120–122</w:t>
      </w:r>
    </w:p>
    <w:p w14:paraId="41CA156C" w14:textId="77777777" w:rsidR="004C0D5A" w:rsidRPr="004C0D5A" w:rsidRDefault="004C0D5A" w:rsidP="004C0D5A">
      <w:pPr>
        <w:pStyle w:val="Separator"/>
        <w:rPr>
          <w:b w:val="0"/>
          <w:bCs w:val="0"/>
          <w:lang w:val="en-GB"/>
        </w:rPr>
      </w:pPr>
      <w:r w:rsidRPr="004C0D5A">
        <w:rPr>
          <w:b w:val="0"/>
          <w:bCs w:val="0"/>
          <w:lang w:val="en-GB"/>
        </w:rPr>
        <w:t>internal audit 70, 72, 75</w:t>
      </w:r>
    </w:p>
    <w:p w14:paraId="00A4B5C5" w14:textId="77777777" w:rsidR="004C0D5A" w:rsidRPr="004C0D5A" w:rsidRDefault="004C0D5A" w:rsidP="004C0D5A">
      <w:pPr>
        <w:pStyle w:val="Separator"/>
        <w:rPr>
          <w:b w:val="0"/>
          <w:bCs w:val="0"/>
          <w:lang w:val="en-GB"/>
        </w:rPr>
      </w:pPr>
      <w:r w:rsidRPr="004C0D5A">
        <w:rPr>
          <w:b w:val="0"/>
          <w:bCs w:val="0"/>
          <w:lang w:val="en-GB"/>
        </w:rPr>
        <w:t>‘Investor Insights’ 51</w:t>
      </w:r>
    </w:p>
    <w:p w14:paraId="49DDEF67" w14:textId="77777777" w:rsidR="004C0D5A" w:rsidRPr="004C0D5A" w:rsidRDefault="004C0D5A" w:rsidP="004C0D5A">
      <w:pPr>
        <w:pStyle w:val="Separator"/>
        <w:rPr>
          <w:b w:val="0"/>
          <w:bCs w:val="0"/>
          <w:lang w:val="en-GB"/>
        </w:rPr>
      </w:pPr>
      <w:r w:rsidRPr="004C0D5A">
        <w:rPr>
          <w:b w:val="0"/>
          <w:bCs w:val="0"/>
          <w:lang w:val="en-GB"/>
        </w:rPr>
        <w:t>investor relations 49, 50, 51–52, 73</w:t>
      </w:r>
    </w:p>
    <w:p w14:paraId="62361C08" w14:textId="77777777" w:rsidR="004C0D5A" w:rsidRPr="004C0D5A" w:rsidRDefault="004C0D5A" w:rsidP="004C0D5A">
      <w:pPr>
        <w:pStyle w:val="Separator"/>
        <w:rPr>
          <w:b w:val="0"/>
          <w:bCs w:val="0"/>
          <w:lang w:val="en-GB"/>
        </w:rPr>
      </w:pPr>
      <w:r w:rsidRPr="004C0D5A">
        <w:rPr>
          <w:b w:val="0"/>
          <w:bCs w:val="0"/>
          <w:lang w:val="en-GB"/>
        </w:rPr>
        <w:t>issuance strategy 36 see also Purpose 1</w:t>
      </w:r>
    </w:p>
    <w:p w14:paraId="50DE4D80" w14:textId="77777777" w:rsidR="004C0D5A" w:rsidRPr="004C0D5A" w:rsidRDefault="004C0D5A" w:rsidP="004C0D5A">
      <w:pPr>
        <w:pStyle w:val="Separator"/>
        <w:rPr>
          <w:lang w:val="en-GB"/>
        </w:rPr>
      </w:pPr>
    </w:p>
    <w:p w14:paraId="7B50053B" w14:textId="77777777" w:rsidR="004C0D5A" w:rsidRPr="004C0D5A" w:rsidRDefault="004C0D5A" w:rsidP="004C0D5A">
      <w:pPr>
        <w:pStyle w:val="Separator"/>
        <w:rPr>
          <w:lang w:val="en-GB"/>
        </w:rPr>
      </w:pPr>
      <w:r w:rsidRPr="004C0D5A">
        <w:rPr>
          <w:lang w:val="en-GB"/>
        </w:rPr>
        <w:t>J</w:t>
      </w:r>
    </w:p>
    <w:p w14:paraId="47E5B18D" w14:textId="77777777" w:rsidR="004C0D5A" w:rsidRPr="004C0D5A" w:rsidRDefault="004C0D5A" w:rsidP="004C0D5A">
      <w:pPr>
        <w:pStyle w:val="Separator"/>
        <w:rPr>
          <w:b w:val="0"/>
          <w:bCs w:val="0"/>
          <w:lang w:val="en-GB"/>
        </w:rPr>
      </w:pPr>
      <w:r w:rsidRPr="004C0D5A">
        <w:rPr>
          <w:b w:val="0"/>
          <w:bCs w:val="0"/>
          <w:lang w:val="en-GB"/>
        </w:rPr>
        <w:t>Japan 4, 52</w:t>
      </w:r>
    </w:p>
    <w:p w14:paraId="51D957A5" w14:textId="77777777" w:rsidR="004C0D5A" w:rsidRPr="004C0D5A" w:rsidRDefault="004C0D5A" w:rsidP="004C0D5A">
      <w:pPr>
        <w:pStyle w:val="Separator"/>
        <w:rPr>
          <w:b w:val="0"/>
          <w:bCs w:val="0"/>
          <w:lang w:val="en-GB"/>
        </w:rPr>
      </w:pPr>
      <w:r w:rsidRPr="004C0D5A">
        <w:rPr>
          <w:b w:val="0"/>
          <w:bCs w:val="0"/>
          <w:lang w:val="en-GB"/>
        </w:rPr>
        <w:t>‘</w:t>
      </w:r>
      <w:proofErr w:type="gramStart"/>
      <w:r w:rsidRPr="004C0D5A">
        <w:rPr>
          <w:b w:val="0"/>
          <w:bCs w:val="0"/>
          <w:lang w:val="en-GB"/>
        </w:rPr>
        <w:t>just</w:t>
      </w:r>
      <w:proofErr w:type="gramEnd"/>
      <w:r w:rsidRPr="004C0D5A">
        <w:rPr>
          <w:b w:val="0"/>
          <w:bCs w:val="0"/>
          <w:lang w:val="en-GB"/>
        </w:rPr>
        <w:t xml:space="preserve"> in time’ drawdown 158</w:t>
      </w:r>
    </w:p>
    <w:p w14:paraId="1A044496" w14:textId="77777777" w:rsidR="004C0D5A" w:rsidRPr="004C0D5A" w:rsidRDefault="004C0D5A" w:rsidP="004C0D5A">
      <w:pPr>
        <w:pStyle w:val="Separator"/>
        <w:rPr>
          <w:lang w:val="en-GB"/>
        </w:rPr>
      </w:pPr>
    </w:p>
    <w:p w14:paraId="30C7FAB2" w14:textId="77777777" w:rsidR="004C0D5A" w:rsidRPr="004C0D5A" w:rsidRDefault="004C0D5A" w:rsidP="004C0D5A">
      <w:pPr>
        <w:pStyle w:val="Separator"/>
        <w:rPr>
          <w:lang w:val="en-GB"/>
        </w:rPr>
      </w:pPr>
      <w:r w:rsidRPr="004C0D5A">
        <w:rPr>
          <w:lang w:val="en-GB"/>
        </w:rPr>
        <w:t>K</w:t>
      </w:r>
    </w:p>
    <w:p w14:paraId="02E94E18" w14:textId="77777777" w:rsidR="004C0D5A" w:rsidRPr="004C0D5A" w:rsidRDefault="004C0D5A" w:rsidP="004C0D5A">
      <w:pPr>
        <w:pStyle w:val="Separator"/>
        <w:rPr>
          <w:b w:val="0"/>
          <w:bCs w:val="0"/>
          <w:lang w:val="en-GB"/>
        </w:rPr>
      </w:pPr>
      <w:r w:rsidRPr="004C0D5A">
        <w:rPr>
          <w:b w:val="0"/>
          <w:bCs w:val="0"/>
          <w:lang w:val="en-GB"/>
        </w:rPr>
        <w:t>Kathleen O’Donnell v Commonwealth of Australia and Others 175</w:t>
      </w:r>
    </w:p>
    <w:p w14:paraId="4B659083" w14:textId="77777777" w:rsidR="004C0D5A" w:rsidRPr="004C0D5A" w:rsidRDefault="004C0D5A" w:rsidP="004C0D5A">
      <w:pPr>
        <w:pStyle w:val="Separator"/>
        <w:rPr>
          <w:b w:val="0"/>
          <w:bCs w:val="0"/>
          <w:lang w:val="en-GB"/>
        </w:rPr>
      </w:pPr>
      <w:r w:rsidRPr="004C0D5A">
        <w:rPr>
          <w:b w:val="0"/>
          <w:bCs w:val="0"/>
          <w:lang w:val="en-GB"/>
        </w:rPr>
        <w:t>key management personnel (KMP) 85, 86, 165</w:t>
      </w:r>
    </w:p>
    <w:p w14:paraId="1265C85D" w14:textId="77777777" w:rsidR="004C0D5A" w:rsidRPr="004C0D5A" w:rsidRDefault="004C0D5A" w:rsidP="004C0D5A">
      <w:pPr>
        <w:pStyle w:val="Separator"/>
        <w:rPr>
          <w:b w:val="0"/>
          <w:bCs w:val="0"/>
          <w:lang w:val="en-GB"/>
        </w:rPr>
      </w:pPr>
      <w:r w:rsidRPr="004C0D5A">
        <w:rPr>
          <w:b w:val="0"/>
          <w:bCs w:val="0"/>
          <w:lang w:val="en-GB"/>
        </w:rPr>
        <w:t>key supplier relations 73</w:t>
      </w:r>
    </w:p>
    <w:p w14:paraId="65C448F0" w14:textId="77777777" w:rsidR="004C0D5A" w:rsidRPr="004C0D5A" w:rsidRDefault="004C0D5A" w:rsidP="004C0D5A">
      <w:pPr>
        <w:pStyle w:val="Separator"/>
        <w:rPr>
          <w:b w:val="0"/>
          <w:bCs w:val="0"/>
          <w:lang w:val="en-GB"/>
        </w:rPr>
      </w:pPr>
      <w:r w:rsidRPr="004C0D5A">
        <w:rPr>
          <w:b w:val="0"/>
          <w:bCs w:val="0"/>
          <w:lang w:val="en-GB"/>
        </w:rPr>
        <w:t>Knight, Stephen 71</w:t>
      </w:r>
    </w:p>
    <w:p w14:paraId="362EFF06" w14:textId="77777777" w:rsidR="004C0D5A" w:rsidRPr="004C0D5A" w:rsidRDefault="004C0D5A" w:rsidP="004C0D5A">
      <w:pPr>
        <w:pStyle w:val="Separator"/>
        <w:rPr>
          <w:b w:val="0"/>
          <w:bCs w:val="0"/>
          <w:lang w:val="en-GB"/>
        </w:rPr>
      </w:pPr>
      <w:r w:rsidRPr="004C0D5A">
        <w:rPr>
          <w:b w:val="0"/>
          <w:bCs w:val="0"/>
          <w:lang w:val="en-GB"/>
        </w:rPr>
        <w:t>knowledge management transfer 73</w:t>
      </w:r>
    </w:p>
    <w:p w14:paraId="43FA48DE" w14:textId="77777777" w:rsidR="004C0D5A" w:rsidRPr="004C0D5A" w:rsidRDefault="004C0D5A" w:rsidP="004C0D5A">
      <w:pPr>
        <w:pStyle w:val="Separator"/>
        <w:rPr>
          <w:b w:val="0"/>
          <w:bCs w:val="0"/>
          <w:lang w:val="en-GB"/>
        </w:rPr>
      </w:pPr>
      <w:r w:rsidRPr="004C0D5A">
        <w:rPr>
          <w:b w:val="0"/>
          <w:bCs w:val="0"/>
          <w:lang w:val="en-GB"/>
        </w:rPr>
        <w:t>Koh, M. 111</w:t>
      </w:r>
    </w:p>
    <w:p w14:paraId="73CA559F" w14:textId="77777777" w:rsidR="004C0D5A" w:rsidRPr="004C0D5A" w:rsidRDefault="004C0D5A" w:rsidP="004C0D5A">
      <w:pPr>
        <w:pStyle w:val="Separator"/>
        <w:rPr>
          <w:b w:val="0"/>
          <w:bCs w:val="0"/>
          <w:lang w:val="en-GB"/>
        </w:rPr>
      </w:pPr>
    </w:p>
    <w:p w14:paraId="3443A0F6" w14:textId="77777777" w:rsidR="004C0D5A" w:rsidRPr="004C0D5A" w:rsidRDefault="004C0D5A" w:rsidP="004C0D5A">
      <w:pPr>
        <w:pStyle w:val="Separator"/>
        <w:rPr>
          <w:lang w:val="en-GB"/>
        </w:rPr>
      </w:pPr>
      <w:r w:rsidRPr="004C0D5A">
        <w:rPr>
          <w:lang w:val="en-GB"/>
        </w:rPr>
        <w:t>L</w:t>
      </w:r>
    </w:p>
    <w:p w14:paraId="2182BBEF" w14:textId="77777777" w:rsidR="004C0D5A" w:rsidRPr="004C0D5A" w:rsidRDefault="004C0D5A" w:rsidP="004C0D5A">
      <w:pPr>
        <w:pStyle w:val="Separator"/>
        <w:rPr>
          <w:b w:val="0"/>
          <w:bCs w:val="0"/>
          <w:lang w:val="en-GB"/>
        </w:rPr>
      </w:pPr>
      <w:r w:rsidRPr="004C0D5A">
        <w:rPr>
          <w:b w:val="0"/>
          <w:bCs w:val="0"/>
          <w:lang w:val="en-GB"/>
        </w:rPr>
        <w:t>lease liabilities 167, 168</w:t>
      </w:r>
    </w:p>
    <w:p w14:paraId="2F708D00" w14:textId="77777777" w:rsidR="004C0D5A" w:rsidRPr="004C0D5A" w:rsidRDefault="004C0D5A" w:rsidP="004C0D5A">
      <w:pPr>
        <w:pStyle w:val="Separator"/>
        <w:rPr>
          <w:b w:val="0"/>
          <w:bCs w:val="0"/>
          <w:lang w:val="en-GB"/>
        </w:rPr>
      </w:pPr>
      <w:r w:rsidRPr="004C0D5A">
        <w:rPr>
          <w:b w:val="0"/>
          <w:bCs w:val="0"/>
          <w:lang w:val="en-GB"/>
        </w:rPr>
        <w:t>Leased Right of Use (ROU) assets 161</w:t>
      </w:r>
    </w:p>
    <w:p w14:paraId="0BDE164A" w14:textId="77777777" w:rsidR="004C0D5A" w:rsidRPr="004C0D5A" w:rsidRDefault="004C0D5A" w:rsidP="004C0D5A">
      <w:pPr>
        <w:pStyle w:val="Separator"/>
        <w:rPr>
          <w:b w:val="0"/>
          <w:bCs w:val="0"/>
          <w:lang w:val="en-GB"/>
        </w:rPr>
      </w:pPr>
      <w:r w:rsidRPr="004C0D5A">
        <w:rPr>
          <w:b w:val="0"/>
          <w:bCs w:val="0"/>
          <w:lang w:val="en-GB"/>
        </w:rPr>
        <w:t>leave (employees’) 164</w:t>
      </w:r>
    </w:p>
    <w:p w14:paraId="6209CDD4" w14:textId="77777777" w:rsidR="004C0D5A" w:rsidRPr="004C0D5A" w:rsidRDefault="004C0D5A" w:rsidP="004C0D5A">
      <w:pPr>
        <w:pStyle w:val="Separator"/>
        <w:rPr>
          <w:b w:val="0"/>
          <w:bCs w:val="0"/>
          <w:lang w:val="en-GB"/>
        </w:rPr>
      </w:pPr>
      <w:r w:rsidRPr="004C0D5A">
        <w:rPr>
          <w:b w:val="0"/>
          <w:bCs w:val="0"/>
          <w:lang w:val="en-GB"/>
        </w:rPr>
        <w:t>legislation governing the AOFM 68</w:t>
      </w:r>
    </w:p>
    <w:p w14:paraId="2D2A19A8" w14:textId="77777777" w:rsidR="004C0D5A" w:rsidRPr="004C0D5A" w:rsidRDefault="004C0D5A" w:rsidP="004C0D5A">
      <w:pPr>
        <w:pStyle w:val="Separator"/>
        <w:rPr>
          <w:b w:val="0"/>
          <w:bCs w:val="0"/>
          <w:lang w:val="en-GB"/>
        </w:rPr>
      </w:pPr>
      <w:r w:rsidRPr="004C0D5A">
        <w:rPr>
          <w:b w:val="0"/>
          <w:bCs w:val="0"/>
          <w:lang w:val="en-GB"/>
        </w:rPr>
        <w:t>Letter of Transmittal ii</w:t>
      </w:r>
    </w:p>
    <w:p w14:paraId="4326FB20" w14:textId="77777777" w:rsidR="004C0D5A" w:rsidRPr="004C0D5A" w:rsidRDefault="004C0D5A" w:rsidP="004C0D5A">
      <w:pPr>
        <w:pStyle w:val="Separator"/>
        <w:rPr>
          <w:b w:val="0"/>
          <w:bCs w:val="0"/>
          <w:lang w:val="en-GB"/>
        </w:rPr>
      </w:pPr>
      <w:r w:rsidRPr="004C0D5A">
        <w:rPr>
          <w:b w:val="0"/>
          <w:bCs w:val="0"/>
          <w:lang w:val="en-GB"/>
        </w:rPr>
        <w:t>liability portfolios 17 see also assets and liabilities</w:t>
      </w:r>
    </w:p>
    <w:p w14:paraId="0B41B0D8" w14:textId="77777777" w:rsidR="008569B5" w:rsidRDefault="004C0D5A" w:rsidP="004C0D5A">
      <w:pPr>
        <w:pStyle w:val="Separator"/>
        <w:rPr>
          <w:b w:val="0"/>
          <w:bCs w:val="0"/>
          <w:lang w:val="en-GB"/>
        </w:rPr>
      </w:pPr>
      <w:r w:rsidRPr="004C0D5A">
        <w:rPr>
          <w:b w:val="0"/>
          <w:bCs w:val="0"/>
          <w:lang w:val="en-GB"/>
        </w:rPr>
        <w:t xml:space="preserve">liquid markets 8, 22, 25, 54–55 see also </w:t>
      </w:r>
    </w:p>
    <w:p w14:paraId="497CE433" w14:textId="1475EE3F" w:rsidR="004C0D5A" w:rsidRPr="004C0D5A" w:rsidRDefault="004C0D5A" w:rsidP="008569B5">
      <w:pPr>
        <w:pStyle w:val="Separator"/>
        <w:ind w:left="142"/>
        <w:rPr>
          <w:b w:val="0"/>
          <w:bCs w:val="0"/>
          <w:lang w:val="en-GB"/>
        </w:rPr>
      </w:pPr>
      <w:r w:rsidRPr="004C0D5A">
        <w:rPr>
          <w:b w:val="0"/>
          <w:bCs w:val="0"/>
          <w:lang w:val="en-GB"/>
        </w:rPr>
        <w:t>Purpose 3</w:t>
      </w:r>
    </w:p>
    <w:p w14:paraId="574B4FBE" w14:textId="77777777" w:rsidR="004C0D5A" w:rsidRPr="004C0D5A" w:rsidRDefault="004C0D5A" w:rsidP="004C0D5A">
      <w:pPr>
        <w:pStyle w:val="Separator"/>
        <w:rPr>
          <w:b w:val="0"/>
          <w:bCs w:val="0"/>
          <w:lang w:val="en-GB"/>
        </w:rPr>
      </w:pPr>
      <w:r w:rsidRPr="004C0D5A">
        <w:rPr>
          <w:b w:val="0"/>
          <w:bCs w:val="0"/>
          <w:lang w:val="en-GB"/>
        </w:rPr>
        <w:t>liquidity buffer 44, 46, 127</w:t>
      </w:r>
    </w:p>
    <w:p w14:paraId="7F3F1658" w14:textId="77777777" w:rsidR="004C0D5A" w:rsidRPr="004C0D5A" w:rsidRDefault="004C0D5A" w:rsidP="004C0D5A">
      <w:pPr>
        <w:pStyle w:val="Separator"/>
        <w:rPr>
          <w:b w:val="0"/>
          <w:bCs w:val="0"/>
          <w:lang w:val="en-GB"/>
        </w:rPr>
      </w:pPr>
      <w:r w:rsidRPr="004C0D5A">
        <w:rPr>
          <w:b w:val="0"/>
          <w:bCs w:val="0"/>
          <w:lang w:val="en-GB"/>
        </w:rPr>
        <w:t>liquidity management strategy 44–45</w:t>
      </w:r>
    </w:p>
    <w:p w14:paraId="32492482" w14:textId="77777777" w:rsidR="004C0D5A" w:rsidRPr="004C0D5A" w:rsidRDefault="004C0D5A" w:rsidP="004C0D5A">
      <w:pPr>
        <w:pStyle w:val="Separator"/>
        <w:rPr>
          <w:b w:val="0"/>
          <w:bCs w:val="0"/>
          <w:lang w:val="en-GB"/>
        </w:rPr>
      </w:pPr>
      <w:r w:rsidRPr="004C0D5A">
        <w:rPr>
          <w:b w:val="0"/>
          <w:bCs w:val="0"/>
          <w:lang w:val="en-GB"/>
        </w:rPr>
        <w:t>liquidity risk 43, 127–128</w:t>
      </w:r>
    </w:p>
    <w:p w14:paraId="3B0A507D" w14:textId="77777777" w:rsidR="004C0D5A" w:rsidRPr="004C0D5A" w:rsidRDefault="004C0D5A" w:rsidP="004C0D5A">
      <w:pPr>
        <w:pStyle w:val="Separator"/>
        <w:rPr>
          <w:b w:val="0"/>
          <w:bCs w:val="0"/>
          <w:lang w:val="en-GB"/>
        </w:rPr>
      </w:pPr>
      <w:r w:rsidRPr="004C0D5A">
        <w:rPr>
          <w:b w:val="0"/>
          <w:bCs w:val="0"/>
          <w:lang w:val="en-GB"/>
        </w:rPr>
        <w:t>litigation 175</w:t>
      </w:r>
    </w:p>
    <w:p w14:paraId="15BEAD45" w14:textId="77777777" w:rsidR="004C0D5A" w:rsidRPr="004C0D5A" w:rsidRDefault="004C0D5A" w:rsidP="004C0D5A">
      <w:pPr>
        <w:pStyle w:val="Separator"/>
        <w:rPr>
          <w:b w:val="0"/>
          <w:bCs w:val="0"/>
          <w:lang w:val="en-GB"/>
        </w:rPr>
      </w:pPr>
      <w:r w:rsidRPr="004C0D5A">
        <w:rPr>
          <w:b w:val="0"/>
          <w:bCs w:val="0"/>
          <w:lang w:val="en-GB"/>
        </w:rPr>
        <w:t>Loan Securities Act 1919 68, 146</w:t>
      </w:r>
    </w:p>
    <w:p w14:paraId="4F09EC15" w14:textId="77777777" w:rsidR="004C0D5A" w:rsidRPr="004C0D5A" w:rsidRDefault="004C0D5A" w:rsidP="004C0D5A">
      <w:pPr>
        <w:pStyle w:val="Separator"/>
        <w:rPr>
          <w:b w:val="0"/>
          <w:bCs w:val="0"/>
          <w:lang w:val="en-GB"/>
        </w:rPr>
      </w:pPr>
      <w:r w:rsidRPr="004C0D5A">
        <w:rPr>
          <w:b w:val="0"/>
          <w:bCs w:val="0"/>
          <w:lang w:val="en-GB"/>
        </w:rPr>
        <w:t xml:space="preserve">loans to state and territory governments </w:t>
      </w:r>
      <w:r w:rsidRPr="004C0D5A">
        <w:rPr>
          <w:b w:val="0"/>
          <w:bCs w:val="0"/>
          <w:lang w:val="en-GB"/>
        </w:rPr>
        <w:tab/>
        <w:t>123, 135, 144</w:t>
      </w:r>
    </w:p>
    <w:p w14:paraId="4AB2CE6D" w14:textId="77777777" w:rsidR="004C0D5A" w:rsidRPr="004C0D5A" w:rsidRDefault="004C0D5A" w:rsidP="004C0D5A">
      <w:pPr>
        <w:pStyle w:val="Separator"/>
        <w:rPr>
          <w:b w:val="0"/>
          <w:bCs w:val="0"/>
          <w:lang w:val="en-GB"/>
        </w:rPr>
      </w:pPr>
      <w:r w:rsidRPr="004C0D5A">
        <w:rPr>
          <w:b w:val="0"/>
          <w:bCs w:val="0"/>
          <w:lang w:val="en-GB"/>
        </w:rPr>
        <w:t>location of employees 83</w:t>
      </w:r>
    </w:p>
    <w:p w14:paraId="48A5FB8C" w14:textId="77777777" w:rsidR="004C0D5A" w:rsidRPr="004C0D5A" w:rsidRDefault="004C0D5A" w:rsidP="004C0D5A">
      <w:pPr>
        <w:pStyle w:val="Separator"/>
        <w:rPr>
          <w:b w:val="0"/>
          <w:bCs w:val="0"/>
          <w:lang w:val="en-GB"/>
        </w:rPr>
      </w:pPr>
      <w:r w:rsidRPr="004C0D5A">
        <w:rPr>
          <w:b w:val="0"/>
          <w:bCs w:val="0"/>
          <w:lang w:val="en-GB"/>
        </w:rPr>
        <w:t>Long-Term Debt Portfolio (LTDP) 17, 27</w:t>
      </w:r>
    </w:p>
    <w:p w14:paraId="22AFFC6F" w14:textId="77777777" w:rsidR="004C0D5A" w:rsidRPr="004C0D5A" w:rsidRDefault="004C0D5A" w:rsidP="004C0D5A">
      <w:pPr>
        <w:pStyle w:val="Separator"/>
        <w:rPr>
          <w:b w:val="0"/>
          <w:bCs w:val="0"/>
          <w:lang w:val="en-GB"/>
        </w:rPr>
      </w:pPr>
      <w:r w:rsidRPr="004C0D5A">
        <w:rPr>
          <w:b w:val="0"/>
          <w:bCs w:val="0"/>
          <w:lang w:val="en-GB"/>
        </w:rPr>
        <w:t>long-term decision-making 25</w:t>
      </w:r>
    </w:p>
    <w:p w14:paraId="2E0004E7" w14:textId="5473E83E" w:rsidR="00C1682E" w:rsidRPr="004C0D5A" w:rsidRDefault="004C0D5A" w:rsidP="004C0D5A">
      <w:pPr>
        <w:pStyle w:val="Separator"/>
        <w:rPr>
          <w:b w:val="0"/>
          <w:bCs w:val="0"/>
          <w:lang w:val="en-GB"/>
        </w:rPr>
      </w:pPr>
      <w:r w:rsidRPr="004C0D5A">
        <w:rPr>
          <w:b w:val="0"/>
          <w:bCs w:val="0"/>
          <w:lang w:val="en-GB"/>
        </w:rPr>
        <w:t>Lowe, Dr Philip 4</w:t>
      </w:r>
    </w:p>
    <w:p w14:paraId="5F7E32C3" w14:textId="59BE49AD" w:rsidR="00AC4AC6" w:rsidRPr="00AC4AC6" w:rsidRDefault="00AC4AC6" w:rsidP="00AC4AC6">
      <w:pPr>
        <w:pStyle w:val="Separator"/>
        <w:rPr>
          <w:lang w:val="en-GB"/>
        </w:rPr>
      </w:pPr>
      <w:r w:rsidRPr="00AC4AC6">
        <w:rPr>
          <w:lang w:val="en-GB"/>
        </w:rPr>
        <w:t>M</w:t>
      </w:r>
    </w:p>
    <w:p w14:paraId="076E3D95" w14:textId="77777777" w:rsidR="00AC4AC6" w:rsidRPr="00AC4AC6" w:rsidRDefault="00AC4AC6" w:rsidP="00AC4AC6">
      <w:pPr>
        <w:pStyle w:val="Separator"/>
        <w:rPr>
          <w:b w:val="0"/>
          <w:bCs w:val="0"/>
          <w:lang w:val="en-GB"/>
        </w:rPr>
      </w:pPr>
      <w:r w:rsidRPr="00AC4AC6">
        <w:rPr>
          <w:b w:val="0"/>
          <w:bCs w:val="0"/>
          <w:lang w:val="en-GB"/>
        </w:rPr>
        <w:t>male employees 80</w:t>
      </w:r>
    </w:p>
    <w:p w14:paraId="2B3D2F55" w14:textId="77777777" w:rsidR="00AC4AC6" w:rsidRPr="00AC4AC6" w:rsidRDefault="00AC4AC6" w:rsidP="00AC4AC6">
      <w:pPr>
        <w:pStyle w:val="Separator"/>
        <w:rPr>
          <w:b w:val="0"/>
          <w:bCs w:val="0"/>
          <w:lang w:val="en-GB"/>
        </w:rPr>
      </w:pPr>
      <w:r w:rsidRPr="00AC4AC6">
        <w:rPr>
          <w:b w:val="0"/>
          <w:bCs w:val="0"/>
          <w:lang w:val="en-GB"/>
        </w:rPr>
        <w:t>market confidence 3</w:t>
      </w:r>
    </w:p>
    <w:p w14:paraId="654D9E2D" w14:textId="77777777" w:rsidR="00AC4AC6" w:rsidRPr="00AC4AC6" w:rsidRDefault="00AC4AC6" w:rsidP="00AC4AC6">
      <w:pPr>
        <w:pStyle w:val="Separator"/>
        <w:rPr>
          <w:b w:val="0"/>
          <w:bCs w:val="0"/>
          <w:lang w:val="en-GB"/>
        </w:rPr>
      </w:pPr>
      <w:r w:rsidRPr="00AC4AC6">
        <w:rPr>
          <w:b w:val="0"/>
          <w:bCs w:val="0"/>
          <w:lang w:val="en-GB"/>
        </w:rPr>
        <w:t>market engagement program</w:t>
      </w:r>
      <w:r w:rsidRPr="00AC4AC6">
        <w:rPr>
          <w:b w:val="0"/>
          <w:bCs w:val="0"/>
          <w:lang w:val="en-GB"/>
        </w:rPr>
        <w:tab/>
        <w:t>49, 50 see also Purpose 3</w:t>
      </w:r>
    </w:p>
    <w:p w14:paraId="6DBA1D6E" w14:textId="77777777" w:rsidR="00AC4AC6" w:rsidRPr="00AC4AC6" w:rsidRDefault="00AC4AC6" w:rsidP="00AC4AC6">
      <w:pPr>
        <w:pStyle w:val="Separator"/>
        <w:rPr>
          <w:b w:val="0"/>
          <w:bCs w:val="0"/>
          <w:lang w:val="en-GB"/>
        </w:rPr>
      </w:pPr>
      <w:r w:rsidRPr="00AC4AC6">
        <w:rPr>
          <w:b w:val="0"/>
          <w:bCs w:val="0"/>
          <w:lang w:val="en-GB"/>
        </w:rPr>
        <w:t>market liquidity 8, 22, 25, 54–55</w:t>
      </w:r>
    </w:p>
    <w:p w14:paraId="1807F32F" w14:textId="77777777" w:rsidR="00AC4AC6" w:rsidRPr="00AC4AC6" w:rsidRDefault="00AC4AC6" w:rsidP="00AC4AC6">
      <w:pPr>
        <w:pStyle w:val="Separator"/>
        <w:rPr>
          <w:b w:val="0"/>
          <w:bCs w:val="0"/>
          <w:lang w:val="en-GB"/>
        </w:rPr>
      </w:pPr>
      <w:r w:rsidRPr="00AC4AC6">
        <w:rPr>
          <w:b w:val="0"/>
          <w:bCs w:val="0"/>
          <w:lang w:val="en-GB"/>
        </w:rPr>
        <w:t>market research 92</w:t>
      </w:r>
    </w:p>
    <w:p w14:paraId="04090D0C" w14:textId="77777777" w:rsidR="00AC4AC6" w:rsidRPr="00AC4AC6" w:rsidRDefault="00AC4AC6" w:rsidP="00AC4AC6">
      <w:pPr>
        <w:pStyle w:val="Separator"/>
        <w:rPr>
          <w:b w:val="0"/>
          <w:bCs w:val="0"/>
          <w:lang w:val="en-GB"/>
        </w:rPr>
      </w:pPr>
      <w:r w:rsidRPr="00AC4AC6">
        <w:rPr>
          <w:b w:val="0"/>
          <w:bCs w:val="0"/>
          <w:lang w:val="en-GB"/>
        </w:rPr>
        <w:t>market volatility 22, 61</w:t>
      </w:r>
    </w:p>
    <w:p w14:paraId="6A4636F6" w14:textId="77777777" w:rsidR="00AC4AC6" w:rsidRPr="00AC4AC6" w:rsidRDefault="00AC4AC6" w:rsidP="00AC4AC6">
      <w:pPr>
        <w:pStyle w:val="Separator"/>
        <w:rPr>
          <w:b w:val="0"/>
          <w:bCs w:val="0"/>
          <w:lang w:val="en-GB"/>
        </w:rPr>
      </w:pPr>
      <w:r w:rsidRPr="00AC4AC6">
        <w:rPr>
          <w:b w:val="0"/>
          <w:bCs w:val="0"/>
          <w:lang w:val="en-GB"/>
        </w:rPr>
        <w:t>maturity targets 4</w:t>
      </w:r>
    </w:p>
    <w:p w14:paraId="22B75EA6" w14:textId="77777777" w:rsidR="00AC4AC6" w:rsidRPr="00AC4AC6" w:rsidRDefault="00AC4AC6" w:rsidP="00AC4AC6">
      <w:pPr>
        <w:pStyle w:val="Separator"/>
        <w:rPr>
          <w:b w:val="0"/>
          <w:bCs w:val="0"/>
          <w:lang w:val="en-GB"/>
        </w:rPr>
      </w:pPr>
      <w:r w:rsidRPr="00AC4AC6">
        <w:rPr>
          <w:b w:val="0"/>
          <w:bCs w:val="0"/>
          <w:lang w:val="en-GB"/>
        </w:rPr>
        <w:t>McFadyen, Honor 71</w:t>
      </w:r>
    </w:p>
    <w:p w14:paraId="6FB6D3A1" w14:textId="77777777" w:rsidR="00AC4AC6" w:rsidRPr="00AC4AC6" w:rsidRDefault="00AC4AC6" w:rsidP="00AC4AC6">
      <w:pPr>
        <w:pStyle w:val="Separator"/>
        <w:rPr>
          <w:b w:val="0"/>
          <w:bCs w:val="0"/>
          <w:lang w:val="en-GB"/>
        </w:rPr>
      </w:pPr>
      <w:r w:rsidRPr="00AC4AC6">
        <w:rPr>
          <w:b w:val="0"/>
          <w:bCs w:val="0"/>
          <w:lang w:val="en-GB"/>
        </w:rPr>
        <w:t>middle office 10</w:t>
      </w:r>
    </w:p>
    <w:p w14:paraId="53E1B2B6" w14:textId="77777777" w:rsidR="00AC4AC6" w:rsidRPr="00AC4AC6" w:rsidRDefault="00AC4AC6" w:rsidP="00AC4AC6">
      <w:pPr>
        <w:pStyle w:val="Separator"/>
        <w:rPr>
          <w:b w:val="0"/>
          <w:bCs w:val="0"/>
          <w:lang w:val="en-GB"/>
        </w:rPr>
      </w:pPr>
      <w:r w:rsidRPr="00AC4AC6">
        <w:rPr>
          <w:b w:val="0"/>
          <w:bCs w:val="0"/>
          <w:lang w:val="en-GB"/>
        </w:rPr>
        <w:t>Mid-Year Economic and Fiscal Outlook 8</w:t>
      </w:r>
    </w:p>
    <w:p w14:paraId="1491C743" w14:textId="77777777" w:rsidR="00AC4AC6" w:rsidRPr="00AC4AC6" w:rsidRDefault="00AC4AC6" w:rsidP="00AC4AC6">
      <w:pPr>
        <w:pStyle w:val="Separator"/>
        <w:rPr>
          <w:lang w:val="en-GB"/>
        </w:rPr>
      </w:pPr>
    </w:p>
    <w:p w14:paraId="37961255" w14:textId="77777777" w:rsidR="00AC4AC6" w:rsidRPr="00AC4AC6" w:rsidRDefault="00AC4AC6" w:rsidP="00AC4AC6">
      <w:pPr>
        <w:pStyle w:val="Separator"/>
        <w:rPr>
          <w:lang w:val="en-GB"/>
        </w:rPr>
      </w:pPr>
      <w:r w:rsidRPr="00AC4AC6">
        <w:rPr>
          <w:lang w:val="en-GB"/>
        </w:rPr>
        <w:t>N</w:t>
      </w:r>
    </w:p>
    <w:p w14:paraId="134A1B2D" w14:textId="77777777" w:rsidR="00AC4AC6" w:rsidRPr="00AC4AC6" w:rsidRDefault="00AC4AC6" w:rsidP="00AC4AC6">
      <w:pPr>
        <w:pStyle w:val="Separator"/>
        <w:rPr>
          <w:b w:val="0"/>
          <w:bCs w:val="0"/>
          <w:lang w:val="en-GB"/>
        </w:rPr>
      </w:pPr>
      <w:r w:rsidRPr="00AC4AC6">
        <w:rPr>
          <w:b w:val="0"/>
          <w:bCs w:val="0"/>
          <w:lang w:val="en-GB"/>
        </w:rPr>
        <w:t>National Anti-Corruption Commission Act 2022 (NACC Act) 75</w:t>
      </w:r>
    </w:p>
    <w:p w14:paraId="1D014E17" w14:textId="77777777" w:rsidR="00AC4AC6" w:rsidRPr="00AC4AC6" w:rsidRDefault="00AC4AC6" w:rsidP="00AC4AC6">
      <w:pPr>
        <w:pStyle w:val="Separator"/>
        <w:rPr>
          <w:b w:val="0"/>
          <w:bCs w:val="0"/>
          <w:lang w:val="en-GB"/>
        </w:rPr>
      </w:pPr>
      <w:r w:rsidRPr="00AC4AC6">
        <w:rPr>
          <w:b w:val="0"/>
          <w:bCs w:val="0"/>
          <w:lang w:val="en-GB"/>
        </w:rPr>
        <w:t>Net Zero 2030 Greenhouse Gas Emissions Inventory 98–100</w:t>
      </w:r>
    </w:p>
    <w:p w14:paraId="561D796F" w14:textId="77777777" w:rsidR="00AC4AC6" w:rsidRPr="00AC4AC6" w:rsidRDefault="00AC4AC6" w:rsidP="00AC4AC6">
      <w:pPr>
        <w:pStyle w:val="Separator"/>
        <w:rPr>
          <w:b w:val="0"/>
          <w:bCs w:val="0"/>
          <w:lang w:val="en-GB"/>
        </w:rPr>
      </w:pPr>
      <w:r w:rsidRPr="00AC4AC6">
        <w:rPr>
          <w:b w:val="0"/>
          <w:bCs w:val="0"/>
          <w:lang w:val="en-GB"/>
        </w:rPr>
        <w:t>non-compliance 76</w:t>
      </w:r>
    </w:p>
    <w:p w14:paraId="43C87030" w14:textId="77777777" w:rsidR="00AC4AC6" w:rsidRPr="00AC4AC6" w:rsidRDefault="00AC4AC6" w:rsidP="00AC4AC6">
      <w:pPr>
        <w:pStyle w:val="Separator"/>
        <w:rPr>
          <w:b w:val="0"/>
          <w:bCs w:val="0"/>
          <w:lang w:val="en-GB"/>
        </w:rPr>
      </w:pPr>
      <w:r w:rsidRPr="00AC4AC6">
        <w:rPr>
          <w:b w:val="0"/>
          <w:bCs w:val="0"/>
          <w:lang w:val="en-GB"/>
        </w:rPr>
        <w:t>non-consultancy, reportable 90–91</w:t>
      </w:r>
    </w:p>
    <w:p w14:paraId="7B84CB9C" w14:textId="77777777" w:rsidR="00AC4AC6" w:rsidRPr="00AC4AC6" w:rsidRDefault="00AC4AC6" w:rsidP="00AC4AC6">
      <w:pPr>
        <w:pStyle w:val="Separator"/>
        <w:rPr>
          <w:b w:val="0"/>
          <w:bCs w:val="0"/>
          <w:lang w:val="en-GB"/>
        </w:rPr>
      </w:pPr>
      <w:r w:rsidRPr="00AC4AC6">
        <w:rPr>
          <w:b w:val="0"/>
          <w:bCs w:val="0"/>
          <w:lang w:val="en-GB"/>
        </w:rPr>
        <w:t>non-salary benefits 85</w:t>
      </w:r>
    </w:p>
    <w:p w14:paraId="30840846" w14:textId="77777777" w:rsidR="00AC4AC6" w:rsidRPr="00AC4AC6" w:rsidRDefault="00AC4AC6" w:rsidP="00AC4AC6">
      <w:pPr>
        <w:pStyle w:val="Separator"/>
        <w:rPr>
          <w:lang w:val="en-GB"/>
        </w:rPr>
      </w:pPr>
    </w:p>
    <w:p w14:paraId="543E2EC9" w14:textId="77777777" w:rsidR="00AC4AC6" w:rsidRPr="00AC4AC6" w:rsidRDefault="00AC4AC6" w:rsidP="00AC4AC6">
      <w:pPr>
        <w:pStyle w:val="Separator"/>
        <w:rPr>
          <w:lang w:val="en-GB"/>
        </w:rPr>
      </w:pPr>
      <w:r w:rsidRPr="00AC4AC6">
        <w:rPr>
          <w:lang w:val="en-GB"/>
        </w:rPr>
        <w:lastRenderedPageBreak/>
        <w:t>O</w:t>
      </w:r>
    </w:p>
    <w:p w14:paraId="7095A830" w14:textId="77777777" w:rsidR="00AC4AC6" w:rsidRPr="00AC4AC6" w:rsidRDefault="00AC4AC6" w:rsidP="00AC4AC6">
      <w:pPr>
        <w:pStyle w:val="Separator"/>
        <w:rPr>
          <w:b w:val="0"/>
          <w:bCs w:val="0"/>
          <w:lang w:val="en-GB"/>
        </w:rPr>
      </w:pPr>
      <w:r w:rsidRPr="00AC4AC6">
        <w:rPr>
          <w:b w:val="0"/>
          <w:bCs w:val="0"/>
          <w:lang w:val="en-GB"/>
        </w:rPr>
        <w:t>Official Public Account (OPA) 117, 138, 158</w:t>
      </w:r>
    </w:p>
    <w:p w14:paraId="38622B1B" w14:textId="77777777" w:rsidR="00AC4AC6" w:rsidRPr="00AC4AC6" w:rsidRDefault="00AC4AC6" w:rsidP="00AC4AC6">
      <w:pPr>
        <w:pStyle w:val="Separator"/>
        <w:rPr>
          <w:b w:val="0"/>
          <w:bCs w:val="0"/>
          <w:lang w:val="en-GB"/>
        </w:rPr>
      </w:pPr>
      <w:r w:rsidRPr="00AC4AC6">
        <w:rPr>
          <w:b w:val="0"/>
          <w:bCs w:val="0"/>
          <w:lang w:val="en-GB"/>
        </w:rPr>
        <w:t>operating environment 22</w:t>
      </w:r>
    </w:p>
    <w:p w14:paraId="291C736A" w14:textId="77777777" w:rsidR="00AC4AC6" w:rsidRPr="00AC4AC6" w:rsidRDefault="00AC4AC6" w:rsidP="00AC4AC6">
      <w:pPr>
        <w:pStyle w:val="Separator"/>
        <w:rPr>
          <w:b w:val="0"/>
          <w:bCs w:val="0"/>
          <w:lang w:val="en-GB"/>
        </w:rPr>
      </w:pPr>
      <w:r w:rsidRPr="00AC4AC6">
        <w:rPr>
          <w:b w:val="0"/>
          <w:bCs w:val="0"/>
          <w:lang w:val="en-GB"/>
        </w:rPr>
        <w:t>Operations Committee 69</w:t>
      </w:r>
    </w:p>
    <w:p w14:paraId="438483B9" w14:textId="77777777" w:rsidR="00AC4AC6" w:rsidRPr="00AC4AC6" w:rsidRDefault="00AC4AC6" w:rsidP="00AC4AC6">
      <w:pPr>
        <w:pStyle w:val="Separator"/>
        <w:rPr>
          <w:b w:val="0"/>
          <w:bCs w:val="0"/>
          <w:lang w:val="en-GB"/>
        </w:rPr>
      </w:pPr>
      <w:r w:rsidRPr="00AC4AC6">
        <w:rPr>
          <w:b w:val="0"/>
          <w:bCs w:val="0"/>
          <w:lang w:val="en-GB"/>
        </w:rPr>
        <w:t>operations group 11</w:t>
      </w:r>
    </w:p>
    <w:p w14:paraId="4DBE1E5B" w14:textId="77777777" w:rsidR="00AC4AC6" w:rsidRPr="00AC4AC6" w:rsidRDefault="00AC4AC6" w:rsidP="00AC4AC6">
      <w:pPr>
        <w:pStyle w:val="Separator"/>
        <w:rPr>
          <w:b w:val="0"/>
          <w:bCs w:val="0"/>
          <w:lang w:val="en-GB"/>
        </w:rPr>
      </w:pPr>
      <w:r w:rsidRPr="00AC4AC6">
        <w:rPr>
          <w:b w:val="0"/>
          <w:bCs w:val="0"/>
          <w:lang w:val="en-GB"/>
        </w:rPr>
        <w:t>organisational structure 4, 10–11</w:t>
      </w:r>
    </w:p>
    <w:p w14:paraId="119F7436" w14:textId="77777777" w:rsidR="00AC4AC6" w:rsidRPr="00AC4AC6" w:rsidRDefault="00AC4AC6" w:rsidP="00AC4AC6">
      <w:pPr>
        <w:pStyle w:val="Separator"/>
        <w:rPr>
          <w:b w:val="0"/>
          <w:bCs w:val="0"/>
          <w:lang w:val="en-GB"/>
        </w:rPr>
      </w:pPr>
      <w:r w:rsidRPr="00AC4AC6">
        <w:rPr>
          <w:b w:val="0"/>
          <w:bCs w:val="0"/>
          <w:lang w:val="en-GB"/>
        </w:rPr>
        <w:t>outcome 8–9</w:t>
      </w:r>
    </w:p>
    <w:p w14:paraId="2D39E55B" w14:textId="77777777" w:rsidR="00AC4AC6" w:rsidRPr="00AC4AC6" w:rsidRDefault="00AC4AC6" w:rsidP="00AC4AC6">
      <w:pPr>
        <w:pStyle w:val="Separator"/>
        <w:rPr>
          <w:b w:val="0"/>
          <w:bCs w:val="0"/>
          <w:lang w:val="en-GB"/>
        </w:rPr>
      </w:pPr>
      <w:r w:rsidRPr="00AC4AC6">
        <w:rPr>
          <w:b w:val="0"/>
          <w:bCs w:val="0"/>
          <w:lang w:val="en-GB"/>
        </w:rPr>
        <w:t>overdraft facility 43, 46</w:t>
      </w:r>
    </w:p>
    <w:p w14:paraId="21208E35" w14:textId="77777777" w:rsidR="00AC4AC6" w:rsidRPr="00AC4AC6" w:rsidRDefault="00AC4AC6" w:rsidP="00AC4AC6">
      <w:pPr>
        <w:pStyle w:val="Separator"/>
        <w:rPr>
          <w:b w:val="0"/>
          <w:bCs w:val="0"/>
          <w:lang w:val="en-GB"/>
        </w:rPr>
      </w:pPr>
      <w:r w:rsidRPr="00AC4AC6">
        <w:rPr>
          <w:b w:val="0"/>
          <w:bCs w:val="0"/>
          <w:lang w:val="en-GB"/>
        </w:rPr>
        <w:t>oversight bodies 69, 127</w:t>
      </w:r>
    </w:p>
    <w:p w14:paraId="78FC38EE" w14:textId="77777777" w:rsidR="00AC4AC6" w:rsidRPr="00AC4AC6" w:rsidRDefault="00AC4AC6" w:rsidP="00AC4AC6">
      <w:pPr>
        <w:pStyle w:val="Separator"/>
        <w:rPr>
          <w:lang w:val="en-GB"/>
        </w:rPr>
      </w:pPr>
    </w:p>
    <w:p w14:paraId="7F20ECB5" w14:textId="77777777" w:rsidR="00AC4AC6" w:rsidRPr="00AC4AC6" w:rsidRDefault="00AC4AC6" w:rsidP="00AC4AC6">
      <w:pPr>
        <w:pStyle w:val="Separator"/>
        <w:rPr>
          <w:lang w:val="en-GB"/>
        </w:rPr>
      </w:pPr>
      <w:r w:rsidRPr="00AC4AC6">
        <w:rPr>
          <w:lang w:val="en-GB"/>
        </w:rPr>
        <w:t>P</w:t>
      </w:r>
    </w:p>
    <w:p w14:paraId="2D25CB79" w14:textId="77777777" w:rsidR="00AC4AC6" w:rsidRPr="00AC4AC6" w:rsidRDefault="00AC4AC6" w:rsidP="00AC4AC6">
      <w:pPr>
        <w:pStyle w:val="Separator"/>
        <w:rPr>
          <w:b w:val="0"/>
          <w:bCs w:val="0"/>
          <w:lang w:val="en-GB"/>
        </w:rPr>
      </w:pPr>
      <w:r w:rsidRPr="00AC4AC6">
        <w:rPr>
          <w:b w:val="0"/>
          <w:bCs w:val="0"/>
          <w:lang w:val="en-GB"/>
        </w:rPr>
        <w:t>pay decisions 4</w:t>
      </w:r>
    </w:p>
    <w:p w14:paraId="1DFBB434" w14:textId="77777777" w:rsidR="00AC4AC6" w:rsidRPr="00AC4AC6" w:rsidRDefault="00AC4AC6" w:rsidP="00AC4AC6">
      <w:pPr>
        <w:pStyle w:val="Separator"/>
        <w:rPr>
          <w:b w:val="0"/>
          <w:bCs w:val="0"/>
          <w:lang w:val="en-GB"/>
        </w:rPr>
      </w:pPr>
      <w:r w:rsidRPr="00AC4AC6">
        <w:rPr>
          <w:b w:val="0"/>
          <w:bCs w:val="0"/>
          <w:lang w:val="en-GB"/>
        </w:rPr>
        <w:t>‘</w:t>
      </w:r>
      <w:proofErr w:type="gramStart"/>
      <w:r w:rsidRPr="00AC4AC6">
        <w:rPr>
          <w:b w:val="0"/>
          <w:bCs w:val="0"/>
          <w:lang w:val="en-GB"/>
        </w:rPr>
        <w:t>payment</w:t>
      </w:r>
      <w:proofErr w:type="gramEnd"/>
      <w:r w:rsidRPr="00AC4AC6">
        <w:rPr>
          <w:b w:val="0"/>
          <w:bCs w:val="0"/>
          <w:lang w:val="en-GB"/>
        </w:rPr>
        <w:t xml:space="preserve"> holidays’ 63</w:t>
      </w:r>
    </w:p>
    <w:p w14:paraId="5C3D0129" w14:textId="77777777" w:rsidR="00AC4AC6" w:rsidRPr="00AC4AC6" w:rsidRDefault="00AC4AC6" w:rsidP="00AC4AC6">
      <w:pPr>
        <w:pStyle w:val="Separator"/>
        <w:rPr>
          <w:b w:val="0"/>
          <w:bCs w:val="0"/>
          <w:lang w:val="en-GB"/>
        </w:rPr>
      </w:pPr>
      <w:r w:rsidRPr="00AC4AC6">
        <w:rPr>
          <w:b w:val="0"/>
          <w:bCs w:val="0"/>
          <w:lang w:val="en-GB"/>
        </w:rPr>
        <w:t>performance framework 4, 20–21</w:t>
      </w:r>
    </w:p>
    <w:p w14:paraId="2B626CAB" w14:textId="77777777" w:rsidR="00AC4AC6" w:rsidRPr="00AC4AC6" w:rsidRDefault="00AC4AC6" w:rsidP="00AC4AC6">
      <w:pPr>
        <w:pStyle w:val="Separator"/>
        <w:rPr>
          <w:b w:val="0"/>
          <w:bCs w:val="0"/>
          <w:lang w:val="en-GB"/>
        </w:rPr>
      </w:pPr>
      <w:r w:rsidRPr="00AC4AC6">
        <w:rPr>
          <w:b w:val="0"/>
          <w:bCs w:val="0"/>
          <w:lang w:val="en-GB"/>
        </w:rPr>
        <w:t>policy framework 4</w:t>
      </w:r>
    </w:p>
    <w:p w14:paraId="79EFAFBD" w14:textId="77777777" w:rsidR="00AC4AC6" w:rsidRPr="00AC4AC6" w:rsidRDefault="00AC4AC6" w:rsidP="00AC4AC6">
      <w:pPr>
        <w:pStyle w:val="Separator"/>
        <w:rPr>
          <w:b w:val="0"/>
          <w:bCs w:val="0"/>
          <w:lang w:val="en-GB"/>
        </w:rPr>
      </w:pPr>
      <w:r w:rsidRPr="00AC4AC6">
        <w:rPr>
          <w:b w:val="0"/>
          <w:bCs w:val="0"/>
          <w:lang w:val="en-GB"/>
        </w:rPr>
        <w:t>portfolio v</w:t>
      </w:r>
    </w:p>
    <w:p w14:paraId="7B35DAC5" w14:textId="77777777" w:rsidR="00AC4AC6" w:rsidRPr="00AC4AC6" w:rsidRDefault="00AC4AC6" w:rsidP="00AC4AC6">
      <w:pPr>
        <w:pStyle w:val="Separator"/>
        <w:rPr>
          <w:b w:val="0"/>
          <w:bCs w:val="0"/>
          <w:lang w:val="en-GB"/>
        </w:rPr>
      </w:pPr>
      <w:r w:rsidRPr="00AC4AC6">
        <w:rPr>
          <w:b w:val="0"/>
          <w:bCs w:val="0"/>
          <w:lang w:val="en-GB"/>
        </w:rPr>
        <w:t>portfolio agency 77</w:t>
      </w:r>
    </w:p>
    <w:p w14:paraId="5C16B42C" w14:textId="77777777" w:rsidR="00AC4AC6" w:rsidRPr="00AC4AC6" w:rsidRDefault="00AC4AC6" w:rsidP="00AC4AC6">
      <w:pPr>
        <w:pStyle w:val="Separator"/>
        <w:rPr>
          <w:b w:val="0"/>
          <w:bCs w:val="0"/>
          <w:lang w:val="en-GB"/>
        </w:rPr>
      </w:pPr>
      <w:r w:rsidRPr="00AC4AC6">
        <w:rPr>
          <w:b w:val="0"/>
          <w:bCs w:val="0"/>
          <w:lang w:val="en-GB"/>
        </w:rPr>
        <w:t>portfolio management approaches 17</w:t>
      </w:r>
    </w:p>
    <w:p w14:paraId="6E0AD885" w14:textId="77777777" w:rsidR="00AC4AC6" w:rsidRPr="00AC4AC6" w:rsidRDefault="00AC4AC6" w:rsidP="00AC4AC6">
      <w:pPr>
        <w:pStyle w:val="Separator"/>
        <w:rPr>
          <w:b w:val="0"/>
          <w:bCs w:val="0"/>
          <w:lang w:val="en-GB"/>
        </w:rPr>
      </w:pPr>
      <w:r w:rsidRPr="00AC4AC6">
        <w:rPr>
          <w:b w:val="0"/>
          <w:bCs w:val="0"/>
          <w:lang w:val="en-GB"/>
        </w:rPr>
        <w:t>Portfolio Strategy Meeting 69</w:t>
      </w:r>
    </w:p>
    <w:p w14:paraId="31214CAB" w14:textId="77777777" w:rsidR="00AC4AC6" w:rsidRPr="00AC4AC6" w:rsidRDefault="00AC4AC6" w:rsidP="00AC4AC6">
      <w:pPr>
        <w:pStyle w:val="Separator"/>
        <w:rPr>
          <w:b w:val="0"/>
          <w:bCs w:val="0"/>
          <w:lang w:val="en-GB"/>
        </w:rPr>
      </w:pPr>
      <w:r w:rsidRPr="00AC4AC6">
        <w:rPr>
          <w:b w:val="0"/>
          <w:bCs w:val="0"/>
          <w:lang w:val="en-GB"/>
        </w:rPr>
        <w:t>procurement framework 75, 88–91</w:t>
      </w:r>
    </w:p>
    <w:p w14:paraId="65871AC1" w14:textId="77777777" w:rsidR="00AC4AC6" w:rsidRPr="00AC4AC6" w:rsidRDefault="00AC4AC6" w:rsidP="00AC4AC6">
      <w:pPr>
        <w:pStyle w:val="Separator"/>
        <w:rPr>
          <w:b w:val="0"/>
          <w:bCs w:val="0"/>
          <w:lang w:val="en-GB"/>
        </w:rPr>
      </w:pPr>
      <w:r w:rsidRPr="00AC4AC6">
        <w:rPr>
          <w:b w:val="0"/>
          <w:bCs w:val="0"/>
          <w:lang w:val="en-GB"/>
        </w:rPr>
        <w:t>professional development 77</w:t>
      </w:r>
    </w:p>
    <w:p w14:paraId="0B1A47C4" w14:textId="77777777" w:rsidR="00AC4AC6" w:rsidRPr="00AC4AC6" w:rsidRDefault="00AC4AC6" w:rsidP="00AC4AC6">
      <w:pPr>
        <w:pStyle w:val="Separator"/>
        <w:rPr>
          <w:b w:val="0"/>
          <w:bCs w:val="0"/>
          <w:lang w:val="en-GB"/>
        </w:rPr>
      </w:pPr>
      <w:r w:rsidRPr="00AC4AC6">
        <w:rPr>
          <w:b w:val="0"/>
          <w:bCs w:val="0"/>
          <w:lang w:val="en-GB"/>
        </w:rPr>
        <w:t>property, plant and equipment 159–163</w:t>
      </w:r>
    </w:p>
    <w:p w14:paraId="0A3FE207" w14:textId="77777777" w:rsidR="00AC4AC6" w:rsidRPr="00AC4AC6" w:rsidRDefault="00AC4AC6" w:rsidP="00AC4AC6">
      <w:pPr>
        <w:pStyle w:val="Separator"/>
        <w:rPr>
          <w:b w:val="0"/>
          <w:bCs w:val="0"/>
          <w:lang w:val="en-GB"/>
        </w:rPr>
      </w:pPr>
      <w:r w:rsidRPr="00AC4AC6">
        <w:rPr>
          <w:b w:val="0"/>
          <w:bCs w:val="0"/>
          <w:lang w:val="en-GB"/>
        </w:rPr>
        <w:t>Public Governance, Performance and Accountability Act 2013 (PGPA Act) ii, 15, 67, 68, 74, 88, 111, 138, 142, 148, 173, 179</w:t>
      </w:r>
    </w:p>
    <w:p w14:paraId="4FCEE662" w14:textId="1837BF68" w:rsidR="00AC4AC6" w:rsidRPr="00AC4AC6" w:rsidRDefault="00AC4AC6" w:rsidP="00AC4AC6">
      <w:pPr>
        <w:pStyle w:val="Separator"/>
        <w:rPr>
          <w:b w:val="0"/>
          <w:bCs w:val="0"/>
          <w:lang w:val="en-GB"/>
        </w:rPr>
      </w:pPr>
      <w:r w:rsidRPr="00AC4AC6">
        <w:rPr>
          <w:b w:val="0"/>
          <w:bCs w:val="0"/>
          <w:lang w:val="en-GB"/>
        </w:rPr>
        <w:t>Public Governance, Performance and Accountability Rule 2014 (the PGPA Rule)</w:t>
      </w:r>
      <w:r w:rsidR="00AE4B39">
        <w:rPr>
          <w:b w:val="0"/>
          <w:bCs w:val="0"/>
          <w:lang w:val="en-GB"/>
        </w:rPr>
        <w:t xml:space="preserve"> </w:t>
      </w:r>
      <w:r w:rsidRPr="00AC4AC6">
        <w:rPr>
          <w:b w:val="0"/>
          <w:bCs w:val="0"/>
          <w:lang w:val="en-GB"/>
        </w:rPr>
        <w:t>ii, 85, 86, 91, 173, 187–194</w:t>
      </w:r>
    </w:p>
    <w:p w14:paraId="4F690E26" w14:textId="77777777" w:rsidR="00AC4AC6" w:rsidRPr="00AC4AC6" w:rsidRDefault="00AC4AC6" w:rsidP="00AC4AC6">
      <w:pPr>
        <w:pStyle w:val="Separator"/>
        <w:rPr>
          <w:b w:val="0"/>
          <w:bCs w:val="0"/>
          <w:lang w:val="en-GB"/>
        </w:rPr>
      </w:pPr>
      <w:r w:rsidRPr="00AC4AC6">
        <w:rPr>
          <w:b w:val="0"/>
          <w:bCs w:val="0"/>
          <w:lang w:val="en-GB"/>
        </w:rPr>
        <w:t>Public Interest Disclosure Amendment (Review) Act 2023 (PID Act) 75</w:t>
      </w:r>
    </w:p>
    <w:p w14:paraId="0C50ABC3" w14:textId="77777777" w:rsidR="00AC4AC6" w:rsidRPr="00AC4AC6" w:rsidRDefault="00AC4AC6" w:rsidP="00AC4AC6">
      <w:pPr>
        <w:pStyle w:val="Separator"/>
        <w:rPr>
          <w:b w:val="0"/>
          <w:bCs w:val="0"/>
          <w:lang w:val="en-GB"/>
        </w:rPr>
      </w:pPr>
      <w:r w:rsidRPr="00AC4AC6">
        <w:rPr>
          <w:b w:val="0"/>
          <w:bCs w:val="0"/>
          <w:lang w:val="en-GB"/>
        </w:rPr>
        <w:t>public price point setting 61</w:t>
      </w:r>
    </w:p>
    <w:p w14:paraId="0DDA1728" w14:textId="77777777" w:rsidR="00AC4AC6" w:rsidRPr="00AC4AC6" w:rsidRDefault="00AC4AC6" w:rsidP="00AC4AC6">
      <w:pPr>
        <w:pStyle w:val="Separator"/>
        <w:rPr>
          <w:b w:val="0"/>
          <w:bCs w:val="0"/>
          <w:lang w:val="en-GB"/>
        </w:rPr>
      </w:pPr>
      <w:r w:rsidRPr="00AC4AC6">
        <w:rPr>
          <w:b w:val="0"/>
          <w:bCs w:val="0"/>
          <w:lang w:val="en-GB"/>
        </w:rPr>
        <w:t>Public Service Act 1999 (PS Act) 68, 75, 78</w:t>
      </w:r>
    </w:p>
    <w:p w14:paraId="02B71FAB" w14:textId="77777777" w:rsidR="00AC4AC6" w:rsidRPr="00AC4AC6" w:rsidRDefault="00AC4AC6" w:rsidP="00AC4AC6">
      <w:pPr>
        <w:pStyle w:val="Separator"/>
        <w:rPr>
          <w:b w:val="0"/>
          <w:bCs w:val="0"/>
          <w:lang w:val="en-GB"/>
        </w:rPr>
      </w:pPr>
      <w:r w:rsidRPr="00AC4AC6">
        <w:rPr>
          <w:b w:val="0"/>
          <w:bCs w:val="0"/>
          <w:lang w:val="en-GB"/>
        </w:rPr>
        <w:t>purchasing and procurement 88–91</w:t>
      </w:r>
    </w:p>
    <w:p w14:paraId="46469732" w14:textId="77777777" w:rsidR="00AC4AC6" w:rsidRPr="00AC4AC6" w:rsidRDefault="00AC4AC6" w:rsidP="00AC4AC6">
      <w:pPr>
        <w:pStyle w:val="Separator"/>
        <w:rPr>
          <w:b w:val="0"/>
          <w:bCs w:val="0"/>
          <w:lang w:val="en-GB"/>
        </w:rPr>
      </w:pPr>
      <w:r w:rsidRPr="00AC4AC6">
        <w:rPr>
          <w:b w:val="0"/>
          <w:bCs w:val="0"/>
          <w:lang w:val="en-GB"/>
        </w:rPr>
        <w:t>Purpose 1 21, 23–40</w:t>
      </w:r>
    </w:p>
    <w:p w14:paraId="1D233C39" w14:textId="77777777" w:rsidR="00AC4AC6" w:rsidRPr="00AC4AC6" w:rsidRDefault="00AC4AC6" w:rsidP="00AC4AC6">
      <w:pPr>
        <w:pStyle w:val="Separator"/>
        <w:rPr>
          <w:b w:val="0"/>
          <w:bCs w:val="0"/>
          <w:lang w:val="en-GB"/>
        </w:rPr>
      </w:pPr>
      <w:r w:rsidRPr="00AC4AC6">
        <w:rPr>
          <w:b w:val="0"/>
          <w:bCs w:val="0"/>
          <w:lang w:val="en-GB"/>
        </w:rPr>
        <w:t>Purpose 2 21, 41–46</w:t>
      </w:r>
    </w:p>
    <w:p w14:paraId="6BCA2621" w14:textId="77777777" w:rsidR="00AC4AC6" w:rsidRPr="00AC4AC6" w:rsidRDefault="00AC4AC6" w:rsidP="00AC4AC6">
      <w:pPr>
        <w:pStyle w:val="Separator"/>
        <w:rPr>
          <w:b w:val="0"/>
          <w:bCs w:val="0"/>
          <w:lang w:val="en-GB"/>
        </w:rPr>
      </w:pPr>
      <w:r w:rsidRPr="00AC4AC6">
        <w:rPr>
          <w:b w:val="0"/>
          <w:bCs w:val="0"/>
          <w:lang w:val="en-GB"/>
        </w:rPr>
        <w:t>Purpose 3 21, 47–55</w:t>
      </w:r>
    </w:p>
    <w:p w14:paraId="4525AE82" w14:textId="77777777" w:rsidR="00AC4AC6" w:rsidRPr="00AC4AC6" w:rsidRDefault="00AC4AC6" w:rsidP="00AC4AC6">
      <w:pPr>
        <w:pStyle w:val="Separator"/>
        <w:rPr>
          <w:b w:val="0"/>
          <w:bCs w:val="0"/>
          <w:lang w:val="en-GB"/>
        </w:rPr>
      </w:pPr>
      <w:r w:rsidRPr="00AC4AC6">
        <w:rPr>
          <w:b w:val="0"/>
          <w:bCs w:val="0"/>
          <w:lang w:val="en-GB"/>
        </w:rPr>
        <w:t>Purpose 4 21, 57–63</w:t>
      </w:r>
    </w:p>
    <w:p w14:paraId="51A48811" w14:textId="77777777" w:rsidR="00AC4AC6" w:rsidRPr="00AC4AC6" w:rsidRDefault="00AC4AC6" w:rsidP="00AC4AC6">
      <w:pPr>
        <w:pStyle w:val="Separator"/>
        <w:rPr>
          <w:b w:val="0"/>
          <w:bCs w:val="0"/>
          <w:lang w:val="en-GB"/>
        </w:rPr>
      </w:pPr>
      <w:r w:rsidRPr="00AC4AC6">
        <w:rPr>
          <w:b w:val="0"/>
          <w:bCs w:val="0"/>
          <w:lang w:val="en-GB"/>
        </w:rPr>
        <w:t>purposes 7</w:t>
      </w:r>
    </w:p>
    <w:p w14:paraId="3004E206" w14:textId="77777777" w:rsidR="00AC4AC6" w:rsidRPr="00AC4AC6" w:rsidRDefault="00AC4AC6" w:rsidP="00AC4AC6">
      <w:pPr>
        <w:pStyle w:val="Separator"/>
        <w:rPr>
          <w:lang w:val="en-GB"/>
        </w:rPr>
      </w:pPr>
    </w:p>
    <w:p w14:paraId="465FBE98" w14:textId="77777777" w:rsidR="00AC4AC6" w:rsidRPr="00AC4AC6" w:rsidRDefault="00AC4AC6" w:rsidP="00AC4AC6">
      <w:pPr>
        <w:pStyle w:val="Separator"/>
        <w:rPr>
          <w:lang w:val="en-GB"/>
        </w:rPr>
      </w:pPr>
      <w:r w:rsidRPr="00AC4AC6">
        <w:rPr>
          <w:lang w:val="en-GB"/>
        </w:rPr>
        <w:t>Q</w:t>
      </w:r>
    </w:p>
    <w:p w14:paraId="621FB2D2" w14:textId="77777777" w:rsidR="00AC4AC6" w:rsidRPr="00AC4AC6" w:rsidRDefault="00AC4AC6" w:rsidP="00AC4AC6">
      <w:pPr>
        <w:pStyle w:val="Separator"/>
        <w:rPr>
          <w:b w:val="0"/>
          <w:bCs w:val="0"/>
          <w:lang w:val="en-GB"/>
        </w:rPr>
      </w:pPr>
      <w:r w:rsidRPr="00AC4AC6">
        <w:rPr>
          <w:b w:val="0"/>
          <w:bCs w:val="0"/>
          <w:lang w:val="en-GB"/>
        </w:rPr>
        <w:t>Quantum 4</w:t>
      </w:r>
    </w:p>
    <w:p w14:paraId="4F64BB7C" w14:textId="098975CA" w:rsidR="00AC4AC6" w:rsidRPr="00AC4AC6" w:rsidRDefault="00D626EE" w:rsidP="00AC4AC6">
      <w:pPr>
        <w:pStyle w:val="Separator"/>
        <w:rPr>
          <w:lang w:val="en-GB"/>
        </w:rPr>
      </w:pPr>
      <w:r>
        <w:rPr>
          <w:lang w:val="en-GB"/>
        </w:rPr>
        <w:br w:type="column"/>
      </w:r>
    </w:p>
    <w:p w14:paraId="667966E0" w14:textId="77777777" w:rsidR="00AC4AC6" w:rsidRPr="00AC4AC6" w:rsidRDefault="00AC4AC6" w:rsidP="00AC4AC6">
      <w:pPr>
        <w:pStyle w:val="Separator"/>
        <w:rPr>
          <w:lang w:val="en-GB"/>
        </w:rPr>
      </w:pPr>
      <w:r w:rsidRPr="00AC4AC6">
        <w:rPr>
          <w:lang w:val="en-GB"/>
        </w:rPr>
        <w:t>R</w:t>
      </w:r>
    </w:p>
    <w:p w14:paraId="5A6C8F9E" w14:textId="77777777" w:rsidR="00AC4AC6" w:rsidRPr="00AC4AC6" w:rsidRDefault="00AC4AC6" w:rsidP="00AC4AC6">
      <w:pPr>
        <w:pStyle w:val="Separator"/>
        <w:rPr>
          <w:b w:val="0"/>
          <w:bCs w:val="0"/>
          <w:lang w:val="en-GB"/>
        </w:rPr>
      </w:pPr>
      <w:r w:rsidRPr="00AC4AC6">
        <w:rPr>
          <w:b w:val="0"/>
          <w:bCs w:val="0"/>
          <w:lang w:val="en-GB"/>
        </w:rPr>
        <w:t>receivables 158</w:t>
      </w:r>
    </w:p>
    <w:p w14:paraId="11CE7DFD" w14:textId="77777777" w:rsidR="00AC4AC6" w:rsidRPr="00AC4AC6" w:rsidRDefault="00AC4AC6" w:rsidP="00AC4AC6">
      <w:pPr>
        <w:pStyle w:val="Separator"/>
        <w:rPr>
          <w:b w:val="0"/>
          <w:bCs w:val="0"/>
          <w:lang w:val="en-GB"/>
        </w:rPr>
      </w:pPr>
      <w:r w:rsidRPr="00AC4AC6">
        <w:rPr>
          <w:b w:val="0"/>
          <w:bCs w:val="0"/>
          <w:lang w:val="en-GB"/>
        </w:rPr>
        <w:t>reconciliation schedule 117, 162</w:t>
      </w:r>
    </w:p>
    <w:p w14:paraId="39C4015E" w14:textId="77777777" w:rsidR="00AC4AC6" w:rsidRPr="00AC4AC6" w:rsidRDefault="00AC4AC6" w:rsidP="00AC4AC6">
      <w:pPr>
        <w:pStyle w:val="Separator"/>
        <w:rPr>
          <w:b w:val="0"/>
          <w:bCs w:val="0"/>
          <w:lang w:val="en-GB"/>
        </w:rPr>
      </w:pPr>
      <w:r w:rsidRPr="00AC4AC6">
        <w:rPr>
          <w:b w:val="0"/>
          <w:bCs w:val="0"/>
          <w:lang w:val="en-GB"/>
        </w:rPr>
        <w:t>redemption payments 38, 40</w:t>
      </w:r>
    </w:p>
    <w:p w14:paraId="2F753E4E" w14:textId="77777777" w:rsidR="00AC4AC6" w:rsidRPr="00AC4AC6" w:rsidRDefault="00AC4AC6" w:rsidP="00AC4AC6">
      <w:pPr>
        <w:pStyle w:val="Separator"/>
        <w:rPr>
          <w:b w:val="0"/>
          <w:bCs w:val="0"/>
          <w:lang w:val="en-GB"/>
        </w:rPr>
      </w:pPr>
      <w:r w:rsidRPr="00AC4AC6">
        <w:rPr>
          <w:b w:val="0"/>
          <w:bCs w:val="0"/>
          <w:lang w:val="en-GB"/>
        </w:rPr>
        <w:t>refinancing 3, 32–33, 127–128</w:t>
      </w:r>
    </w:p>
    <w:p w14:paraId="3FE3F0EE" w14:textId="77777777" w:rsidR="00AC4AC6" w:rsidRPr="00AC4AC6" w:rsidRDefault="00AC4AC6" w:rsidP="00AC4AC6">
      <w:pPr>
        <w:pStyle w:val="Separator"/>
        <w:rPr>
          <w:b w:val="0"/>
          <w:bCs w:val="0"/>
          <w:lang w:val="en-GB"/>
        </w:rPr>
      </w:pPr>
      <w:r w:rsidRPr="00AC4AC6">
        <w:rPr>
          <w:b w:val="0"/>
          <w:bCs w:val="0"/>
          <w:lang w:val="en-GB"/>
        </w:rPr>
        <w:t>related party disclosures 166</w:t>
      </w:r>
    </w:p>
    <w:p w14:paraId="269EB5F3" w14:textId="77777777" w:rsidR="00AC4AC6" w:rsidRPr="00AC4AC6" w:rsidRDefault="00AC4AC6" w:rsidP="00AC4AC6">
      <w:pPr>
        <w:pStyle w:val="Separator"/>
        <w:rPr>
          <w:b w:val="0"/>
          <w:bCs w:val="0"/>
          <w:lang w:val="en-GB"/>
        </w:rPr>
      </w:pPr>
      <w:r w:rsidRPr="00AC4AC6">
        <w:rPr>
          <w:b w:val="0"/>
          <w:bCs w:val="0"/>
          <w:lang w:val="en-GB"/>
        </w:rPr>
        <w:t>remuneration 4, 84–87, 164–166</w:t>
      </w:r>
    </w:p>
    <w:p w14:paraId="31B6FCCD" w14:textId="77777777" w:rsidR="00AC4AC6" w:rsidRPr="00AC4AC6" w:rsidRDefault="00AC4AC6" w:rsidP="00AC4AC6">
      <w:pPr>
        <w:pStyle w:val="Separator"/>
        <w:rPr>
          <w:b w:val="0"/>
          <w:bCs w:val="0"/>
          <w:lang w:val="en-GB"/>
        </w:rPr>
      </w:pPr>
      <w:r w:rsidRPr="00AC4AC6">
        <w:rPr>
          <w:b w:val="0"/>
          <w:bCs w:val="0"/>
          <w:lang w:val="en-GB"/>
        </w:rPr>
        <w:t>Remuneration Committee 4</w:t>
      </w:r>
    </w:p>
    <w:p w14:paraId="540D0FED" w14:textId="77777777" w:rsidR="00AC4AC6" w:rsidRPr="00AC4AC6" w:rsidRDefault="00AC4AC6" w:rsidP="00AC4AC6">
      <w:pPr>
        <w:pStyle w:val="Separator"/>
        <w:rPr>
          <w:b w:val="0"/>
          <w:bCs w:val="0"/>
          <w:lang w:val="en-GB"/>
        </w:rPr>
      </w:pPr>
      <w:r w:rsidRPr="00AC4AC6">
        <w:rPr>
          <w:b w:val="0"/>
          <w:bCs w:val="0"/>
          <w:lang w:val="en-GB"/>
        </w:rPr>
        <w:t>reportable consultancy 88–89</w:t>
      </w:r>
    </w:p>
    <w:p w14:paraId="1428CD91" w14:textId="77777777" w:rsidR="00AC4AC6" w:rsidRPr="00AC4AC6" w:rsidRDefault="00AC4AC6" w:rsidP="00AC4AC6">
      <w:pPr>
        <w:pStyle w:val="Separator"/>
        <w:rPr>
          <w:b w:val="0"/>
          <w:bCs w:val="0"/>
          <w:lang w:val="en-GB"/>
        </w:rPr>
      </w:pPr>
      <w:r w:rsidRPr="00AC4AC6">
        <w:rPr>
          <w:b w:val="0"/>
          <w:bCs w:val="0"/>
          <w:lang w:val="en-GB"/>
        </w:rPr>
        <w:t>reportable non-consultancy 90–91</w:t>
      </w:r>
    </w:p>
    <w:p w14:paraId="7C62FEAD" w14:textId="573CCC25" w:rsidR="00AC4AC6" w:rsidRPr="00AC4AC6" w:rsidRDefault="00AC4AC6" w:rsidP="00AC4AC6">
      <w:pPr>
        <w:pStyle w:val="Separator"/>
        <w:rPr>
          <w:b w:val="0"/>
          <w:bCs w:val="0"/>
          <w:lang w:val="en-GB"/>
        </w:rPr>
      </w:pPr>
      <w:r w:rsidRPr="00AC4AC6">
        <w:rPr>
          <w:b w:val="0"/>
          <w:bCs w:val="0"/>
          <w:lang w:val="en-GB"/>
        </w:rPr>
        <w:t>Reserve Bank of Australia (RBA)</w:t>
      </w:r>
      <w:r w:rsidR="00AE4B39">
        <w:rPr>
          <w:b w:val="0"/>
          <w:bCs w:val="0"/>
          <w:lang w:val="en-GB"/>
        </w:rPr>
        <w:t xml:space="preserve"> </w:t>
      </w:r>
      <w:r w:rsidRPr="00AC4AC6">
        <w:rPr>
          <w:b w:val="0"/>
          <w:bCs w:val="0"/>
          <w:lang w:val="en-GB"/>
        </w:rPr>
        <w:t>18, 22, 43, 45, 123, 127</w:t>
      </w:r>
    </w:p>
    <w:p w14:paraId="7CD12C3A" w14:textId="77777777" w:rsidR="00AC4AC6" w:rsidRPr="00AC4AC6" w:rsidRDefault="00AC4AC6" w:rsidP="00AC4AC6">
      <w:pPr>
        <w:pStyle w:val="Separator"/>
        <w:rPr>
          <w:b w:val="0"/>
          <w:bCs w:val="0"/>
          <w:lang w:val="en-GB"/>
        </w:rPr>
      </w:pPr>
      <w:r w:rsidRPr="00AC4AC6">
        <w:rPr>
          <w:b w:val="0"/>
          <w:bCs w:val="0"/>
          <w:lang w:val="en-GB"/>
        </w:rPr>
        <w:t>resilience 16, 74</w:t>
      </w:r>
    </w:p>
    <w:p w14:paraId="7F9AB729" w14:textId="77777777" w:rsidR="00AC4AC6" w:rsidRPr="00AC4AC6" w:rsidRDefault="00AC4AC6" w:rsidP="00AC4AC6">
      <w:pPr>
        <w:pStyle w:val="Separator"/>
        <w:rPr>
          <w:b w:val="0"/>
          <w:bCs w:val="0"/>
          <w:lang w:val="en-GB"/>
        </w:rPr>
      </w:pPr>
      <w:r w:rsidRPr="00AC4AC6">
        <w:rPr>
          <w:b w:val="0"/>
          <w:bCs w:val="0"/>
          <w:lang w:val="en-GB"/>
        </w:rPr>
        <w:t>resource statement 96–97</w:t>
      </w:r>
    </w:p>
    <w:p w14:paraId="6D71971A" w14:textId="77777777" w:rsidR="00AC4AC6" w:rsidRPr="00AC4AC6" w:rsidRDefault="00AC4AC6" w:rsidP="00AC4AC6">
      <w:pPr>
        <w:pStyle w:val="Separator"/>
        <w:rPr>
          <w:b w:val="0"/>
          <w:bCs w:val="0"/>
          <w:lang w:val="en-GB"/>
        </w:rPr>
      </w:pPr>
      <w:r w:rsidRPr="00AC4AC6">
        <w:rPr>
          <w:b w:val="0"/>
          <w:bCs w:val="0"/>
          <w:lang w:val="en-GB"/>
        </w:rPr>
        <w:t>revaluations 162</w:t>
      </w:r>
    </w:p>
    <w:p w14:paraId="39BEC059" w14:textId="77777777" w:rsidR="00AC4AC6" w:rsidRPr="00AC4AC6" w:rsidRDefault="00AC4AC6" w:rsidP="00AC4AC6">
      <w:pPr>
        <w:pStyle w:val="Separator"/>
        <w:rPr>
          <w:b w:val="0"/>
          <w:bCs w:val="0"/>
          <w:lang w:val="en-GB"/>
        </w:rPr>
      </w:pPr>
      <w:r w:rsidRPr="00AC4AC6">
        <w:rPr>
          <w:b w:val="0"/>
          <w:bCs w:val="0"/>
          <w:lang w:val="en-GB"/>
        </w:rPr>
        <w:t>Reward and Recognition Policy 77</w:t>
      </w:r>
    </w:p>
    <w:p w14:paraId="65E5F291" w14:textId="77777777" w:rsidR="00AC4AC6" w:rsidRPr="00AC4AC6" w:rsidRDefault="00AC4AC6" w:rsidP="00AC4AC6">
      <w:pPr>
        <w:pStyle w:val="Separator"/>
        <w:rPr>
          <w:b w:val="0"/>
          <w:bCs w:val="0"/>
          <w:lang w:val="en-GB"/>
        </w:rPr>
      </w:pPr>
      <w:r w:rsidRPr="00AC4AC6">
        <w:rPr>
          <w:b w:val="0"/>
          <w:bCs w:val="0"/>
          <w:lang w:val="en-GB"/>
        </w:rPr>
        <w:t>risk management 4, 67, 72, 74, 120–129</w:t>
      </w:r>
    </w:p>
    <w:p w14:paraId="41979585" w14:textId="77777777" w:rsidR="00AC4AC6" w:rsidRPr="00AC4AC6" w:rsidRDefault="00AC4AC6" w:rsidP="00AC4AC6">
      <w:pPr>
        <w:pStyle w:val="Separator"/>
        <w:rPr>
          <w:b w:val="0"/>
          <w:bCs w:val="0"/>
          <w:lang w:val="en-GB"/>
        </w:rPr>
      </w:pPr>
      <w:r w:rsidRPr="00AC4AC6">
        <w:rPr>
          <w:b w:val="0"/>
          <w:bCs w:val="0"/>
          <w:lang w:val="en-GB"/>
        </w:rPr>
        <w:t>risk-aware culture 16, 72</w:t>
      </w:r>
    </w:p>
    <w:p w14:paraId="6F4FD7EB" w14:textId="77777777" w:rsidR="00AC4AC6" w:rsidRPr="00AC4AC6" w:rsidRDefault="00AC4AC6" w:rsidP="00AC4AC6">
      <w:pPr>
        <w:pStyle w:val="Separator"/>
        <w:rPr>
          <w:b w:val="0"/>
          <w:bCs w:val="0"/>
          <w:lang w:val="en-GB"/>
        </w:rPr>
      </w:pPr>
      <w:r w:rsidRPr="00AC4AC6">
        <w:rPr>
          <w:b w:val="0"/>
          <w:bCs w:val="0"/>
          <w:lang w:val="en-GB"/>
        </w:rPr>
        <w:t>ROU (Leased Right of Use) assets 161</w:t>
      </w:r>
    </w:p>
    <w:p w14:paraId="651B52F2" w14:textId="77777777" w:rsidR="00AC4AC6" w:rsidRPr="00AC4AC6" w:rsidRDefault="00AC4AC6" w:rsidP="00AC4AC6">
      <w:pPr>
        <w:pStyle w:val="Separator"/>
        <w:rPr>
          <w:lang w:val="en-GB"/>
        </w:rPr>
      </w:pPr>
    </w:p>
    <w:p w14:paraId="644A026D" w14:textId="77777777" w:rsidR="00AC4AC6" w:rsidRPr="00AC4AC6" w:rsidRDefault="00AC4AC6" w:rsidP="00AC4AC6">
      <w:pPr>
        <w:pStyle w:val="Separator"/>
        <w:rPr>
          <w:lang w:val="en-GB"/>
        </w:rPr>
      </w:pPr>
      <w:r w:rsidRPr="00AC4AC6">
        <w:rPr>
          <w:lang w:val="en-GB"/>
        </w:rPr>
        <w:t>S</w:t>
      </w:r>
    </w:p>
    <w:p w14:paraId="064BFAC0" w14:textId="77777777" w:rsidR="00AC4AC6" w:rsidRPr="00AC4AC6" w:rsidRDefault="00AC4AC6" w:rsidP="00AC4AC6">
      <w:pPr>
        <w:pStyle w:val="Separator"/>
        <w:rPr>
          <w:b w:val="0"/>
          <w:bCs w:val="0"/>
          <w:lang w:val="en-GB"/>
        </w:rPr>
      </w:pPr>
      <w:r w:rsidRPr="00AC4AC6">
        <w:rPr>
          <w:b w:val="0"/>
          <w:bCs w:val="0"/>
          <w:lang w:val="en-GB"/>
        </w:rPr>
        <w:t>salary rates 84, 86</w:t>
      </w:r>
    </w:p>
    <w:p w14:paraId="2BDF417D" w14:textId="77777777" w:rsidR="00AC4AC6" w:rsidRPr="00AC4AC6" w:rsidRDefault="00AC4AC6" w:rsidP="00AC4AC6">
      <w:pPr>
        <w:pStyle w:val="Separator"/>
        <w:rPr>
          <w:b w:val="0"/>
          <w:bCs w:val="0"/>
          <w:lang w:val="en-GB"/>
        </w:rPr>
      </w:pPr>
      <w:r w:rsidRPr="00AC4AC6">
        <w:rPr>
          <w:b w:val="0"/>
          <w:bCs w:val="0"/>
          <w:lang w:val="en-GB"/>
        </w:rPr>
        <w:t>secondary market turnover 54</w:t>
      </w:r>
    </w:p>
    <w:p w14:paraId="2EE0128E" w14:textId="77777777" w:rsidR="00AC4AC6" w:rsidRPr="00AC4AC6" w:rsidRDefault="00AC4AC6" w:rsidP="00AC4AC6">
      <w:pPr>
        <w:pStyle w:val="Separator"/>
        <w:rPr>
          <w:b w:val="0"/>
          <w:bCs w:val="0"/>
          <w:lang w:val="en-GB"/>
        </w:rPr>
      </w:pPr>
      <w:r w:rsidRPr="00AC4AC6">
        <w:rPr>
          <w:b w:val="0"/>
          <w:bCs w:val="0"/>
          <w:lang w:val="en-GB"/>
        </w:rPr>
        <w:t>Secretary to the Treasury 26, 44, 67, 85</w:t>
      </w:r>
    </w:p>
    <w:p w14:paraId="6534A9A0" w14:textId="77777777" w:rsidR="00AC4AC6" w:rsidRPr="00AC4AC6" w:rsidRDefault="00AC4AC6" w:rsidP="00AC4AC6">
      <w:pPr>
        <w:pStyle w:val="Separator"/>
        <w:rPr>
          <w:b w:val="0"/>
          <w:bCs w:val="0"/>
          <w:lang w:val="en-GB"/>
        </w:rPr>
      </w:pPr>
      <w:r w:rsidRPr="00AC4AC6">
        <w:rPr>
          <w:b w:val="0"/>
          <w:bCs w:val="0"/>
          <w:lang w:val="en-GB"/>
        </w:rPr>
        <w:t>securities lending facility 54, 150</w:t>
      </w:r>
    </w:p>
    <w:p w14:paraId="305C4960" w14:textId="77777777" w:rsidR="00AC4AC6" w:rsidRPr="00AC4AC6" w:rsidRDefault="00AC4AC6" w:rsidP="00AC4AC6">
      <w:pPr>
        <w:pStyle w:val="Separator"/>
        <w:rPr>
          <w:b w:val="0"/>
          <w:bCs w:val="0"/>
          <w:lang w:val="en-GB"/>
        </w:rPr>
      </w:pPr>
      <w:r w:rsidRPr="00AC4AC6">
        <w:rPr>
          <w:b w:val="0"/>
          <w:bCs w:val="0"/>
          <w:lang w:val="en-GB"/>
        </w:rPr>
        <w:t>securitisation market 6</w:t>
      </w:r>
    </w:p>
    <w:p w14:paraId="5F77B114" w14:textId="77777777" w:rsidR="00AC4AC6" w:rsidRPr="00AC4AC6" w:rsidRDefault="00AC4AC6" w:rsidP="00AC4AC6">
      <w:pPr>
        <w:pStyle w:val="Separator"/>
        <w:rPr>
          <w:b w:val="0"/>
          <w:bCs w:val="0"/>
          <w:lang w:val="en-GB"/>
        </w:rPr>
      </w:pPr>
      <w:r w:rsidRPr="00AC4AC6">
        <w:rPr>
          <w:b w:val="0"/>
          <w:bCs w:val="0"/>
          <w:lang w:val="en-GB"/>
        </w:rPr>
        <w:t>senior leadership team 4, 10</w:t>
      </w:r>
    </w:p>
    <w:p w14:paraId="0DD137DE" w14:textId="77777777" w:rsidR="00AC4AC6" w:rsidRPr="00AC4AC6" w:rsidRDefault="00AC4AC6" w:rsidP="00AC4AC6">
      <w:pPr>
        <w:pStyle w:val="Separator"/>
        <w:rPr>
          <w:b w:val="0"/>
          <w:bCs w:val="0"/>
          <w:lang w:val="en-GB"/>
        </w:rPr>
      </w:pPr>
      <w:r w:rsidRPr="00AC4AC6">
        <w:rPr>
          <w:b w:val="0"/>
          <w:bCs w:val="0"/>
          <w:lang w:val="en-GB"/>
        </w:rPr>
        <w:t>separation of duties 10</w:t>
      </w:r>
    </w:p>
    <w:p w14:paraId="2E58ECD5" w14:textId="77777777" w:rsidR="00AC4AC6" w:rsidRPr="00AC4AC6" w:rsidRDefault="00AC4AC6" w:rsidP="00AC4AC6">
      <w:pPr>
        <w:pStyle w:val="Separator"/>
        <w:rPr>
          <w:b w:val="0"/>
          <w:bCs w:val="0"/>
          <w:lang w:val="en-GB"/>
        </w:rPr>
      </w:pPr>
      <w:r w:rsidRPr="00AC4AC6">
        <w:rPr>
          <w:b w:val="0"/>
          <w:bCs w:val="0"/>
          <w:lang w:val="en-GB"/>
        </w:rPr>
        <w:t>SES performance framework 85</w:t>
      </w:r>
    </w:p>
    <w:p w14:paraId="24826F2A" w14:textId="77777777" w:rsidR="00AC4AC6" w:rsidRPr="00AC4AC6" w:rsidRDefault="00AC4AC6" w:rsidP="00AC4AC6">
      <w:pPr>
        <w:pStyle w:val="Separator"/>
        <w:rPr>
          <w:b w:val="0"/>
          <w:bCs w:val="0"/>
          <w:lang w:val="en-GB"/>
        </w:rPr>
      </w:pPr>
      <w:r w:rsidRPr="00AC4AC6">
        <w:rPr>
          <w:b w:val="0"/>
          <w:bCs w:val="0"/>
          <w:lang w:val="en-GB"/>
        </w:rPr>
        <w:t>settlements 38, 39</w:t>
      </w:r>
    </w:p>
    <w:p w14:paraId="3AEF522F" w14:textId="77777777" w:rsidR="00AC4AC6" w:rsidRPr="00AC4AC6" w:rsidRDefault="00AC4AC6" w:rsidP="00AC4AC6">
      <w:pPr>
        <w:pStyle w:val="Separator"/>
        <w:rPr>
          <w:b w:val="0"/>
          <w:bCs w:val="0"/>
          <w:lang w:val="en-GB"/>
        </w:rPr>
      </w:pPr>
      <w:r w:rsidRPr="00AC4AC6">
        <w:rPr>
          <w:b w:val="0"/>
          <w:bCs w:val="0"/>
          <w:lang w:val="en-GB"/>
        </w:rPr>
        <w:t>small to medium enterprise (SME) lending market ii, iv, 18, 59–63</w:t>
      </w:r>
    </w:p>
    <w:p w14:paraId="0A30AA32" w14:textId="77777777" w:rsidR="00AC4AC6" w:rsidRPr="00AC4AC6" w:rsidRDefault="00AC4AC6" w:rsidP="00AC4AC6">
      <w:pPr>
        <w:pStyle w:val="Separator"/>
        <w:rPr>
          <w:b w:val="0"/>
          <w:bCs w:val="0"/>
          <w:lang w:val="en-GB"/>
        </w:rPr>
      </w:pPr>
      <w:r w:rsidRPr="00AC4AC6">
        <w:rPr>
          <w:b w:val="0"/>
          <w:bCs w:val="0"/>
          <w:lang w:val="en-GB"/>
        </w:rPr>
        <w:t>small to medium enterprise (SME) procurement 92</w:t>
      </w:r>
    </w:p>
    <w:p w14:paraId="07FE00D5" w14:textId="77777777" w:rsidR="00AC4AC6" w:rsidRPr="00AC4AC6" w:rsidRDefault="00AC4AC6" w:rsidP="00AC4AC6">
      <w:pPr>
        <w:pStyle w:val="Separator"/>
        <w:rPr>
          <w:b w:val="0"/>
          <w:bCs w:val="0"/>
          <w:lang w:val="en-GB"/>
        </w:rPr>
      </w:pPr>
      <w:r w:rsidRPr="00AC4AC6">
        <w:rPr>
          <w:b w:val="0"/>
          <w:bCs w:val="0"/>
          <w:lang w:val="en-GB"/>
        </w:rPr>
        <w:t>sovereign credit ratings 40</w:t>
      </w:r>
    </w:p>
    <w:p w14:paraId="3672957D" w14:textId="77777777" w:rsidR="00AC4AC6" w:rsidRPr="00AC4AC6" w:rsidRDefault="00AC4AC6" w:rsidP="00AC4AC6">
      <w:pPr>
        <w:pStyle w:val="Separator"/>
        <w:rPr>
          <w:b w:val="0"/>
          <w:bCs w:val="0"/>
          <w:lang w:val="en-GB"/>
        </w:rPr>
      </w:pPr>
      <w:r w:rsidRPr="00AC4AC6">
        <w:rPr>
          <w:b w:val="0"/>
          <w:bCs w:val="0"/>
          <w:lang w:val="en-GB"/>
        </w:rPr>
        <w:t>sovereign debt market 6, 16</w:t>
      </w:r>
    </w:p>
    <w:p w14:paraId="64DDB965" w14:textId="77777777" w:rsidR="00AC4AC6" w:rsidRPr="00AC4AC6" w:rsidRDefault="00AC4AC6" w:rsidP="00AC4AC6">
      <w:pPr>
        <w:pStyle w:val="Separator"/>
        <w:rPr>
          <w:b w:val="0"/>
          <w:bCs w:val="0"/>
          <w:lang w:val="en-GB"/>
        </w:rPr>
      </w:pPr>
      <w:r w:rsidRPr="00AC4AC6">
        <w:rPr>
          <w:b w:val="0"/>
          <w:bCs w:val="0"/>
          <w:lang w:val="en-GB"/>
        </w:rPr>
        <w:t>special appropriations 119, 146</w:t>
      </w:r>
    </w:p>
    <w:p w14:paraId="291E417E" w14:textId="77777777" w:rsidR="00AC4AC6" w:rsidRPr="00AC4AC6" w:rsidRDefault="00AC4AC6" w:rsidP="00AC4AC6">
      <w:pPr>
        <w:pStyle w:val="Separator"/>
        <w:rPr>
          <w:b w:val="0"/>
          <w:bCs w:val="0"/>
          <w:lang w:val="en-GB"/>
        </w:rPr>
      </w:pPr>
      <w:r w:rsidRPr="00AC4AC6">
        <w:rPr>
          <w:b w:val="0"/>
          <w:bCs w:val="0"/>
          <w:lang w:val="en-GB"/>
        </w:rPr>
        <w:t>split tenders 35</w:t>
      </w:r>
    </w:p>
    <w:p w14:paraId="08C34489" w14:textId="77777777" w:rsidR="00AC4AC6" w:rsidRPr="00AC4AC6" w:rsidRDefault="00AC4AC6" w:rsidP="00AC4AC6">
      <w:pPr>
        <w:pStyle w:val="Separator"/>
        <w:rPr>
          <w:b w:val="0"/>
          <w:bCs w:val="0"/>
          <w:lang w:val="en-GB"/>
        </w:rPr>
      </w:pPr>
      <w:r w:rsidRPr="00AC4AC6">
        <w:rPr>
          <w:b w:val="0"/>
          <w:bCs w:val="0"/>
          <w:lang w:val="en-GB"/>
        </w:rPr>
        <w:t>staff training 73, 77</w:t>
      </w:r>
    </w:p>
    <w:p w14:paraId="4628F35E" w14:textId="77777777" w:rsidR="00AC4AC6" w:rsidRPr="00AC4AC6" w:rsidRDefault="00AC4AC6" w:rsidP="00AC4AC6">
      <w:pPr>
        <w:pStyle w:val="Separator"/>
        <w:rPr>
          <w:b w:val="0"/>
          <w:bCs w:val="0"/>
          <w:lang w:val="en-GB"/>
        </w:rPr>
      </w:pPr>
      <w:r w:rsidRPr="00AC4AC6">
        <w:rPr>
          <w:b w:val="0"/>
          <w:bCs w:val="0"/>
          <w:lang w:val="en-GB"/>
        </w:rPr>
        <w:t>staff turnover rate 83</w:t>
      </w:r>
    </w:p>
    <w:p w14:paraId="2C0D2E72" w14:textId="77777777" w:rsidR="00AC4AC6" w:rsidRPr="00AC4AC6" w:rsidRDefault="00AC4AC6" w:rsidP="00AC4AC6">
      <w:pPr>
        <w:pStyle w:val="Separator"/>
        <w:rPr>
          <w:b w:val="0"/>
          <w:bCs w:val="0"/>
          <w:lang w:val="en-GB"/>
        </w:rPr>
      </w:pPr>
      <w:r w:rsidRPr="00AC4AC6">
        <w:rPr>
          <w:b w:val="0"/>
          <w:bCs w:val="0"/>
          <w:lang w:val="en-GB"/>
        </w:rPr>
        <w:t>Statement of Preparation 15</w:t>
      </w:r>
    </w:p>
    <w:p w14:paraId="10BBA854" w14:textId="77777777" w:rsidR="00AC4AC6" w:rsidRPr="00AC4AC6" w:rsidRDefault="00AC4AC6" w:rsidP="00AC4AC6">
      <w:pPr>
        <w:pStyle w:val="Separator"/>
        <w:rPr>
          <w:b w:val="0"/>
          <w:bCs w:val="0"/>
          <w:lang w:val="en-GB"/>
        </w:rPr>
      </w:pPr>
      <w:r w:rsidRPr="00AC4AC6">
        <w:rPr>
          <w:b w:val="0"/>
          <w:bCs w:val="0"/>
          <w:lang w:val="en-GB"/>
        </w:rPr>
        <w:t>strategic risk and opportunity profile 73</w:t>
      </w:r>
    </w:p>
    <w:p w14:paraId="0A355AFD" w14:textId="77777777" w:rsidR="00AC4AC6" w:rsidRPr="00AC4AC6" w:rsidRDefault="00AC4AC6" w:rsidP="00AC4AC6">
      <w:pPr>
        <w:pStyle w:val="Separator"/>
        <w:rPr>
          <w:b w:val="0"/>
          <w:bCs w:val="0"/>
          <w:lang w:val="en-GB"/>
        </w:rPr>
      </w:pPr>
      <w:r w:rsidRPr="00AC4AC6">
        <w:rPr>
          <w:b w:val="0"/>
          <w:bCs w:val="0"/>
          <w:lang w:val="en-GB"/>
        </w:rPr>
        <w:t>structured finance securities see Australian Business Securitisation Fund (ABSF)</w:t>
      </w:r>
    </w:p>
    <w:p w14:paraId="3BF03F6D" w14:textId="77777777" w:rsidR="00AC4AC6" w:rsidRPr="00AC4AC6" w:rsidRDefault="00AC4AC6" w:rsidP="00AC4AC6">
      <w:pPr>
        <w:pStyle w:val="Separator"/>
        <w:rPr>
          <w:b w:val="0"/>
          <w:bCs w:val="0"/>
          <w:lang w:val="en-GB"/>
        </w:rPr>
      </w:pPr>
      <w:r w:rsidRPr="00AC4AC6">
        <w:rPr>
          <w:b w:val="0"/>
          <w:bCs w:val="0"/>
          <w:lang w:val="en-GB"/>
        </w:rPr>
        <w:t>Structured Finance Support (Coronavirus Economic Response Package) Act 2020 (SFS Act) 18, 68</w:t>
      </w:r>
    </w:p>
    <w:p w14:paraId="0ABE1630" w14:textId="4CD33F8C" w:rsidR="00AC4AC6" w:rsidRPr="00AC4AC6" w:rsidRDefault="00AC4AC6" w:rsidP="00AC4AC6">
      <w:pPr>
        <w:pStyle w:val="Separator"/>
        <w:rPr>
          <w:b w:val="0"/>
          <w:bCs w:val="0"/>
          <w:lang w:val="en-GB"/>
        </w:rPr>
      </w:pPr>
      <w:r w:rsidRPr="00AC4AC6">
        <w:rPr>
          <w:b w:val="0"/>
          <w:bCs w:val="0"/>
          <w:lang w:val="en-GB"/>
        </w:rPr>
        <w:t>Structured Finance Support Fund (SFSF) v, 3–4, 6, 18, 59–60, 63, 124–125, 139–143, 147</w:t>
      </w:r>
    </w:p>
    <w:p w14:paraId="3965DDE5" w14:textId="77777777" w:rsidR="00AC4AC6" w:rsidRPr="00AC4AC6" w:rsidRDefault="00AC4AC6" w:rsidP="00AC4AC6">
      <w:pPr>
        <w:pStyle w:val="Separator"/>
        <w:rPr>
          <w:b w:val="0"/>
          <w:bCs w:val="0"/>
          <w:lang w:val="en-GB"/>
        </w:rPr>
      </w:pPr>
      <w:r w:rsidRPr="00AC4AC6">
        <w:rPr>
          <w:b w:val="0"/>
          <w:bCs w:val="0"/>
          <w:lang w:val="en-GB"/>
        </w:rPr>
        <w:t>superannuation 165</w:t>
      </w:r>
    </w:p>
    <w:p w14:paraId="13FE6559" w14:textId="77777777" w:rsidR="00AC4AC6" w:rsidRPr="00AC4AC6" w:rsidRDefault="00AC4AC6" w:rsidP="00AC4AC6">
      <w:pPr>
        <w:pStyle w:val="Separator"/>
        <w:rPr>
          <w:b w:val="0"/>
          <w:bCs w:val="0"/>
          <w:lang w:val="en-GB"/>
        </w:rPr>
      </w:pPr>
      <w:r w:rsidRPr="00AC4AC6">
        <w:rPr>
          <w:b w:val="0"/>
          <w:bCs w:val="0"/>
          <w:lang w:val="en-GB"/>
        </w:rPr>
        <w:t>supplier expenses 157</w:t>
      </w:r>
    </w:p>
    <w:p w14:paraId="2182C1EE" w14:textId="77777777" w:rsidR="00AC4AC6" w:rsidRPr="00AC4AC6" w:rsidRDefault="00AC4AC6" w:rsidP="00AC4AC6">
      <w:pPr>
        <w:pStyle w:val="Separator"/>
        <w:rPr>
          <w:b w:val="0"/>
          <w:bCs w:val="0"/>
          <w:lang w:val="en-GB"/>
        </w:rPr>
      </w:pPr>
      <w:r w:rsidRPr="00AC4AC6">
        <w:rPr>
          <w:b w:val="0"/>
          <w:bCs w:val="0"/>
          <w:lang w:val="en-GB"/>
        </w:rPr>
        <w:t>syndications 4, 9, 25, 28, 35, 91</w:t>
      </w:r>
    </w:p>
    <w:p w14:paraId="5C59724D" w14:textId="25D8CEFD" w:rsidR="00077344" w:rsidRPr="00077344" w:rsidRDefault="00AC4AC6" w:rsidP="00D626EE">
      <w:pPr>
        <w:pStyle w:val="Separator"/>
        <w:rPr>
          <w:b w:val="0"/>
          <w:bCs w:val="0"/>
          <w:lang w:val="en-GB"/>
        </w:rPr>
      </w:pPr>
      <w:r w:rsidRPr="00AC4AC6">
        <w:rPr>
          <w:b w:val="0"/>
          <w:bCs w:val="0"/>
          <w:lang w:val="en-GB"/>
        </w:rPr>
        <w:t>Synergy 75</w:t>
      </w:r>
      <w:r w:rsidR="00D626EE">
        <w:rPr>
          <w:b w:val="0"/>
          <w:bCs w:val="0"/>
          <w:lang w:val="en-GB"/>
        </w:rPr>
        <w:br w:type="column"/>
      </w:r>
      <w:r w:rsidR="00077344" w:rsidRPr="00077344">
        <w:rPr>
          <w:lang w:val="en-GB"/>
        </w:rPr>
        <w:lastRenderedPageBreak/>
        <w:t>T</w:t>
      </w:r>
    </w:p>
    <w:p w14:paraId="6E82E077"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targets 21</w:t>
      </w:r>
    </w:p>
    <w:p w14:paraId="2DEA3609"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taxation 174</w:t>
      </w:r>
    </w:p>
    <w:p w14:paraId="0D27B40A"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technology investment 4</w:t>
      </w:r>
    </w:p>
    <w:p w14:paraId="4732A306"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tenders iv, 9 see also competitive tender</w:t>
      </w:r>
    </w:p>
    <w:p w14:paraId="7CA4EA47"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terms and conditions of employment 78</w:t>
      </w:r>
    </w:p>
    <w:p w14:paraId="5DBCA279"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time-critical functionality 74</w:t>
      </w:r>
    </w:p>
    <w:p w14:paraId="28B1DF63"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Tokyo forum 4, 51, 52</w:t>
      </w:r>
    </w:p>
    <w:p w14:paraId="4AD3B43A"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Treasurer 67, 73, 85</w:t>
      </w:r>
    </w:p>
    <w:p w14:paraId="36B5F80D"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Treasury Bonds</w:t>
      </w:r>
    </w:p>
    <w:p w14:paraId="7DF9E289"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average maturity 32–33</w:t>
      </w:r>
    </w:p>
    <w:p w14:paraId="76749D79"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debt management strategy 26–38</w:t>
      </w:r>
    </w:p>
    <w:p w14:paraId="72CA26F6"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 xml:space="preserve">futures </w:t>
      </w:r>
      <w:proofErr w:type="gramStart"/>
      <w:r w:rsidRPr="00077344">
        <w:rPr>
          <w:rFonts w:eastAsiaTheme="minorEastAsia" w:cs="Times New Roman"/>
          <w:sz w:val="16"/>
          <w:szCs w:val="16"/>
          <w:lang w:val="en-GB" w:eastAsia="en-AU"/>
        </w:rPr>
        <w:t>contracts</w:t>
      </w:r>
      <w:proofErr w:type="gramEnd"/>
      <w:r w:rsidRPr="00077344">
        <w:rPr>
          <w:rFonts w:eastAsiaTheme="minorEastAsia" w:cs="Times New Roman"/>
          <w:sz w:val="16"/>
          <w:szCs w:val="16"/>
          <w:lang w:val="en-GB" w:eastAsia="en-AU"/>
        </w:rPr>
        <w:t xml:space="preserve"> 27, 54</w:t>
      </w:r>
    </w:p>
    <w:p w14:paraId="50459CE2"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issuance iv, 3, 9, 16, 17, 19, 28–29</w:t>
      </w:r>
    </w:p>
    <w:p w14:paraId="19A06B23"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note to the administered financial statements 130–131</w:t>
      </w:r>
    </w:p>
    <w:p w14:paraId="3A3AD9CF"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portfolio 32–34</w:t>
      </w:r>
    </w:p>
    <w:p w14:paraId="7EC2A799"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secondary market turnover 54</w:t>
      </w:r>
    </w:p>
    <w:p w14:paraId="0CA48AC7"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syndications 3, 9, 25, 28–29, 35, 91</w:t>
      </w:r>
    </w:p>
    <w:p w14:paraId="1F6CA0E1"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tender strength 37</w:t>
      </w:r>
    </w:p>
    <w:p w14:paraId="25648E23"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Treasury Indexed Bonds (TIBs)</w:t>
      </w:r>
    </w:p>
    <w:p w14:paraId="1DADA99C"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debt management strategy 35–36</w:t>
      </w:r>
    </w:p>
    <w:p w14:paraId="2A5097CC"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issuance 16, 17, 19, 35</w:t>
      </w:r>
    </w:p>
    <w:p w14:paraId="70DC2394"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note to the administered financial statements</w:t>
      </w:r>
      <w:r w:rsidRPr="00077344">
        <w:rPr>
          <w:rFonts w:eastAsiaTheme="minorEastAsia" w:cs="Times New Roman"/>
          <w:sz w:val="16"/>
          <w:szCs w:val="16"/>
          <w:lang w:val="en-GB" w:eastAsia="en-AU"/>
        </w:rPr>
        <w:tab/>
        <w:t>133–135</w:t>
      </w:r>
    </w:p>
    <w:p w14:paraId="484DE6FE"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secondary market turnover 54</w:t>
      </w:r>
    </w:p>
    <w:p w14:paraId="6FA36C6C" w14:textId="77777777" w:rsidR="00077344" w:rsidRPr="00077344" w:rsidRDefault="00077344" w:rsidP="008B03AC">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weighted average maturity (WAM) 37</w:t>
      </w:r>
    </w:p>
    <w:p w14:paraId="6B835661"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Treasury Management System 4, 75</w:t>
      </w:r>
    </w:p>
    <w:p w14:paraId="2895BDDA"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Treasury Notes (T-Notes)</w:t>
      </w:r>
    </w:p>
    <w:p w14:paraId="13A11C5B" w14:textId="77777777" w:rsidR="00077344" w:rsidRPr="00077344" w:rsidRDefault="00077344" w:rsidP="00CB19A9">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cash management role 44</w:t>
      </w:r>
    </w:p>
    <w:p w14:paraId="26C97F77" w14:textId="77777777" w:rsidR="00077344" w:rsidRPr="00077344" w:rsidRDefault="00077344" w:rsidP="00CB19A9">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issuance 16, 17, 18, 19, 43, 45, 127</w:t>
      </w:r>
    </w:p>
    <w:p w14:paraId="1B2BB8BF" w14:textId="3AEFBE59" w:rsidR="00077344" w:rsidRPr="00077344" w:rsidRDefault="00077344" w:rsidP="00CB19A9">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note to the administered financial statements</w:t>
      </w:r>
      <w:r w:rsidRPr="00077344">
        <w:rPr>
          <w:rFonts w:eastAsiaTheme="minorEastAsia" w:cs="Times New Roman"/>
          <w:sz w:val="16"/>
          <w:szCs w:val="16"/>
          <w:lang w:val="en-GB" w:eastAsia="en-AU"/>
        </w:rPr>
        <w:tab/>
        <w:t>136–137</w:t>
      </w:r>
    </w:p>
    <w:p w14:paraId="775B39EC"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Treasury Portfolio Budget Statement 8</w:t>
      </w:r>
    </w:p>
    <w:p w14:paraId="01C9F7F7"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trust (value) 7</w:t>
      </w:r>
    </w:p>
    <w:p w14:paraId="3C3A817E"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turnover ratio 49</w:t>
      </w:r>
    </w:p>
    <w:p w14:paraId="2B86928C" w14:textId="77777777" w:rsidR="00077344" w:rsidRPr="00077344" w:rsidRDefault="00077344" w:rsidP="00077344">
      <w:pPr>
        <w:spacing w:after="0" w:line="240" w:lineRule="auto"/>
        <w:jc w:val="both"/>
        <w:rPr>
          <w:rFonts w:eastAsiaTheme="minorEastAsia" w:cs="Times New Roman"/>
          <w:sz w:val="16"/>
          <w:szCs w:val="16"/>
          <w:lang w:val="en-GB" w:eastAsia="en-AU"/>
        </w:rPr>
      </w:pPr>
    </w:p>
    <w:p w14:paraId="5953858F" w14:textId="77777777" w:rsidR="00A5429E" w:rsidRDefault="00A5429E" w:rsidP="00077344">
      <w:pPr>
        <w:spacing w:after="0" w:line="240" w:lineRule="auto"/>
        <w:jc w:val="both"/>
        <w:rPr>
          <w:rFonts w:eastAsiaTheme="minorEastAsia" w:cs="Times New Roman"/>
          <w:sz w:val="16"/>
          <w:szCs w:val="16"/>
          <w:lang w:val="en-GB" w:eastAsia="en-AU"/>
        </w:rPr>
      </w:pPr>
    </w:p>
    <w:p w14:paraId="180F1F77" w14:textId="77777777" w:rsidR="00A5429E" w:rsidRDefault="00A5429E" w:rsidP="00077344">
      <w:pPr>
        <w:spacing w:after="0" w:line="240" w:lineRule="auto"/>
        <w:jc w:val="both"/>
        <w:rPr>
          <w:rFonts w:eastAsiaTheme="minorEastAsia" w:cs="Times New Roman"/>
          <w:sz w:val="16"/>
          <w:szCs w:val="16"/>
          <w:lang w:val="en-GB" w:eastAsia="en-AU"/>
        </w:rPr>
      </w:pPr>
    </w:p>
    <w:p w14:paraId="64B0D22F" w14:textId="7437B45C" w:rsidR="00077344" w:rsidRPr="00077344" w:rsidRDefault="00077344" w:rsidP="00D626EE">
      <w:pPr>
        <w:pStyle w:val="Separator"/>
        <w:rPr>
          <w:lang w:val="en-GB"/>
        </w:rPr>
      </w:pPr>
      <w:r w:rsidRPr="00077344">
        <w:rPr>
          <w:lang w:val="en-GB"/>
        </w:rPr>
        <w:t>V</w:t>
      </w:r>
    </w:p>
    <w:p w14:paraId="6E7C404B"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values 7</w:t>
      </w:r>
    </w:p>
    <w:p w14:paraId="2FBB7AAD"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Values-Based Awards 77</w:t>
      </w:r>
    </w:p>
    <w:p w14:paraId="465E1B62" w14:textId="77777777" w:rsidR="00077344" w:rsidRPr="00077344" w:rsidRDefault="00077344" w:rsidP="00077344">
      <w:pPr>
        <w:spacing w:after="0" w:line="240" w:lineRule="auto"/>
        <w:jc w:val="both"/>
        <w:rPr>
          <w:rFonts w:eastAsiaTheme="minorEastAsia" w:cs="Times New Roman"/>
          <w:sz w:val="16"/>
          <w:szCs w:val="16"/>
          <w:lang w:val="en-GB" w:eastAsia="en-AU"/>
        </w:rPr>
      </w:pPr>
    </w:p>
    <w:p w14:paraId="234D64F5" w14:textId="77777777" w:rsidR="00077344" w:rsidRPr="00077344" w:rsidRDefault="00077344" w:rsidP="00D626EE">
      <w:pPr>
        <w:pStyle w:val="Separator"/>
        <w:rPr>
          <w:lang w:val="en-GB"/>
        </w:rPr>
      </w:pPr>
      <w:r w:rsidRPr="00077344">
        <w:rPr>
          <w:lang w:val="en-GB"/>
        </w:rPr>
        <w:t>W</w:t>
      </w:r>
    </w:p>
    <w:p w14:paraId="6B26C31F"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warehouse facilities 62, 63</w:t>
      </w:r>
    </w:p>
    <w:p w14:paraId="49187E56"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weighted average maturity (WAM) 26, 33, 34, 37</w:t>
      </w:r>
    </w:p>
    <w:p w14:paraId="4BB38FAB"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wellbeing of employees 77, 85</w:t>
      </w:r>
    </w:p>
    <w:p w14:paraId="429B7893"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wholesale funding markets 6</w:t>
      </w:r>
    </w:p>
    <w:p w14:paraId="616D76FE"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Work Health and Safety Act 2011 78</w:t>
      </w:r>
    </w:p>
    <w:p w14:paraId="3F7AD513" w14:textId="77777777" w:rsidR="00077344" w:rsidRPr="00077344" w:rsidRDefault="00077344" w:rsidP="00077344">
      <w:pPr>
        <w:spacing w:after="0" w:line="240" w:lineRule="auto"/>
        <w:jc w:val="both"/>
        <w:rPr>
          <w:rFonts w:eastAsiaTheme="minorEastAsia" w:cs="Times New Roman"/>
          <w:sz w:val="16"/>
          <w:szCs w:val="16"/>
          <w:lang w:val="en-GB" w:eastAsia="en-AU"/>
        </w:rPr>
      </w:pPr>
      <w:r w:rsidRPr="00077344">
        <w:rPr>
          <w:rFonts w:eastAsiaTheme="minorEastAsia" w:cs="Times New Roman"/>
          <w:sz w:val="16"/>
          <w:szCs w:val="16"/>
          <w:lang w:val="en-GB" w:eastAsia="en-AU"/>
        </w:rPr>
        <w:t>workforce 77–87</w:t>
      </w:r>
    </w:p>
    <w:p w14:paraId="664D1BD5"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cross-skilling of staff 73</w:t>
      </w:r>
    </w:p>
    <w:p w14:paraId="3731A3BB"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diversity networks (staff) 77</w:t>
      </w:r>
    </w:p>
    <w:p w14:paraId="0662FF40"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Employee Assistance Program 78</w:t>
      </w:r>
    </w:p>
    <w:p w14:paraId="1EE6E436"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employee management and development 77–78</w:t>
      </w:r>
    </w:p>
    <w:p w14:paraId="1ACDBAAB"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employee provisions 164–166</w:t>
      </w:r>
    </w:p>
    <w:p w14:paraId="617EFDCC"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employee remuneration 84, 86, 157</w:t>
      </w:r>
    </w:p>
    <w:p w14:paraId="5FDB667B"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employee statistics 79–82</w:t>
      </w:r>
    </w:p>
    <w:p w14:paraId="7EF761AF"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employment policies 4</w:t>
      </w:r>
    </w:p>
    <w:p w14:paraId="736B7114"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female employees 80</w:t>
      </w:r>
    </w:p>
    <w:p w14:paraId="7BDE0BDD"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First Nations employees 83</w:t>
      </w:r>
    </w:p>
    <w:p w14:paraId="107A2A61"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full-time/part-time employees 81</w:t>
      </w:r>
    </w:p>
    <w:p w14:paraId="39B87FEA"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future-ready workforce 73</w:t>
      </w:r>
    </w:p>
    <w:p w14:paraId="76100215"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highly paid staff 85, 87</w:t>
      </w:r>
    </w:p>
    <w:p w14:paraId="5F2CC3CE"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integrity and ethical standards 75</w:t>
      </w:r>
    </w:p>
    <w:p w14:paraId="5360B07E"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leave 164</w:t>
      </w:r>
    </w:p>
    <w:p w14:paraId="3F5FB8E0"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location of employees 83</w:t>
      </w:r>
    </w:p>
    <w:p w14:paraId="564440D1"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male employees 80</w:t>
      </w:r>
    </w:p>
    <w:p w14:paraId="13776ACB"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remuneration 4, 84–87, 164–166</w:t>
      </w:r>
    </w:p>
    <w:p w14:paraId="6748B18E"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staff training 73, 77</w:t>
      </w:r>
    </w:p>
    <w:p w14:paraId="6AD07D2F"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staff turnover rate 83</w:t>
      </w:r>
    </w:p>
    <w:p w14:paraId="5B5F63CA"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strategic risk and opportunity profile 73</w:t>
      </w:r>
    </w:p>
    <w:p w14:paraId="758435FD"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terms and conditions of employment 78</w:t>
      </w:r>
    </w:p>
    <w:p w14:paraId="6C18238B"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travel 98, 100</w:t>
      </w:r>
    </w:p>
    <w:p w14:paraId="7518766A" w14:textId="77777777" w:rsidR="00077344" w:rsidRPr="00077344" w:rsidRDefault="00077344" w:rsidP="00A5429E">
      <w:pPr>
        <w:spacing w:after="0" w:line="240" w:lineRule="auto"/>
        <w:ind w:left="142"/>
        <w:jc w:val="both"/>
        <w:rPr>
          <w:rFonts w:eastAsiaTheme="minorEastAsia" w:cs="Times New Roman"/>
          <w:sz w:val="16"/>
          <w:szCs w:val="16"/>
          <w:lang w:val="en-GB" w:eastAsia="en-AU"/>
        </w:rPr>
      </w:pPr>
      <w:r w:rsidRPr="00077344">
        <w:rPr>
          <w:rFonts w:eastAsiaTheme="minorEastAsia" w:cs="Times New Roman"/>
          <w:sz w:val="16"/>
          <w:szCs w:val="16"/>
          <w:lang w:val="en-GB" w:eastAsia="en-AU"/>
        </w:rPr>
        <w:t>wellbeing of employees 77, 85</w:t>
      </w:r>
    </w:p>
    <w:p w14:paraId="4683C881" w14:textId="77777777" w:rsidR="00077344" w:rsidRPr="00077344" w:rsidRDefault="00077344" w:rsidP="00077344">
      <w:pPr>
        <w:spacing w:after="0" w:line="240" w:lineRule="auto"/>
        <w:jc w:val="both"/>
        <w:rPr>
          <w:rFonts w:eastAsiaTheme="minorEastAsia" w:cs="Times New Roman"/>
          <w:sz w:val="16"/>
          <w:szCs w:val="16"/>
          <w:lang w:val="en-GB" w:eastAsia="en-AU"/>
        </w:rPr>
      </w:pPr>
    </w:p>
    <w:p w14:paraId="48AFCA6A" w14:textId="77777777" w:rsidR="00077344" w:rsidRPr="00077344" w:rsidRDefault="00077344" w:rsidP="00D626EE">
      <w:pPr>
        <w:pStyle w:val="Separator"/>
        <w:rPr>
          <w:lang w:val="en-GB"/>
        </w:rPr>
      </w:pPr>
      <w:r w:rsidRPr="00077344">
        <w:rPr>
          <w:lang w:val="en-GB"/>
        </w:rPr>
        <w:t>Y</w:t>
      </w:r>
    </w:p>
    <w:p w14:paraId="519598BE" w14:textId="1AF51E46" w:rsidR="006F0690" w:rsidRPr="00077344" w:rsidRDefault="00077344" w:rsidP="00077344">
      <w:pPr>
        <w:spacing w:after="0" w:line="240" w:lineRule="auto"/>
        <w:jc w:val="both"/>
        <w:rPr>
          <w:sz w:val="16"/>
          <w:szCs w:val="16"/>
        </w:rPr>
        <w:sectPr w:rsidR="006F0690" w:rsidRPr="00077344" w:rsidSect="001E2AEB">
          <w:type w:val="continuous"/>
          <w:pgSz w:w="11907" w:h="16840" w:code="9"/>
          <w:pgMar w:top="2835" w:right="2098" w:bottom="2466" w:left="2098" w:header="1814" w:footer="1814" w:gutter="0"/>
          <w:cols w:num="2" w:space="708"/>
          <w:docGrid w:linePitch="360"/>
        </w:sectPr>
      </w:pPr>
      <w:r w:rsidRPr="00077344">
        <w:rPr>
          <w:rFonts w:eastAsiaTheme="minorEastAsia" w:cs="Times New Roman"/>
          <w:sz w:val="16"/>
          <w:szCs w:val="16"/>
          <w:lang w:val="en-GB" w:eastAsia="en-AU"/>
        </w:rPr>
        <w:t>yields iv, 26, 27, 37</w:t>
      </w:r>
    </w:p>
    <w:p w14:paraId="3D79B1D0" w14:textId="77777777" w:rsidR="006F0690" w:rsidRPr="002C6B6F" w:rsidRDefault="006F0690" w:rsidP="00AE4FFD">
      <w:pPr>
        <w:spacing w:after="0" w:line="240" w:lineRule="auto"/>
        <w:jc w:val="both"/>
        <w:rPr>
          <w:sz w:val="16"/>
          <w:szCs w:val="16"/>
        </w:rPr>
      </w:pPr>
    </w:p>
    <w:sectPr w:rsidR="006F0690" w:rsidRPr="002C6B6F" w:rsidSect="001E2AEB">
      <w:type w:val="continuous"/>
      <w:pgSz w:w="11907" w:h="16840"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ADE6" w14:textId="77777777" w:rsidR="00EF2355" w:rsidRDefault="00EF2355" w:rsidP="00434DF2">
      <w:r>
        <w:separator/>
      </w:r>
    </w:p>
    <w:p w14:paraId="21D20E86" w14:textId="77777777" w:rsidR="00EF2355" w:rsidRDefault="00EF2355"/>
    <w:p w14:paraId="1283E67A" w14:textId="77777777" w:rsidR="00EF2355" w:rsidRDefault="00EF2355"/>
  </w:endnote>
  <w:endnote w:type="continuationSeparator" w:id="0">
    <w:p w14:paraId="12C16C26" w14:textId="77777777" w:rsidR="00EF2355" w:rsidRDefault="00EF2355" w:rsidP="00434DF2">
      <w:r>
        <w:continuationSeparator/>
      </w:r>
    </w:p>
    <w:p w14:paraId="215E98E4" w14:textId="77777777" w:rsidR="00EF2355" w:rsidRDefault="00EF2355"/>
    <w:p w14:paraId="451C2750" w14:textId="77777777" w:rsidR="00EF2355" w:rsidRDefault="00EF2355"/>
  </w:endnote>
  <w:endnote w:type="continuationNotice" w:id="1">
    <w:p w14:paraId="47FB8B4C" w14:textId="77777777" w:rsidR="00EF2355" w:rsidRDefault="00EF2355">
      <w:pPr>
        <w:spacing w:after="0" w:line="240" w:lineRule="auto"/>
      </w:pPr>
    </w:p>
    <w:p w14:paraId="181BB928" w14:textId="77777777" w:rsidR="00EF2355" w:rsidRDefault="00EF2355"/>
    <w:p w14:paraId="7A9ADF23" w14:textId="77777777" w:rsidR="00EF2355" w:rsidRDefault="00EF2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embedRegular r:id="rId1" w:fontKey="{7CE39EDF-7F4D-43AE-8318-D2E30C5C802B}"/>
    <w:embedBold r:id="rId2" w:fontKey="{246F0AAC-EBD6-4764-B24F-29E44C3F885F}"/>
    <w:embedItalic r:id="rId3" w:fontKey="{4F578AE7-972A-40C6-8ED5-E30398304809}"/>
    <w:embedBoldItalic r:id="rId4" w:fontKey="{539D45F5-0315-4FDF-8FDA-E683DB5B7660}"/>
  </w:font>
  <w:font w:name="Open Sans">
    <w:altName w:val="Segoe UI"/>
    <w:panose1 w:val="020B0606030504020204"/>
    <w:charset w:val="00"/>
    <w:family w:val="swiss"/>
    <w:pitch w:val="variable"/>
    <w:sig w:usb0="E00002EF" w:usb1="4000205B" w:usb2="00000028" w:usb3="00000000" w:csb0="0000019F" w:csb1="00000000"/>
    <w:embedRegular r:id="rId5" w:subsetted="1" w:fontKey="{E595CCBA-49C6-4F10-89C5-949BD7EBC5DF}"/>
    <w:embedBold r:id="rId6" w:subsetted="1" w:fontKey="{61A49FA1-FA20-43A3-A49B-43A77872C1B9}"/>
  </w:font>
  <w:font w:name="Times New Roman (Body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 w:name="Sitka Display">
    <w:panose1 w:val="00000000000000000000"/>
    <w:charset w:val="00"/>
    <w:family w:val="auto"/>
    <w:pitch w:val="variable"/>
    <w:sig w:usb0="A00002EF" w:usb1="4000204B" w:usb2="00000000" w:usb3="00000000" w:csb0="0000019F" w:csb1="00000000"/>
  </w:font>
  <w:font w:name="Open Sans Extrabold">
    <w:panose1 w:val="020B09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Light">
    <w:panose1 w:val="020B0306030504020204"/>
    <w:charset w:val="00"/>
    <w:family w:val="swiss"/>
    <w:pitch w:val="variable"/>
    <w:sig w:usb0="E00002EF" w:usb1="4000205B" w:usb2="00000028" w:usb3="00000000" w:csb0="0000019F" w:csb1="00000000"/>
    <w:embedRegular r:id="rId7" w:subsetted="1" w:fontKey="{86655E81-8ACC-49F6-9974-8E36404D01CD}"/>
    <w:embedBold r:id="rId8" w:subsetted="1" w:fontKey="{64ACF33B-1AEC-4BEC-9B9E-B7D96AF70E7D}"/>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embedRegular r:id="rId9" w:fontKey="{96C87313-4E7E-42CB-902F-4B678D3D1A67}"/>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AD57" w14:textId="77777777" w:rsidR="006C6C61" w:rsidRPr="0070389C" w:rsidRDefault="00AE1E3E" w:rsidP="0070389C">
    <w:pPr>
      <w:pStyle w:val="Footer"/>
    </w:pPr>
    <w:sdt>
      <w:sdtPr>
        <w:rPr>
          <w:rStyle w:val="PageNumber"/>
          <w:rFonts w:ascii="Open Sans Light" w:hAnsi="Open Sans Light"/>
        </w:rPr>
        <w:id w:val="-791049894"/>
        <w:docPartObj>
          <w:docPartGallery w:val="Page Numbers (Bottom of Page)"/>
          <w:docPartUnique/>
        </w:docPartObj>
      </w:sdtPr>
      <w:sdtEndPr>
        <w:rPr>
          <w:rStyle w:val="PageNumber"/>
        </w:rPr>
      </w:sdtEndPr>
      <w:sdtContent>
        <w:r w:rsidR="006C6C61" w:rsidRPr="0070389C">
          <w:rPr>
            <w:rStyle w:val="PageNumber"/>
            <w:rFonts w:ascii="Open Sans Light" w:hAnsi="Open Sans Light"/>
          </w:rPr>
          <w:fldChar w:fldCharType="begin"/>
        </w:r>
        <w:r w:rsidR="006C6C61" w:rsidRPr="0070389C">
          <w:rPr>
            <w:rStyle w:val="PageNumber"/>
            <w:rFonts w:ascii="Open Sans Light" w:hAnsi="Open Sans Light"/>
          </w:rPr>
          <w:instrText xml:space="preserve"> PAGE </w:instrText>
        </w:r>
        <w:r w:rsidR="006C6C61" w:rsidRPr="0070389C">
          <w:rPr>
            <w:rStyle w:val="PageNumber"/>
            <w:rFonts w:ascii="Open Sans Light" w:hAnsi="Open Sans Light"/>
          </w:rPr>
          <w:fldChar w:fldCharType="separate"/>
        </w:r>
        <w:r w:rsidR="006C6C61" w:rsidRPr="0070389C">
          <w:rPr>
            <w:rStyle w:val="PageNumber"/>
            <w:rFonts w:ascii="Open Sans Light" w:hAnsi="Open Sans Light"/>
          </w:rPr>
          <w:t>2</w:t>
        </w:r>
        <w:r w:rsidR="006C6C61" w:rsidRPr="0070389C">
          <w:rPr>
            <w:rStyle w:val="PageNumber"/>
            <w:rFonts w:ascii="Open Sans Light" w:hAnsi="Open Sans Light"/>
          </w:rPr>
          <w:fldChar w:fldCharType="end"/>
        </w:r>
      </w:sdtContent>
    </w:sdt>
    <w:r w:rsidR="006C6C61" w:rsidRPr="0070389C">
      <w:rPr>
        <w:rStyle w:val="PageNumber"/>
        <w:rFonts w:ascii="Open Sans Light" w:hAnsi="Open Sans Light"/>
      </w:rPr>
      <w:tab/>
    </w:r>
    <w:r w:rsidR="006C6C61" w:rsidRPr="0070389C">
      <w:t>AOFM Annual Report 202</w:t>
    </w:r>
    <w:r w:rsidR="001A29B6">
      <w:t>3</w:t>
    </w:r>
    <w:r w:rsidR="006C6C61" w:rsidRPr="0070389C">
      <w:t>–2</w:t>
    </w:r>
    <w:r w:rsidR="001A29B6">
      <w:t>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8130174"/>
      <w:docPartObj>
        <w:docPartGallery w:val="Page Numbers (Bottom of Page)"/>
        <w:docPartUnique/>
      </w:docPartObj>
    </w:sdtPr>
    <w:sdtEndPr>
      <w:rPr>
        <w:rStyle w:val="PageNumber"/>
      </w:rPr>
    </w:sdtEndPr>
    <w:sdtContent>
      <w:p w14:paraId="2368FD52" w14:textId="77777777" w:rsidR="008F5F85" w:rsidRPr="001C014C" w:rsidRDefault="008F5F85" w:rsidP="001C014C">
        <w:pPr>
          <w:pStyle w:val="FooterOdd"/>
          <w:rPr>
            <w:rStyle w:val="PageNumber"/>
          </w:rPr>
        </w:pPr>
        <w:r>
          <w:rPr>
            <w:noProof/>
          </w:rPr>
          <w:drawing>
            <wp:anchor distT="0" distB="0" distL="114300" distR="114300" simplePos="0" relativeHeight="251787363" behindDoc="1" locked="0" layoutInCell="1" allowOverlap="1" wp14:anchorId="0DCAFB79" wp14:editId="3F1E0BC7">
              <wp:simplePos x="0" y="0"/>
              <wp:positionH relativeFrom="page">
                <wp:posOffset>7473</wp:posOffset>
              </wp:positionH>
              <wp:positionV relativeFrom="paragraph">
                <wp:posOffset>-1186180</wp:posOffset>
              </wp:positionV>
              <wp:extent cx="7582953" cy="2862000"/>
              <wp:effectExtent l="0" t="0" r="0" b="0"/>
              <wp:wrapNone/>
              <wp:docPr id="28105475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2763518"/>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1C86" w14:textId="77777777" w:rsidR="000139AF" w:rsidRPr="003C623B" w:rsidRDefault="000139AF" w:rsidP="000139AF">
    <w:pPr>
      <w:pStyle w:val="Footer"/>
      <w:spacing w:after="0"/>
    </w:pPr>
    <w:r w:rsidRPr="003C623B">
      <w:rPr>
        <w:noProof/>
      </w:rPr>
      <w:drawing>
        <wp:anchor distT="0" distB="0" distL="114300" distR="114300" simplePos="0" relativeHeight="251818083" behindDoc="1" locked="0" layoutInCell="1" allowOverlap="1" wp14:anchorId="6E5AED2F" wp14:editId="314A203B">
          <wp:simplePos x="0" y="0"/>
          <wp:positionH relativeFrom="page">
            <wp:posOffset>-25400</wp:posOffset>
          </wp:positionH>
          <wp:positionV relativeFrom="paragraph">
            <wp:posOffset>-1159510</wp:posOffset>
          </wp:positionV>
          <wp:extent cx="7581600" cy="2860812"/>
          <wp:effectExtent l="0" t="0" r="635" b="0"/>
          <wp:wrapNone/>
          <wp:docPr id="48763831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2070798488"/>
        <w:docPartObj>
          <w:docPartGallery w:val="Page Numbers (Bottom of Page)"/>
          <w:docPartUnique/>
        </w:docPartObj>
      </w:sdt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Pr>
            <w:rStyle w:val="PageNumber"/>
          </w:rPr>
          <w:t>26</w:t>
        </w:r>
        <w:r w:rsidRPr="003C623B">
          <w:rPr>
            <w:rStyle w:val="PageNumber"/>
          </w:rPr>
          <w:fldChar w:fldCharType="end"/>
        </w:r>
        <w:r w:rsidRPr="003C623B">
          <w:rPr>
            <w:noProof/>
          </w:rPr>
          <w:t xml:space="preserve"> </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975C" w14:textId="77777777" w:rsidR="008F5F85" w:rsidRPr="003C623B" w:rsidRDefault="008F5F85" w:rsidP="00BD7AD5">
    <w:pPr>
      <w:pStyle w:val="Footer"/>
      <w:spacing w:after="0"/>
    </w:pPr>
    <w:r w:rsidRPr="003C623B">
      <w:rPr>
        <w:noProof/>
      </w:rPr>
      <w:drawing>
        <wp:anchor distT="0" distB="0" distL="114300" distR="114300" simplePos="0" relativeHeight="251793507" behindDoc="1" locked="0" layoutInCell="1" allowOverlap="1" wp14:anchorId="118064F0" wp14:editId="05AD0DBA">
          <wp:simplePos x="0" y="0"/>
          <wp:positionH relativeFrom="page">
            <wp:posOffset>-25400</wp:posOffset>
          </wp:positionH>
          <wp:positionV relativeFrom="paragraph">
            <wp:posOffset>-1159510</wp:posOffset>
          </wp:positionV>
          <wp:extent cx="7581600" cy="2860812"/>
          <wp:effectExtent l="0" t="0" r="635" b="0"/>
          <wp:wrapNone/>
          <wp:docPr id="68959802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626280635"/>
        <w:docPartObj>
          <w:docPartGallery w:val="Page Numbers (Bottom of Page)"/>
          <w:docPartUnique/>
        </w:docPartObj>
      </w:sdtPr>
      <w:sdtEndPr>
        <w:rPr>
          <w:rStyle w:val="PageNumber"/>
        </w:rPr>
      </w:sdtEnd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sidRPr="003C623B">
          <w:rPr>
            <w:rStyle w:val="PageNumber"/>
          </w:rPr>
          <w:t>4</w:t>
        </w:r>
        <w:r w:rsidRPr="003C623B">
          <w:rPr>
            <w:rStyle w:val="PageNumber"/>
          </w:rPr>
          <w:fldChar w:fldCharType="end"/>
        </w:r>
        <w:r w:rsidRPr="003C623B">
          <w:rPr>
            <w:noProof/>
          </w:rPr>
          <w:t xml:space="preserve"> </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9BC3" w14:textId="3E82A5C1" w:rsidR="002F13B5" w:rsidRPr="00983D79" w:rsidRDefault="00AE1E3E" w:rsidP="00592520">
    <w:pPr>
      <w:pStyle w:val="PageNumberWhite"/>
      <w:spacing w:after="0"/>
    </w:pPr>
    <w:sdt>
      <w:sdtPr>
        <w:id w:val="1343052436"/>
        <w:docPartObj>
          <w:docPartGallery w:val="Page Numbers (Bottom of Page)"/>
          <w:docPartUnique/>
        </w:docPartObj>
      </w:sdtPr>
      <w:sdtEndPr/>
      <w:sdtContent>
        <w:r w:rsidR="002F13B5" w:rsidRPr="00983D79">
          <w:fldChar w:fldCharType="begin"/>
        </w:r>
        <w:r w:rsidR="002F13B5" w:rsidRPr="00983D79">
          <w:instrText xml:space="preserve"> PAGE </w:instrText>
        </w:r>
        <w:r w:rsidR="002F13B5" w:rsidRPr="00983D79">
          <w:fldChar w:fldCharType="separate"/>
        </w:r>
        <w:r w:rsidR="002F13B5" w:rsidRPr="00983D79">
          <w:t>6</w:t>
        </w:r>
        <w:r w:rsidR="002F13B5" w:rsidRPr="00983D79">
          <w:fldChar w:fldCharType="end"/>
        </w:r>
      </w:sdtContent>
    </w:sdt>
    <w:r w:rsidR="002F13B5" w:rsidRPr="00983D79">
      <w:t xml:space="preserve"> </w:t>
    </w:r>
    <w:r w:rsidR="002F13B5" w:rsidRPr="00983D79">
      <w:rPr>
        <w:noProof/>
      </w:rPr>
      <w:drawing>
        <wp:anchor distT="0" distB="0" distL="114300" distR="114300" simplePos="0" relativeHeight="251684963" behindDoc="1" locked="1" layoutInCell="1" allowOverlap="1" wp14:anchorId="03BA4B94" wp14:editId="7B515AFE">
          <wp:simplePos x="0" y="0"/>
          <wp:positionH relativeFrom="page">
            <wp:posOffset>-314960</wp:posOffset>
          </wp:positionH>
          <wp:positionV relativeFrom="page">
            <wp:posOffset>-346710</wp:posOffset>
          </wp:positionV>
          <wp:extent cx="7863205" cy="11174730"/>
          <wp:effectExtent l="0" t="0" r="4445" b="7620"/>
          <wp:wrapNone/>
          <wp:docPr id="4322594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9150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63205" cy="111747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3624228"/>
      <w:docPartObj>
        <w:docPartGallery w:val="Page Numbers (Bottom of Page)"/>
        <w:docPartUnique/>
      </w:docPartObj>
    </w:sdtPr>
    <w:sdtEndPr>
      <w:rPr>
        <w:rStyle w:val="PageNumber"/>
      </w:rPr>
    </w:sdtEndPr>
    <w:sdtContent>
      <w:p w14:paraId="2E299A6D" w14:textId="31D4CBED" w:rsidR="008F5F85" w:rsidRPr="001C014C" w:rsidRDefault="008F5F85" w:rsidP="001C014C">
        <w:pPr>
          <w:pStyle w:val="FooterOdd"/>
          <w:rPr>
            <w:rStyle w:val="PageNumber"/>
          </w:rPr>
        </w:pPr>
        <w:r>
          <w:rPr>
            <w:noProof/>
          </w:rPr>
          <w:drawing>
            <wp:anchor distT="0" distB="0" distL="114300" distR="114300" simplePos="0" relativeHeight="251791459" behindDoc="1" locked="0" layoutInCell="1" allowOverlap="1" wp14:anchorId="0D161C92" wp14:editId="1737501D">
              <wp:simplePos x="0" y="0"/>
              <wp:positionH relativeFrom="page">
                <wp:posOffset>7473</wp:posOffset>
              </wp:positionH>
              <wp:positionV relativeFrom="paragraph">
                <wp:posOffset>-1186180</wp:posOffset>
              </wp:positionV>
              <wp:extent cx="7582953" cy="2862000"/>
              <wp:effectExtent l="0" t="0" r="0" b="0"/>
              <wp:wrapNone/>
              <wp:docPr id="198585199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845828514"/>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5C34" w14:textId="77777777" w:rsidR="008F5F85" w:rsidRPr="003C623B" w:rsidRDefault="008F5F85" w:rsidP="00BD7AD5">
    <w:pPr>
      <w:pStyle w:val="Footer"/>
      <w:spacing w:after="0"/>
    </w:pPr>
    <w:r w:rsidRPr="003C623B">
      <w:rPr>
        <w:noProof/>
      </w:rPr>
      <w:drawing>
        <wp:anchor distT="0" distB="0" distL="114300" distR="114300" simplePos="0" relativeHeight="251797603" behindDoc="1" locked="0" layoutInCell="1" allowOverlap="1" wp14:anchorId="1778221E" wp14:editId="76C18999">
          <wp:simplePos x="0" y="0"/>
          <wp:positionH relativeFrom="page">
            <wp:posOffset>-25400</wp:posOffset>
          </wp:positionH>
          <wp:positionV relativeFrom="paragraph">
            <wp:posOffset>-1159510</wp:posOffset>
          </wp:positionV>
          <wp:extent cx="7581600" cy="2860812"/>
          <wp:effectExtent l="0" t="0" r="635" b="0"/>
          <wp:wrapNone/>
          <wp:docPr id="126012246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140397045"/>
        <w:docPartObj>
          <w:docPartGallery w:val="Page Numbers (Bottom of Page)"/>
          <w:docPartUnique/>
        </w:docPartObj>
      </w:sdtPr>
      <w:sdtEndPr>
        <w:rPr>
          <w:rStyle w:val="PageNumber"/>
        </w:rPr>
      </w:sdtEnd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sidRPr="003C623B">
          <w:rPr>
            <w:rStyle w:val="PageNumber"/>
          </w:rPr>
          <w:t>4</w:t>
        </w:r>
        <w:r w:rsidRPr="003C623B">
          <w:rPr>
            <w:rStyle w:val="PageNumber"/>
          </w:rPr>
          <w:fldChar w:fldCharType="end"/>
        </w:r>
        <w:r w:rsidRPr="003C623B">
          <w:rPr>
            <w:noProof/>
          </w:rPr>
          <w:t xml:space="preserve"> </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2674" w14:textId="77777777" w:rsidR="002F13B5" w:rsidRPr="00983D79" w:rsidRDefault="00AE1E3E" w:rsidP="00592520">
    <w:pPr>
      <w:pStyle w:val="PageNumberWhite"/>
      <w:spacing w:after="0"/>
    </w:pPr>
    <w:sdt>
      <w:sdtPr>
        <w:id w:val="832491513"/>
        <w:docPartObj>
          <w:docPartGallery w:val="Page Numbers (Bottom of Page)"/>
          <w:docPartUnique/>
        </w:docPartObj>
      </w:sdtPr>
      <w:sdtEndPr/>
      <w:sdtContent>
        <w:r w:rsidR="002F13B5" w:rsidRPr="00983D79">
          <w:fldChar w:fldCharType="begin"/>
        </w:r>
        <w:r w:rsidR="002F13B5" w:rsidRPr="00983D79">
          <w:instrText xml:space="preserve"> PAGE </w:instrText>
        </w:r>
        <w:r w:rsidR="002F13B5" w:rsidRPr="00983D79">
          <w:fldChar w:fldCharType="separate"/>
        </w:r>
        <w:r w:rsidR="002F13B5" w:rsidRPr="00983D79">
          <w:t>6</w:t>
        </w:r>
        <w:r w:rsidR="002F13B5" w:rsidRPr="00983D79">
          <w:fldChar w:fldCharType="end"/>
        </w:r>
      </w:sdtContent>
    </w:sdt>
    <w:r w:rsidR="002F13B5" w:rsidRPr="00983D79">
      <w:t xml:space="preserve"> </w:t>
    </w:r>
    <w:r w:rsidR="002F13B5" w:rsidRPr="00983D79">
      <w:rPr>
        <w:noProof/>
      </w:rPr>
      <w:drawing>
        <wp:anchor distT="0" distB="0" distL="114300" distR="114300" simplePos="0" relativeHeight="251692131" behindDoc="1" locked="1" layoutInCell="1" allowOverlap="1" wp14:anchorId="61311824" wp14:editId="4303E802">
          <wp:simplePos x="0" y="0"/>
          <wp:positionH relativeFrom="page">
            <wp:posOffset>-299085</wp:posOffset>
          </wp:positionH>
          <wp:positionV relativeFrom="page">
            <wp:posOffset>-346710</wp:posOffset>
          </wp:positionV>
          <wp:extent cx="7863205" cy="11174730"/>
          <wp:effectExtent l="0" t="0" r="4445" b="7620"/>
          <wp:wrapNone/>
          <wp:docPr id="15072339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3773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63205" cy="111747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0182777"/>
      <w:docPartObj>
        <w:docPartGallery w:val="Page Numbers (Bottom of Page)"/>
        <w:docPartUnique/>
      </w:docPartObj>
    </w:sdtPr>
    <w:sdtEndPr>
      <w:rPr>
        <w:rStyle w:val="PageNumber"/>
      </w:rPr>
    </w:sdtEndPr>
    <w:sdtContent>
      <w:p w14:paraId="4067E09B" w14:textId="77777777" w:rsidR="008F5F85" w:rsidRPr="001C014C" w:rsidRDefault="008F5F85" w:rsidP="001C014C">
        <w:pPr>
          <w:pStyle w:val="FooterOdd"/>
          <w:rPr>
            <w:rStyle w:val="PageNumber"/>
          </w:rPr>
        </w:pPr>
        <w:r>
          <w:rPr>
            <w:noProof/>
          </w:rPr>
          <w:drawing>
            <wp:anchor distT="0" distB="0" distL="114300" distR="114300" simplePos="0" relativeHeight="251795555" behindDoc="1" locked="0" layoutInCell="1" allowOverlap="1" wp14:anchorId="6C20751F" wp14:editId="343A05CC">
              <wp:simplePos x="0" y="0"/>
              <wp:positionH relativeFrom="page">
                <wp:posOffset>7473</wp:posOffset>
              </wp:positionH>
              <wp:positionV relativeFrom="paragraph">
                <wp:posOffset>-1186180</wp:posOffset>
              </wp:positionV>
              <wp:extent cx="7582953" cy="2862000"/>
              <wp:effectExtent l="0" t="0" r="0" b="0"/>
              <wp:wrapNone/>
              <wp:docPr id="79532837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541796970"/>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0121" w14:textId="77777777" w:rsidR="008F5F85" w:rsidRPr="003C623B" w:rsidRDefault="008F5F85" w:rsidP="00BD7AD5">
    <w:pPr>
      <w:pStyle w:val="Footer"/>
      <w:spacing w:after="0"/>
    </w:pPr>
    <w:r w:rsidRPr="003C623B">
      <w:rPr>
        <w:noProof/>
      </w:rPr>
      <w:drawing>
        <wp:anchor distT="0" distB="0" distL="114300" distR="114300" simplePos="0" relativeHeight="251801699" behindDoc="1" locked="0" layoutInCell="1" allowOverlap="1" wp14:anchorId="2ECBFECB" wp14:editId="62FA873D">
          <wp:simplePos x="0" y="0"/>
          <wp:positionH relativeFrom="page">
            <wp:posOffset>-25400</wp:posOffset>
          </wp:positionH>
          <wp:positionV relativeFrom="paragraph">
            <wp:posOffset>-1159510</wp:posOffset>
          </wp:positionV>
          <wp:extent cx="7581600" cy="2860812"/>
          <wp:effectExtent l="0" t="0" r="635" b="0"/>
          <wp:wrapNone/>
          <wp:docPr id="151540660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7451361"/>
        <w:docPartObj>
          <w:docPartGallery w:val="Page Numbers (Bottom of Page)"/>
          <w:docPartUnique/>
        </w:docPartObj>
      </w:sdtPr>
      <w:sdtEndPr>
        <w:rPr>
          <w:rStyle w:val="PageNumber"/>
        </w:rPr>
      </w:sdtEnd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sidRPr="003C623B">
          <w:rPr>
            <w:rStyle w:val="PageNumber"/>
          </w:rPr>
          <w:t>4</w:t>
        </w:r>
        <w:r w:rsidRPr="003C623B">
          <w:rPr>
            <w:rStyle w:val="PageNumber"/>
          </w:rPr>
          <w:fldChar w:fldCharType="end"/>
        </w:r>
        <w:r w:rsidRPr="003C623B">
          <w:rPr>
            <w:noProof/>
          </w:rPr>
          <w:t xml:space="preserve"> </w:t>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7698639"/>
      <w:docPartObj>
        <w:docPartGallery w:val="Page Numbers (Bottom of Page)"/>
        <w:docPartUnique/>
      </w:docPartObj>
    </w:sdtPr>
    <w:sdtEndPr>
      <w:rPr>
        <w:rStyle w:val="PageNumber"/>
      </w:rPr>
    </w:sdtEndPr>
    <w:sdtContent>
      <w:p w14:paraId="7F2AA00E" w14:textId="77777777" w:rsidR="008F5F85" w:rsidRPr="001C014C" w:rsidRDefault="008F5F85" w:rsidP="001C014C">
        <w:pPr>
          <w:pStyle w:val="FooterOdd"/>
          <w:rPr>
            <w:rStyle w:val="PageNumber"/>
          </w:rPr>
        </w:pPr>
        <w:r>
          <w:rPr>
            <w:noProof/>
          </w:rPr>
          <w:drawing>
            <wp:anchor distT="0" distB="0" distL="114300" distR="114300" simplePos="0" relativeHeight="251803747" behindDoc="1" locked="0" layoutInCell="1" allowOverlap="1" wp14:anchorId="214B456E" wp14:editId="5FB348AD">
              <wp:simplePos x="0" y="0"/>
              <wp:positionH relativeFrom="page">
                <wp:posOffset>7473</wp:posOffset>
              </wp:positionH>
              <wp:positionV relativeFrom="paragraph">
                <wp:posOffset>-1186180</wp:posOffset>
              </wp:positionV>
              <wp:extent cx="7582953" cy="2862000"/>
              <wp:effectExtent l="0" t="0" r="0" b="0"/>
              <wp:wrapNone/>
              <wp:docPr id="23064292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617888373"/>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70"/>
      <w:gridCol w:w="2570"/>
      <w:gridCol w:w="2570"/>
    </w:tblGrid>
    <w:tr w:rsidR="006C6C61" w14:paraId="3CF7ED5D" w14:textId="77777777" w:rsidTr="00AB56E6">
      <w:trPr>
        <w:trHeight w:val="300"/>
      </w:trPr>
      <w:tc>
        <w:tcPr>
          <w:tcW w:w="2570" w:type="dxa"/>
        </w:tcPr>
        <w:p w14:paraId="16E476EA" w14:textId="77777777" w:rsidR="006C6C61" w:rsidRDefault="006C6C61" w:rsidP="00AB56E6">
          <w:pPr>
            <w:pStyle w:val="Header"/>
            <w:ind w:left="-115"/>
          </w:pPr>
        </w:p>
      </w:tc>
      <w:tc>
        <w:tcPr>
          <w:tcW w:w="2570" w:type="dxa"/>
        </w:tcPr>
        <w:p w14:paraId="55B2ACAC" w14:textId="77777777" w:rsidR="006C6C61" w:rsidRDefault="006C6C61" w:rsidP="00AB56E6">
          <w:pPr>
            <w:pStyle w:val="Header"/>
            <w:jc w:val="center"/>
          </w:pPr>
        </w:p>
      </w:tc>
      <w:tc>
        <w:tcPr>
          <w:tcW w:w="2570" w:type="dxa"/>
        </w:tcPr>
        <w:p w14:paraId="42972F21" w14:textId="77777777" w:rsidR="006C6C61" w:rsidRDefault="006C6C61" w:rsidP="00AB56E6">
          <w:pPr>
            <w:pStyle w:val="Header"/>
            <w:ind w:right="-115"/>
            <w:jc w:val="right"/>
          </w:pPr>
        </w:p>
      </w:tc>
    </w:tr>
  </w:tbl>
  <w:p w14:paraId="0E59E39A" w14:textId="77777777" w:rsidR="006C6C61" w:rsidRDefault="006C6C6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A8AB" w14:textId="77777777" w:rsidR="002F13B5" w:rsidRPr="00983D79" w:rsidRDefault="00AE1E3E" w:rsidP="00592520">
    <w:pPr>
      <w:pStyle w:val="PageNumberWhite"/>
      <w:spacing w:after="0"/>
    </w:pPr>
    <w:sdt>
      <w:sdtPr>
        <w:id w:val="947508502"/>
        <w:docPartObj>
          <w:docPartGallery w:val="Page Numbers (Bottom of Page)"/>
          <w:docPartUnique/>
        </w:docPartObj>
      </w:sdtPr>
      <w:sdtEndPr/>
      <w:sdtContent>
        <w:r w:rsidR="002F13B5" w:rsidRPr="00983D79">
          <w:fldChar w:fldCharType="begin"/>
        </w:r>
        <w:r w:rsidR="002F13B5" w:rsidRPr="00983D79">
          <w:instrText xml:space="preserve"> PAGE </w:instrText>
        </w:r>
        <w:r w:rsidR="002F13B5" w:rsidRPr="00983D79">
          <w:fldChar w:fldCharType="separate"/>
        </w:r>
        <w:r w:rsidR="002F13B5" w:rsidRPr="00983D79">
          <w:t>6</w:t>
        </w:r>
        <w:r w:rsidR="002F13B5" w:rsidRPr="00983D79">
          <w:fldChar w:fldCharType="end"/>
        </w:r>
      </w:sdtContent>
    </w:sdt>
    <w:r w:rsidR="002F13B5" w:rsidRPr="00983D79">
      <w:t xml:space="preserve"> </w:t>
    </w:r>
    <w:r w:rsidR="002F13B5" w:rsidRPr="00983D79">
      <w:rPr>
        <w:noProof/>
      </w:rPr>
      <w:drawing>
        <wp:anchor distT="0" distB="0" distL="114300" distR="114300" simplePos="0" relativeHeight="251699299" behindDoc="1" locked="1" layoutInCell="1" allowOverlap="1" wp14:anchorId="3B6353BB" wp14:editId="26EA9736">
          <wp:simplePos x="0" y="0"/>
          <wp:positionH relativeFrom="page">
            <wp:posOffset>-299085</wp:posOffset>
          </wp:positionH>
          <wp:positionV relativeFrom="page">
            <wp:posOffset>-346710</wp:posOffset>
          </wp:positionV>
          <wp:extent cx="7863205" cy="11174730"/>
          <wp:effectExtent l="0" t="0" r="4445" b="7620"/>
          <wp:wrapNone/>
          <wp:docPr id="4421639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601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63205" cy="111747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2096961"/>
      <w:docPartObj>
        <w:docPartGallery w:val="Page Numbers (Bottom of Page)"/>
        <w:docPartUnique/>
      </w:docPartObj>
    </w:sdtPr>
    <w:sdtEndPr>
      <w:rPr>
        <w:rStyle w:val="PageNumber"/>
      </w:rPr>
    </w:sdtEndPr>
    <w:sdtContent>
      <w:p w14:paraId="14D9B197" w14:textId="77777777" w:rsidR="008F5F85" w:rsidRPr="001C014C" w:rsidRDefault="008F5F85" w:rsidP="001C014C">
        <w:pPr>
          <w:pStyle w:val="FooterOdd"/>
          <w:rPr>
            <w:rStyle w:val="PageNumber"/>
          </w:rPr>
        </w:pPr>
        <w:r>
          <w:rPr>
            <w:noProof/>
          </w:rPr>
          <w:drawing>
            <wp:anchor distT="0" distB="0" distL="114300" distR="114300" simplePos="0" relativeHeight="251799651" behindDoc="1" locked="0" layoutInCell="1" allowOverlap="1" wp14:anchorId="7E7EA500" wp14:editId="5B8CE536">
              <wp:simplePos x="0" y="0"/>
              <wp:positionH relativeFrom="page">
                <wp:posOffset>7473</wp:posOffset>
              </wp:positionH>
              <wp:positionV relativeFrom="paragraph">
                <wp:posOffset>-1186180</wp:posOffset>
              </wp:positionV>
              <wp:extent cx="7582953" cy="2862000"/>
              <wp:effectExtent l="0" t="0" r="0" b="0"/>
              <wp:wrapNone/>
              <wp:docPr id="53795968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445809687"/>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C089" w14:textId="77777777" w:rsidR="00362E02" w:rsidRPr="003C623B" w:rsidRDefault="00362E02" w:rsidP="00BD7AD5">
    <w:pPr>
      <w:pStyle w:val="Footer"/>
      <w:spacing w:after="0"/>
    </w:pPr>
    <w:r>
      <w:rPr>
        <w:noProof/>
      </w:rPr>
      <w:drawing>
        <wp:anchor distT="0" distB="0" distL="114300" distR="114300" simplePos="0" relativeHeight="251807843" behindDoc="1" locked="0" layoutInCell="1" allowOverlap="1" wp14:anchorId="25601CE4" wp14:editId="7341177D">
          <wp:simplePos x="0" y="0"/>
          <wp:positionH relativeFrom="page">
            <wp:posOffset>-25400</wp:posOffset>
          </wp:positionH>
          <wp:positionV relativeFrom="paragraph">
            <wp:posOffset>-1159510</wp:posOffset>
          </wp:positionV>
          <wp:extent cx="7581600" cy="2860812"/>
          <wp:effectExtent l="0" t="0" r="635" b="0"/>
          <wp:wrapNone/>
          <wp:docPr id="2058479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1129087106"/>
        <w:docPartObj>
          <w:docPartGallery w:val="Page Numbers (Bottom of Page)"/>
          <w:docPartUnique/>
        </w:docPartObj>
      </w:sdtPr>
      <w:sdtEndPr>
        <w:rPr>
          <w:rStyle w:val="PageNumber"/>
        </w:rPr>
      </w:sdtEnd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sidRPr="003C623B">
          <w:rPr>
            <w:rStyle w:val="PageNumber"/>
          </w:rPr>
          <w:t>4</w:t>
        </w:r>
        <w:r w:rsidRPr="003C623B">
          <w:rPr>
            <w:rStyle w:val="PageNumber"/>
          </w:rPr>
          <w:fldChar w:fldCharType="end"/>
        </w:r>
        <w:r w:rsidRPr="003C623B">
          <w:rPr>
            <w:noProof/>
          </w:rPr>
          <w:t xml:space="preserve"> </w:t>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DD19" w14:textId="77777777" w:rsidR="002F13B5" w:rsidRPr="00983D79" w:rsidRDefault="00AE1E3E" w:rsidP="00592520">
    <w:pPr>
      <w:pStyle w:val="PageNumberWhite"/>
      <w:spacing w:after="0"/>
    </w:pPr>
    <w:sdt>
      <w:sdtPr>
        <w:id w:val="-1494861080"/>
        <w:docPartObj>
          <w:docPartGallery w:val="Page Numbers (Bottom of Page)"/>
          <w:docPartUnique/>
        </w:docPartObj>
      </w:sdtPr>
      <w:sdtEndPr/>
      <w:sdtContent>
        <w:r w:rsidR="002F13B5" w:rsidRPr="00983D79">
          <w:fldChar w:fldCharType="begin"/>
        </w:r>
        <w:r w:rsidR="002F13B5" w:rsidRPr="00983D79">
          <w:instrText xml:space="preserve"> PAGE </w:instrText>
        </w:r>
        <w:r w:rsidR="002F13B5" w:rsidRPr="00983D79">
          <w:fldChar w:fldCharType="separate"/>
        </w:r>
        <w:r w:rsidR="002F13B5" w:rsidRPr="00983D79">
          <w:t>6</w:t>
        </w:r>
        <w:r w:rsidR="002F13B5" w:rsidRPr="00983D79">
          <w:fldChar w:fldCharType="end"/>
        </w:r>
      </w:sdtContent>
    </w:sdt>
    <w:r w:rsidR="002F13B5" w:rsidRPr="00983D79">
      <w:t xml:space="preserve"> </w:t>
    </w:r>
    <w:r w:rsidR="002F13B5" w:rsidRPr="00983D79">
      <w:rPr>
        <w:noProof/>
      </w:rPr>
      <w:drawing>
        <wp:anchor distT="0" distB="0" distL="114300" distR="114300" simplePos="0" relativeHeight="251709539" behindDoc="1" locked="1" layoutInCell="1" allowOverlap="1" wp14:anchorId="39B2B99C" wp14:editId="54910307">
          <wp:simplePos x="0" y="0"/>
          <wp:positionH relativeFrom="page">
            <wp:posOffset>-299720</wp:posOffset>
          </wp:positionH>
          <wp:positionV relativeFrom="page">
            <wp:posOffset>-346710</wp:posOffset>
          </wp:positionV>
          <wp:extent cx="7863205" cy="11174730"/>
          <wp:effectExtent l="0" t="0" r="4445" b="7620"/>
          <wp:wrapNone/>
          <wp:docPr id="14109926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24649"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63205" cy="1117473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7325493"/>
      <w:docPartObj>
        <w:docPartGallery w:val="Page Numbers (Bottom of Page)"/>
        <w:docPartUnique/>
      </w:docPartObj>
    </w:sdtPr>
    <w:sdtEndPr>
      <w:rPr>
        <w:rStyle w:val="PageNumber"/>
      </w:rPr>
    </w:sdtEndPr>
    <w:sdtContent>
      <w:p w14:paraId="3CD87C85" w14:textId="77777777" w:rsidR="008F5F85" w:rsidRPr="001C014C" w:rsidRDefault="008F5F85" w:rsidP="001C014C">
        <w:pPr>
          <w:pStyle w:val="FooterOdd"/>
          <w:rPr>
            <w:rStyle w:val="PageNumber"/>
          </w:rPr>
        </w:pPr>
        <w:r>
          <w:rPr>
            <w:noProof/>
          </w:rPr>
          <w:drawing>
            <wp:anchor distT="0" distB="0" distL="114300" distR="114300" simplePos="0" relativeHeight="251805795" behindDoc="1" locked="0" layoutInCell="1" allowOverlap="1" wp14:anchorId="582DCE3C" wp14:editId="704DBE6B">
              <wp:simplePos x="0" y="0"/>
              <wp:positionH relativeFrom="page">
                <wp:posOffset>7473</wp:posOffset>
              </wp:positionH>
              <wp:positionV relativeFrom="paragraph">
                <wp:posOffset>-1186180</wp:posOffset>
              </wp:positionV>
              <wp:extent cx="7582953" cy="2862000"/>
              <wp:effectExtent l="0" t="0" r="0" b="0"/>
              <wp:wrapNone/>
              <wp:docPr id="16507179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378897493"/>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D762" w14:textId="57D32D58" w:rsidR="000D0F04" w:rsidRPr="004B423B" w:rsidRDefault="000D0F04" w:rsidP="004B423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4722871"/>
      <w:docPartObj>
        <w:docPartGallery w:val="Page Numbers (Bottom of Page)"/>
        <w:docPartUnique/>
      </w:docPartObj>
    </w:sdtPr>
    <w:sdtEndPr>
      <w:rPr>
        <w:rStyle w:val="PageNumber"/>
        <w:b/>
        <w:bCs/>
      </w:rPr>
    </w:sdtEndPr>
    <w:sdtContent>
      <w:p w14:paraId="4830B84C" w14:textId="77777777" w:rsidR="004B423B" w:rsidRPr="00CE0072" w:rsidRDefault="004B423B" w:rsidP="00C07F13">
        <w:pPr>
          <w:pStyle w:val="FooterOdd"/>
          <w:tabs>
            <w:tab w:val="right" w:pos="9072"/>
          </w:tabs>
        </w:pPr>
        <w:r>
          <w:rPr>
            <w:noProof/>
          </w:rPr>
          <mc:AlternateContent>
            <mc:Choice Requires="wps">
              <w:drawing>
                <wp:anchor distT="45720" distB="45720" distL="114300" distR="114300" simplePos="0" relativeHeight="251743331" behindDoc="0" locked="0" layoutInCell="1" allowOverlap="1" wp14:anchorId="7B1282F0" wp14:editId="3DA366B6">
                  <wp:simplePos x="0" y="0"/>
                  <wp:positionH relativeFrom="column">
                    <wp:posOffset>-1443355</wp:posOffset>
                  </wp:positionH>
                  <wp:positionV relativeFrom="paragraph">
                    <wp:posOffset>-1359535</wp:posOffset>
                  </wp:positionV>
                  <wp:extent cx="2360930" cy="258445"/>
                  <wp:effectExtent l="3492" t="0" r="4763" b="4762"/>
                  <wp:wrapSquare wrapText="bothSides"/>
                  <wp:docPr id="173868718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7201C8F2" w14:textId="77777777" w:rsidR="004B423B" w:rsidRPr="00121C95" w:rsidRDefault="004B423B" w:rsidP="00EE5D8D">
                              <w:pPr>
                                <w:pStyle w:val="FooterOdd"/>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4986DD94" w14:textId="77777777" w:rsidR="004B423B" w:rsidRPr="00121C95" w:rsidRDefault="004B423B" w:rsidP="00EE5D8D">
                              <w:pPr>
                                <w:jc w:val="right"/>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282F0" id="_x0000_t202" coordsize="21600,21600" o:spt="202" path="m,l,21600r21600,l21600,xe">
                  <v:stroke joinstyle="miter"/>
                  <v:path gradientshapeok="t" o:connecttype="rect"/>
                </v:shapetype>
                <v:shape id="_x0000_s1029" type="#_x0000_t202" alt="&quot;&quot;" style="position:absolute;left:0;text-align:left;margin-left:-113.65pt;margin-top:-107.05pt;width:185.9pt;height:20.35pt;rotation:90;z-index:251743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" filled="f" stroked="f">
                  <v:textbox inset=",,0">
                    <w:txbxContent>
                      <w:p w14:paraId="7201C8F2" w14:textId="77777777" w:rsidR="004B423B" w:rsidRPr="00121C95" w:rsidRDefault="004B423B" w:rsidP="00EE5D8D">
                        <w:pPr>
                          <w:pStyle w:val="FooterOdd"/>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4986DD94" w14:textId="77777777" w:rsidR="004B423B" w:rsidRPr="00121C95" w:rsidRDefault="004B423B" w:rsidP="00EE5D8D">
                        <w:pPr>
                          <w:jc w:val="right"/>
                        </w:pPr>
                      </w:p>
                    </w:txbxContent>
                  </v:textbox>
                  <w10:wrap type="square"/>
                </v:shape>
              </w:pict>
            </mc:Fallback>
          </mc:AlternateContent>
        </w:r>
        <w:r>
          <w:rPr>
            <w:noProof/>
          </w:rPr>
          <w:drawing>
            <wp:anchor distT="0" distB="0" distL="114300" distR="114300" simplePos="0" relativeHeight="251746403" behindDoc="1" locked="1" layoutInCell="1" allowOverlap="1" wp14:anchorId="06C7610C" wp14:editId="329DD97D">
              <wp:simplePos x="0" y="0"/>
              <wp:positionH relativeFrom="page">
                <wp:posOffset>-2689225</wp:posOffset>
              </wp:positionH>
              <wp:positionV relativeFrom="paragraph">
                <wp:posOffset>-3846830</wp:posOffset>
              </wp:positionV>
              <wp:extent cx="7609840" cy="2872105"/>
              <wp:effectExtent l="0" t="0" r="0" b="0"/>
              <wp:wrapNone/>
              <wp:docPr id="114105915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1701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609840" cy="28721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5379" behindDoc="0" locked="0" layoutInCell="1" allowOverlap="1" wp14:anchorId="79735AEC" wp14:editId="387F2699">
                  <wp:simplePos x="0" y="0"/>
                  <wp:positionH relativeFrom="column">
                    <wp:posOffset>-2296105</wp:posOffset>
                  </wp:positionH>
                  <wp:positionV relativeFrom="paragraph">
                    <wp:posOffset>-2003066</wp:posOffset>
                  </wp:positionV>
                  <wp:extent cx="242514" cy="299362"/>
                  <wp:effectExtent l="0" t="0" r="5715" b="5715"/>
                  <wp:wrapNone/>
                  <wp:docPr id="202788134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549C4" id="Rectangle 1" o:spid="_x0000_s1026" alt="&quot;&quot;" style="position:absolute;margin-left:-180.8pt;margin-top:-157.7pt;width:19.1pt;height:23.55pt;z-index:251745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" fillcolor="#472978 [3204]" stroked="f" strokeweight="1pt"/>
              </w:pict>
            </mc:Fallback>
          </mc:AlternateContent>
        </w:r>
        <w:r>
          <w:rPr>
            <w:noProof/>
          </w:rPr>
          <mc:AlternateContent>
            <mc:Choice Requires="wps">
              <w:drawing>
                <wp:anchor distT="0" distB="0" distL="114300" distR="114300" simplePos="0" relativeHeight="251744355" behindDoc="0" locked="0" layoutInCell="1" allowOverlap="1" wp14:anchorId="51FC39BC" wp14:editId="4814A303">
                  <wp:simplePos x="0" y="0"/>
                  <wp:positionH relativeFrom="column">
                    <wp:posOffset>-2447152</wp:posOffset>
                  </wp:positionH>
                  <wp:positionV relativeFrom="paragraph">
                    <wp:posOffset>-2157620</wp:posOffset>
                  </wp:positionV>
                  <wp:extent cx="242514" cy="299362"/>
                  <wp:effectExtent l="0" t="0" r="5715" b="5715"/>
                  <wp:wrapNone/>
                  <wp:docPr id="8969912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B84B5" id="Rectangle 1" o:spid="_x0000_s1026" alt="&quot;&quot;" style="position:absolute;margin-left:-192.7pt;margin-top:-169.9pt;width:19.1pt;height:23.55pt;z-index:251744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" fillcolor="#472978 [3204]" stroked="f" strokeweight="1pt"/>
              </w:pict>
            </mc:Fallback>
          </mc:AlternateContent>
        </w:r>
        <w:r>
          <w:rPr>
            <w:noProof/>
          </w:rPr>
          <mc:AlternateContent>
            <mc:Choice Requires="wps">
              <w:drawing>
                <wp:anchor distT="45720" distB="45720" distL="114300" distR="114300" simplePos="0" relativeHeight="251742307" behindDoc="0" locked="0" layoutInCell="1" allowOverlap="1" wp14:anchorId="2AD8AC73" wp14:editId="72E148CE">
                  <wp:simplePos x="0" y="0"/>
                  <wp:positionH relativeFrom="column">
                    <wp:posOffset>-1568767</wp:posOffset>
                  </wp:positionH>
                  <wp:positionV relativeFrom="paragraph">
                    <wp:posOffset>2210434</wp:posOffset>
                  </wp:positionV>
                  <wp:extent cx="2360930" cy="258445"/>
                  <wp:effectExtent l="3492" t="0" r="23813" b="23812"/>
                  <wp:wrapSquare wrapText="bothSides"/>
                  <wp:docPr id="1989999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55EF65BC" w14:textId="120D68B3" w:rsidR="004B423B" w:rsidRPr="009267A9" w:rsidRDefault="00307BFD" w:rsidP="00EE5D8D">
                              <w:pPr>
                                <w:pStyle w:val="FooterOdd"/>
                                <w:tabs>
                                  <w:tab w:val="right" w:pos="9072"/>
                                </w:tabs>
                              </w:pPr>
                              <w:fldSimple w:instr=" STYLEREF  &quot;Heading 1&quot;  \* MERGEFORMAT ">
                                <w:r w:rsidR="00AE1E3E">
                                  <w:rPr>
                                    <w:noProof/>
                                  </w:rPr>
                                  <w:t>How Purpose 4 is achieved</w:t>
                                </w:r>
                              </w:fldSimple>
                              <w:r w:rsidR="004B423B">
                                <w:t xml:space="preserve"> | </w:t>
                              </w:r>
                              <w:r w:rsidR="004B423B">
                                <w:fldChar w:fldCharType="begin"/>
                              </w:r>
                              <w:r w:rsidR="004B423B">
                                <w:instrText xml:space="preserve"> PAGE   \* MERGEFORMAT </w:instrText>
                              </w:r>
                              <w:r w:rsidR="004B423B">
                                <w:fldChar w:fldCharType="separate"/>
                              </w:r>
                              <w:r w:rsidR="004B423B">
                                <w:t>5</w:t>
                              </w:r>
                              <w:r w:rsidR="004B423B">
                                <w:fldChar w:fldCharType="end"/>
                              </w:r>
                            </w:p>
                            <w:p w14:paraId="5C1EB782" w14:textId="77777777" w:rsidR="004B423B" w:rsidRDefault="004B423B" w:rsidP="00EE5D8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D8AC73" id="_x0000_t202" coordsize="21600,21600" o:spt="202" path="m,l,21600r21600,l21600,xe">
                  <v:stroke joinstyle="miter"/>
                  <v:path gradientshapeok="t" o:connecttype="rect"/>
                </v:shapetype>
                <v:shape id="_x0000_s1030" type="#_x0000_t202" alt="&quot;&quot;" style="position:absolute;left:0;text-align:left;margin-left:-123.5pt;margin-top:174.05pt;width:185.9pt;height:20.35pt;rotation:90;z-index:251742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VGAIAAAo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" filled="f" strokecolor="white [3212]">
                  <v:textbox>
                    <w:txbxContent>
                      <w:p w14:paraId="55EF65BC" w14:textId="120D68B3" w:rsidR="004B423B" w:rsidRPr="009267A9" w:rsidRDefault="00307BFD" w:rsidP="00EE5D8D">
                        <w:pPr>
                          <w:pStyle w:val="FooterOdd"/>
                          <w:tabs>
                            <w:tab w:val="right" w:pos="9072"/>
                          </w:tabs>
                        </w:pPr>
                        <w:fldSimple w:instr=" STYLEREF  &quot;Heading 1&quot;  \* MERGEFORMAT ">
                          <w:r w:rsidR="00AE1E3E">
                            <w:rPr>
                              <w:noProof/>
                            </w:rPr>
                            <w:t>How Purpose 4 is achieved</w:t>
                          </w:r>
                        </w:fldSimple>
                        <w:r w:rsidR="004B423B">
                          <w:t xml:space="preserve"> | </w:t>
                        </w:r>
                        <w:r w:rsidR="004B423B">
                          <w:fldChar w:fldCharType="begin"/>
                        </w:r>
                        <w:r w:rsidR="004B423B">
                          <w:instrText xml:space="preserve"> PAGE   \* MERGEFORMAT </w:instrText>
                        </w:r>
                        <w:r w:rsidR="004B423B">
                          <w:fldChar w:fldCharType="separate"/>
                        </w:r>
                        <w:r w:rsidR="004B423B">
                          <w:t>5</w:t>
                        </w:r>
                        <w:r w:rsidR="004B423B">
                          <w:fldChar w:fldCharType="end"/>
                        </w:r>
                      </w:p>
                      <w:p w14:paraId="5C1EB782" w14:textId="77777777" w:rsidR="004B423B" w:rsidRDefault="004B423B" w:rsidP="00EE5D8D">
                        <w:pPr>
                          <w:jc w:val="right"/>
                        </w:pPr>
                      </w:p>
                    </w:txbxContent>
                  </v:textbox>
                  <w10:wrap type="square"/>
                </v:shape>
              </w:pict>
            </mc:Fallback>
          </mc:AlternateContent>
        </w:r>
        <w:r>
          <w:rPr>
            <w:noProof/>
          </w:rPr>
          <mc:AlternateContent>
            <mc:Choice Requires="wps">
              <w:drawing>
                <wp:anchor distT="45720" distB="45720" distL="114300" distR="114300" simplePos="0" relativeHeight="251741283" behindDoc="0" locked="0" layoutInCell="1" allowOverlap="1" wp14:anchorId="5A5C96CE" wp14:editId="2D123301">
                  <wp:simplePos x="0" y="0"/>
                  <wp:positionH relativeFrom="column">
                    <wp:posOffset>-1568767</wp:posOffset>
                  </wp:positionH>
                  <wp:positionV relativeFrom="paragraph">
                    <wp:posOffset>2210434</wp:posOffset>
                  </wp:positionV>
                  <wp:extent cx="2360930" cy="258445"/>
                  <wp:effectExtent l="3492" t="0" r="23813" b="23812"/>
                  <wp:wrapSquare wrapText="bothSides"/>
                  <wp:docPr id="213142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2172EABE" w14:textId="0171F3BF" w:rsidR="004B423B" w:rsidRPr="009267A9" w:rsidRDefault="00307BFD" w:rsidP="00C07F13">
                              <w:pPr>
                                <w:pStyle w:val="FooterOdd"/>
                                <w:tabs>
                                  <w:tab w:val="right" w:pos="9072"/>
                                </w:tabs>
                              </w:pPr>
                              <w:fldSimple w:instr=" STYLEREF  &quot;Heading 1&quot;  \* MERGEFORMAT ">
                                <w:r w:rsidR="00AE1E3E">
                                  <w:rPr>
                                    <w:noProof/>
                                  </w:rPr>
                                  <w:t>How Purpose 4 is achieved</w:t>
                                </w:r>
                              </w:fldSimple>
                              <w:r w:rsidR="004B423B">
                                <w:t xml:space="preserve"> | </w:t>
                              </w:r>
                              <w:r w:rsidR="004B423B">
                                <w:fldChar w:fldCharType="begin"/>
                              </w:r>
                              <w:r w:rsidR="004B423B">
                                <w:instrText xml:space="preserve"> PAGE   \* MERGEFORMAT </w:instrText>
                              </w:r>
                              <w:r w:rsidR="004B423B">
                                <w:fldChar w:fldCharType="separate"/>
                              </w:r>
                              <w:r w:rsidR="004B423B">
                                <w:t>5</w:t>
                              </w:r>
                              <w:r w:rsidR="004B423B">
                                <w:fldChar w:fldCharType="end"/>
                              </w:r>
                            </w:p>
                            <w:p w14:paraId="50A43FCF" w14:textId="77777777" w:rsidR="004B423B" w:rsidRDefault="004B423B" w:rsidP="00C07F13">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C96CE" id="_x0000_s1031" type="#_x0000_t202" style="position:absolute;left:0;text-align:left;margin-left:-123.5pt;margin-top:174.05pt;width:185.9pt;height:20.35pt;rotation:90;z-index:251741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UjFwIAAAo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" filled="f" strokecolor="white [3212]">
                  <v:textbox>
                    <w:txbxContent>
                      <w:p w14:paraId="2172EABE" w14:textId="0171F3BF" w:rsidR="004B423B" w:rsidRPr="009267A9" w:rsidRDefault="00307BFD" w:rsidP="00C07F13">
                        <w:pPr>
                          <w:pStyle w:val="FooterOdd"/>
                          <w:tabs>
                            <w:tab w:val="right" w:pos="9072"/>
                          </w:tabs>
                        </w:pPr>
                        <w:fldSimple w:instr=" STYLEREF  &quot;Heading 1&quot;  \* MERGEFORMAT ">
                          <w:r w:rsidR="00AE1E3E">
                            <w:rPr>
                              <w:noProof/>
                            </w:rPr>
                            <w:t>How Purpose 4 is achieved</w:t>
                          </w:r>
                        </w:fldSimple>
                        <w:r w:rsidR="004B423B">
                          <w:t xml:space="preserve"> | </w:t>
                        </w:r>
                        <w:r w:rsidR="004B423B">
                          <w:fldChar w:fldCharType="begin"/>
                        </w:r>
                        <w:r w:rsidR="004B423B">
                          <w:instrText xml:space="preserve"> PAGE   \* MERGEFORMAT </w:instrText>
                        </w:r>
                        <w:r w:rsidR="004B423B">
                          <w:fldChar w:fldCharType="separate"/>
                        </w:r>
                        <w:r w:rsidR="004B423B">
                          <w:t>5</w:t>
                        </w:r>
                        <w:r w:rsidR="004B423B">
                          <w:fldChar w:fldCharType="end"/>
                        </w:r>
                      </w:p>
                      <w:p w14:paraId="50A43FCF" w14:textId="77777777" w:rsidR="004B423B" w:rsidRDefault="004B423B" w:rsidP="00C07F13">
                        <w:pPr>
                          <w:jc w:val="right"/>
                        </w:pPr>
                      </w:p>
                    </w:txbxContent>
                  </v:textbox>
                  <w10:wrap type="square"/>
                </v:shape>
              </w:pict>
            </mc:Fallback>
          </mc:AlternateContent>
        </w:r>
      </w:p>
    </w:sdtContent>
  </w:sdt>
  <w:p w14:paraId="101B1C1F" w14:textId="77777777" w:rsidR="004B423B" w:rsidRPr="00800EF1" w:rsidRDefault="004B423B" w:rsidP="00800EF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D303" w14:textId="77777777" w:rsidR="00B45B09" w:rsidRPr="00C95C8D" w:rsidRDefault="00AE1E3E" w:rsidP="000D0F04">
    <w:pPr>
      <w:pStyle w:val="Header"/>
      <w:jc w:val="right"/>
      <w:rPr>
        <w:lang w:val="en-US"/>
      </w:rPr>
    </w:pPr>
    <w:sdt>
      <w:sdtPr>
        <w:rPr>
          <w:rStyle w:val="PageNumber"/>
        </w:rPr>
        <w:id w:val="-1307851582"/>
        <w:docPartObj>
          <w:docPartGallery w:val="Page Numbers (Bottom of Page)"/>
          <w:docPartUnique/>
        </w:docPartObj>
      </w:sdtPr>
      <w:sdtEndPr>
        <w:rPr>
          <w:rStyle w:val="PageNumber"/>
          <w:b/>
          <w:bCs w:val="0"/>
        </w:rPr>
      </w:sdtEndPr>
      <w:sdtContent>
        <w:sdt>
          <w:sdtPr>
            <w:rPr>
              <w:rStyle w:val="PageNumber"/>
            </w:rPr>
            <w:id w:val="-1620367596"/>
            <w:docPartObj>
              <w:docPartGallery w:val="Page Numbers (Bottom of Page)"/>
              <w:docPartUnique/>
            </w:docPartObj>
          </w:sdtPr>
          <w:sdtEndPr>
            <w:rPr>
              <w:rStyle w:val="PageNumber"/>
              <w:b/>
              <w:bCs w:val="0"/>
            </w:rPr>
          </w:sdtEndPr>
          <w:sdtContent>
            <w:r w:rsidR="00B45B09">
              <w:rPr>
                <w:noProof/>
              </w:rPr>
              <w:drawing>
                <wp:anchor distT="0" distB="0" distL="114300" distR="114300" simplePos="0" relativeHeight="251658288" behindDoc="1" locked="1" layoutInCell="1" allowOverlap="1" wp14:anchorId="5F3DCB8A" wp14:editId="5CA97A65">
                  <wp:simplePos x="0" y="0"/>
                  <wp:positionH relativeFrom="page">
                    <wp:posOffset>-2912745</wp:posOffset>
                  </wp:positionH>
                  <wp:positionV relativeFrom="paragraph">
                    <wp:posOffset>-4185285</wp:posOffset>
                  </wp:positionV>
                  <wp:extent cx="7556500" cy="1731010"/>
                  <wp:effectExtent l="0" t="1905" r="0" b="4445"/>
                  <wp:wrapNone/>
                  <wp:docPr id="3981991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3375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56804" cy="1731010"/>
                          </a:xfrm>
                          <a:prstGeom prst="rect">
                            <a:avLst/>
                          </a:prstGeom>
                        </pic:spPr>
                      </pic:pic>
                    </a:graphicData>
                  </a:graphic>
                  <wp14:sizeRelH relativeFrom="page">
                    <wp14:pctWidth>0</wp14:pctWidth>
                  </wp14:sizeRelH>
                  <wp14:sizeRelV relativeFrom="page">
                    <wp14:pctHeight>0</wp14:pctHeight>
                  </wp14:sizeRelV>
                </wp:anchor>
              </w:drawing>
            </w:r>
            <w:r w:rsidR="00B45B09">
              <w:rPr>
                <w:noProof/>
              </w:rPr>
              <mc:AlternateContent>
                <mc:Choice Requires="wps">
                  <w:drawing>
                    <wp:anchor distT="0" distB="0" distL="114300" distR="114300" simplePos="0" relativeHeight="251658293" behindDoc="0" locked="0" layoutInCell="1" allowOverlap="1" wp14:anchorId="50E0D5AC" wp14:editId="3F06D62E">
                      <wp:simplePos x="0" y="0"/>
                      <wp:positionH relativeFrom="column">
                        <wp:posOffset>-2296105</wp:posOffset>
                      </wp:positionH>
                      <wp:positionV relativeFrom="paragraph">
                        <wp:posOffset>-2003066</wp:posOffset>
                      </wp:positionV>
                      <wp:extent cx="242514" cy="299362"/>
                      <wp:effectExtent l="0" t="0" r="5715" b="5715"/>
                      <wp:wrapNone/>
                      <wp:docPr id="204118965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2EB41" id="Rectangle 1" o:spid="_x0000_s1026" alt="&quot;&quot;" style="position:absolute;margin-left:-180.8pt;margin-top:-157.7pt;width:19.1pt;height:23.5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" fillcolor="#472978 [3204]" stroked="f" strokeweight="1pt"/>
                  </w:pict>
                </mc:Fallback>
              </mc:AlternateContent>
            </w:r>
            <w:r w:rsidR="00B45B09">
              <w:rPr>
                <w:noProof/>
              </w:rPr>
              <mc:AlternateContent>
                <mc:Choice Requires="wps">
                  <w:drawing>
                    <wp:anchor distT="0" distB="0" distL="114300" distR="114300" simplePos="0" relativeHeight="251658292" behindDoc="0" locked="0" layoutInCell="1" allowOverlap="1" wp14:anchorId="1F27C21E" wp14:editId="48410D47">
                      <wp:simplePos x="0" y="0"/>
                      <wp:positionH relativeFrom="column">
                        <wp:posOffset>-2447152</wp:posOffset>
                      </wp:positionH>
                      <wp:positionV relativeFrom="paragraph">
                        <wp:posOffset>-2157620</wp:posOffset>
                      </wp:positionV>
                      <wp:extent cx="242514" cy="299362"/>
                      <wp:effectExtent l="0" t="0" r="5715" b="5715"/>
                      <wp:wrapNone/>
                      <wp:docPr id="38635381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B0211" id="Rectangle 1" o:spid="_x0000_s1026" alt="&quot;&quot;" style="position:absolute;margin-left:-192.7pt;margin-top:-169.9pt;width:19.1pt;height:23.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" fillcolor="#472978 [3204]" stroked="f" strokeweight="1pt"/>
                  </w:pict>
                </mc:Fallback>
              </mc:AlternateContent>
            </w:r>
            <w:r w:rsidR="00B45B09">
              <w:rPr>
                <w:noProof/>
              </w:rPr>
              <mc:AlternateContent>
                <mc:Choice Requires="wps">
                  <w:drawing>
                    <wp:anchor distT="45720" distB="45720" distL="114300" distR="114300" simplePos="0" relativeHeight="251658291" behindDoc="0" locked="0" layoutInCell="1" allowOverlap="1" wp14:anchorId="0D06A73D" wp14:editId="534A8C60">
                      <wp:simplePos x="0" y="0"/>
                      <wp:positionH relativeFrom="column">
                        <wp:posOffset>-1568767</wp:posOffset>
                      </wp:positionH>
                      <wp:positionV relativeFrom="paragraph">
                        <wp:posOffset>2210434</wp:posOffset>
                      </wp:positionV>
                      <wp:extent cx="2360930" cy="258445"/>
                      <wp:effectExtent l="3492" t="0" r="23813" b="23812"/>
                      <wp:wrapSquare wrapText="bothSides"/>
                      <wp:docPr id="432493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3CBAAF08" w14:textId="74D9DA26"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60D9A30A" w14:textId="77777777" w:rsidR="00B45B09" w:rsidRDefault="00B45B09" w:rsidP="000D0F0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6A73D" id="_x0000_t202" coordsize="21600,21600" o:spt="202" path="m,l,21600r21600,l21600,xe">
                      <v:stroke joinstyle="miter"/>
                      <v:path gradientshapeok="t" o:connecttype="rect"/>
                    </v:shapetype>
                    <v:shape id="_x0000_s1033" type="#_x0000_t202" style="position:absolute;left:0;text-align:left;margin-left:-123.5pt;margin-top:174.05pt;width:185.9pt;height:20.35pt;rotation:90;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" filled="f" strokecolor="white [3212]">
                      <v:textbox>
                        <w:txbxContent>
                          <w:p w14:paraId="3CBAAF08" w14:textId="74D9DA26"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60D9A30A" w14:textId="77777777" w:rsidR="00B45B09" w:rsidRDefault="00B45B09" w:rsidP="000D0F04">
                            <w:pPr>
                              <w:jc w:val="right"/>
                            </w:pPr>
                          </w:p>
                        </w:txbxContent>
                      </v:textbox>
                      <w10:wrap type="square"/>
                    </v:shape>
                  </w:pict>
                </mc:Fallback>
              </mc:AlternateContent>
            </w:r>
            <w:r w:rsidR="00B45B09">
              <w:rPr>
                <w:noProof/>
              </w:rPr>
              <mc:AlternateContent>
                <mc:Choice Requires="wps">
                  <w:drawing>
                    <wp:anchor distT="45720" distB="45720" distL="114300" distR="114300" simplePos="0" relativeHeight="251658290" behindDoc="0" locked="0" layoutInCell="1" allowOverlap="1" wp14:anchorId="6DF82812" wp14:editId="64263BA3">
                      <wp:simplePos x="0" y="0"/>
                      <wp:positionH relativeFrom="column">
                        <wp:posOffset>-1568767</wp:posOffset>
                      </wp:positionH>
                      <wp:positionV relativeFrom="paragraph">
                        <wp:posOffset>2210434</wp:posOffset>
                      </wp:positionV>
                      <wp:extent cx="2360930" cy="258445"/>
                      <wp:effectExtent l="3492" t="0" r="23813" b="23812"/>
                      <wp:wrapSquare wrapText="bothSides"/>
                      <wp:docPr id="939495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1850AE5F" w14:textId="7316A8E7"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6A3E3007" w14:textId="77777777" w:rsidR="00B45B09" w:rsidRDefault="00B45B09" w:rsidP="000D0F0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82812" id="_x0000_s1034" type="#_x0000_t202" style="position:absolute;left:0;text-align:left;margin-left:-123.5pt;margin-top:174.05pt;width:185.9pt;height:20.35pt;rotation:90;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AJkFwIAAAo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" filled="f" strokecolor="white [3212]">
                      <v:textbox>
                        <w:txbxContent>
                          <w:p w14:paraId="1850AE5F" w14:textId="7316A8E7"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6A3E3007" w14:textId="77777777" w:rsidR="00B45B09" w:rsidRDefault="00B45B09" w:rsidP="000D0F04">
                            <w:pPr>
                              <w:jc w:val="right"/>
                            </w:pPr>
                          </w:p>
                        </w:txbxContent>
                      </v:textbox>
                      <w10:wrap type="square"/>
                    </v:shape>
                  </w:pict>
                </mc:Fallback>
              </mc:AlternateContent>
            </w:r>
          </w:sdtContent>
        </w:sdt>
        <w:r w:rsidR="00B45B09">
          <w:rPr>
            <w:noProof/>
          </w:rPr>
          <mc:AlternateContent>
            <mc:Choice Requires="wps">
              <w:drawing>
                <wp:anchor distT="45720" distB="45720" distL="114300" distR="114300" simplePos="0" relativeHeight="251658294" behindDoc="0" locked="0" layoutInCell="1" allowOverlap="1" wp14:anchorId="29CADB38" wp14:editId="6648C89C">
                  <wp:simplePos x="0" y="0"/>
                  <wp:positionH relativeFrom="column">
                    <wp:posOffset>-2377757</wp:posOffset>
                  </wp:positionH>
                  <wp:positionV relativeFrom="paragraph">
                    <wp:posOffset>-4676458</wp:posOffset>
                  </wp:positionV>
                  <wp:extent cx="2360930" cy="258445"/>
                  <wp:effectExtent l="3492" t="0" r="4763" b="0"/>
                  <wp:wrapSquare wrapText="bothSides"/>
                  <wp:docPr id="176321560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6EC55B40" w14:textId="77777777" w:rsidR="00B45B09" w:rsidRPr="00121C95" w:rsidRDefault="00B45B09" w:rsidP="000D0F04">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ADB38" id="_x0000_s1035" type="#_x0000_t202" alt="&quot;&quot;" style="position:absolute;left:0;text-align:left;margin-left:-187.2pt;margin-top:-368.25pt;width:185.9pt;height:20.35pt;rotation:90;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" filled="f" stroked="f">
                  <v:textbox>
                    <w:txbxContent>
                      <w:p w14:paraId="6EC55B40" w14:textId="77777777" w:rsidR="00B45B09" w:rsidRPr="00121C95" w:rsidRDefault="00B45B09" w:rsidP="000D0F04">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v:textbox>
                  <w10:wrap type="square"/>
                </v:shape>
              </w:pict>
            </mc:Fallback>
          </mc:AlternateContent>
        </w:r>
        <w:r w:rsidR="00B45B09">
          <w:rPr>
            <w:noProof/>
          </w:rPr>
          <mc:AlternateContent>
            <mc:Choice Requires="wps">
              <w:drawing>
                <wp:anchor distT="0" distB="0" distL="114300" distR="114300" simplePos="0" relativeHeight="251658284" behindDoc="0" locked="0" layoutInCell="1" allowOverlap="1" wp14:anchorId="1144FDA3" wp14:editId="02A7459F">
                  <wp:simplePos x="0" y="0"/>
                  <wp:positionH relativeFrom="column">
                    <wp:posOffset>-2296105</wp:posOffset>
                  </wp:positionH>
                  <wp:positionV relativeFrom="paragraph">
                    <wp:posOffset>-2003066</wp:posOffset>
                  </wp:positionV>
                  <wp:extent cx="242514" cy="299362"/>
                  <wp:effectExtent l="0" t="0" r="5715" b="5715"/>
                  <wp:wrapNone/>
                  <wp:docPr id="123002098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F67CE" id="Rectangle 1" o:spid="_x0000_s1026" alt="&quot;&quot;" style="position:absolute;margin-left:-180.8pt;margin-top:-157.7pt;width:19.1pt;height:23.5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" fillcolor="#472978 [3204]" stroked="f" strokeweight="1pt"/>
              </w:pict>
            </mc:Fallback>
          </mc:AlternateContent>
        </w:r>
        <w:r w:rsidR="00B45B09">
          <w:rPr>
            <w:noProof/>
          </w:rPr>
          <mc:AlternateContent>
            <mc:Choice Requires="wps">
              <w:drawing>
                <wp:anchor distT="0" distB="0" distL="114300" distR="114300" simplePos="0" relativeHeight="251658283" behindDoc="0" locked="0" layoutInCell="1" allowOverlap="1" wp14:anchorId="3E73D926" wp14:editId="66269CA8">
                  <wp:simplePos x="0" y="0"/>
                  <wp:positionH relativeFrom="column">
                    <wp:posOffset>-2447152</wp:posOffset>
                  </wp:positionH>
                  <wp:positionV relativeFrom="paragraph">
                    <wp:posOffset>-2157620</wp:posOffset>
                  </wp:positionV>
                  <wp:extent cx="242514" cy="299362"/>
                  <wp:effectExtent l="0" t="0" r="5715" b="5715"/>
                  <wp:wrapNone/>
                  <wp:docPr id="17045828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FDDCB" id="Rectangle 1" o:spid="_x0000_s1026" alt="&quot;&quot;" style="position:absolute;margin-left:-192.7pt;margin-top:-169.9pt;width:19.1pt;height:23.5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" fillcolor="#472978 [3204]" stroked="f" strokeweight="1pt"/>
              </w:pict>
            </mc:Fallback>
          </mc:AlternateContent>
        </w:r>
        <w:r w:rsidR="00B45B09">
          <w:rPr>
            <w:noProof/>
          </w:rPr>
          <mc:AlternateContent>
            <mc:Choice Requires="wps">
              <w:drawing>
                <wp:anchor distT="45720" distB="45720" distL="114300" distR="114300" simplePos="0" relativeHeight="251658282" behindDoc="0" locked="0" layoutInCell="1" allowOverlap="1" wp14:anchorId="2A047C3A" wp14:editId="091E787E">
                  <wp:simplePos x="0" y="0"/>
                  <wp:positionH relativeFrom="column">
                    <wp:posOffset>-1568767</wp:posOffset>
                  </wp:positionH>
                  <wp:positionV relativeFrom="paragraph">
                    <wp:posOffset>2210434</wp:posOffset>
                  </wp:positionV>
                  <wp:extent cx="2360930" cy="258445"/>
                  <wp:effectExtent l="3492" t="0" r="23813" b="23812"/>
                  <wp:wrapSquare wrapText="bothSides"/>
                  <wp:docPr id="1299850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244A96DF" w14:textId="7728D888"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5C8A9CC9" w14:textId="77777777" w:rsidR="00B45B09" w:rsidRDefault="00B45B09" w:rsidP="000D0F0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47C3A" id="_x0000_s1036" type="#_x0000_t202" style="position:absolute;left:0;text-align:left;margin-left:-123.5pt;margin-top:174.05pt;width:185.9pt;height:20.35pt;rotation:90;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" filled="f" strokecolor="white [3212]">
                  <v:textbox>
                    <w:txbxContent>
                      <w:p w14:paraId="244A96DF" w14:textId="7728D888"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5C8A9CC9" w14:textId="77777777" w:rsidR="00B45B09" w:rsidRDefault="00B45B09" w:rsidP="000D0F04">
                        <w:pPr>
                          <w:jc w:val="right"/>
                        </w:pPr>
                      </w:p>
                    </w:txbxContent>
                  </v:textbox>
                  <w10:wrap type="square"/>
                </v:shape>
              </w:pict>
            </mc:Fallback>
          </mc:AlternateContent>
        </w:r>
        <w:r w:rsidR="00B45B09">
          <w:rPr>
            <w:noProof/>
          </w:rPr>
          <mc:AlternateContent>
            <mc:Choice Requires="wps">
              <w:drawing>
                <wp:anchor distT="45720" distB="45720" distL="114300" distR="114300" simplePos="0" relativeHeight="251658281" behindDoc="0" locked="0" layoutInCell="1" allowOverlap="1" wp14:anchorId="71012ED2" wp14:editId="556E1F34">
                  <wp:simplePos x="0" y="0"/>
                  <wp:positionH relativeFrom="column">
                    <wp:posOffset>-1568767</wp:posOffset>
                  </wp:positionH>
                  <wp:positionV relativeFrom="paragraph">
                    <wp:posOffset>2210434</wp:posOffset>
                  </wp:positionV>
                  <wp:extent cx="2360930" cy="258445"/>
                  <wp:effectExtent l="3492" t="0" r="23813" b="23812"/>
                  <wp:wrapSquare wrapText="bothSides"/>
                  <wp:docPr id="1751239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4CADB890" w14:textId="4856B174"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3F8E5B95" w14:textId="77777777" w:rsidR="00B45B09" w:rsidRDefault="00B45B09" w:rsidP="000D0F0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12ED2" id="_x0000_s1037" type="#_x0000_t202" style="position:absolute;left:0;text-align:left;margin-left:-123.5pt;margin-top:174.05pt;width:185.9pt;height:20.35pt;rotation:90;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7CFwIAAAs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" filled="f" strokecolor="white [3212]">
                  <v:textbox>
                    <w:txbxContent>
                      <w:p w14:paraId="4CADB890" w14:textId="4856B174" w:rsidR="00B45B09" w:rsidRPr="009267A9" w:rsidRDefault="00307BFD" w:rsidP="000D0F04">
                        <w:pPr>
                          <w:pStyle w:val="FooterOdd"/>
                          <w:tabs>
                            <w:tab w:val="right" w:pos="9072"/>
                          </w:tabs>
                        </w:pPr>
                        <w:fldSimple w:instr=" STYLEREF  &quot;Heading 1&quot;  \* MERGEFORMAT ">
                          <w:r w:rsidR="00F60EAA">
                            <w:rPr>
                              <w:noProof/>
                            </w:rPr>
                            <w:t>How Purpose 4 is achieved</w:t>
                          </w:r>
                        </w:fldSimple>
                        <w:r w:rsidR="00B45B09">
                          <w:t xml:space="preserve"> | </w:t>
                        </w:r>
                        <w:r w:rsidR="00B45B09">
                          <w:fldChar w:fldCharType="begin"/>
                        </w:r>
                        <w:r w:rsidR="00B45B09">
                          <w:instrText xml:space="preserve"> PAGE   \* MERGEFORMAT </w:instrText>
                        </w:r>
                        <w:r w:rsidR="00B45B09">
                          <w:fldChar w:fldCharType="separate"/>
                        </w:r>
                        <w:r w:rsidR="00B45B09">
                          <w:t>5</w:t>
                        </w:r>
                        <w:r w:rsidR="00B45B09">
                          <w:fldChar w:fldCharType="end"/>
                        </w:r>
                      </w:p>
                      <w:p w14:paraId="3F8E5B95" w14:textId="77777777" w:rsidR="00B45B09" w:rsidRDefault="00B45B09" w:rsidP="000D0F04">
                        <w:pPr>
                          <w:jc w:val="right"/>
                        </w:pPr>
                      </w:p>
                    </w:txbxContent>
                  </v:textbox>
                  <w10:wrap type="square"/>
                </v:shape>
              </w:pict>
            </mc:Fallback>
          </mc:AlternateContent>
        </w:r>
      </w:sdtContent>
    </w:sdt>
    <w:r w:rsidR="00B45B09">
      <w:rPr>
        <w:noProof/>
      </w:rPr>
      <mc:AlternateContent>
        <mc:Choice Requires="wps">
          <w:drawing>
            <wp:anchor distT="45720" distB="45720" distL="114300" distR="114300" simplePos="0" relativeHeight="251658289" behindDoc="0" locked="0" layoutInCell="1" allowOverlap="1" wp14:anchorId="7CB003E6" wp14:editId="079291FC">
              <wp:simplePos x="0" y="0"/>
              <wp:positionH relativeFrom="column">
                <wp:posOffset>-2339340</wp:posOffset>
              </wp:positionH>
              <wp:positionV relativeFrom="paragraph">
                <wp:posOffset>2160905</wp:posOffset>
              </wp:positionV>
              <wp:extent cx="2360930" cy="258445"/>
              <wp:effectExtent l="3492" t="0" r="4763" b="0"/>
              <wp:wrapSquare wrapText="bothSides"/>
              <wp:docPr id="88145537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535C32DA" w14:textId="77777777" w:rsidR="00B45B09" w:rsidRPr="00121C95" w:rsidRDefault="00B45B09" w:rsidP="000D0F04">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1317B93A" w14:textId="77777777" w:rsidR="00B45B09" w:rsidRPr="00121C95" w:rsidRDefault="00B45B09" w:rsidP="000D0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003E6" id="_x0000_s1038" type="#_x0000_t202" alt="&quot;&quot;" style="position:absolute;left:0;text-align:left;margin-left:-184.2pt;margin-top:170.15pt;width:185.9pt;height:20.35pt;rotation:90;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" filled="f" stroked="f">
              <v:textbox>
                <w:txbxContent>
                  <w:p w14:paraId="535C32DA" w14:textId="77777777" w:rsidR="00B45B09" w:rsidRPr="00121C95" w:rsidRDefault="00B45B09" w:rsidP="000D0F04">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1317B93A" w14:textId="77777777" w:rsidR="00B45B09" w:rsidRPr="00121C95" w:rsidRDefault="00B45B09" w:rsidP="000D0F04"/>
                </w:txbxContent>
              </v:textbox>
              <w10:wrap type="square"/>
            </v:shape>
          </w:pict>
        </mc:Fallback>
      </mc:AlternateContent>
    </w:r>
    <w:r w:rsidR="00B45B09" w:rsidRPr="003A53A0">
      <w:rPr>
        <w:noProof/>
        <w:sz w:val="32"/>
        <w:szCs w:val="32"/>
      </w:rPr>
      <mc:AlternateContent>
        <mc:Choice Requires="wps">
          <w:drawing>
            <wp:anchor distT="0" distB="0" distL="114300" distR="114300" simplePos="0" relativeHeight="251658287" behindDoc="0" locked="0" layoutInCell="1" allowOverlap="1" wp14:anchorId="1CF714BD" wp14:editId="4DE3663C">
              <wp:simplePos x="0" y="0"/>
              <wp:positionH relativeFrom="rightMargin">
                <wp:posOffset>11251098</wp:posOffset>
              </wp:positionH>
              <wp:positionV relativeFrom="margin">
                <wp:posOffset>-1492249</wp:posOffset>
              </wp:positionV>
              <wp:extent cx="399600" cy="5022000"/>
              <wp:effectExtent l="0" t="0" r="635" b="7620"/>
              <wp:wrapNone/>
              <wp:docPr id="27422272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502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9AC5B" w14:textId="77777777" w:rsidR="00B45B09" w:rsidRPr="00C95C8D" w:rsidRDefault="00B45B09" w:rsidP="000D0F04">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29C5E112" w14:textId="77777777" w:rsidR="00B45B09" w:rsidRPr="00137C7E" w:rsidRDefault="00B45B09" w:rsidP="000D0F04">
                          <w:pPr>
                            <w:pStyle w:val="HeaderOdd"/>
                          </w:pPr>
                        </w:p>
                        <w:p w14:paraId="27584A5B" w14:textId="77777777" w:rsidR="00B45B09" w:rsidRPr="00137C7E" w:rsidRDefault="00B45B09" w:rsidP="000D0F04">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714BD" id="_x0000_s1039" type="#_x0000_t202" alt="Landscape Odd Header" style="position:absolute;left:0;text-align:left;margin-left:885.9pt;margin-top:-117.5pt;width:31.45pt;height:395.45pt;z-index:25165828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" stroked="f">
              <v:textbox style="layout-flow:vertical" inset="0,0,0,.2mm">
                <w:txbxContent>
                  <w:p w14:paraId="1029AC5B" w14:textId="77777777" w:rsidR="00B45B09" w:rsidRPr="00C95C8D" w:rsidRDefault="00B45B09" w:rsidP="000D0F04">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29C5E112" w14:textId="77777777" w:rsidR="00B45B09" w:rsidRPr="00137C7E" w:rsidRDefault="00B45B09" w:rsidP="000D0F04">
                    <w:pPr>
                      <w:pStyle w:val="HeaderOdd"/>
                    </w:pPr>
                  </w:p>
                  <w:p w14:paraId="27584A5B" w14:textId="77777777" w:rsidR="00B45B09" w:rsidRPr="00137C7E" w:rsidRDefault="00B45B09" w:rsidP="000D0F04">
                    <w:pPr>
                      <w:pStyle w:val="HeaderOdd"/>
                    </w:pPr>
                  </w:p>
                </w:txbxContent>
              </v:textbox>
              <w10:wrap anchorx="margin" anchory="margin"/>
            </v:shape>
          </w:pict>
        </mc:Fallback>
      </mc:AlternateContent>
    </w:r>
    <w:r w:rsidR="00B45B09" w:rsidRPr="003A53A0">
      <w:rPr>
        <w:noProof/>
        <w:sz w:val="32"/>
        <w:szCs w:val="32"/>
      </w:rPr>
      <mc:AlternateContent>
        <mc:Choice Requires="wps">
          <w:drawing>
            <wp:anchor distT="0" distB="0" distL="114300" distR="114300" simplePos="0" relativeHeight="251658286" behindDoc="0" locked="0" layoutInCell="1" allowOverlap="1" wp14:anchorId="27D5E1E4" wp14:editId="5347B65A">
              <wp:simplePos x="0" y="0"/>
              <wp:positionH relativeFrom="rightMargin">
                <wp:posOffset>3620135</wp:posOffset>
              </wp:positionH>
              <wp:positionV relativeFrom="margin">
                <wp:posOffset>-635</wp:posOffset>
              </wp:positionV>
              <wp:extent cx="399600" cy="5020573"/>
              <wp:effectExtent l="0" t="0" r="635" b="8890"/>
              <wp:wrapNone/>
              <wp:docPr id="42365095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50205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93E3C" w14:textId="77777777" w:rsidR="00B45B09" w:rsidRPr="00C95C8D" w:rsidRDefault="00B45B09" w:rsidP="000D0F04">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2645279D" w14:textId="77777777" w:rsidR="00B45B09" w:rsidRPr="00137C7E" w:rsidRDefault="00B45B09" w:rsidP="000D0F04">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E1E4" id="_x0000_s1040" type="#_x0000_t202" alt="Landscape Odd Header" style="position:absolute;left:0;text-align:left;margin-left:285.05pt;margin-top:-.05pt;width:31.45pt;height:395.3pt;z-index:25165828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" stroked="f">
              <v:textbox style="layout-flow:vertical" inset="0,0,0,.2mm">
                <w:txbxContent>
                  <w:p w14:paraId="01293E3C" w14:textId="77777777" w:rsidR="00B45B09" w:rsidRPr="00C95C8D" w:rsidRDefault="00B45B09" w:rsidP="000D0F04">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2645279D" w14:textId="77777777" w:rsidR="00B45B09" w:rsidRPr="00137C7E" w:rsidRDefault="00B45B09" w:rsidP="000D0F04">
                    <w:pPr>
                      <w:pStyle w:val="HeaderOdd"/>
                    </w:pPr>
                  </w:p>
                </w:txbxContent>
              </v:textbox>
              <w10:wrap anchorx="margin" anchory="margin"/>
            </v:shape>
          </w:pict>
        </mc:Fallback>
      </mc:AlternateContent>
    </w:r>
    <w:r w:rsidR="00B45B09" w:rsidRPr="003A53A0">
      <w:rPr>
        <w:noProof/>
        <w:sz w:val="32"/>
        <w:szCs w:val="32"/>
      </w:rPr>
      <mc:AlternateContent>
        <mc:Choice Requires="wps">
          <w:drawing>
            <wp:anchor distT="0" distB="0" distL="114300" distR="114300" simplePos="0" relativeHeight="251658285" behindDoc="0" locked="0" layoutInCell="1" allowOverlap="1" wp14:anchorId="012B8253" wp14:editId="7D3365A4">
              <wp:simplePos x="0" y="0"/>
              <wp:positionH relativeFrom="rightMargin">
                <wp:posOffset>3620135</wp:posOffset>
              </wp:positionH>
              <wp:positionV relativeFrom="margin">
                <wp:posOffset>-635</wp:posOffset>
              </wp:positionV>
              <wp:extent cx="399600" cy="5020573"/>
              <wp:effectExtent l="0" t="0" r="635" b="8890"/>
              <wp:wrapNone/>
              <wp:docPr id="32574901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50205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D8522" w14:textId="77777777" w:rsidR="00B45B09" w:rsidRPr="00C95C8D" w:rsidRDefault="00B45B09" w:rsidP="000D0F04">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0FB93931" w14:textId="77777777" w:rsidR="00B45B09" w:rsidRPr="00137C7E" w:rsidRDefault="00B45B09" w:rsidP="000D0F04">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B8253" id="_x0000_s1041" type="#_x0000_t202" alt="Landscape Odd Header" style="position:absolute;left:0;text-align:left;margin-left:285.05pt;margin-top:-.05pt;width:31.45pt;height:395.3pt;z-index:25165828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" stroked="f">
              <v:textbox style="layout-flow:vertical" inset="0,0,0,.2mm">
                <w:txbxContent>
                  <w:p w14:paraId="460D8522" w14:textId="77777777" w:rsidR="00B45B09" w:rsidRPr="00C95C8D" w:rsidRDefault="00B45B09" w:rsidP="000D0F04">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0FB93931" w14:textId="77777777" w:rsidR="00B45B09" w:rsidRPr="00137C7E" w:rsidRDefault="00B45B09" w:rsidP="000D0F04">
                    <w:pPr>
                      <w:pStyle w:val="HeaderOdd"/>
                    </w:pPr>
                  </w:p>
                </w:txbxContent>
              </v:textbox>
              <w10:wrap anchorx="margin" anchory="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70C2" w14:textId="77777777" w:rsidR="001E2AEB" w:rsidRPr="003C623B" w:rsidRDefault="001E2AEB" w:rsidP="00BD7AD5">
    <w:pPr>
      <w:pStyle w:val="Footer"/>
      <w:spacing w:after="0"/>
    </w:pPr>
    <w:r w:rsidRPr="003C623B">
      <w:rPr>
        <w:noProof/>
      </w:rPr>
      <w:drawing>
        <wp:anchor distT="0" distB="0" distL="114300" distR="114300" simplePos="0" relativeHeight="251721827" behindDoc="1" locked="0" layoutInCell="1" allowOverlap="1" wp14:anchorId="77E38F80" wp14:editId="33E7E0E0">
          <wp:simplePos x="0" y="0"/>
          <wp:positionH relativeFrom="page">
            <wp:posOffset>-25400</wp:posOffset>
          </wp:positionH>
          <wp:positionV relativeFrom="paragraph">
            <wp:posOffset>-1159510</wp:posOffset>
          </wp:positionV>
          <wp:extent cx="7581600" cy="2860812"/>
          <wp:effectExtent l="0" t="0" r="635" b="0"/>
          <wp:wrapNone/>
          <wp:docPr id="55799738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186028391"/>
        <w:docPartObj>
          <w:docPartGallery w:val="Page Numbers (Bottom of Page)"/>
          <w:docPartUnique/>
        </w:docPartObj>
      </w:sdtPr>
      <w:sdtEndPr>
        <w:rPr>
          <w:rStyle w:val="PageNumber"/>
        </w:rPr>
      </w:sdtEndPr>
      <w:sdtContent>
        <w:r w:rsidRPr="003C623B">
          <w:rPr>
            <w:rStyle w:val="PageNumber"/>
          </w:rPr>
          <w:fldChar w:fldCharType="begin"/>
        </w:r>
        <w:r w:rsidRPr="003C623B">
          <w:rPr>
            <w:rStyle w:val="PageNumber"/>
          </w:rPr>
          <w:instrText xml:space="preserve"> PAGE </w:instrText>
        </w:r>
        <w:r w:rsidRPr="003C623B">
          <w:rPr>
            <w:rStyle w:val="PageNumber"/>
          </w:rPr>
          <w:fldChar w:fldCharType="separate"/>
        </w:r>
        <w:r w:rsidRPr="003C623B">
          <w:rPr>
            <w:rStyle w:val="PageNumber"/>
          </w:rPr>
          <w:t>4</w:t>
        </w:r>
        <w:r w:rsidRPr="003C623B">
          <w:rPr>
            <w:rStyle w:val="PageNumber"/>
          </w:rPr>
          <w:fldChar w:fldCharType="end"/>
        </w:r>
        <w:r w:rsidRPr="003C623B">
          <w:rPr>
            <w:noProof/>
          </w:rPr>
          <w:t xml:space="preserve"> </w:t>
        </w:r>
      </w:sdtContent>
    </w:sdt>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8219425"/>
      <w:docPartObj>
        <w:docPartGallery w:val="Page Numbers (Bottom of Page)"/>
        <w:docPartUnique/>
      </w:docPartObj>
    </w:sdtPr>
    <w:sdtEndPr>
      <w:rPr>
        <w:rStyle w:val="PageNumber"/>
      </w:rPr>
    </w:sdtEndPr>
    <w:sdtContent>
      <w:p w14:paraId="1619574E" w14:textId="1F3379E5" w:rsidR="001E2AEB" w:rsidRPr="001C014C" w:rsidRDefault="001E2AEB" w:rsidP="001C014C">
        <w:pPr>
          <w:pStyle w:val="FooterOdd"/>
          <w:rPr>
            <w:rStyle w:val="PageNumber"/>
          </w:rPr>
        </w:pPr>
        <w:r>
          <w:rPr>
            <w:noProof/>
          </w:rPr>
          <w:drawing>
            <wp:anchor distT="0" distB="0" distL="114300" distR="114300" simplePos="0" relativeHeight="251724899" behindDoc="1" locked="0" layoutInCell="1" allowOverlap="1" wp14:anchorId="653702A2" wp14:editId="6B3B49D2">
              <wp:simplePos x="0" y="0"/>
              <wp:positionH relativeFrom="page">
                <wp:posOffset>7473</wp:posOffset>
              </wp:positionH>
              <wp:positionV relativeFrom="paragraph">
                <wp:posOffset>-1186180</wp:posOffset>
              </wp:positionV>
              <wp:extent cx="7582953" cy="2862000"/>
              <wp:effectExtent l="0" t="0" r="0" b="0"/>
              <wp:wrapNone/>
              <wp:docPr id="129071366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963233301"/>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4526D" w14:textId="77777777" w:rsidR="00AB0AEE" w:rsidRPr="006C7A5E" w:rsidRDefault="00AB0AEE" w:rsidP="00BD7AD5">
    <w:pPr>
      <w:pStyle w:val="Footer"/>
      <w:spacing w:after="0"/>
    </w:pPr>
    <w:r w:rsidRPr="006C7A5E">
      <w:rPr>
        <w:noProof/>
      </w:rPr>
      <w:drawing>
        <wp:anchor distT="0" distB="0" distL="114300" distR="114300" simplePos="0" relativeHeight="251775075" behindDoc="1" locked="0" layoutInCell="1" allowOverlap="1" wp14:anchorId="389B09EC" wp14:editId="2ED872E9">
          <wp:simplePos x="0" y="0"/>
          <wp:positionH relativeFrom="page">
            <wp:posOffset>-25400</wp:posOffset>
          </wp:positionH>
          <wp:positionV relativeFrom="paragraph">
            <wp:posOffset>-1159510</wp:posOffset>
          </wp:positionV>
          <wp:extent cx="7581600" cy="2860812"/>
          <wp:effectExtent l="0" t="0" r="635" b="0"/>
          <wp:wrapNone/>
          <wp:docPr id="64541324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217717553"/>
        <w:docPartObj>
          <w:docPartGallery w:val="Page Numbers (Bottom of Page)"/>
          <w:docPartUnique/>
        </w:docPartObj>
      </w:sdtPr>
      <w:sdtEndPr>
        <w:rPr>
          <w:rStyle w:val="PageNumber"/>
        </w:rPr>
      </w:sdtEndPr>
      <w:sdtContent>
        <w:r w:rsidRPr="006C7A5E">
          <w:rPr>
            <w:rStyle w:val="PageNumber"/>
          </w:rPr>
          <w:fldChar w:fldCharType="begin"/>
        </w:r>
        <w:r w:rsidRPr="006C7A5E">
          <w:rPr>
            <w:rStyle w:val="PageNumber"/>
          </w:rPr>
          <w:instrText xml:space="preserve"> PAGE </w:instrText>
        </w:r>
        <w:r w:rsidRPr="006C7A5E">
          <w:rPr>
            <w:rStyle w:val="PageNumber"/>
          </w:rPr>
          <w:fldChar w:fldCharType="separate"/>
        </w:r>
        <w:r w:rsidRPr="006C7A5E">
          <w:rPr>
            <w:rStyle w:val="PageNumber"/>
          </w:rPr>
          <w:t>4</w:t>
        </w:r>
        <w:r w:rsidRPr="006C7A5E">
          <w:rPr>
            <w:rStyle w:val="PageNumber"/>
          </w:rPr>
          <w:fldChar w:fldCharType="end"/>
        </w:r>
        <w:r w:rsidRPr="006C7A5E">
          <w:rPr>
            <w:noProof/>
          </w:rPr>
          <w:t xml:space="preserve"> </w:t>
        </w:r>
      </w:sdtContent>
    </w:sdt>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0997692"/>
      <w:docPartObj>
        <w:docPartGallery w:val="Page Numbers (Bottom of Page)"/>
        <w:docPartUnique/>
      </w:docPartObj>
    </w:sdtPr>
    <w:sdtEndPr>
      <w:rPr>
        <w:rStyle w:val="PageNumber"/>
      </w:rPr>
    </w:sdtEndPr>
    <w:sdtContent>
      <w:p w14:paraId="28A9B795" w14:textId="77777777" w:rsidR="00362E02" w:rsidRPr="001C014C" w:rsidRDefault="00362E02" w:rsidP="001C014C">
        <w:pPr>
          <w:pStyle w:val="FooterOdd"/>
          <w:rPr>
            <w:rStyle w:val="PageNumber"/>
          </w:rPr>
        </w:pPr>
        <w:r>
          <w:rPr>
            <w:noProof/>
          </w:rPr>
          <w:drawing>
            <wp:anchor distT="0" distB="0" distL="114300" distR="114300" simplePos="0" relativeHeight="251809891" behindDoc="1" locked="0" layoutInCell="1" allowOverlap="1" wp14:anchorId="11F4A2E7" wp14:editId="711A2E3D">
              <wp:simplePos x="0" y="0"/>
              <wp:positionH relativeFrom="page">
                <wp:posOffset>7473</wp:posOffset>
              </wp:positionH>
              <wp:positionV relativeFrom="paragraph">
                <wp:posOffset>-1186180</wp:posOffset>
              </wp:positionV>
              <wp:extent cx="7582953" cy="2862000"/>
              <wp:effectExtent l="0" t="0" r="0" b="0"/>
              <wp:wrapNone/>
              <wp:docPr id="203398080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2137943486"/>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7767687"/>
      <w:docPartObj>
        <w:docPartGallery w:val="Page Numbers (Bottom of Page)"/>
        <w:docPartUnique/>
      </w:docPartObj>
    </w:sdtPr>
    <w:sdtEndPr>
      <w:rPr>
        <w:rStyle w:val="PageNumber"/>
        <w:b/>
        <w:bCs/>
      </w:rPr>
    </w:sdtEndPr>
    <w:sdtContent>
      <w:p w14:paraId="5BCD6904" w14:textId="5F8427B4" w:rsidR="00221139" w:rsidRPr="00CE0072" w:rsidRDefault="005A2702" w:rsidP="00221139">
        <w:pPr>
          <w:pStyle w:val="FooterOdd"/>
          <w:tabs>
            <w:tab w:val="right" w:pos="9072"/>
          </w:tabs>
        </w:pPr>
        <w:r>
          <w:rPr>
            <w:noProof/>
          </w:rPr>
          <mc:AlternateContent>
            <mc:Choice Requires="wps">
              <w:drawing>
                <wp:anchor distT="45720" distB="45720" distL="114300" distR="114300" simplePos="0" relativeHeight="251763811" behindDoc="0" locked="0" layoutInCell="1" allowOverlap="1" wp14:anchorId="0445D3F8" wp14:editId="33E7DFCB">
                  <wp:simplePos x="0" y="0"/>
                  <wp:positionH relativeFrom="column">
                    <wp:posOffset>-1431290</wp:posOffset>
                  </wp:positionH>
                  <wp:positionV relativeFrom="paragraph">
                    <wp:posOffset>-1529080</wp:posOffset>
                  </wp:positionV>
                  <wp:extent cx="2360930" cy="258445"/>
                  <wp:effectExtent l="3492" t="0" r="4763" b="4762"/>
                  <wp:wrapSquare wrapText="bothSides"/>
                  <wp:docPr id="17351572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2DED6A4D" w14:textId="77777777" w:rsidR="00221139" w:rsidRPr="00121C95" w:rsidRDefault="00221139" w:rsidP="00221139">
                              <w:pPr>
                                <w:pStyle w:val="FooterOdd"/>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0813E6DD" w14:textId="77777777" w:rsidR="00221139" w:rsidRPr="00121C95" w:rsidRDefault="00221139" w:rsidP="00221139">
                              <w:pPr>
                                <w:jc w:val="right"/>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5D3F8" id="_x0000_t202" coordsize="21600,21600" o:spt="202" path="m,l,21600r21600,l21600,xe">
                  <v:stroke joinstyle="miter"/>
                  <v:path gradientshapeok="t" o:connecttype="rect"/>
                </v:shapetype>
                <v:shape id="_x0000_s1043" type="#_x0000_t202" alt="&quot;&quot;" style="position:absolute;left:0;text-align:left;margin-left:-112.7pt;margin-top:-120.4pt;width:185.9pt;height:20.35pt;rotation:90;z-index:2517638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" filled="f" stroked="f">
                  <v:textbox inset=",,0">
                    <w:txbxContent>
                      <w:p w14:paraId="2DED6A4D" w14:textId="77777777" w:rsidR="00221139" w:rsidRPr="00121C95" w:rsidRDefault="00221139" w:rsidP="00221139">
                        <w:pPr>
                          <w:pStyle w:val="FooterOdd"/>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0813E6DD" w14:textId="77777777" w:rsidR="00221139" w:rsidRPr="00121C95" w:rsidRDefault="00221139" w:rsidP="00221139">
                        <w:pPr>
                          <w:jc w:val="right"/>
                        </w:pPr>
                      </w:p>
                    </w:txbxContent>
                  </v:textbox>
                  <w10:wrap type="square"/>
                </v:shape>
              </w:pict>
            </mc:Fallback>
          </mc:AlternateContent>
        </w:r>
        <w:r w:rsidR="00221139">
          <w:rPr>
            <w:noProof/>
          </w:rPr>
          <w:drawing>
            <wp:anchor distT="0" distB="0" distL="114300" distR="114300" simplePos="0" relativeHeight="251766883" behindDoc="1" locked="1" layoutInCell="1" allowOverlap="1" wp14:anchorId="35B93CF5" wp14:editId="125015A6">
              <wp:simplePos x="0" y="0"/>
              <wp:positionH relativeFrom="page">
                <wp:posOffset>-2689225</wp:posOffset>
              </wp:positionH>
              <wp:positionV relativeFrom="paragraph">
                <wp:posOffset>-4088765</wp:posOffset>
              </wp:positionV>
              <wp:extent cx="7609840" cy="2872105"/>
              <wp:effectExtent l="0" t="0" r="0" b="0"/>
              <wp:wrapNone/>
              <wp:docPr id="192959716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281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609840" cy="2872105"/>
                      </a:xfrm>
                      <a:prstGeom prst="rect">
                        <a:avLst/>
                      </a:prstGeom>
                    </pic:spPr>
                  </pic:pic>
                </a:graphicData>
              </a:graphic>
              <wp14:sizeRelH relativeFrom="page">
                <wp14:pctWidth>0</wp14:pctWidth>
              </wp14:sizeRelH>
              <wp14:sizeRelV relativeFrom="page">
                <wp14:pctHeight>0</wp14:pctHeight>
              </wp14:sizeRelV>
            </wp:anchor>
          </w:drawing>
        </w:r>
        <w:r w:rsidR="00221139">
          <w:rPr>
            <w:noProof/>
          </w:rPr>
          <mc:AlternateContent>
            <mc:Choice Requires="wps">
              <w:drawing>
                <wp:anchor distT="0" distB="0" distL="114300" distR="114300" simplePos="0" relativeHeight="251765859" behindDoc="0" locked="0" layoutInCell="1" allowOverlap="1" wp14:anchorId="0836FF94" wp14:editId="09432210">
                  <wp:simplePos x="0" y="0"/>
                  <wp:positionH relativeFrom="column">
                    <wp:posOffset>-2296105</wp:posOffset>
                  </wp:positionH>
                  <wp:positionV relativeFrom="paragraph">
                    <wp:posOffset>-2003066</wp:posOffset>
                  </wp:positionV>
                  <wp:extent cx="242514" cy="299362"/>
                  <wp:effectExtent l="0" t="0" r="5715" b="5715"/>
                  <wp:wrapNone/>
                  <wp:docPr id="91239306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0A083" id="Rectangle 1" o:spid="_x0000_s1026" alt="&quot;&quot;" style="position:absolute;margin-left:-180.8pt;margin-top:-157.7pt;width:19.1pt;height:23.55pt;z-index:2517658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" fillcolor="#472978 [3204]" stroked="f" strokeweight="1pt"/>
              </w:pict>
            </mc:Fallback>
          </mc:AlternateContent>
        </w:r>
        <w:r w:rsidR="00221139">
          <w:rPr>
            <w:noProof/>
          </w:rPr>
          <mc:AlternateContent>
            <mc:Choice Requires="wps">
              <w:drawing>
                <wp:anchor distT="0" distB="0" distL="114300" distR="114300" simplePos="0" relativeHeight="251764835" behindDoc="0" locked="0" layoutInCell="1" allowOverlap="1" wp14:anchorId="7505F442" wp14:editId="6F7E6713">
                  <wp:simplePos x="0" y="0"/>
                  <wp:positionH relativeFrom="column">
                    <wp:posOffset>-2447152</wp:posOffset>
                  </wp:positionH>
                  <wp:positionV relativeFrom="paragraph">
                    <wp:posOffset>-2157620</wp:posOffset>
                  </wp:positionV>
                  <wp:extent cx="242514" cy="299362"/>
                  <wp:effectExtent l="0" t="0" r="5715" b="5715"/>
                  <wp:wrapNone/>
                  <wp:docPr id="70590756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2F280" id="Rectangle 1" o:spid="_x0000_s1026" alt="&quot;&quot;" style="position:absolute;margin-left:-192.7pt;margin-top:-169.9pt;width:19.1pt;height:23.55pt;z-index:251764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" fillcolor="#472978 [3204]" stroked="f" strokeweight="1pt"/>
              </w:pict>
            </mc:Fallback>
          </mc:AlternateContent>
        </w:r>
        <w:r w:rsidR="00221139">
          <w:rPr>
            <w:noProof/>
          </w:rPr>
          <mc:AlternateContent>
            <mc:Choice Requires="wps">
              <w:drawing>
                <wp:anchor distT="45720" distB="45720" distL="114300" distR="114300" simplePos="0" relativeHeight="251762787" behindDoc="0" locked="0" layoutInCell="1" allowOverlap="1" wp14:anchorId="29D0ECAF" wp14:editId="4F14CEE4">
                  <wp:simplePos x="0" y="0"/>
                  <wp:positionH relativeFrom="column">
                    <wp:posOffset>-1568767</wp:posOffset>
                  </wp:positionH>
                  <wp:positionV relativeFrom="paragraph">
                    <wp:posOffset>2210434</wp:posOffset>
                  </wp:positionV>
                  <wp:extent cx="2360930" cy="258445"/>
                  <wp:effectExtent l="3492" t="0" r="23813" b="23812"/>
                  <wp:wrapSquare wrapText="bothSides"/>
                  <wp:docPr id="1471417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7E8C6C6C" w14:textId="1570355D" w:rsidR="00221139" w:rsidRPr="009267A9" w:rsidRDefault="00307BFD" w:rsidP="00221139">
                              <w:pPr>
                                <w:pStyle w:val="FooterOdd"/>
                                <w:tabs>
                                  <w:tab w:val="right" w:pos="9072"/>
                                </w:tabs>
                              </w:pPr>
                              <w:fldSimple w:instr=" STYLEREF  &quot;Heading 1&quot;  \* MERGEFORMAT ">
                                <w:r w:rsidR="00F60EAA">
                                  <w:rPr>
                                    <w:noProof/>
                                  </w:rPr>
                                  <w:t>Financial performance</w:t>
                                </w:r>
                              </w:fldSimple>
                              <w:r w:rsidR="00221139">
                                <w:t xml:space="preserve"> | </w:t>
                              </w:r>
                              <w:r w:rsidR="00221139">
                                <w:fldChar w:fldCharType="begin"/>
                              </w:r>
                              <w:r w:rsidR="00221139">
                                <w:instrText xml:space="preserve"> PAGE   \* MERGEFORMAT </w:instrText>
                              </w:r>
                              <w:r w:rsidR="00221139">
                                <w:fldChar w:fldCharType="separate"/>
                              </w:r>
                              <w:r w:rsidR="00221139">
                                <w:t>5</w:t>
                              </w:r>
                              <w:r w:rsidR="00221139">
                                <w:fldChar w:fldCharType="end"/>
                              </w:r>
                            </w:p>
                            <w:p w14:paraId="6C2857A7" w14:textId="77777777" w:rsidR="00221139" w:rsidRDefault="00221139" w:rsidP="00221139">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0ECAF" id="_x0000_t202" coordsize="21600,21600" o:spt="202" path="m,l,21600r21600,l21600,xe">
                  <v:stroke joinstyle="miter"/>
                  <v:path gradientshapeok="t" o:connecttype="rect"/>
                </v:shapetype>
                <v:shape id="_x0000_s1044" type="#_x0000_t202" style="position:absolute;left:0;text-align:left;margin-left:-123.5pt;margin-top:174.05pt;width:185.9pt;height:20.35pt;rotation:90;z-index:2517627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HHqGAIAAAs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" filled="f" strokecolor="white [3212]">
                  <v:textbox>
                    <w:txbxContent>
                      <w:p w14:paraId="7E8C6C6C" w14:textId="1570355D" w:rsidR="00221139" w:rsidRPr="009267A9" w:rsidRDefault="00307BFD" w:rsidP="00221139">
                        <w:pPr>
                          <w:pStyle w:val="FooterOdd"/>
                          <w:tabs>
                            <w:tab w:val="right" w:pos="9072"/>
                          </w:tabs>
                        </w:pPr>
                        <w:fldSimple w:instr=" STYLEREF  &quot;Heading 1&quot;  \* MERGEFORMAT ">
                          <w:r w:rsidR="00F60EAA">
                            <w:rPr>
                              <w:noProof/>
                            </w:rPr>
                            <w:t>Financial performance</w:t>
                          </w:r>
                        </w:fldSimple>
                        <w:r w:rsidR="00221139">
                          <w:t xml:space="preserve"> | </w:t>
                        </w:r>
                        <w:r w:rsidR="00221139">
                          <w:fldChar w:fldCharType="begin"/>
                        </w:r>
                        <w:r w:rsidR="00221139">
                          <w:instrText xml:space="preserve"> PAGE   \* MERGEFORMAT </w:instrText>
                        </w:r>
                        <w:r w:rsidR="00221139">
                          <w:fldChar w:fldCharType="separate"/>
                        </w:r>
                        <w:r w:rsidR="00221139">
                          <w:t>5</w:t>
                        </w:r>
                        <w:r w:rsidR="00221139">
                          <w:fldChar w:fldCharType="end"/>
                        </w:r>
                      </w:p>
                      <w:p w14:paraId="6C2857A7" w14:textId="77777777" w:rsidR="00221139" w:rsidRDefault="00221139" w:rsidP="00221139">
                        <w:pPr>
                          <w:jc w:val="right"/>
                        </w:pPr>
                      </w:p>
                    </w:txbxContent>
                  </v:textbox>
                  <w10:wrap type="square"/>
                </v:shape>
              </w:pict>
            </mc:Fallback>
          </mc:AlternateContent>
        </w:r>
        <w:r w:rsidR="00221139">
          <w:rPr>
            <w:noProof/>
          </w:rPr>
          <mc:AlternateContent>
            <mc:Choice Requires="wps">
              <w:drawing>
                <wp:anchor distT="45720" distB="45720" distL="114300" distR="114300" simplePos="0" relativeHeight="251761763" behindDoc="0" locked="0" layoutInCell="1" allowOverlap="1" wp14:anchorId="6C51D396" wp14:editId="1A2F000E">
                  <wp:simplePos x="0" y="0"/>
                  <wp:positionH relativeFrom="column">
                    <wp:posOffset>-1568767</wp:posOffset>
                  </wp:positionH>
                  <wp:positionV relativeFrom="paragraph">
                    <wp:posOffset>2210434</wp:posOffset>
                  </wp:positionV>
                  <wp:extent cx="2360930" cy="258445"/>
                  <wp:effectExtent l="3492" t="0" r="23813" b="23812"/>
                  <wp:wrapSquare wrapText="bothSides"/>
                  <wp:docPr id="1406074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62B79B93" w14:textId="1E47DA7D" w:rsidR="00221139" w:rsidRPr="009267A9" w:rsidRDefault="00307BFD" w:rsidP="00221139">
                              <w:pPr>
                                <w:pStyle w:val="FooterOdd"/>
                                <w:tabs>
                                  <w:tab w:val="right" w:pos="9072"/>
                                </w:tabs>
                              </w:pPr>
                              <w:fldSimple w:instr=" STYLEREF  &quot;Heading 1&quot;  \* MERGEFORMAT ">
                                <w:r w:rsidR="00F60EAA">
                                  <w:rPr>
                                    <w:noProof/>
                                  </w:rPr>
                                  <w:t>Financial performance</w:t>
                                </w:r>
                              </w:fldSimple>
                              <w:r w:rsidR="00221139">
                                <w:t xml:space="preserve"> | </w:t>
                              </w:r>
                              <w:r w:rsidR="00221139">
                                <w:fldChar w:fldCharType="begin"/>
                              </w:r>
                              <w:r w:rsidR="00221139">
                                <w:instrText xml:space="preserve"> PAGE   \* MERGEFORMAT </w:instrText>
                              </w:r>
                              <w:r w:rsidR="00221139">
                                <w:fldChar w:fldCharType="separate"/>
                              </w:r>
                              <w:r w:rsidR="00221139">
                                <w:t>5</w:t>
                              </w:r>
                              <w:r w:rsidR="00221139">
                                <w:fldChar w:fldCharType="end"/>
                              </w:r>
                            </w:p>
                            <w:p w14:paraId="38D8449F" w14:textId="77777777" w:rsidR="00221139" w:rsidRDefault="00221139" w:rsidP="00221139">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1D396" id="_x0000_s1045" type="#_x0000_t202" style="position:absolute;left:0;text-align:left;margin-left:-123.5pt;margin-top:174.05pt;width:185.9pt;height:20.35pt;rotation:90;z-index:2517617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8cGAIAAAs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" filled="f" strokecolor="white [3212]">
                  <v:textbox>
                    <w:txbxContent>
                      <w:p w14:paraId="62B79B93" w14:textId="1E47DA7D" w:rsidR="00221139" w:rsidRPr="009267A9" w:rsidRDefault="00307BFD" w:rsidP="00221139">
                        <w:pPr>
                          <w:pStyle w:val="FooterOdd"/>
                          <w:tabs>
                            <w:tab w:val="right" w:pos="9072"/>
                          </w:tabs>
                        </w:pPr>
                        <w:fldSimple w:instr=" STYLEREF  &quot;Heading 1&quot;  \* MERGEFORMAT ">
                          <w:r w:rsidR="00F60EAA">
                            <w:rPr>
                              <w:noProof/>
                            </w:rPr>
                            <w:t>Financial performance</w:t>
                          </w:r>
                        </w:fldSimple>
                        <w:r w:rsidR="00221139">
                          <w:t xml:space="preserve"> | </w:t>
                        </w:r>
                        <w:r w:rsidR="00221139">
                          <w:fldChar w:fldCharType="begin"/>
                        </w:r>
                        <w:r w:rsidR="00221139">
                          <w:instrText xml:space="preserve"> PAGE   \* MERGEFORMAT </w:instrText>
                        </w:r>
                        <w:r w:rsidR="00221139">
                          <w:fldChar w:fldCharType="separate"/>
                        </w:r>
                        <w:r w:rsidR="00221139">
                          <w:t>5</w:t>
                        </w:r>
                        <w:r w:rsidR="00221139">
                          <w:fldChar w:fldCharType="end"/>
                        </w:r>
                      </w:p>
                      <w:p w14:paraId="38D8449F" w14:textId="77777777" w:rsidR="00221139" w:rsidRDefault="00221139" w:rsidP="00221139">
                        <w:pPr>
                          <w:jc w:val="right"/>
                        </w:pPr>
                      </w:p>
                    </w:txbxContent>
                  </v:textbox>
                  <w10:wrap type="square"/>
                </v:shape>
              </w:pict>
            </mc:Fallback>
          </mc:AlternateContent>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0103057"/>
      <w:docPartObj>
        <w:docPartGallery w:val="Page Numbers (Bottom of Page)"/>
        <w:docPartUnique/>
      </w:docPartObj>
    </w:sdtPr>
    <w:sdtEndPr>
      <w:rPr>
        <w:rStyle w:val="PageNumber"/>
        <w:b/>
        <w:bCs/>
      </w:rPr>
    </w:sdtEndPr>
    <w:sdtContent>
      <w:p w14:paraId="486EFB4E" w14:textId="77777777" w:rsidR="00C11331" w:rsidRPr="00CE0072" w:rsidRDefault="00C11331">
        <w:pPr>
          <w:pStyle w:val="FooterOdd"/>
          <w:tabs>
            <w:tab w:val="right" w:pos="9072"/>
          </w:tabs>
        </w:pPr>
        <w:r>
          <w:rPr>
            <w:noProof/>
          </w:rPr>
          <mc:AlternateContent>
            <mc:Choice Requires="wps">
              <w:drawing>
                <wp:anchor distT="45720" distB="45720" distL="114300" distR="114300" simplePos="0" relativeHeight="251658298" behindDoc="0" locked="0" layoutInCell="1" allowOverlap="1" wp14:anchorId="641AD102" wp14:editId="73D12C70">
                  <wp:simplePos x="0" y="0"/>
                  <wp:positionH relativeFrom="column">
                    <wp:posOffset>-2378710</wp:posOffset>
                  </wp:positionH>
                  <wp:positionV relativeFrom="paragraph">
                    <wp:posOffset>-2008505</wp:posOffset>
                  </wp:positionV>
                  <wp:extent cx="2360930" cy="258445"/>
                  <wp:effectExtent l="3492" t="0" r="4763" b="0"/>
                  <wp:wrapSquare wrapText="bothSides"/>
                  <wp:docPr id="8766786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644AE503" w14:textId="77777777" w:rsidR="00C11331" w:rsidRPr="00121C95" w:rsidRDefault="00C11331">
                              <w:pPr>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284098AE" w14:textId="77777777" w:rsidR="00C11331" w:rsidRPr="00121C95" w:rsidRDefault="00C11331">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D102" id="_x0000_t202" coordsize="21600,21600" o:spt="202" path="m,l,21600r21600,l21600,xe">
                  <v:stroke joinstyle="miter"/>
                  <v:path gradientshapeok="t" o:connecttype="rect"/>
                </v:shapetype>
                <v:shape id="_x0000_s1047" type="#_x0000_t202" alt="&quot;&quot;" style="position:absolute;left:0;text-align:left;margin-left:-187.3pt;margin-top:-158.15pt;width:185.9pt;height:20.35pt;rotation:90;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" filled="f" stroked="f">
                  <v:textbox>
                    <w:txbxContent>
                      <w:p w14:paraId="644AE503" w14:textId="77777777" w:rsidR="00C11331" w:rsidRPr="00121C95" w:rsidRDefault="00C11331">
                        <w:pPr>
                          <w:tabs>
                            <w:tab w:val="right" w:pos="9072"/>
                          </w:tabs>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p w14:paraId="284098AE" w14:textId="77777777" w:rsidR="00C11331" w:rsidRPr="00121C95" w:rsidRDefault="00C11331">
                        <w:pPr>
                          <w:jc w:val="right"/>
                        </w:pPr>
                      </w:p>
                    </w:txbxContent>
                  </v:textbox>
                  <w10:wrap type="square"/>
                </v:shape>
              </w:pict>
            </mc:Fallback>
          </mc:AlternateContent>
        </w:r>
        <w:r>
          <w:rPr>
            <w:noProof/>
          </w:rPr>
          <w:drawing>
            <wp:anchor distT="0" distB="0" distL="114300" distR="114300" simplePos="0" relativeHeight="251658301" behindDoc="1" locked="1" layoutInCell="1" allowOverlap="1" wp14:anchorId="3AA2C869" wp14:editId="11EF4A93">
              <wp:simplePos x="0" y="0"/>
              <wp:positionH relativeFrom="page">
                <wp:align>left</wp:align>
              </wp:positionH>
              <wp:positionV relativeFrom="paragraph">
                <wp:posOffset>-4192905</wp:posOffset>
              </wp:positionV>
              <wp:extent cx="7559675" cy="1731010"/>
              <wp:effectExtent l="0" t="0" r="0" b="0"/>
              <wp:wrapNone/>
              <wp:docPr id="200252444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1917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59675" cy="17310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300" behindDoc="0" locked="0" layoutInCell="1" allowOverlap="1" wp14:anchorId="240CA87E" wp14:editId="14A8C15E">
                  <wp:simplePos x="0" y="0"/>
                  <wp:positionH relativeFrom="column">
                    <wp:posOffset>-2296105</wp:posOffset>
                  </wp:positionH>
                  <wp:positionV relativeFrom="paragraph">
                    <wp:posOffset>-2003066</wp:posOffset>
                  </wp:positionV>
                  <wp:extent cx="242514" cy="299362"/>
                  <wp:effectExtent l="0" t="0" r="5715" b="5715"/>
                  <wp:wrapNone/>
                  <wp:docPr id="19783170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EFB5F" id="Rectangle 1" o:spid="_x0000_s1026" alt="&quot;&quot;" style="position:absolute;margin-left:-180.8pt;margin-top:-157.7pt;width:19.1pt;height:23.5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" fillcolor="#472978 [3204]" stroked="f" strokeweight="1pt"/>
              </w:pict>
            </mc:Fallback>
          </mc:AlternateContent>
        </w:r>
        <w:r>
          <w:rPr>
            <w:noProof/>
          </w:rPr>
          <mc:AlternateContent>
            <mc:Choice Requires="wps">
              <w:drawing>
                <wp:anchor distT="0" distB="0" distL="114300" distR="114300" simplePos="0" relativeHeight="251658299" behindDoc="0" locked="0" layoutInCell="1" allowOverlap="1" wp14:anchorId="290EF397" wp14:editId="3DA3A36D">
                  <wp:simplePos x="0" y="0"/>
                  <wp:positionH relativeFrom="column">
                    <wp:posOffset>-2447152</wp:posOffset>
                  </wp:positionH>
                  <wp:positionV relativeFrom="paragraph">
                    <wp:posOffset>-2157620</wp:posOffset>
                  </wp:positionV>
                  <wp:extent cx="242514" cy="299362"/>
                  <wp:effectExtent l="0" t="0" r="5715" b="5715"/>
                  <wp:wrapNone/>
                  <wp:docPr id="18133470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2514" cy="299362"/>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6FB08" id="Rectangle 1" o:spid="_x0000_s1026" alt="&quot;&quot;" style="position:absolute;margin-left:-192.7pt;margin-top:-169.9pt;width:19.1pt;height:23.5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" fillcolor="#472978 [3204]" stroked="f" strokeweight="1pt"/>
              </w:pict>
            </mc:Fallback>
          </mc:AlternateContent>
        </w:r>
        <w:r>
          <w:rPr>
            <w:noProof/>
          </w:rPr>
          <mc:AlternateContent>
            <mc:Choice Requires="wps">
              <w:drawing>
                <wp:anchor distT="45720" distB="45720" distL="114300" distR="114300" simplePos="0" relativeHeight="251658297" behindDoc="0" locked="0" layoutInCell="1" allowOverlap="1" wp14:anchorId="49C14F95" wp14:editId="1816EFCE">
                  <wp:simplePos x="0" y="0"/>
                  <wp:positionH relativeFrom="column">
                    <wp:posOffset>-1568767</wp:posOffset>
                  </wp:positionH>
                  <wp:positionV relativeFrom="paragraph">
                    <wp:posOffset>2210434</wp:posOffset>
                  </wp:positionV>
                  <wp:extent cx="2360930" cy="258445"/>
                  <wp:effectExtent l="3492" t="0" r="23813" b="23812"/>
                  <wp:wrapSquare wrapText="bothSides"/>
                  <wp:docPr id="649459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7033CDB5" w14:textId="5494EB57" w:rsidR="00C11331" w:rsidRPr="009267A9" w:rsidRDefault="00307BFD">
                              <w:pPr>
                                <w:tabs>
                                  <w:tab w:val="right" w:pos="9072"/>
                                </w:tabs>
                              </w:pPr>
                              <w:fldSimple w:instr=" STYLEREF  &quot;Heading 1&quot;  \* MERGEFORMAT ">
                                <w:r w:rsidR="00F60EAA">
                                  <w:rPr>
                                    <w:noProof/>
                                  </w:rPr>
                                  <w:t>Financial performance</w:t>
                                </w:r>
                              </w:fldSimple>
                              <w:r w:rsidR="00C11331">
                                <w:t xml:space="preserve"> | </w:t>
                              </w:r>
                              <w:r w:rsidR="00C11331">
                                <w:fldChar w:fldCharType="begin"/>
                              </w:r>
                              <w:r w:rsidR="00C11331">
                                <w:instrText xml:space="preserve"> PAGE   \* MERGEFORMAT </w:instrText>
                              </w:r>
                              <w:r w:rsidR="00C11331">
                                <w:fldChar w:fldCharType="separate"/>
                              </w:r>
                              <w:r w:rsidR="00C11331">
                                <w:t>5</w:t>
                              </w:r>
                              <w:r w:rsidR="00C11331">
                                <w:fldChar w:fldCharType="end"/>
                              </w:r>
                            </w:p>
                            <w:p w14:paraId="0E6779A4" w14:textId="77777777" w:rsidR="00C11331" w:rsidRDefault="00C11331">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C14F95" id="_x0000_t202" coordsize="21600,21600" o:spt="202" path="m,l,21600r21600,l21600,xe">
                  <v:stroke joinstyle="miter"/>
                  <v:path gradientshapeok="t" o:connecttype="rect"/>
                </v:shapetype>
                <v:shape id="_x0000_s1048" type="#_x0000_t202" style="position:absolute;left:0;text-align:left;margin-left:-123.5pt;margin-top:174.05pt;width:185.9pt;height:20.35pt;rotation:90;z-index:251658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C7GAIAAAs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" filled="f" strokecolor="white [3212]">
                  <v:textbox>
                    <w:txbxContent>
                      <w:p w14:paraId="7033CDB5" w14:textId="5494EB57" w:rsidR="00C11331" w:rsidRPr="009267A9" w:rsidRDefault="00307BFD">
                        <w:pPr>
                          <w:tabs>
                            <w:tab w:val="right" w:pos="9072"/>
                          </w:tabs>
                        </w:pPr>
                        <w:fldSimple w:instr=" STYLEREF  &quot;Heading 1&quot;  \* MERGEFORMAT ">
                          <w:r w:rsidR="00F60EAA">
                            <w:rPr>
                              <w:noProof/>
                            </w:rPr>
                            <w:t>Financial performance</w:t>
                          </w:r>
                        </w:fldSimple>
                        <w:r w:rsidR="00C11331">
                          <w:t xml:space="preserve"> | </w:t>
                        </w:r>
                        <w:r w:rsidR="00C11331">
                          <w:fldChar w:fldCharType="begin"/>
                        </w:r>
                        <w:r w:rsidR="00C11331">
                          <w:instrText xml:space="preserve"> PAGE   \* MERGEFORMAT </w:instrText>
                        </w:r>
                        <w:r w:rsidR="00C11331">
                          <w:fldChar w:fldCharType="separate"/>
                        </w:r>
                        <w:r w:rsidR="00C11331">
                          <w:t>5</w:t>
                        </w:r>
                        <w:r w:rsidR="00C11331">
                          <w:fldChar w:fldCharType="end"/>
                        </w:r>
                      </w:p>
                      <w:p w14:paraId="0E6779A4" w14:textId="77777777" w:rsidR="00C11331" w:rsidRDefault="00C11331">
                        <w:pPr>
                          <w:jc w:val="right"/>
                        </w:pPr>
                      </w:p>
                    </w:txbxContent>
                  </v:textbox>
                  <w10:wrap type="square"/>
                </v:shape>
              </w:pict>
            </mc:Fallback>
          </mc:AlternateContent>
        </w:r>
        <w:r>
          <w:rPr>
            <w:noProof/>
          </w:rPr>
          <mc:AlternateContent>
            <mc:Choice Requires="wps">
              <w:drawing>
                <wp:anchor distT="45720" distB="45720" distL="114300" distR="114300" simplePos="0" relativeHeight="251658296" behindDoc="0" locked="0" layoutInCell="1" allowOverlap="1" wp14:anchorId="42FA8229" wp14:editId="1F602DF2">
                  <wp:simplePos x="0" y="0"/>
                  <wp:positionH relativeFrom="column">
                    <wp:posOffset>-1568767</wp:posOffset>
                  </wp:positionH>
                  <wp:positionV relativeFrom="paragraph">
                    <wp:posOffset>2210434</wp:posOffset>
                  </wp:positionV>
                  <wp:extent cx="2360930" cy="258445"/>
                  <wp:effectExtent l="3492" t="0" r="23813" b="23812"/>
                  <wp:wrapSquare wrapText="bothSides"/>
                  <wp:docPr id="1431129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solidFill>
                              <a:schemeClr val="bg1"/>
                            </a:solidFill>
                            <a:miter lim="800000"/>
                            <a:headEnd/>
                            <a:tailEnd/>
                          </a:ln>
                        </wps:spPr>
                        <wps:txbx>
                          <w:txbxContent>
                            <w:p w14:paraId="79ED7FCF" w14:textId="79892DC2" w:rsidR="00C11331" w:rsidRPr="009267A9" w:rsidRDefault="00307BFD">
                              <w:pPr>
                                <w:tabs>
                                  <w:tab w:val="right" w:pos="9072"/>
                                </w:tabs>
                              </w:pPr>
                              <w:fldSimple w:instr=" STYLEREF  &quot;Heading 1&quot;  \* MERGEFORMAT ">
                                <w:r w:rsidR="00F60EAA">
                                  <w:rPr>
                                    <w:noProof/>
                                  </w:rPr>
                                  <w:t>Financial performance</w:t>
                                </w:r>
                              </w:fldSimple>
                              <w:r w:rsidR="00C11331">
                                <w:t xml:space="preserve"> | </w:t>
                              </w:r>
                              <w:r w:rsidR="00C11331">
                                <w:fldChar w:fldCharType="begin"/>
                              </w:r>
                              <w:r w:rsidR="00C11331">
                                <w:instrText xml:space="preserve"> PAGE   \* MERGEFORMAT </w:instrText>
                              </w:r>
                              <w:r w:rsidR="00C11331">
                                <w:fldChar w:fldCharType="separate"/>
                              </w:r>
                              <w:r w:rsidR="00C11331">
                                <w:t>5</w:t>
                              </w:r>
                              <w:r w:rsidR="00C11331">
                                <w:fldChar w:fldCharType="end"/>
                              </w:r>
                            </w:p>
                            <w:p w14:paraId="274D1585" w14:textId="77777777" w:rsidR="00C11331" w:rsidRDefault="00C11331">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A8229" id="_x0000_s1049" type="#_x0000_t202" style="position:absolute;left:0;text-align:left;margin-left:-123.5pt;margin-top:174.05pt;width:185.9pt;height:20.35pt;rotation:90;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" filled="f" strokecolor="white [3212]">
                  <v:textbox>
                    <w:txbxContent>
                      <w:p w14:paraId="79ED7FCF" w14:textId="79892DC2" w:rsidR="00C11331" w:rsidRPr="009267A9" w:rsidRDefault="00307BFD">
                        <w:pPr>
                          <w:tabs>
                            <w:tab w:val="right" w:pos="9072"/>
                          </w:tabs>
                        </w:pPr>
                        <w:fldSimple w:instr=" STYLEREF  &quot;Heading 1&quot;  \* MERGEFORMAT ">
                          <w:r w:rsidR="00F60EAA">
                            <w:rPr>
                              <w:noProof/>
                            </w:rPr>
                            <w:t>Financial performance</w:t>
                          </w:r>
                        </w:fldSimple>
                        <w:r w:rsidR="00C11331">
                          <w:t xml:space="preserve"> | </w:t>
                        </w:r>
                        <w:r w:rsidR="00C11331">
                          <w:fldChar w:fldCharType="begin"/>
                        </w:r>
                        <w:r w:rsidR="00C11331">
                          <w:instrText xml:space="preserve"> PAGE   \* MERGEFORMAT </w:instrText>
                        </w:r>
                        <w:r w:rsidR="00C11331">
                          <w:fldChar w:fldCharType="separate"/>
                        </w:r>
                        <w:r w:rsidR="00C11331">
                          <w:t>5</w:t>
                        </w:r>
                        <w:r w:rsidR="00C11331">
                          <w:fldChar w:fldCharType="end"/>
                        </w:r>
                      </w:p>
                      <w:p w14:paraId="274D1585" w14:textId="77777777" w:rsidR="00C11331" w:rsidRDefault="00C11331">
                        <w:pPr>
                          <w:jc w:val="right"/>
                        </w:pPr>
                      </w:p>
                    </w:txbxContent>
                  </v:textbox>
                  <w10:wrap type="square"/>
                </v:shape>
              </w:pict>
            </mc:Fallback>
          </mc:AlternateContent>
        </w:r>
      </w:p>
    </w:sdtContent>
  </w:sdt>
  <w:p w14:paraId="64ABC649" w14:textId="77777777" w:rsidR="00C11331" w:rsidRPr="00BB42D1" w:rsidRDefault="00C11331" w:rsidP="00BB42D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B7CD" w14:textId="21B59185" w:rsidR="005345D9" w:rsidRPr="00221139" w:rsidRDefault="005345D9" w:rsidP="0022113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F53C" w14:textId="77777777" w:rsidR="00AD7140" w:rsidRPr="00CE5BB7" w:rsidRDefault="00AD7140" w:rsidP="00BD7AD5">
    <w:pPr>
      <w:pStyle w:val="Footer"/>
      <w:spacing w:after="0"/>
    </w:pPr>
    <w:r w:rsidRPr="00CE5BB7">
      <w:rPr>
        <w:noProof/>
      </w:rPr>
      <w:drawing>
        <wp:anchor distT="0" distB="0" distL="114300" distR="114300" simplePos="0" relativeHeight="251813987" behindDoc="1" locked="0" layoutInCell="1" allowOverlap="1" wp14:anchorId="1076F962" wp14:editId="6F508613">
          <wp:simplePos x="0" y="0"/>
          <wp:positionH relativeFrom="page">
            <wp:posOffset>-25400</wp:posOffset>
          </wp:positionH>
          <wp:positionV relativeFrom="paragraph">
            <wp:posOffset>-1159510</wp:posOffset>
          </wp:positionV>
          <wp:extent cx="7581600" cy="2860812"/>
          <wp:effectExtent l="0" t="0" r="635" b="0"/>
          <wp:wrapNone/>
          <wp:docPr id="76867252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9369682"/>
        <w:docPartObj>
          <w:docPartGallery w:val="Page Numbers (Bottom of Page)"/>
          <w:docPartUnique/>
        </w:docPartObj>
      </w:sdtPr>
      <w:sdtEndPr>
        <w:rPr>
          <w:rStyle w:val="PageNumber"/>
        </w:rPr>
      </w:sdtEndPr>
      <w:sdtContent>
        <w:r w:rsidRPr="00CE5BB7">
          <w:rPr>
            <w:rStyle w:val="PageNumber"/>
          </w:rPr>
          <w:fldChar w:fldCharType="begin"/>
        </w:r>
        <w:r w:rsidRPr="00CE5BB7">
          <w:rPr>
            <w:rStyle w:val="PageNumber"/>
          </w:rPr>
          <w:instrText xml:space="preserve"> PAGE </w:instrText>
        </w:r>
        <w:r w:rsidRPr="00CE5BB7">
          <w:rPr>
            <w:rStyle w:val="PageNumber"/>
          </w:rPr>
          <w:fldChar w:fldCharType="separate"/>
        </w:r>
        <w:r w:rsidRPr="00CE5BB7">
          <w:rPr>
            <w:rStyle w:val="PageNumber"/>
          </w:rPr>
          <w:t>4</w:t>
        </w:r>
        <w:r w:rsidRPr="00CE5BB7">
          <w:rPr>
            <w:rStyle w:val="PageNumber"/>
          </w:rPr>
          <w:fldChar w:fldCharType="end"/>
        </w:r>
        <w:r w:rsidRPr="00CE5BB7">
          <w:rPr>
            <w:noProof/>
          </w:rPr>
          <w:t xml:space="preserve"> </w:t>
        </w:r>
      </w:sdtContent>
    </w:sdt>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8579809"/>
      <w:docPartObj>
        <w:docPartGallery w:val="Page Numbers (Bottom of Page)"/>
        <w:docPartUnique/>
      </w:docPartObj>
    </w:sdtPr>
    <w:sdtEndPr>
      <w:rPr>
        <w:rStyle w:val="PageNumber"/>
      </w:rPr>
    </w:sdtEndPr>
    <w:sdtContent>
      <w:p w14:paraId="239E97FE" w14:textId="77777777" w:rsidR="00BF3FC0" w:rsidRPr="001C014C" w:rsidRDefault="00BF3FC0" w:rsidP="001C014C">
        <w:pPr>
          <w:pStyle w:val="FooterOdd"/>
          <w:rPr>
            <w:rStyle w:val="PageNumber"/>
          </w:rPr>
        </w:pPr>
        <w:r>
          <w:rPr>
            <w:noProof/>
          </w:rPr>
          <w:drawing>
            <wp:anchor distT="0" distB="0" distL="114300" distR="114300" simplePos="0" relativeHeight="251816035" behindDoc="1" locked="0" layoutInCell="1" allowOverlap="1" wp14:anchorId="1639B561" wp14:editId="3EF0165E">
              <wp:simplePos x="0" y="0"/>
              <wp:positionH relativeFrom="page">
                <wp:posOffset>7473</wp:posOffset>
              </wp:positionH>
              <wp:positionV relativeFrom="paragraph">
                <wp:posOffset>-1186180</wp:posOffset>
              </wp:positionV>
              <wp:extent cx="7582953" cy="2862000"/>
              <wp:effectExtent l="0" t="0" r="0" b="0"/>
              <wp:wrapNone/>
              <wp:docPr id="113251797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484006269"/>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7299420"/>
      <w:docPartObj>
        <w:docPartGallery w:val="Page Numbers (Bottom of Page)"/>
        <w:docPartUnique/>
      </w:docPartObj>
    </w:sdtPr>
    <w:sdtEndPr>
      <w:rPr>
        <w:rStyle w:val="PageNumber"/>
      </w:rPr>
    </w:sdtEndPr>
    <w:sdtContent>
      <w:p w14:paraId="049C6D0C" w14:textId="77777777" w:rsidR="00AB0AEE" w:rsidRPr="001C014C" w:rsidRDefault="00AB0AEE" w:rsidP="001C014C">
        <w:pPr>
          <w:pStyle w:val="FooterOdd"/>
          <w:rPr>
            <w:rStyle w:val="PageNumber"/>
          </w:rPr>
        </w:pPr>
        <w:r>
          <w:rPr>
            <w:noProof/>
          </w:rPr>
          <w:drawing>
            <wp:anchor distT="0" distB="0" distL="114300" distR="114300" simplePos="0" relativeHeight="251779171" behindDoc="1" locked="0" layoutInCell="1" allowOverlap="1" wp14:anchorId="00101744" wp14:editId="04593E22">
              <wp:simplePos x="0" y="0"/>
              <wp:positionH relativeFrom="page">
                <wp:posOffset>7473</wp:posOffset>
              </wp:positionH>
              <wp:positionV relativeFrom="paragraph">
                <wp:posOffset>-1186180</wp:posOffset>
              </wp:positionV>
              <wp:extent cx="7582953" cy="2862000"/>
              <wp:effectExtent l="0" t="0" r="0" b="0"/>
              <wp:wrapNone/>
              <wp:docPr id="169223670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1969168956"/>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24E5" w14:textId="77777777" w:rsidR="00AB0AEE" w:rsidRPr="006C7A5E" w:rsidRDefault="00AB0AEE" w:rsidP="00BD7AD5">
    <w:pPr>
      <w:pStyle w:val="Footer"/>
      <w:spacing w:after="0"/>
    </w:pPr>
    <w:r w:rsidRPr="006C7A5E">
      <w:rPr>
        <w:noProof/>
      </w:rPr>
      <w:drawing>
        <wp:anchor distT="0" distB="0" distL="114300" distR="114300" simplePos="0" relativeHeight="251777123" behindDoc="1" locked="0" layoutInCell="1" allowOverlap="1" wp14:anchorId="7E98543B" wp14:editId="34E46321">
          <wp:simplePos x="0" y="0"/>
          <wp:positionH relativeFrom="page">
            <wp:posOffset>-25400</wp:posOffset>
          </wp:positionH>
          <wp:positionV relativeFrom="paragraph">
            <wp:posOffset>-1159510</wp:posOffset>
          </wp:positionV>
          <wp:extent cx="7581600" cy="2860812"/>
          <wp:effectExtent l="0" t="0" r="635" b="0"/>
          <wp:wrapNone/>
          <wp:docPr id="164603310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194133017"/>
        <w:docPartObj>
          <w:docPartGallery w:val="Page Numbers (Bottom of Page)"/>
          <w:docPartUnique/>
        </w:docPartObj>
      </w:sdtPr>
      <w:sdtEndPr>
        <w:rPr>
          <w:rStyle w:val="PageNumber"/>
        </w:rPr>
      </w:sdtEndPr>
      <w:sdtContent>
        <w:r w:rsidRPr="006C7A5E">
          <w:rPr>
            <w:rStyle w:val="PageNumber"/>
          </w:rPr>
          <w:fldChar w:fldCharType="begin"/>
        </w:r>
        <w:r w:rsidRPr="006C7A5E">
          <w:rPr>
            <w:rStyle w:val="PageNumber"/>
          </w:rPr>
          <w:instrText xml:space="preserve"> PAGE </w:instrText>
        </w:r>
        <w:r w:rsidRPr="006C7A5E">
          <w:rPr>
            <w:rStyle w:val="PageNumber"/>
          </w:rPr>
          <w:fldChar w:fldCharType="separate"/>
        </w:r>
        <w:r w:rsidRPr="006C7A5E">
          <w:rPr>
            <w:rStyle w:val="PageNumber"/>
          </w:rPr>
          <w:t>4</w:t>
        </w:r>
        <w:r w:rsidRPr="006C7A5E">
          <w:rPr>
            <w:rStyle w:val="PageNumber"/>
          </w:rPr>
          <w:fldChar w:fldCharType="end"/>
        </w:r>
        <w:r w:rsidRPr="006C7A5E">
          <w:rPr>
            <w:noProof/>
          </w:rPr>
          <w:t xml:space="preserve"> </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7EBA" w14:textId="77777777" w:rsidR="006C6C61" w:rsidRPr="00EB2AA0" w:rsidRDefault="00AE1E3E" w:rsidP="0052479B">
    <w:pPr>
      <w:pStyle w:val="Footer"/>
    </w:pPr>
    <w:sdt>
      <w:sdtPr>
        <w:rPr>
          <w:rStyle w:val="PageNumber"/>
          <w:rFonts w:ascii="Open Sans Light" w:hAnsi="Open Sans Light"/>
        </w:rPr>
        <w:id w:val="643547799"/>
        <w:docPartObj>
          <w:docPartGallery w:val="Page Numbers (Bottom of Page)"/>
          <w:docPartUnique/>
        </w:docPartObj>
      </w:sdtPr>
      <w:sdtEndPr>
        <w:rPr>
          <w:rStyle w:val="PageNumber"/>
        </w:rPr>
      </w:sdtEndPr>
      <w:sdtContent>
        <w:r w:rsidR="0052479B" w:rsidRPr="003E5BB6">
          <w:rPr>
            <w:rStyle w:val="PageNumber"/>
            <w:rFonts w:ascii="Open Sans Light" w:hAnsi="Open Sans Light"/>
            <w:b/>
            <w:bCs/>
          </w:rPr>
          <w:fldChar w:fldCharType="begin"/>
        </w:r>
        <w:r w:rsidR="0052479B" w:rsidRPr="003E5BB6">
          <w:rPr>
            <w:rStyle w:val="PageNumber"/>
            <w:rFonts w:ascii="Open Sans Light" w:hAnsi="Open Sans Light"/>
            <w:b/>
            <w:bCs/>
          </w:rPr>
          <w:instrText xml:space="preserve"> PAGE </w:instrText>
        </w:r>
        <w:r w:rsidR="0052479B" w:rsidRPr="003E5BB6">
          <w:rPr>
            <w:rStyle w:val="PageNumber"/>
            <w:rFonts w:ascii="Open Sans Light" w:hAnsi="Open Sans Light"/>
            <w:b/>
            <w:bCs/>
          </w:rPr>
          <w:fldChar w:fldCharType="separate"/>
        </w:r>
        <w:r w:rsidR="0052479B" w:rsidRPr="003E5BB6">
          <w:rPr>
            <w:rStyle w:val="PageNumber"/>
            <w:b/>
            <w:bCs/>
          </w:rPr>
          <w:t>6</w:t>
        </w:r>
        <w:r w:rsidR="0052479B" w:rsidRPr="003E5BB6">
          <w:rPr>
            <w:rStyle w:val="PageNumber"/>
            <w:rFonts w:ascii="Open Sans Light" w:hAnsi="Open Sans Light"/>
            <w:b/>
            <w:bCs/>
          </w:rPr>
          <w:fldChar w:fldCharType="end"/>
        </w:r>
      </w:sdtContent>
    </w:sdt>
    <w:r w:rsidR="0052479B" w:rsidRPr="00942A9D">
      <w:rPr>
        <w:rStyle w:val="PageNumber"/>
        <w:rFonts w:ascii="Open Sans Light" w:hAnsi="Open Sans Light"/>
      </w:rPr>
      <w:tab/>
    </w:r>
    <w:r w:rsidR="008F7E2B" w:rsidRPr="00942A9D">
      <w:rPr>
        <w:rStyle w:val="PageNumber"/>
        <w:rFonts w:ascii="Open Sans Light" w:hAnsi="Open Sans Light"/>
      </w:rPr>
      <w:t xml:space="preserve">PART </w:t>
    </w:r>
    <w:r w:rsidR="0052479B" w:rsidRPr="00942A9D">
      <w:rPr>
        <w:rStyle w:val="PageNumber"/>
        <w:rFonts w:ascii="Open Sans Light" w:hAnsi="Open Sans Light"/>
      </w:rPr>
      <w:t xml:space="preserve">1: Overview | </w:t>
    </w:r>
    <w:r w:rsidR="0052479B" w:rsidRPr="003E5BB6">
      <w:rPr>
        <w:b/>
        <w:bCs/>
      </w:rPr>
      <w:t>AOFM</w:t>
    </w:r>
    <w:r w:rsidR="0052479B" w:rsidRPr="00942A9D">
      <w:t xml:space="preserve"> Annual Report 2022–23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5799743"/>
      <w:docPartObj>
        <w:docPartGallery w:val="Page Numbers (Bottom of Page)"/>
        <w:docPartUnique/>
      </w:docPartObj>
    </w:sdtPr>
    <w:sdtEndPr>
      <w:rPr>
        <w:rStyle w:val="PageNumber"/>
      </w:rPr>
    </w:sdtEndPr>
    <w:sdtContent>
      <w:p w14:paraId="141D462B" w14:textId="77777777" w:rsidR="00AB0AEE" w:rsidRPr="001C014C" w:rsidRDefault="00AB0AEE" w:rsidP="001C014C">
        <w:pPr>
          <w:pStyle w:val="FooterOdd"/>
          <w:rPr>
            <w:rStyle w:val="PageNumber"/>
          </w:rPr>
        </w:pPr>
        <w:r>
          <w:rPr>
            <w:noProof/>
          </w:rPr>
          <w:drawing>
            <wp:anchor distT="0" distB="0" distL="114300" distR="114300" simplePos="0" relativeHeight="251781219" behindDoc="1" locked="0" layoutInCell="1" allowOverlap="1" wp14:anchorId="4219944C" wp14:editId="6A5AF5AF">
              <wp:simplePos x="0" y="0"/>
              <wp:positionH relativeFrom="page">
                <wp:posOffset>7473</wp:posOffset>
              </wp:positionH>
              <wp:positionV relativeFrom="paragraph">
                <wp:posOffset>-1186180</wp:posOffset>
              </wp:positionV>
              <wp:extent cx="7582953" cy="2862000"/>
              <wp:effectExtent l="0" t="0" r="0" b="0"/>
              <wp:wrapNone/>
              <wp:docPr id="157403466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2335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2953" cy="2862000"/>
                      </a:xfrm>
                      <a:prstGeom prst="rect">
                        <a:avLst/>
                      </a:prstGeom>
                    </pic:spPr>
                  </pic:pic>
                </a:graphicData>
              </a:graphic>
              <wp14:sizeRelH relativeFrom="page">
                <wp14:pctWidth>0</wp14:pctWidth>
              </wp14:sizeRelH>
              <wp14:sizeRelV relativeFrom="page">
                <wp14:pctHeight>0</wp14:pctHeight>
              </wp14:sizeRelV>
            </wp:anchor>
          </w:drawing>
        </w:r>
        <w:r>
          <w:tab/>
        </w:r>
        <w:sdt>
          <w:sdtPr>
            <w:rPr>
              <w:rStyle w:val="PageNumber"/>
            </w:rPr>
            <w:id w:val="979806033"/>
            <w:docPartObj>
              <w:docPartGallery w:val="Page Numbers (Bottom of Page)"/>
              <w:docPartUnique/>
            </w:docPartObj>
          </w:sdtPr>
          <w:sdtEndPr>
            <w:rPr>
              <w:rStyle w:val="PageNumber"/>
            </w:rPr>
          </w:sdtEndPr>
          <w:sdtContent>
            <w:r w:rsidRPr="001C014C">
              <w:rPr>
                <w:rStyle w:val="PageNumber"/>
              </w:rPr>
              <w:fldChar w:fldCharType="begin"/>
            </w:r>
            <w:r w:rsidRPr="001C014C">
              <w:rPr>
                <w:rStyle w:val="PageNumber"/>
              </w:rPr>
              <w:instrText xml:space="preserve"> PAGE </w:instrText>
            </w:r>
            <w:r w:rsidRPr="001C014C">
              <w:rPr>
                <w:rStyle w:val="PageNumber"/>
              </w:rPr>
              <w:fldChar w:fldCharType="separate"/>
            </w:r>
            <w:r w:rsidRPr="001C014C">
              <w:rPr>
                <w:rStyle w:val="PageNumber"/>
              </w:rPr>
              <w:t>13</w:t>
            </w:r>
            <w:r w:rsidRPr="001C014C">
              <w:rPr>
                <w:rStyle w:val="PageNumber"/>
              </w:rPr>
              <w:fldChar w:fldCharType="end"/>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70"/>
      <w:gridCol w:w="2570"/>
      <w:gridCol w:w="2570"/>
    </w:tblGrid>
    <w:tr w:rsidR="006C6C61" w14:paraId="04D57831" w14:textId="77777777" w:rsidTr="00AB56E6">
      <w:trPr>
        <w:trHeight w:val="300"/>
      </w:trPr>
      <w:tc>
        <w:tcPr>
          <w:tcW w:w="2570" w:type="dxa"/>
        </w:tcPr>
        <w:p w14:paraId="30065C8E" w14:textId="77777777" w:rsidR="006C6C61" w:rsidRDefault="006C6C61" w:rsidP="00AB56E6">
          <w:pPr>
            <w:pStyle w:val="Header"/>
            <w:ind w:left="-115"/>
          </w:pPr>
        </w:p>
      </w:tc>
      <w:tc>
        <w:tcPr>
          <w:tcW w:w="2570" w:type="dxa"/>
        </w:tcPr>
        <w:p w14:paraId="7F1970E0" w14:textId="77777777" w:rsidR="006C6C61" w:rsidRDefault="006C6C61" w:rsidP="00AB56E6">
          <w:pPr>
            <w:pStyle w:val="Header"/>
            <w:jc w:val="center"/>
          </w:pPr>
        </w:p>
      </w:tc>
      <w:tc>
        <w:tcPr>
          <w:tcW w:w="2570" w:type="dxa"/>
        </w:tcPr>
        <w:p w14:paraId="0E0C318C" w14:textId="77777777" w:rsidR="006C6C61" w:rsidRDefault="006C6C61" w:rsidP="00AB56E6">
          <w:pPr>
            <w:pStyle w:val="Header"/>
            <w:ind w:right="-115"/>
            <w:jc w:val="right"/>
          </w:pPr>
        </w:p>
      </w:tc>
    </w:tr>
  </w:tbl>
  <w:p w14:paraId="0C70A959" w14:textId="77777777" w:rsidR="006C6C61" w:rsidRDefault="006C6C6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345" w14:textId="77777777" w:rsidR="00AB0AEE" w:rsidRPr="002C2B56" w:rsidRDefault="00AB0AEE" w:rsidP="00BD7AD5">
    <w:pPr>
      <w:pStyle w:val="Footer"/>
      <w:spacing w:after="0"/>
    </w:pPr>
    <w:r w:rsidRPr="002C2B56">
      <w:rPr>
        <w:noProof/>
      </w:rPr>
      <w:drawing>
        <wp:anchor distT="0" distB="0" distL="114300" distR="114300" simplePos="0" relativeHeight="251785315" behindDoc="1" locked="0" layoutInCell="1" allowOverlap="1" wp14:anchorId="5604BEFB" wp14:editId="0F1F9933">
          <wp:simplePos x="0" y="0"/>
          <wp:positionH relativeFrom="page">
            <wp:posOffset>-25400</wp:posOffset>
          </wp:positionH>
          <wp:positionV relativeFrom="paragraph">
            <wp:posOffset>-1159510</wp:posOffset>
          </wp:positionV>
          <wp:extent cx="7581600" cy="2860812"/>
          <wp:effectExtent l="0" t="0" r="635" b="0"/>
          <wp:wrapNone/>
          <wp:docPr id="1921281739"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8821"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1600" cy="286081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rPr>
        <w:id w:val="-466360498"/>
        <w:docPartObj>
          <w:docPartGallery w:val="Page Numbers (Bottom of Page)"/>
          <w:docPartUnique/>
        </w:docPartObj>
      </w:sdtPr>
      <w:sdtEndPr>
        <w:rPr>
          <w:rStyle w:val="PageNumber"/>
        </w:rPr>
      </w:sdtEndPr>
      <w:sdtContent>
        <w:r w:rsidRPr="002C2B56">
          <w:rPr>
            <w:rStyle w:val="PageNumber"/>
          </w:rPr>
          <w:fldChar w:fldCharType="begin"/>
        </w:r>
        <w:r w:rsidRPr="002C2B56">
          <w:rPr>
            <w:rStyle w:val="PageNumber"/>
          </w:rPr>
          <w:instrText xml:space="preserve"> PAGE </w:instrText>
        </w:r>
        <w:r w:rsidRPr="002C2B56">
          <w:rPr>
            <w:rStyle w:val="PageNumber"/>
          </w:rPr>
          <w:fldChar w:fldCharType="separate"/>
        </w:r>
        <w:r w:rsidRPr="002C2B56">
          <w:rPr>
            <w:rStyle w:val="PageNumber"/>
          </w:rPr>
          <w:t>4</w:t>
        </w:r>
        <w:r w:rsidRPr="002C2B56">
          <w:rPr>
            <w:rStyle w:val="PageNumber"/>
          </w:rPr>
          <w:fldChar w:fldCharType="end"/>
        </w:r>
        <w:r w:rsidRPr="002C2B56">
          <w:rPr>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BA43" w14:textId="77777777" w:rsidR="00EF2355" w:rsidRDefault="00EF2355" w:rsidP="00434DF2">
      <w:bookmarkStart w:id="0" w:name="_Hlk169533623"/>
      <w:bookmarkEnd w:id="0"/>
      <w:r>
        <w:separator/>
      </w:r>
    </w:p>
  </w:footnote>
  <w:footnote w:type="continuationSeparator" w:id="0">
    <w:p w14:paraId="24A87B7F" w14:textId="77777777" w:rsidR="00EF2355" w:rsidRDefault="00EF2355" w:rsidP="00434DF2">
      <w:r>
        <w:continuationSeparator/>
      </w:r>
    </w:p>
    <w:p w14:paraId="6E968D01" w14:textId="77777777" w:rsidR="00EF2355" w:rsidRDefault="00EF2355"/>
    <w:p w14:paraId="20AC3F59" w14:textId="77777777" w:rsidR="00EF2355" w:rsidRDefault="00EF2355"/>
  </w:footnote>
  <w:footnote w:type="continuationNotice" w:id="1">
    <w:p w14:paraId="27A5A59C" w14:textId="77777777" w:rsidR="00EF2355" w:rsidRDefault="00EF2355">
      <w:pPr>
        <w:spacing w:after="0" w:line="240" w:lineRule="auto"/>
      </w:pPr>
    </w:p>
    <w:p w14:paraId="18CF1423" w14:textId="77777777" w:rsidR="00EF2355" w:rsidRDefault="00EF2355"/>
    <w:p w14:paraId="5B443A9C" w14:textId="77777777" w:rsidR="00EF2355" w:rsidRDefault="00EF2355"/>
  </w:footnote>
  <w:footnote w:id="2">
    <w:p w14:paraId="2726759D" w14:textId="016D938F" w:rsidR="00A612BB" w:rsidRPr="00F154BD" w:rsidRDefault="00C92FBC" w:rsidP="00574EDE">
      <w:pPr>
        <w:pStyle w:val="FootnoteText"/>
        <w:rPr>
          <w:lang w:val="en-AU"/>
        </w:rPr>
      </w:pPr>
      <w:r w:rsidRPr="00C92FBC">
        <w:rPr>
          <w:rStyle w:val="FootnoteReference"/>
          <w:vertAlign w:val="baseline"/>
        </w:rPr>
        <w:footnoteRef/>
      </w:r>
      <w:r w:rsidR="00574EDE">
        <w:tab/>
      </w:r>
      <w:r w:rsidR="005C5CA0" w:rsidRPr="00574EDE">
        <w:t>Refinancing</w:t>
      </w:r>
      <w:r w:rsidR="005C5CA0" w:rsidRPr="005C5CA0">
        <w:rPr>
          <w:lang w:val="en-AU"/>
        </w:rPr>
        <w:t xml:space="preserve"> risk, also referred to as </w:t>
      </w:r>
      <w:r w:rsidR="00B84FF2">
        <w:rPr>
          <w:lang w:val="en-AU"/>
        </w:rPr>
        <w:t>‘</w:t>
      </w:r>
      <w:r w:rsidR="005C5CA0" w:rsidRPr="005C5CA0">
        <w:rPr>
          <w:lang w:val="en-AU"/>
        </w:rPr>
        <w:t>rollover risk</w:t>
      </w:r>
      <w:r w:rsidR="00B84FF2">
        <w:rPr>
          <w:lang w:val="en-AU"/>
        </w:rPr>
        <w:t>’</w:t>
      </w:r>
      <w:r w:rsidR="005C5CA0" w:rsidRPr="005C5CA0">
        <w:rPr>
          <w:lang w:val="en-AU"/>
        </w:rPr>
        <w:t xml:space="preserve"> or </w:t>
      </w:r>
      <w:r w:rsidR="00B84FF2">
        <w:rPr>
          <w:lang w:val="en-AU"/>
        </w:rPr>
        <w:t>‘</w:t>
      </w:r>
      <w:r w:rsidR="005C5CA0" w:rsidRPr="005C5CA0">
        <w:rPr>
          <w:lang w:val="en-AU"/>
        </w:rPr>
        <w:t>repricing risk</w:t>
      </w:r>
      <w:r w:rsidR="00B84FF2">
        <w:rPr>
          <w:lang w:val="en-AU"/>
        </w:rPr>
        <w:t>’</w:t>
      </w:r>
      <w:r w:rsidR="005C5CA0" w:rsidRPr="005C5CA0">
        <w:rPr>
          <w:lang w:val="en-AU"/>
        </w:rPr>
        <w:t>, is the risk that borrowing to replace maturing debt occurs on unfavourable terms (or is not possible at all)</w:t>
      </w:r>
      <w:r w:rsidR="00F03361">
        <w:rPr>
          <w:lang w:val="en-AU"/>
        </w:rPr>
        <w:t>.</w:t>
      </w:r>
    </w:p>
  </w:footnote>
  <w:footnote w:id="3">
    <w:p w14:paraId="4FEF57BA" w14:textId="381ECF84" w:rsidR="00E725BC" w:rsidRPr="00E725BC" w:rsidRDefault="00C92FBC">
      <w:pPr>
        <w:pStyle w:val="FootnoteText"/>
        <w:rPr>
          <w:lang w:val="en-AU"/>
        </w:rPr>
      </w:pPr>
      <w:r w:rsidRPr="00C92FBC">
        <w:rPr>
          <w:rStyle w:val="FootnoteReference"/>
          <w:vertAlign w:val="baseline"/>
        </w:rPr>
        <w:footnoteRef/>
      </w:r>
      <w:r w:rsidR="00574EDE">
        <w:tab/>
      </w:r>
      <w:r w:rsidR="00284B62">
        <w:t xml:space="preserve">AOFM Investor Insights are available at </w:t>
      </w:r>
      <w:hyperlink r:id="rId1" w:history="1">
        <w:r w:rsidR="00340886" w:rsidRPr="00904972">
          <w:rPr>
            <w:rStyle w:val="Hyperlink"/>
            <w:sz w:val="16"/>
          </w:rPr>
          <w:t>aofm.gov.au/investors/wholesale</w:t>
        </w:r>
        <w:r w:rsidR="00B84FF2">
          <w:rPr>
            <w:rStyle w:val="Hyperlink"/>
            <w:sz w:val="16"/>
          </w:rPr>
          <w:noBreakHyphen/>
        </w:r>
        <w:r w:rsidR="00340886" w:rsidRPr="00904972">
          <w:rPr>
            <w:rStyle w:val="Hyperlink"/>
            <w:sz w:val="16"/>
          </w:rPr>
          <w:t>investors/investor</w:t>
        </w:r>
        <w:r w:rsidR="00B84FF2">
          <w:rPr>
            <w:rStyle w:val="Hyperlink"/>
            <w:sz w:val="16"/>
          </w:rPr>
          <w:noBreakHyphen/>
        </w:r>
        <w:r w:rsidR="00340886" w:rsidRPr="00904972">
          <w:rPr>
            <w:rStyle w:val="Hyperlink"/>
            <w:sz w:val="16"/>
          </w:rPr>
          <w:t>insights</w:t>
        </w:r>
      </w:hyperlink>
      <w:r w:rsidR="00340886">
        <w:t xml:space="preserve"> </w:t>
      </w:r>
    </w:p>
  </w:footnote>
  <w:footnote w:id="4">
    <w:p w14:paraId="00F85228" w14:textId="4F6F9FA2" w:rsidR="001445B5" w:rsidRPr="001445B5" w:rsidRDefault="00C92FBC" w:rsidP="00574EDE">
      <w:pPr>
        <w:pStyle w:val="FootnoteText"/>
        <w:rPr>
          <w:lang w:val="en-AU"/>
        </w:rPr>
      </w:pPr>
      <w:r w:rsidRPr="00C92FBC">
        <w:rPr>
          <w:rStyle w:val="FootnoteReference"/>
          <w:vertAlign w:val="baseline"/>
        </w:rPr>
        <w:footnoteRef/>
      </w:r>
      <w:r w:rsidR="00574EDE">
        <w:tab/>
      </w:r>
      <w:r w:rsidR="001445B5" w:rsidRPr="001445B5">
        <w:t>Such as unsecured term loan, unsecured line</w:t>
      </w:r>
      <w:r w:rsidR="00B84FF2">
        <w:noBreakHyphen/>
      </w:r>
      <w:r w:rsidR="001445B5" w:rsidRPr="001445B5">
        <w:t>of</w:t>
      </w:r>
      <w:r w:rsidR="00B84FF2">
        <w:noBreakHyphen/>
      </w:r>
      <w:r w:rsidR="001445B5" w:rsidRPr="001445B5">
        <w:t>credit and overdraft products</w:t>
      </w:r>
      <w:r w:rsidR="001445B5">
        <w:t>.</w:t>
      </w:r>
    </w:p>
  </w:footnote>
  <w:footnote w:id="5">
    <w:p w14:paraId="7C3A9A40" w14:textId="654AADDD" w:rsidR="00D923C7" w:rsidRPr="00D923C7" w:rsidRDefault="00C92FBC">
      <w:pPr>
        <w:pStyle w:val="FootnoteText"/>
        <w:rPr>
          <w:lang w:val="en-AU"/>
        </w:rPr>
      </w:pPr>
      <w:r w:rsidRPr="00C92FBC">
        <w:rPr>
          <w:rStyle w:val="FootnoteReference"/>
          <w:vertAlign w:val="baseline"/>
        </w:rPr>
        <w:footnoteRef/>
      </w:r>
      <w:r w:rsidR="00574EDE">
        <w:tab/>
      </w:r>
      <w:r w:rsidR="00D923C7">
        <w:rPr>
          <w:lang w:val="en-AU"/>
        </w:rPr>
        <w:t>The ABSF has experienced no credit losses since inception.</w:t>
      </w:r>
    </w:p>
  </w:footnote>
  <w:footnote w:id="6">
    <w:p w14:paraId="390F9110" w14:textId="23327B7F" w:rsidR="00A32FB9" w:rsidRPr="00654917" w:rsidRDefault="00C92FBC" w:rsidP="00A32FB9">
      <w:pPr>
        <w:pStyle w:val="FootnoteText"/>
        <w:rPr>
          <w:lang w:val="en-AU"/>
        </w:rPr>
      </w:pPr>
      <w:r w:rsidRPr="00C92FBC">
        <w:rPr>
          <w:rStyle w:val="FootnoteReference"/>
          <w:vertAlign w:val="baseline"/>
        </w:rPr>
        <w:footnoteRef/>
      </w:r>
      <w:r w:rsidR="00D51AF8">
        <w:tab/>
      </w:r>
      <w:r w:rsidR="00A32FB9" w:rsidRPr="00654917">
        <w:t>As per Administrative Arrangement Orders issued by the Governor</w:t>
      </w:r>
      <w:r w:rsidR="00B84FF2">
        <w:noBreakHyphen/>
      </w:r>
      <w:r w:rsidR="00A32FB9" w:rsidRPr="00654917">
        <w:t>General of the Commonwealth of Australia.</w:t>
      </w:r>
    </w:p>
  </w:footnote>
  <w:footnote w:id="7">
    <w:p w14:paraId="2547FA9A" w14:textId="59012DA5" w:rsidR="00CB1DC5" w:rsidRPr="00DF31C0" w:rsidRDefault="00C92FBC">
      <w:pPr>
        <w:pStyle w:val="FootnoteText"/>
        <w:rPr>
          <w:lang w:val="en-AU"/>
        </w:rPr>
      </w:pPr>
      <w:r w:rsidRPr="00C92FBC">
        <w:rPr>
          <w:rStyle w:val="FootnoteReference"/>
          <w:vertAlign w:val="baseline"/>
        </w:rPr>
        <w:footnoteRef/>
      </w:r>
      <w:r w:rsidR="00D51AF8">
        <w:tab/>
      </w:r>
      <w:r w:rsidR="004C1701">
        <w:t>The Audit</w:t>
      </w:r>
      <w:r w:rsidR="00D313ED">
        <w:t xml:space="preserve"> and Risk Committee Charter is available at</w:t>
      </w:r>
      <w:r w:rsidR="00284B62">
        <w:t xml:space="preserve"> </w:t>
      </w:r>
      <w:hyperlink r:id="rId2" w:history="1">
        <w:r w:rsidR="00D313ED" w:rsidRPr="00D313ED">
          <w:rPr>
            <w:rStyle w:val="Hyperlink"/>
            <w:sz w:val="16"/>
          </w:rPr>
          <w:t>aofm.gov.au/about/compliance</w:t>
        </w:r>
        <w:r w:rsidR="00B84FF2">
          <w:rPr>
            <w:rStyle w:val="Hyperlink"/>
            <w:sz w:val="16"/>
          </w:rPr>
          <w:noBreakHyphen/>
        </w:r>
        <w:r w:rsidR="00D313ED" w:rsidRPr="00D313ED">
          <w:rPr>
            <w:rStyle w:val="Hyperlink"/>
            <w:sz w:val="16"/>
          </w:rPr>
          <w:t>reports/audit</w:t>
        </w:r>
        <w:r w:rsidR="00B84FF2">
          <w:rPr>
            <w:rStyle w:val="Hyperlink"/>
            <w:sz w:val="16"/>
          </w:rPr>
          <w:noBreakHyphen/>
        </w:r>
        <w:r w:rsidR="00D313ED" w:rsidRPr="00D313ED">
          <w:rPr>
            <w:rStyle w:val="Hyperlink"/>
            <w:sz w:val="16"/>
          </w:rPr>
          <w:t>and</w:t>
        </w:r>
        <w:r w:rsidR="00B84FF2">
          <w:rPr>
            <w:rStyle w:val="Hyperlink"/>
            <w:sz w:val="16"/>
          </w:rPr>
          <w:noBreakHyphen/>
        </w:r>
        <w:r w:rsidR="00D313ED" w:rsidRPr="00D313ED">
          <w:rPr>
            <w:rStyle w:val="Hyperlink"/>
            <w:sz w:val="16"/>
          </w:rPr>
          <w:t>risk</w:t>
        </w:r>
        <w:r w:rsidR="00B84FF2">
          <w:rPr>
            <w:rStyle w:val="Hyperlink"/>
            <w:sz w:val="16"/>
          </w:rPr>
          <w:noBreakHyphen/>
        </w:r>
        <w:r w:rsidR="00D313ED" w:rsidRPr="00D313ED">
          <w:rPr>
            <w:rStyle w:val="Hyperlink"/>
            <w:sz w:val="16"/>
          </w:rPr>
          <w:t>committee</w:t>
        </w:r>
        <w:r w:rsidR="00B84FF2">
          <w:rPr>
            <w:rStyle w:val="Hyperlink"/>
            <w:sz w:val="16"/>
          </w:rPr>
          <w:noBreakHyphen/>
        </w:r>
        <w:r w:rsidR="00D313ED" w:rsidRPr="00D313ED">
          <w:rPr>
            <w:rStyle w:val="Hyperlink"/>
            <w:sz w:val="16"/>
          </w:rPr>
          <w:t>charter</w:t>
        </w:r>
      </w:hyperlink>
      <w:r w:rsidR="00E70CD3">
        <w:t xml:space="preserve"> </w:t>
      </w:r>
    </w:p>
  </w:footnote>
  <w:footnote w:id="8">
    <w:p w14:paraId="5BDF1B7E" w14:textId="1D60B23C" w:rsidR="00B67D3C" w:rsidRPr="00EE0F42" w:rsidRDefault="00C92FBC" w:rsidP="002B37AA">
      <w:pPr>
        <w:pStyle w:val="FootnoteText"/>
        <w:rPr>
          <w:lang w:val="en-AU"/>
        </w:rPr>
      </w:pPr>
      <w:r w:rsidRPr="00C92FBC">
        <w:rPr>
          <w:rStyle w:val="FootnoteReference"/>
          <w:vertAlign w:val="baseline"/>
        </w:rPr>
        <w:footnoteRef/>
      </w:r>
      <w:r w:rsidR="00492F40">
        <w:tab/>
      </w:r>
      <w:hyperlink r:id="rId3" w:history="1">
        <w:r w:rsidR="007A6034" w:rsidRPr="00400D8B">
          <w:rPr>
            <w:rStyle w:val="Hyperlink"/>
            <w:sz w:val="16"/>
            <w:u w:val="none"/>
          </w:rPr>
          <w:t>The AOFM Enterprise</w:t>
        </w:r>
        <w:r w:rsidR="001E1CEB" w:rsidRPr="00400D8B">
          <w:rPr>
            <w:rStyle w:val="Hyperlink"/>
            <w:sz w:val="16"/>
            <w:u w:val="none"/>
          </w:rPr>
          <w:t xml:space="preserve"> Agreement is available at</w:t>
        </w:r>
        <w:r w:rsidR="001E1CEB" w:rsidRPr="00D57A46">
          <w:rPr>
            <w:rStyle w:val="Hyperlink"/>
            <w:sz w:val="16"/>
          </w:rPr>
          <w:t xml:space="preserve"> </w:t>
        </w:r>
        <w:r w:rsidR="00D17EAF" w:rsidRPr="00D57A46">
          <w:rPr>
            <w:rStyle w:val="Hyperlink"/>
            <w:sz w:val="16"/>
          </w:rPr>
          <w:t>aofm.gov.au/sites/default/files/2024</w:t>
        </w:r>
        <w:r w:rsidR="00B84FF2" w:rsidRPr="00D57A46">
          <w:rPr>
            <w:rStyle w:val="Hyperlink"/>
            <w:sz w:val="16"/>
          </w:rPr>
          <w:noBreakHyphen/>
        </w:r>
        <w:r w:rsidR="00D17EAF" w:rsidRPr="00D57A46">
          <w:rPr>
            <w:rStyle w:val="Hyperlink"/>
            <w:sz w:val="16"/>
          </w:rPr>
          <w:t>04</w:t>
        </w:r>
        <w:r w:rsidR="00B84FF2" w:rsidRPr="00D57A46">
          <w:rPr>
            <w:rStyle w:val="Hyperlink"/>
            <w:sz w:val="16"/>
          </w:rPr>
          <w:noBreakHyphen/>
        </w:r>
        <w:r w:rsidR="00D17EAF" w:rsidRPr="00D57A46">
          <w:rPr>
            <w:rStyle w:val="Hyperlink"/>
            <w:sz w:val="16"/>
          </w:rPr>
          <w:t>12/AOFM%20Enterprise%20Agreement%202024</w:t>
        </w:r>
        <w:r w:rsidR="00B84FF2" w:rsidRPr="00D57A46">
          <w:rPr>
            <w:rStyle w:val="Hyperlink"/>
            <w:sz w:val="16"/>
          </w:rPr>
          <w:noBreakHyphen/>
        </w:r>
        <w:r w:rsidR="00D17EAF" w:rsidRPr="00D57A46">
          <w:rPr>
            <w:rStyle w:val="Hyperlink"/>
            <w:sz w:val="16"/>
          </w:rPr>
          <w:t>2027.pdf</w:t>
        </w:r>
      </w:hyperlink>
      <w:r w:rsidR="00B67D3C" w:rsidRPr="002B37AA">
        <w:t xml:space="preserve"> </w:t>
      </w:r>
    </w:p>
  </w:footnote>
  <w:footnote w:id="9">
    <w:p w14:paraId="0DC09EDE" w14:textId="41F440F1" w:rsidR="00162DBF" w:rsidRPr="00162DBF" w:rsidRDefault="00C92FBC">
      <w:pPr>
        <w:pStyle w:val="FootnoteText"/>
        <w:rPr>
          <w:lang w:val="en-AU"/>
        </w:rPr>
      </w:pPr>
      <w:r w:rsidRPr="00C92FBC">
        <w:rPr>
          <w:rStyle w:val="FootnoteReference"/>
          <w:vertAlign w:val="baseline"/>
        </w:rPr>
        <w:footnoteRef/>
      </w:r>
      <w:r w:rsidR="00424534">
        <w:tab/>
      </w:r>
      <w:r w:rsidR="00207773">
        <w:t>Visit</w:t>
      </w:r>
      <w:r w:rsidR="00162DBF">
        <w:t xml:space="preserve"> </w:t>
      </w:r>
      <w:hyperlink r:id="rId4" w:history="1">
        <w:r w:rsidR="00256400" w:rsidRPr="00904972">
          <w:rPr>
            <w:rStyle w:val="Hyperlink"/>
            <w:sz w:val="16"/>
          </w:rPr>
          <w:t>disabilitygateway.gov.au/ads</w:t>
        </w:r>
      </w:hyperlink>
      <w:r w:rsidR="00256400">
        <w:t xml:space="preserve"> </w:t>
      </w:r>
      <w:r w:rsidR="00E26492">
        <w:t>to find related reports.</w:t>
      </w:r>
    </w:p>
  </w:footnote>
  <w:footnote w:id="10">
    <w:p w14:paraId="1EE78E57" w14:textId="1CD50628" w:rsidR="003B67EF" w:rsidRPr="003B67EF" w:rsidRDefault="00C92FBC">
      <w:pPr>
        <w:pStyle w:val="FootnoteText"/>
        <w:rPr>
          <w:lang w:val="en-AU"/>
        </w:rPr>
      </w:pPr>
      <w:r w:rsidRPr="00C92FBC">
        <w:rPr>
          <w:rStyle w:val="FootnoteReference"/>
          <w:vertAlign w:val="baseline"/>
        </w:rPr>
        <w:footnoteRef/>
      </w:r>
      <w:r w:rsidR="00424534">
        <w:tab/>
      </w:r>
      <w:r w:rsidR="00E26492">
        <w:t xml:space="preserve">APSC Sate of the Service Reports are available at </w:t>
      </w:r>
      <w:hyperlink r:id="rId5">
        <w:r w:rsidR="00883E6F" w:rsidRPr="0080104F">
          <w:rPr>
            <w:u w:val="single"/>
          </w:rPr>
          <w:t>apsc.gov.au</w:t>
        </w:r>
      </w:hyperlink>
      <w:r w:rsidR="00B84FF2">
        <w:t xml:space="preserve">. </w:t>
      </w:r>
      <w:r w:rsidR="00883E6F">
        <w:t xml:space="preserve"> </w:t>
      </w:r>
    </w:p>
  </w:footnote>
  <w:footnote w:id="11">
    <w:p w14:paraId="3F7C2213" w14:textId="7EB49405" w:rsidR="00AC49FA" w:rsidRPr="000514FA" w:rsidRDefault="00C92FBC" w:rsidP="00AC49FA">
      <w:pPr>
        <w:pStyle w:val="FootnoteText"/>
      </w:pPr>
      <w:r w:rsidRPr="00C92FBC">
        <w:rPr>
          <w:rStyle w:val="FootnoteReference"/>
          <w:rFonts w:eastAsiaTheme="majorEastAsia"/>
          <w:szCs w:val="18"/>
          <w:vertAlign w:val="baseline"/>
        </w:rPr>
        <w:footnoteRef/>
      </w:r>
      <w:r w:rsidR="00AC49FA" w:rsidRPr="000514FA">
        <w:t xml:space="preserve"> </w:t>
      </w:r>
      <w:r w:rsidR="00B6159D">
        <w:tab/>
      </w:r>
      <w:r w:rsidR="00AC49FA" w:rsidRPr="000514FA">
        <w:t>The Procurement Plan is available at</w:t>
      </w:r>
      <w:r w:rsidR="00AC49FA" w:rsidRPr="002B37AA">
        <w:t xml:space="preserve"> </w:t>
      </w:r>
      <w:hyperlink r:id="rId6" w:history="1">
        <w:r w:rsidR="00AC49FA" w:rsidRPr="00685CD2">
          <w:rPr>
            <w:u w:val="single"/>
          </w:rPr>
          <w:t>tenders.gov.au</w:t>
        </w:r>
      </w:hyperlink>
      <w:r w:rsidR="00AC49FA" w:rsidRPr="000514FA">
        <w:t>.</w:t>
      </w:r>
    </w:p>
  </w:footnote>
  <w:footnote w:id="12">
    <w:p w14:paraId="2ADB7B52" w14:textId="7574E89B" w:rsidR="00202CB4" w:rsidRPr="006534F5" w:rsidRDefault="00C92FBC" w:rsidP="00202CB4">
      <w:pPr>
        <w:pStyle w:val="FootnoteText"/>
        <w:rPr>
          <w:lang w:val="en-AU"/>
        </w:rPr>
      </w:pPr>
      <w:r w:rsidRPr="00C92FBC">
        <w:rPr>
          <w:rStyle w:val="FootnoteReference"/>
          <w:rFonts w:eastAsiaTheme="majorEastAsia"/>
          <w:szCs w:val="18"/>
          <w:vertAlign w:val="baseline"/>
        </w:rPr>
        <w:footnoteRef/>
      </w:r>
      <w:r w:rsidR="00202CB4" w:rsidRPr="000514FA">
        <w:t xml:space="preserve"> </w:t>
      </w:r>
      <w:r w:rsidR="00202CB4" w:rsidRPr="000514FA">
        <w:tab/>
        <w:t xml:space="preserve">Information on the value of reportable consultancy contracts is available </w:t>
      </w:r>
      <w:r w:rsidR="00202CB4" w:rsidRPr="002B37AA">
        <w:t xml:space="preserve">at </w:t>
      </w:r>
      <w:hyperlink r:id="rId7" w:history="1">
        <w:r w:rsidR="002360DD" w:rsidRPr="00685CD2">
          <w:rPr>
            <w:u w:val="single"/>
          </w:rPr>
          <w:t>tenders.gov.au</w:t>
        </w:r>
      </w:hyperlink>
      <w:r w:rsidR="00202CB4" w:rsidRPr="000514FA">
        <w:rPr>
          <w:rStyle w:val="Hyperlink"/>
          <w:rFonts w:ascii="Open Sans" w:hAnsi="Open Sans"/>
          <w:color w:val="000000"/>
          <w:sz w:val="16"/>
          <w:u w:val="none"/>
        </w:rPr>
        <w:t>.</w:t>
      </w:r>
    </w:p>
  </w:footnote>
  <w:footnote w:id="13">
    <w:p w14:paraId="5BBBB4F5" w14:textId="5F949D25" w:rsidR="00C17410" w:rsidRPr="006534F5" w:rsidRDefault="00C92FBC" w:rsidP="00C17410">
      <w:pPr>
        <w:pStyle w:val="FootnoteText"/>
        <w:rPr>
          <w:lang w:val="en-AU"/>
        </w:rPr>
      </w:pPr>
      <w:r w:rsidRPr="00C92FBC">
        <w:rPr>
          <w:rStyle w:val="FootnoteReference"/>
          <w:rFonts w:eastAsiaTheme="majorEastAsia"/>
          <w:vertAlign w:val="baseline"/>
        </w:rPr>
        <w:footnoteRef/>
      </w:r>
      <w:r w:rsidR="00D51AF8">
        <w:tab/>
      </w:r>
      <w:r w:rsidR="00C17410" w:rsidRPr="00101403">
        <w:rPr>
          <w:szCs w:val="16"/>
        </w:rPr>
        <w:t xml:space="preserve">Information on the value of reportable contracts is available at </w:t>
      </w:r>
      <w:hyperlink r:id="rId8" w:history="1">
        <w:r w:rsidR="00543A5D" w:rsidRPr="00904972">
          <w:rPr>
            <w:rStyle w:val="Hyperlink"/>
            <w:sz w:val="16"/>
          </w:rPr>
          <w:t>tenders.gov.au</w:t>
        </w:r>
      </w:hyperlink>
      <w:r w:rsidR="00C17410" w:rsidRPr="00101403">
        <w:rPr>
          <w:szCs w:val="16"/>
        </w:rPr>
        <w:t xml:space="preserve">. </w:t>
      </w:r>
    </w:p>
  </w:footnote>
  <w:footnote w:id="14">
    <w:p w14:paraId="1A0C8D76" w14:textId="772ACE02" w:rsidR="00D029C0" w:rsidRPr="00292A5F" w:rsidRDefault="00C92FBC" w:rsidP="00D029C0">
      <w:pPr>
        <w:pStyle w:val="FootnoteText"/>
      </w:pPr>
      <w:r w:rsidRPr="00C92FBC">
        <w:rPr>
          <w:rStyle w:val="FootnoteReference"/>
          <w:rFonts w:eastAsiaTheme="majorEastAsia"/>
          <w:szCs w:val="18"/>
          <w:vertAlign w:val="baseline"/>
        </w:rPr>
        <w:footnoteRef/>
      </w:r>
      <w:r w:rsidR="00D51AF8">
        <w:tab/>
      </w:r>
      <w:hyperlink r:id="rId9" w:history="1">
        <w:r w:rsidR="00533B3C" w:rsidRPr="00BB5B21">
          <w:rPr>
            <w:rStyle w:val="Hyperlink"/>
            <w:sz w:val="16"/>
            <w:u w:val="none"/>
          </w:rPr>
          <w:t xml:space="preserve">Procurement statistics for SMEs are available at </w:t>
        </w:r>
        <w:r w:rsidR="00D51AF8">
          <w:rPr>
            <w:rStyle w:val="Hyperlink"/>
            <w:sz w:val="16"/>
          </w:rPr>
          <w:t>finance.gov.au/government/procurement/statistics-australian-government-procurement-contracts</w:t>
        </w:r>
      </w:hyperlink>
    </w:p>
  </w:footnote>
  <w:footnote w:id="15">
    <w:p w14:paraId="6E9B9D24" w14:textId="6CA69884" w:rsidR="00D029C0" w:rsidRPr="006534F5" w:rsidRDefault="00C92FBC" w:rsidP="00D029C0">
      <w:pPr>
        <w:pStyle w:val="FootnoteText"/>
        <w:rPr>
          <w:lang w:val="en-AU"/>
        </w:rPr>
      </w:pPr>
      <w:r w:rsidRPr="00C92FBC">
        <w:rPr>
          <w:rStyle w:val="FootnoteReference"/>
          <w:rFonts w:eastAsiaTheme="majorEastAsia"/>
          <w:szCs w:val="18"/>
          <w:vertAlign w:val="baseline"/>
        </w:rPr>
        <w:footnoteRef/>
      </w:r>
      <w:r w:rsidR="00D51AF8">
        <w:tab/>
      </w:r>
      <w:r w:rsidR="00D029C0" w:rsidRPr="0087122A">
        <w:t>Pay On</w:t>
      </w:r>
      <w:r w:rsidR="00B84FF2">
        <w:noBreakHyphen/>
      </w:r>
      <w:r w:rsidR="00D029C0" w:rsidRPr="0087122A">
        <w:t xml:space="preserve">Time survey results are available </w:t>
      </w:r>
      <w:r w:rsidR="00D029C0" w:rsidRPr="00292A5F">
        <w:t xml:space="preserve">at </w:t>
      </w:r>
      <w:hyperlink r:id="rId10" w:history="1">
        <w:r w:rsidR="00D029C0" w:rsidRPr="00B84FF2">
          <w:rPr>
            <w:u w:val="single"/>
          </w:rPr>
          <w:t>treasury.gov.au</w:t>
        </w:r>
      </w:hyperlink>
      <w:r w:rsidR="00AE2793">
        <w:t xml:space="preserve"> </w:t>
      </w:r>
    </w:p>
  </w:footnote>
  <w:footnote w:id="16">
    <w:p w14:paraId="65B56E65" w14:textId="2F800570" w:rsidR="00561FFC" w:rsidRPr="00DF31C0" w:rsidRDefault="00C92FBC">
      <w:pPr>
        <w:pStyle w:val="FootnoteText"/>
        <w:rPr>
          <w:lang w:val="en-AU"/>
        </w:rPr>
      </w:pPr>
      <w:r w:rsidRPr="00C92FBC">
        <w:rPr>
          <w:rStyle w:val="FootnoteReference"/>
          <w:vertAlign w:val="baseline"/>
        </w:rPr>
        <w:footnoteRef/>
      </w:r>
      <w:r w:rsidR="00D51AF8">
        <w:tab/>
      </w:r>
      <w:hyperlink r:id="rId11" w:history="1">
        <w:r w:rsidR="00F86D02" w:rsidRPr="00BB5B21">
          <w:rPr>
            <w:rStyle w:val="Hyperlink"/>
            <w:sz w:val="16"/>
            <w:u w:val="none"/>
          </w:rPr>
          <w:t xml:space="preserve">See our IPS plan at </w:t>
        </w:r>
        <w:r w:rsidR="00F86D02">
          <w:rPr>
            <w:rStyle w:val="Hyperlink"/>
            <w:sz w:val="16"/>
          </w:rPr>
          <w:t>a</w:t>
        </w:r>
        <w:r w:rsidR="000E6032" w:rsidRPr="000E6032">
          <w:rPr>
            <w:rStyle w:val="Hyperlink"/>
            <w:sz w:val="16"/>
          </w:rPr>
          <w:t>ofm.gov.au/about/access</w:t>
        </w:r>
        <w:r w:rsidR="00B84FF2">
          <w:rPr>
            <w:rStyle w:val="Hyperlink"/>
            <w:sz w:val="16"/>
          </w:rPr>
          <w:noBreakHyphen/>
        </w:r>
        <w:r w:rsidR="000E6032" w:rsidRPr="000E6032">
          <w:rPr>
            <w:rStyle w:val="Hyperlink"/>
            <w:sz w:val="16"/>
          </w:rPr>
          <w:t>information/information</w:t>
        </w:r>
        <w:r w:rsidR="00B84FF2">
          <w:rPr>
            <w:rStyle w:val="Hyperlink"/>
            <w:sz w:val="16"/>
          </w:rPr>
          <w:noBreakHyphen/>
        </w:r>
        <w:r w:rsidR="000E6032" w:rsidRPr="000E6032">
          <w:rPr>
            <w:rStyle w:val="Hyperlink"/>
            <w:sz w:val="16"/>
          </w:rPr>
          <w:t>publication</w:t>
        </w:r>
        <w:r w:rsidR="00B84FF2">
          <w:rPr>
            <w:rStyle w:val="Hyperlink"/>
            <w:sz w:val="16"/>
          </w:rPr>
          <w:noBreakHyphen/>
        </w:r>
        <w:r w:rsidR="000E6032" w:rsidRPr="000E6032">
          <w:rPr>
            <w:rStyle w:val="Hyperlink"/>
            <w:sz w:val="16"/>
          </w:rPr>
          <w:t>scheme</w:t>
        </w:r>
      </w:hyperlink>
      <w:r w:rsidR="00BF4B28">
        <w:t xml:space="preserve"> </w:t>
      </w:r>
    </w:p>
  </w:footnote>
  <w:footnote w:id="17">
    <w:p w14:paraId="065F0639" w14:textId="413468CB" w:rsidR="00C976CB" w:rsidRPr="00C976CB" w:rsidRDefault="00C92FBC">
      <w:pPr>
        <w:pStyle w:val="FootnoteText"/>
        <w:rPr>
          <w:lang w:val="en-AU"/>
        </w:rPr>
      </w:pPr>
      <w:r w:rsidRPr="00C92FBC">
        <w:rPr>
          <w:rStyle w:val="FootnoteReference"/>
          <w:vertAlign w:val="baseline"/>
        </w:rPr>
        <w:footnoteRef/>
      </w:r>
      <w:r w:rsidR="00700B1D">
        <w:tab/>
      </w:r>
      <w:hyperlink r:id="rId12" w:history="1">
        <w:r w:rsidR="00EB0765" w:rsidRPr="00AA1B81">
          <w:rPr>
            <w:rStyle w:val="Hyperlink"/>
            <w:sz w:val="16"/>
            <w:u w:val="none"/>
          </w:rPr>
          <w:t xml:space="preserve">Read more about APS Net Zero at </w:t>
        </w:r>
        <w:r w:rsidR="001A0A3A" w:rsidRPr="00AA1B81">
          <w:rPr>
            <w:rStyle w:val="Hyperlink"/>
            <w:sz w:val="16"/>
          </w:rPr>
          <w:t>fi</w:t>
        </w:r>
        <w:r w:rsidR="001A0A3A" w:rsidRPr="00904972">
          <w:rPr>
            <w:rStyle w:val="Hyperlink"/>
            <w:sz w:val="16"/>
          </w:rPr>
          <w:t>nance.gov.au/government/aps</w:t>
        </w:r>
        <w:r w:rsidR="00B84FF2">
          <w:rPr>
            <w:rStyle w:val="Hyperlink"/>
            <w:sz w:val="16"/>
          </w:rPr>
          <w:noBreakHyphen/>
        </w:r>
        <w:r w:rsidR="001A0A3A" w:rsidRPr="00904972">
          <w:rPr>
            <w:rStyle w:val="Hyperlink"/>
            <w:sz w:val="16"/>
          </w:rPr>
          <w:t>net</w:t>
        </w:r>
        <w:r w:rsidR="00B84FF2">
          <w:rPr>
            <w:rStyle w:val="Hyperlink"/>
            <w:sz w:val="16"/>
          </w:rPr>
          <w:noBreakHyphen/>
        </w:r>
        <w:r w:rsidR="001A0A3A" w:rsidRPr="00904972">
          <w:rPr>
            <w:rStyle w:val="Hyperlink"/>
            <w:sz w:val="16"/>
          </w:rPr>
          <w:t>zero</w:t>
        </w:r>
        <w:r w:rsidR="00B84FF2">
          <w:rPr>
            <w:rStyle w:val="Hyperlink"/>
            <w:sz w:val="16"/>
          </w:rPr>
          <w:noBreakHyphen/>
        </w:r>
        <w:r w:rsidR="001A0A3A" w:rsidRPr="00904972">
          <w:rPr>
            <w:rStyle w:val="Hyperlink"/>
            <w:sz w:val="16"/>
          </w:rPr>
          <w:t>emissions</w:t>
        </w:r>
        <w:r w:rsidR="00B84FF2">
          <w:rPr>
            <w:rStyle w:val="Hyperlink"/>
            <w:sz w:val="16"/>
          </w:rPr>
          <w:noBreakHyphen/>
        </w:r>
        <w:r w:rsidR="001A0A3A" w:rsidRPr="00904972">
          <w:rPr>
            <w:rStyle w:val="Hyperlink"/>
            <w:sz w:val="16"/>
          </w:rPr>
          <w:t>2030</w:t>
        </w:r>
      </w:hyperlink>
      <w:r w:rsidR="001A0A3A">
        <w:t xml:space="preserve"> </w:t>
      </w:r>
    </w:p>
  </w:footnote>
  <w:footnote w:id="18">
    <w:p w14:paraId="5DDCEF3E" w14:textId="76A04B7E" w:rsidR="00E75004" w:rsidRPr="00E75004" w:rsidRDefault="00C92FBC">
      <w:pPr>
        <w:pStyle w:val="FootnoteText"/>
        <w:rPr>
          <w:lang w:val="en-AU"/>
        </w:rPr>
      </w:pPr>
      <w:r w:rsidRPr="00C92FBC">
        <w:rPr>
          <w:rStyle w:val="FootnoteReference"/>
          <w:vertAlign w:val="baseline"/>
        </w:rPr>
        <w:footnoteRef/>
      </w:r>
      <w:r w:rsidR="00D51AF8">
        <w:tab/>
      </w:r>
      <w:hyperlink r:id="rId13" w:history="1">
        <w:r w:rsidR="00132125" w:rsidRPr="00AA1B81">
          <w:rPr>
            <w:rStyle w:val="Hyperlink"/>
            <w:sz w:val="16"/>
            <w:szCs w:val="14"/>
            <w:u w:val="none"/>
          </w:rPr>
          <w:t xml:space="preserve">Read our Emissions Reduction Plan at </w:t>
        </w:r>
        <w:r w:rsidR="00E75004" w:rsidRPr="004133A7">
          <w:rPr>
            <w:rStyle w:val="Hyperlink"/>
            <w:sz w:val="16"/>
            <w:szCs w:val="14"/>
          </w:rPr>
          <w:t>aofm.gov.au/publications/emissions</w:t>
        </w:r>
        <w:r w:rsidR="00B84FF2">
          <w:rPr>
            <w:rStyle w:val="Hyperlink"/>
            <w:sz w:val="16"/>
            <w:szCs w:val="14"/>
          </w:rPr>
          <w:noBreakHyphen/>
        </w:r>
        <w:r w:rsidR="00E75004" w:rsidRPr="004133A7">
          <w:rPr>
            <w:rStyle w:val="Hyperlink"/>
            <w:sz w:val="16"/>
            <w:szCs w:val="14"/>
          </w:rPr>
          <w:t>reduction</w:t>
        </w:r>
        <w:r w:rsidR="00B84FF2">
          <w:rPr>
            <w:rStyle w:val="Hyperlink"/>
            <w:sz w:val="16"/>
            <w:szCs w:val="14"/>
          </w:rPr>
          <w:noBreakHyphen/>
        </w:r>
        <w:r w:rsidR="00E75004" w:rsidRPr="004133A7">
          <w:rPr>
            <w:rStyle w:val="Hyperlink"/>
            <w:sz w:val="16"/>
            <w:szCs w:val="14"/>
          </w:rPr>
          <w:t>plan</w:t>
        </w:r>
      </w:hyperlink>
    </w:p>
  </w:footnote>
  <w:footnote w:id="19">
    <w:p w14:paraId="1B7528CA" w14:textId="18701EC6" w:rsidR="00A044F7" w:rsidRPr="00A044F7" w:rsidRDefault="00C92FBC">
      <w:pPr>
        <w:pStyle w:val="FootnoteText"/>
        <w:rPr>
          <w:lang w:val="en-AU"/>
        </w:rPr>
      </w:pPr>
      <w:r w:rsidRPr="00C92FBC">
        <w:rPr>
          <w:rStyle w:val="FootnoteReference"/>
          <w:vertAlign w:val="baseline"/>
        </w:rPr>
        <w:footnoteRef/>
      </w:r>
      <w:r w:rsidR="003A4D91">
        <w:tab/>
      </w:r>
      <w:hyperlink r:id="rId14" w:history="1">
        <w:r w:rsidR="00BE50C8" w:rsidRPr="00AA1B81">
          <w:rPr>
            <w:rStyle w:val="Hyperlink"/>
            <w:sz w:val="16"/>
            <w:u w:val="none"/>
          </w:rPr>
          <w:t xml:space="preserve">Read more about CROMP at </w:t>
        </w:r>
        <w:r w:rsidR="00C143F3" w:rsidRPr="00904972">
          <w:rPr>
            <w:rStyle w:val="Hyperlink"/>
            <w:sz w:val="16"/>
          </w:rPr>
          <w:t>dcceew.gov.au/climate</w:t>
        </w:r>
        <w:r w:rsidR="00B84FF2">
          <w:rPr>
            <w:rStyle w:val="Hyperlink"/>
            <w:sz w:val="16"/>
          </w:rPr>
          <w:noBreakHyphen/>
        </w:r>
        <w:r w:rsidR="00C143F3" w:rsidRPr="00904972">
          <w:rPr>
            <w:rStyle w:val="Hyperlink"/>
            <w:sz w:val="16"/>
          </w:rPr>
          <w:t>change/policy/adaptation/climate</w:t>
        </w:r>
        <w:r w:rsidR="00B84FF2">
          <w:rPr>
            <w:rStyle w:val="Hyperlink"/>
            <w:sz w:val="16"/>
          </w:rPr>
          <w:noBreakHyphen/>
        </w:r>
        <w:r w:rsidR="00C143F3" w:rsidRPr="00904972">
          <w:rPr>
            <w:rStyle w:val="Hyperlink"/>
            <w:sz w:val="16"/>
          </w:rPr>
          <w:t>risk</w:t>
        </w:r>
        <w:r w:rsidR="00B84FF2">
          <w:rPr>
            <w:rStyle w:val="Hyperlink"/>
            <w:sz w:val="16"/>
          </w:rPr>
          <w:noBreakHyphen/>
        </w:r>
        <w:r w:rsidR="00C143F3" w:rsidRPr="00904972">
          <w:rPr>
            <w:rStyle w:val="Hyperlink"/>
            <w:sz w:val="16"/>
          </w:rPr>
          <w:t>opportunity</w:t>
        </w:r>
        <w:r w:rsidR="00B84FF2">
          <w:rPr>
            <w:rStyle w:val="Hyperlink"/>
            <w:sz w:val="16"/>
          </w:rPr>
          <w:noBreakHyphen/>
        </w:r>
        <w:r w:rsidR="00C143F3" w:rsidRPr="00904972">
          <w:rPr>
            <w:rStyle w:val="Hyperlink"/>
            <w:sz w:val="16"/>
          </w:rPr>
          <w:t>management</w:t>
        </w:r>
        <w:r w:rsidR="00B84FF2">
          <w:rPr>
            <w:rStyle w:val="Hyperlink"/>
            <w:sz w:val="16"/>
          </w:rPr>
          <w:noBreakHyphen/>
        </w:r>
        <w:r w:rsidR="00C143F3" w:rsidRPr="00904972">
          <w:rPr>
            <w:rStyle w:val="Hyperlink"/>
            <w:sz w:val="16"/>
          </w:rPr>
          <w:t>program</w:t>
        </w:r>
      </w:hyperlink>
      <w:r w:rsidR="00C143F3">
        <w:t xml:space="preserve"> </w:t>
      </w:r>
    </w:p>
  </w:footnote>
  <w:footnote w:id="20">
    <w:p w14:paraId="0377439B" w14:textId="1E1E5D8E" w:rsidR="00A044F7" w:rsidRPr="00A044F7" w:rsidRDefault="00C92FBC" w:rsidP="00C143F3">
      <w:pPr>
        <w:pStyle w:val="FootnoteText"/>
        <w:tabs>
          <w:tab w:val="clear" w:pos="284"/>
          <w:tab w:val="left" w:pos="142"/>
        </w:tabs>
        <w:rPr>
          <w:lang w:val="en-AU"/>
        </w:rPr>
      </w:pPr>
      <w:r w:rsidRPr="00C92FBC">
        <w:rPr>
          <w:rStyle w:val="FootnoteReference"/>
          <w:vertAlign w:val="baseline"/>
        </w:rPr>
        <w:footnoteRef/>
      </w:r>
      <w:r w:rsidR="003A4D91">
        <w:tab/>
      </w:r>
      <w:hyperlink r:id="rId15" w:history="1">
        <w:r w:rsidR="00BE50C8" w:rsidRPr="00AA1B81">
          <w:rPr>
            <w:rStyle w:val="Hyperlink"/>
            <w:sz w:val="16"/>
            <w:u w:val="none"/>
          </w:rPr>
          <w:t xml:space="preserve">Read more about </w:t>
        </w:r>
        <w:r w:rsidR="007F712B" w:rsidRPr="00AA1B81">
          <w:rPr>
            <w:rStyle w:val="Hyperlink"/>
            <w:sz w:val="16"/>
            <w:u w:val="none"/>
          </w:rPr>
          <w:t xml:space="preserve">Year 1 Reporting Provisions at </w:t>
        </w:r>
        <w:r w:rsidR="00C143F3" w:rsidRPr="00904972">
          <w:rPr>
            <w:rStyle w:val="Hyperlink"/>
            <w:sz w:val="16"/>
          </w:rPr>
          <w:t>finance.gov.au/government/climate</w:t>
        </w:r>
        <w:r w:rsidR="00B84FF2">
          <w:rPr>
            <w:rStyle w:val="Hyperlink"/>
            <w:sz w:val="16"/>
          </w:rPr>
          <w:noBreakHyphen/>
        </w:r>
        <w:r w:rsidR="00C143F3" w:rsidRPr="00904972">
          <w:rPr>
            <w:rStyle w:val="Hyperlink"/>
            <w:sz w:val="16"/>
          </w:rPr>
          <w:t>action</w:t>
        </w:r>
        <w:r w:rsidR="00B84FF2">
          <w:rPr>
            <w:rStyle w:val="Hyperlink"/>
            <w:sz w:val="16"/>
          </w:rPr>
          <w:noBreakHyphen/>
        </w:r>
        <w:r w:rsidR="00C143F3" w:rsidRPr="00904972">
          <w:rPr>
            <w:rStyle w:val="Hyperlink"/>
            <w:sz w:val="16"/>
          </w:rPr>
          <w:t>government</w:t>
        </w:r>
        <w:r w:rsidR="00B84FF2">
          <w:rPr>
            <w:rStyle w:val="Hyperlink"/>
            <w:sz w:val="16"/>
          </w:rPr>
          <w:noBreakHyphen/>
        </w:r>
        <w:r w:rsidR="00C143F3" w:rsidRPr="00904972">
          <w:rPr>
            <w:rStyle w:val="Hyperlink"/>
            <w:sz w:val="16"/>
          </w:rPr>
          <w:t>operations/commonwealth</w:t>
        </w:r>
        <w:r w:rsidR="00B84FF2">
          <w:rPr>
            <w:rStyle w:val="Hyperlink"/>
            <w:sz w:val="16"/>
          </w:rPr>
          <w:noBreakHyphen/>
        </w:r>
        <w:r w:rsidR="00C143F3" w:rsidRPr="00904972">
          <w:rPr>
            <w:rStyle w:val="Hyperlink"/>
            <w:sz w:val="16"/>
          </w:rPr>
          <w:t>climate</w:t>
        </w:r>
        <w:r w:rsidR="00B84FF2">
          <w:rPr>
            <w:rStyle w:val="Hyperlink"/>
            <w:sz w:val="16"/>
          </w:rPr>
          <w:noBreakHyphen/>
        </w:r>
        <w:r w:rsidR="00C143F3" w:rsidRPr="00904972">
          <w:rPr>
            <w:rStyle w:val="Hyperlink"/>
            <w:sz w:val="16"/>
          </w:rPr>
          <w:t>disclosure</w:t>
        </w:r>
        <w:r w:rsidR="00B84FF2">
          <w:rPr>
            <w:rStyle w:val="Hyperlink"/>
            <w:sz w:val="16"/>
          </w:rPr>
          <w:noBreakHyphen/>
        </w:r>
        <w:r w:rsidR="00C143F3" w:rsidRPr="00904972">
          <w:rPr>
            <w:rStyle w:val="Hyperlink"/>
            <w:sz w:val="16"/>
          </w:rPr>
          <w:t>requirements</w:t>
        </w:r>
      </w:hyperlink>
      <w:r w:rsidR="00C143F3">
        <w:t xml:space="preserve"> </w:t>
      </w:r>
    </w:p>
  </w:footnote>
  <w:footnote w:id="21">
    <w:p w14:paraId="00CC095E" w14:textId="49639A96" w:rsidR="008724B6" w:rsidRPr="008724B6" w:rsidRDefault="00C92FBC">
      <w:pPr>
        <w:pStyle w:val="FootnoteText"/>
        <w:rPr>
          <w:lang w:val="en-AU"/>
        </w:rPr>
      </w:pPr>
      <w:r w:rsidRPr="00C92FBC">
        <w:rPr>
          <w:rStyle w:val="FootnoteReference"/>
          <w:vertAlign w:val="baseline"/>
        </w:rPr>
        <w:footnoteRef/>
      </w:r>
      <w:r w:rsidR="00D51AF8">
        <w:tab/>
      </w:r>
      <w:hyperlink r:id="rId16" w:history="1">
        <w:r w:rsidR="00517A5E" w:rsidRPr="00AA1B81">
          <w:rPr>
            <w:rStyle w:val="Hyperlink"/>
            <w:sz w:val="16"/>
            <w:u w:val="none"/>
          </w:rPr>
          <w:t>Read the Climate Risk Management guide at</w:t>
        </w:r>
        <w:r w:rsidR="00517A5E" w:rsidRPr="00517A5E">
          <w:rPr>
            <w:rStyle w:val="Hyperlink"/>
            <w:sz w:val="16"/>
          </w:rPr>
          <w:t xml:space="preserve"> </w:t>
        </w:r>
        <w:r w:rsidR="00517A5E">
          <w:rPr>
            <w:rStyle w:val="Hyperlink"/>
            <w:sz w:val="16"/>
          </w:rPr>
          <w:t>d</w:t>
        </w:r>
        <w:r w:rsidR="008724B6" w:rsidRPr="00D51AF8">
          <w:rPr>
            <w:rStyle w:val="Hyperlink"/>
            <w:sz w:val="16"/>
          </w:rPr>
          <w:t>cceew.gov.au/sites/default/files/documents/climate</w:t>
        </w:r>
        <w:r w:rsidR="00B84FF2" w:rsidRPr="00D51AF8">
          <w:rPr>
            <w:rStyle w:val="Hyperlink"/>
            <w:sz w:val="16"/>
          </w:rPr>
          <w:noBreakHyphen/>
        </w:r>
        <w:r w:rsidR="008724B6" w:rsidRPr="00D51AF8">
          <w:rPr>
            <w:rStyle w:val="Hyperlink"/>
            <w:sz w:val="16"/>
          </w:rPr>
          <w:t>risk</w:t>
        </w:r>
        <w:r w:rsidR="00B84FF2" w:rsidRPr="00D51AF8">
          <w:rPr>
            <w:rStyle w:val="Hyperlink"/>
            <w:sz w:val="16"/>
          </w:rPr>
          <w:noBreakHyphen/>
        </w:r>
        <w:r w:rsidR="008724B6" w:rsidRPr="00D51AF8">
          <w:rPr>
            <w:rStyle w:val="Hyperlink"/>
            <w:sz w:val="16"/>
          </w:rPr>
          <w:t>management</w:t>
        </w:r>
        <w:r w:rsidR="00B84FF2" w:rsidRPr="00D51AF8">
          <w:rPr>
            <w:rStyle w:val="Hyperlink"/>
            <w:sz w:val="16"/>
          </w:rPr>
          <w:noBreakHyphen/>
        </w:r>
        <w:r w:rsidR="008724B6" w:rsidRPr="00D51AF8">
          <w:rPr>
            <w:rStyle w:val="Hyperlink"/>
            <w:sz w:val="16"/>
          </w:rPr>
          <w:t>organisation</w:t>
        </w:r>
        <w:r w:rsidR="00B84FF2" w:rsidRPr="00D51AF8">
          <w:rPr>
            <w:rStyle w:val="Hyperlink"/>
            <w:sz w:val="16"/>
          </w:rPr>
          <w:noBreakHyphen/>
        </w:r>
        <w:r w:rsidR="008724B6" w:rsidRPr="00D51AF8">
          <w:rPr>
            <w:rStyle w:val="Hyperlink"/>
            <w:sz w:val="16"/>
          </w:rPr>
          <w:t>application</w:t>
        </w:r>
        <w:r w:rsidR="00B84FF2" w:rsidRPr="00D51AF8">
          <w:rPr>
            <w:rStyle w:val="Hyperlink"/>
            <w:sz w:val="16"/>
          </w:rPr>
          <w:noBreakHyphen/>
        </w:r>
        <w:r w:rsidR="008724B6" w:rsidRPr="00D51AF8">
          <w:rPr>
            <w:rStyle w:val="Hyperlink"/>
            <w:sz w:val="16"/>
          </w:rPr>
          <w:t>guide.pdf</w:t>
        </w:r>
      </w:hyperlink>
      <w:r w:rsidR="008724B6">
        <w:t xml:space="preserve"> </w:t>
      </w:r>
    </w:p>
  </w:footnote>
  <w:footnote w:id="22">
    <w:p w14:paraId="61D9B38A" w14:textId="68E54163" w:rsidR="00E43140" w:rsidRPr="00E43140" w:rsidRDefault="00C92FBC" w:rsidP="00625DAB">
      <w:pPr>
        <w:pStyle w:val="FootnoteText"/>
        <w:rPr>
          <w:lang w:val="en-AU"/>
        </w:rPr>
      </w:pPr>
      <w:r w:rsidRPr="00C92FBC">
        <w:rPr>
          <w:rStyle w:val="FootnoteReference"/>
          <w:vertAlign w:val="baseline"/>
        </w:rPr>
        <w:footnoteRef/>
      </w:r>
      <w:r w:rsidR="00177F8F">
        <w:tab/>
      </w:r>
      <w:hyperlink r:id="rId17" w:history="1">
        <w:r w:rsidR="0003057D" w:rsidRPr="00AA1B81">
          <w:rPr>
            <w:rStyle w:val="Hyperlink"/>
            <w:sz w:val="16"/>
            <w:u w:val="none"/>
          </w:rPr>
          <w:t xml:space="preserve">Australia’s Long-term Emissions Reduction Plan is available at </w:t>
        </w:r>
        <w:r w:rsidR="0003057D">
          <w:rPr>
            <w:rStyle w:val="Hyperlink"/>
            <w:sz w:val="16"/>
          </w:rPr>
          <w:t>d</w:t>
        </w:r>
        <w:r w:rsidR="00177F8F" w:rsidRPr="00CC2071">
          <w:rPr>
            <w:rStyle w:val="Hyperlink"/>
            <w:sz w:val="16"/>
          </w:rPr>
          <w:t>cceew.gov.au/sites/default/files/documents/australias</w:t>
        </w:r>
        <w:r w:rsidR="00177F8F" w:rsidRPr="00CC2071">
          <w:rPr>
            <w:rStyle w:val="Hyperlink"/>
            <w:sz w:val="16"/>
          </w:rPr>
          <w:noBreakHyphen/>
          <w:t>long</w:t>
        </w:r>
        <w:r w:rsidR="00177F8F" w:rsidRPr="00CC2071">
          <w:rPr>
            <w:rStyle w:val="Hyperlink"/>
            <w:sz w:val="16"/>
          </w:rPr>
          <w:noBreakHyphen/>
          <w:t>term</w:t>
        </w:r>
        <w:r w:rsidR="00177F8F" w:rsidRPr="00CC2071">
          <w:rPr>
            <w:rStyle w:val="Hyperlink"/>
            <w:sz w:val="16"/>
          </w:rPr>
          <w:noBreakHyphen/>
          <w:t>emissions</w:t>
        </w:r>
        <w:r w:rsidR="00177F8F" w:rsidRPr="00CC2071">
          <w:rPr>
            <w:rStyle w:val="Hyperlink"/>
            <w:sz w:val="16"/>
          </w:rPr>
          <w:noBreakHyphen/>
          <w:t>reduction</w:t>
        </w:r>
        <w:r w:rsidR="00177F8F" w:rsidRPr="00CC2071">
          <w:rPr>
            <w:rStyle w:val="Hyperlink"/>
            <w:sz w:val="16"/>
          </w:rPr>
          <w:noBreakHyphen/>
          <w:t>plan</w:t>
        </w:r>
        <w:r w:rsidR="00177F8F" w:rsidRPr="00CC2071">
          <w:rPr>
            <w:rStyle w:val="Hyperlink"/>
            <w:sz w:val="16"/>
          </w:rPr>
          <w:noBreakHyphen/>
          <w:t>modelling.</w:t>
        </w:r>
        <w:r w:rsidR="00177F8F" w:rsidRPr="00CC2071">
          <w:rPr>
            <w:rStyle w:val="Hyperlink"/>
            <w:rFonts w:ascii="Arial" w:hAnsi="Arial" w:cs="Arial"/>
            <w:sz w:val="16"/>
          </w:rPr>
          <w:t>‌</w:t>
        </w:r>
        <w:r w:rsidR="00177F8F" w:rsidRPr="00CC2071">
          <w:rPr>
            <w:rStyle w:val="Hyperlink"/>
            <w:sz w:val="16"/>
          </w:rPr>
          <w:t>pdf</w:t>
        </w:r>
      </w:hyperlink>
      <w:r w:rsidR="005267B8">
        <w:t xml:space="preserve"> </w:t>
      </w:r>
    </w:p>
  </w:footnote>
  <w:footnote w:id="23">
    <w:p w14:paraId="3FD0D900" w14:textId="3BE6C33F" w:rsidR="005267B8" w:rsidRPr="005267B8" w:rsidRDefault="00C92FBC">
      <w:pPr>
        <w:pStyle w:val="FootnoteText"/>
        <w:rPr>
          <w:lang w:val="en-AU"/>
        </w:rPr>
      </w:pPr>
      <w:r w:rsidRPr="00C92FBC">
        <w:rPr>
          <w:rStyle w:val="FootnoteReference"/>
          <w:vertAlign w:val="baseline"/>
        </w:rPr>
        <w:footnoteRef/>
      </w:r>
      <w:r w:rsidR="00177F8F">
        <w:tab/>
      </w:r>
      <w:hyperlink r:id="rId18" w:history="1">
        <w:r w:rsidR="00533B3C" w:rsidRPr="00AA1B81">
          <w:rPr>
            <w:rStyle w:val="Hyperlink"/>
            <w:sz w:val="16"/>
            <w:u w:val="none"/>
          </w:rPr>
          <w:t xml:space="preserve">Read article titled ‘Anticipating the climate change risks for sovereign bonds’ available at </w:t>
        </w:r>
        <w:r w:rsidR="00533B3C">
          <w:rPr>
            <w:rStyle w:val="Hyperlink"/>
            <w:sz w:val="16"/>
          </w:rPr>
          <w:t>l</w:t>
        </w:r>
        <w:r w:rsidR="00177F8F" w:rsidRPr="00CC2071">
          <w:rPr>
            <w:rStyle w:val="Hyperlink"/>
            <w:sz w:val="16"/>
          </w:rPr>
          <w:t>seg.com/content/dam/ftse</w:t>
        </w:r>
        <w:r w:rsidR="00177F8F" w:rsidRPr="00CC2071">
          <w:rPr>
            <w:rStyle w:val="Hyperlink"/>
            <w:sz w:val="16"/>
          </w:rPr>
          <w:noBreakHyphen/>
          <w:t>russell/en_us/documents/research/sustainable</w:t>
        </w:r>
        <w:r w:rsidR="00177F8F" w:rsidRPr="00CC2071">
          <w:rPr>
            <w:rStyle w:val="Hyperlink"/>
            <w:sz w:val="16"/>
          </w:rPr>
          <w:noBreakHyphen/>
          <w:t>investment</w:t>
        </w:r>
        <w:r w:rsidR="00177F8F" w:rsidRPr="00CC2071">
          <w:rPr>
            <w:rStyle w:val="Hyperlink"/>
            <w:sz w:val="16"/>
          </w:rPr>
          <w:noBreakHyphen/>
          <w:t>anticipating</w:t>
        </w:r>
        <w:r w:rsidR="00177F8F" w:rsidRPr="00CC2071">
          <w:rPr>
            <w:rStyle w:val="Hyperlink"/>
            <w:sz w:val="16"/>
          </w:rPr>
          <w:noBreakHyphen/>
          <w:t>the</w:t>
        </w:r>
        <w:r w:rsidR="00177F8F" w:rsidRPr="00CC2071">
          <w:rPr>
            <w:rStyle w:val="Hyperlink"/>
            <w:sz w:val="16"/>
          </w:rPr>
          <w:noBreakHyphen/>
        </w:r>
        <w:r w:rsidR="00177F8F" w:rsidRPr="00CC2071">
          <w:rPr>
            <w:rStyle w:val="Hyperlink"/>
            <w:rFonts w:ascii="Arial" w:hAnsi="Arial" w:cs="Arial"/>
            <w:sz w:val="16"/>
          </w:rPr>
          <w:t>‌</w:t>
        </w:r>
        <w:r w:rsidR="00177F8F" w:rsidRPr="00CC2071">
          <w:rPr>
            <w:rStyle w:val="Hyperlink"/>
            <w:sz w:val="16"/>
          </w:rPr>
          <w:t>climate</w:t>
        </w:r>
        <w:r w:rsidR="00177F8F" w:rsidRPr="00CC2071">
          <w:rPr>
            <w:rStyle w:val="Hyperlink"/>
            <w:sz w:val="16"/>
          </w:rPr>
          <w:noBreakHyphen/>
          <w:t>change</w:t>
        </w:r>
        <w:r w:rsidR="00177F8F" w:rsidRPr="00CC2071">
          <w:rPr>
            <w:rStyle w:val="Hyperlink"/>
            <w:sz w:val="16"/>
          </w:rPr>
          <w:noBreakHyphen/>
          <w:t>risks</w:t>
        </w:r>
        <w:r w:rsidR="00177F8F" w:rsidRPr="00CC2071">
          <w:rPr>
            <w:rStyle w:val="Hyperlink"/>
            <w:sz w:val="16"/>
          </w:rPr>
          <w:noBreakHyphen/>
          <w:t>for</w:t>
        </w:r>
        <w:r w:rsidR="00177F8F" w:rsidRPr="00CC2071">
          <w:rPr>
            <w:rStyle w:val="Hyperlink"/>
            <w:sz w:val="16"/>
          </w:rPr>
          <w:noBreakHyphen/>
          <w:t>sovereign</w:t>
        </w:r>
        <w:r w:rsidR="00177F8F" w:rsidRPr="00CC2071">
          <w:rPr>
            <w:rStyle w:val="Hyperlink"/>
            <w:sz w:val="16"/>
          </w:rPr>
          <w:noBreakHyphen/>
          <w:t>bonds.pdf</w:t>
        </w:r>
      </w:hyperlink>
      <w:r w:rsidR="005267B8">
        <w:t xml:space="preserve"> </w:t>
      </w:r>
    </w:p>
  </w:footnote>
  <w:footnote w:id="24">
    <w:p w14:paraId="00363706" w14:textId="432DEEDB" w:rsidR="009746A8" w:rsidRPr="009746A8" w:rsidRDefault="00C92FBC">
      <w:pPr>
        <w:pStyle w:val="FootnoteText"/>
        <w:rPr>
          <w:lang w:val="en-AU"/>
        </w:rPr>
      </w:pPr>
      <w:r w:rsidRPr="00C92FBC">
        <w:rPr>
          <w:rStyle w:val="FootnoteReference"/>
          <w:vertAlign w:val="baseline"/>
        </w:rPr>
        <w:footnoteRef/>
      </w:r>
      <w:r w:rsidR="00177F8F">
        <w:tab/>
      </w:r>
      <w:hyperlink r:id="rId19" w:history="1">
        <w:r w:rsidR="00533B3C" w:rsidRPr="006A68C6">
          <w:rPr>
            <w:rStyle w:val="Hyperlink"/>
            <w:sz w:val="16"/>
            <w:u w:val="none"/>
          </w:rPr>
          <w:t xml:space="preserve">The APS Net Zero 2030 Factsheet is available at </w:t>
        </w:r>
        <w:r w:rsidR="00533B3C">
          <w:rPr>
            <w:rStyle w:val="Hyperlink"/>
            <w:sz w:val="16"/>
          </w:rPr>
          <w:t>f</w:t>
        </w:r>
        <w:r w:rsidR="009746A8" w:rsidRPr="00904972">
          <w:rPr>
            <w:rStyle w:val="Hyperlink"/>
            <w:sz w:val="16"/>
          </w:rPr>
          <w:t>inance.gov.au/sites/default/files/2025</w:t>
        </w:r>
        <w:r w:rsidR="00B84FF2">
          <w:rPr>
            <w:rStyle w:val="Hyperlink"/>
            <w:sz w:val="16"/>
          </w:rPr>
          <w:noBreakHyphen/>
        </w:r>
        <w:r w:rsidR="009746A8" w:rsidRPr="00904972">
          <w:rPr>
            <w:rStyle w:val="Hyperlink"/>
            <w:sz w:val="16"/>
          </w:rPr>
          <w:t>02/APS</w:t>
        </w:r>
        <w:r w:rsidR="00B84FF2">
          <w:rPr>
            <w:rStyle w:val="Hyperlink"/>
            <w:sz w:val="16"/>
          </w:rPr>
          <w:noBreakHyphen/>
        </w:r>
        <w:r w:rsidR="009746A8" w:rsidRPr="00904972">
          <w:rPr>
            <w:rStyle w:val="Hyperlink"/>
            <w:sz w:val="16"/>
          </w:rPr>
          <w:t>Net</w:t>
        </w:r>
        <w:r w:rsidR="00B84FF2">
          <w:rPr>
            <w:rStyle w:val="Hyperlink"/>
            <w:sz w:val="16"/>
          </w:rPr>
          <w:noBreakHyphen/>
        </w:r>
        <w:r w:rsidR="009746A8" w:rsidRPr="00904972">
          <w:rPr>
            <w:rStyle w:val="Hyperlink"/>
            <w:sz w:val="16"/>
          </w:rPr>
          <w:t>Zero</w:t>
        </w:r>
        <w:r w:rsidR="00B84FF2">
          <w:rPr>
            <w:rStyle w:val="Hyperlink"/>
            <w:sz w:val="16"/>
          </w:rPr>
          <w:noBreakHyphen/>
        </w:r>
        <w:r w:rsidR="009746A8" w:rsidRPr="00904972">
          <w:rPr>
            <w:rStyle w:val="Hyperlink"/>
            <w:sz w:val="16"/>
          </w:rPr>
          <w:t>2030</w:t>
        </w:r>
        <w:r w:rsidR="00B84FF2">
          <w:rPr>
            <w:rStyle w:val="Hyperlink"/>
            <w:sz w:val="16"/>
          </w:rPr>
          <w:noBreakHyphen/>
        </w:r>
        <w:r w:rsidR="009746A8" w:rsidRPr="00904972">
          <w:rPr>
            <w:rStyle w:val="Hyperlink"/>
            <w:sz w:val="16"/>
          </w:rPr>
          <w:t>Target</w:t>
        </w:r>
        <w:r w:rsidR="00B84FF2">
          <w:rPr>
            <w:rStyle w:val="Hyperlink"/>
            <w:sz w:val="16"/>
          </w:rPr>
          <w:noBreakHyphen/>
        </w:r>
        <w:r w:rsidR="009746A8" w:rsidRPr="00904972">
          <w:rPr>
            <w:rStyle w:val="Hyperlink"/>
            <w:sz w:val="16"/>
          </w:rPr>
          <w:t>Factsheet.docx</w:t>
        </w:r>
      </w:hyperlink>
      <w:r w:rsidR="009746A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2F40" w14:textId="77777777" w:rsidR="005E4834" w:rsidRDefault="005E4834">
    <w:pPr>
      <w:pStyle w:val="Header"/>
    </w:pPr>
    <w:r>
      <w:rPr>
        <w:noProof/>
      </w:rPr>
      <w:drawing>
        <wp:anchor distT="0" distB="0" distL="114300" distR="114300" simplePos="0" relativeHeight="251658248" behindDoc="1" locked="0" layoutInCell="1" allowOverlap="1" wp14:anchorId="6A4FF72D" wp14:editId="5EB19786">
          <wp:simplePos x="0" y="0"/>
          <wp:positionH relativeFrom="page">
            <wp:posOffset>967</wp:posOffset>
          </wp:positionH>
          <wp:positionV relativeFrom="page">
            <wp:posOffset>0</wp:posOffset>
          </wp:positionV>
          <wp:extent cx="7550866" cy="1260000"/>
          <wp:effectExtent l="0" t="0" r="0" b="0"/>
          <wp:wrapNone/>
          <wp:docPr id="1131091836" name="Picture 11310918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82279" name="Picture 9501822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866" cy="12600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7" behindDoc="1" locked="1" layoutInCell="1" allowOverlap="1" wp14:anchorId="2969B61F" wp14:editId="2A414BD1">
              <wp:simplePos x="0" y="0"/>
              <wp:positionH relativeFrom="page">
                <wp:posOffset>-1270</wp:posOffset>
              </wp:positionH>
              <wp:positionV relativeFrom="margin">
                <wp:posOffset>-1797050</wp:posOffset>
              </wp:positionV>
              <wp:extent cx="7559675" cy="10691495"/>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rgbClr val="EEEE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784BF" id="Rectangle 2" o:spid="_x0000_s1026" alt="&quot;&quot;" style="position:absolute;margin-left:-.1pt;margin-top:-141.5pt;width:595.25pt;height:841.8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" fillcolor="#eeeef2" stroked="f" strokeweight="1pt">
              <w10:wrap anchorx="page" anchory="margin"/>
              <w10:anchorlock/>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70"/>
      <w:gridCol w:w="2570"/>
      <w:gridCol w:w="2570"/>
    </w:tblGrid>
    <w:tr w:rsidR="006C6C61" w14:paraId="4D8768B4" w14:textId="77777777" w:rsidTr="00AB56E6">
      <w:trPr>
        <w:trHeight w:val="300"/>
      </w:trPr>
      <w:tc>
        <w:tcPr>
          <w:tcW w:w="2570" w:type="dxa"/>
        </w:tcPr>
        <w:p w14:paraId="7F99F1EB" w14:textId="77777777" w:rsidR="006C6C61" w:rsidRDefault="006C6C61" w:rsidP="00AB56E6">
          <w:pPr>
            <w:pStyle w:val="Header"/>
            <w:ind w:left="-115"/>
          </w:pPr>
        </w:p>
      </w:tc>
      <w:tc>
        <w:tcPr>
          <w:tcW w:w="2570" w:type="dxa"/>
        </w:tcPr>
        <w:p w14:paraId="4FE2C4CC" w14:textId="77777777" w:rsidR="006C6C61" w:rsidRDefault="006C6C61" w:rsidP="00AB56E6">
          <w:pPr>
            <w:pStyle w:val="Header"/>
            <w:jc w:val="center"/>
          </w:pPr>
        </w:p>
      </w:tc>
      <w:tc>
        <w:tcPr>
          <w:tcW w:w="2570" w:type="dxa"/>
        </w:tcPr>
        <w:p w14:paraId="49A4ACD6" w14:textId="77777777" w:rsidR="006C6C61" w:rsidRDefault="006C6C61" w:rsidP="00AB56E6">
          <w:pPr>
            <w:pStyle w:val="Header"/>
            <w:ind w:right="-115"/>
            <w:jc w:val="right"/>
          </w:pPr>
        </w:p>
      </w:tc>
    </w:tr>
  </w:tbl>
  <w:p w14:paraId="5EC8AEDC" w14:textId="77777777" w:rsidR="006C6C61" w:rsidRDefault="006C6C6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71A2" w14:textId="1CD1CF1C" w:rsidR="00C95C8D" w:rsidRPr="00C95C8D" w:rsidRDefault="00C95C8D" w:rsidP="00041A2C">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B4125E" w:rsidRPr="00C95C8D">
      <w:rPr>
        <w:lang w:val="en-US"/>
      </w:rPr>
      <w:t>202</w:t>
    </w:r>
    <w:r w:rsidR="00B4125E">
      <w:rPr>
        <w:lang w:val="en-US"/>
      </w:rPr>
      <w:t>4</w:t>
    </w:r>
    <w:r w:rsidRPr="00C95C8D">
      <w:rPr>
        <w:lang w:val="en-US"/>
      </w:rPr>
      <w:t>–</w:t>
    </w:r>
    <w:r w:rsidR="00B4125E" w:rsidRPr="00C95C8D">
      <w:rPr>
        <w:lang w:val="en-US"/>
      </w:rPr>
      <w:t>2</w:t>
    </w:r>
    <w:r w:rsidR="00B4125E">
      <w:rPr>
        <w:lang w:val="en-US"/>
      </w:rPr>
      <w:t>5</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0CAD" w14:textId="4A7A7718" w:rsidR="00276E5B" w:rsidRPr="00C95C8D" w:rsidRDefault="00276E5B" w:rsidP="00750510">
    <w:pPr>
      <w:pStyle w:val="Header"/>
      <w:jc w:val="right"/>
      <w:rPr>
        <w:lang w:val="en-US"/>
      </w:rPr>
    </w:pPr>
    <w:bookmarkStart w:id="293" w:name="_Hlk207811057"/>
    <w:bookmarkStart w:id="294" w:name="_Hlk207811058"/>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C763C5">
      <w:rPr>
        <w:lang w:val="en-US"/>
      </w:rPr>
      <w:t>4</w:t>
    </w:r>
    <w:r w:rsidRPr="00C95C8D">
      <w:rPr>
        <w:lang w:val="en-US"/>
      </w:rPr>
      <w:t>–2</w:t>
    </w:r>
    <w:r w:rsidR="00C763C5">
      <w:rPr>
        <w:lang w:val="en-US"/>
      </w:rPr>
      <w:t>5</w:t>
    </w:r>
  </w:p>
  <w:bookmarkEnd w:id="293"/>
  <w:bookmarkEnd w:id="294"/>
  <w:p w14:paraId="673F518D" w14:textId="138BEDE7" w:rsidR="00B25C19" w:rsidRPr="005C6B88" w:rsidRDefault="00B25C19" w:rsidP="00E4430F">
    <w:pPr>
      <w:pStyle w:val="HeaderOd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C8D3" w14:textId="77777777" w:rsidR="000139AF" w:rsidRPr="00C95C8D" w:rsidRDefault="000139AF" w:rsidP="000139AF">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3AAACDE4" w14:textId="05E640C9" w:rsidR="00B25C19" w:rsidRPr="000139AF" w:rsidRDefault="00B25C19" w:rsidP="000139A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FFE0" w14:textId="559C8D1C" w:rsidR="00DE0362" w:rsidRPr="00C95C8D" w:rsidRDefault="00DE0362" w:rsidP="00DE036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A16930">
      <w:rPr>
        <w:lang w:val="en-US"/>
      </w:rPr>
      <w:t>4</w:t>
    </w:r>
    <w:r w:rsidRPr="00C95C8D">
      <w:rPr>
        <w:lang w:val="en-US"/>
      </w:rPr>
      <w:t>–2</w:t>
    </w:r>
    <w:r w:rsidR="00A16930">
      <w:rPr>
        <w:lang w:val="en-US"/>
      </w:rPr>
      <w:t>5</w:t>
    </w:r>
  </w:p>
  <w:p w14:paraId="6B97643B" w14:textId="64CDED81" w:rsidR="003E5BB6" w:rsidRPr="003A7DBE" w:rsidRDefault="003E5BB6" w:rsidP="003A7DBE">
    <w:pPr>
      <w:pStyle w:val="Header"/>
      <w:rPr>
        <w:bCs w:val="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0D63" w14:textId="3080DE87" w:rsidR="00DE0362" w:rsidRPr="00C95C8D" w:rsidRDefault="00DE0362" w:rsidP="00DE0362">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676841">
      <w:rPr>
        <w:lang w:val="en-US"/>
      </w:rPr>
      <w:t>4</w:t>
    </w:r>
    <w:r w:rsidRPr="00C95C8D">
      <w:rPr>
        <w:lang w:val="en-US"/>
      </w:rPr>
      <w:t>–2</w:t>
    </w:r>
    <w:r w:rsidR="00676841">
      <w:rPr>
        <w:lang w:val="en-US"/>
      </w:rPr>
      <w:t>5</w:t>
    </w:r>
  </w:p>
  <w:p w14:paraId="0AEF1B1F" w14:textId="0BAF9660" w:rsidR="003E5BB6" w:rsidRPr="005C6B88" w:rsidRDefault="003E5BB6" w:rsidP="00E4430F">
    <w:pPr>
      <w:pStyle w:val="HeaderOd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C6E7" w14:textId="7A8781E0" w:rsidR="006E7B79" w:rsidRPr="007F3554" w:rsidRDefault="006E7B79" w:rsidP="00961ED3">
    <w:pPr>
      <w:pStyle w:val="HeaderWhite"/>
    </w:pPr>
    <w:r w:rsidRPr="00EB3CA1">
      <w:rPr>
        <w:rFonts w:eastAsiaTheme="minorHAnsi"/>
      </w:rPr>
      <w:t>Australian Office of Financial Management</w:t>
    </w:r>
    <w:r w:rsidRPr="00EB3CA1">
      <w:t xml:space="preserve"> </w:t>
    </w:r>
    <w:r w:rsidRPr="00EB3CA1">
      <w:rPr>
        <w:b/>
        <w:bCs w:val="0"/>
      </w:rPr>
      <w:t>Annual Report</w:t>
    </w:r>
    <w:r w:rsidRPr="00EB3CA1">
      <w:t xml:space="preserve"> 202</w:t>
    </w:r>
    <w:r w:rsidR="00486844">
      <w:t>4</w:t>
    </w:r>
    <w:r w:rsidRPr="00EB3CA1">
      <w:t>–2</w:t>
    </w:r>
    <w:r w:rsidR="00486844">
      <w:t>5</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B31B" w14:textId="77777777" w:rsidR="000139AF" w:rsidRPr="00C95C8D" w:rsidRDefault="000139AF" w:rsidP="000139AF">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517BE6CD" w14:textId="77777777" w:rsidR="000139AF" w:rsidRPr="005C6B88" w:rsidRDefault="000139AF" w:rsidP="000139AF">
    <w:pPr>
      <w:pStyle w:val="HeaderOd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6D99" w14:textId="5D5D49DB" w:rsidR="00406B6D" w:rsidRPr="00C95C8D" w:rsidRDefault="00406B6D" w:rsidP="00DE036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676841">
      <w:rPr>
        <w:lang w:val="en-US"/>
      </w:rPr>
      <w:t>4</w:t>
    </w:r>
    <w:r w:rsidRPr="00C95C8D">
      <w:rPr>
        <w:lang w:val="en-US"/>
      </w:rPr>
      <w:t>–2</w:t>
    </w:r>
    <w:r w:rsidR="00676841">
      <w:rPr>
        <w:lang w:val="en-US"/>
      </w:rPr>
      <w:t>5</w:t>
    </w:r>
  </w:p>
  <w:p w14:paraId="1B8772C8" w14:textId="77777777" w:rsidR="00406B6D" w:rsidRPr="003A7DBE" w:rsidRDefault="00406B6D" w:rsidP="003A7DBE">
    <w:pPr>
      <w:pStyle w:val="Header"/>
      <w:rPr>
        <w:bCs w:val="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54E1" w14:textId="6F458578" w:rsidR="00406B6D" w:rsidRPr="00C95C8D" w:rsidRDefault="00406B6D" w:rsidP="00DE0362">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676841">
      <w:rPr>
        <w:lang w:val="en-US"/>
      </w:rPr>
      <w:t>4</w:t>
    </w:r>
    <w:r w:rsidRPr="00C95C8D">
      <w:rPr>
        <w:lang w:val="en-US"/>
      </w:rPr>
      <w:t>–2</w:t>
    </w:r>
    <w:r w:rsidR="00676841">
      <w:rPr>
        <w:lang w:val="en-US"/>
      </w:rPr>
      <w:t>5</w:t>
    </w:r>
  </w:p>
  <w:p w14:paraId="54333F63" w14:textId="77777777" w:rsidR="00406B6D" w:rsidRPr="005C6B88" w:rsidRDefault="00406B6D" w:rsidP="00E4430F">
    <w:pPr>
      <w:pStyle w:val="HeaderOd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70"/>
      <w:gridCol w:w="2570"/>
      <w:gridCol w:w="2570"/>
    </w:tblGrid>
    <w:tr w:rsidR="006C6C61" w14:paraId="74B75707" w14:textId="77777777" w:rsidTr="00AB56E6">
      <w:trPr>
        <w:trHeight w:val="300"/>
      </w:trPr>
      <w:tc>
        <w:tcPr>
          <w:tcW w:w="2570" w:type="dxa"/>
        </w:tcPr>
        <w:p w14:paraId="5BA97358" w14:textId="68725B5E" w:rsidR="006C6C61" w:rsidRDefault="006C6C61" w:rsidP="00AB56E6">
          <w:pPr>
            <w:pStyle w:val="Header"/>
            <w:ind w:left="-115"/>
          </w:pPr>
        </w:p>
      </w:tc>
      <w:tc>
        <w:tcPr>
          <w:tcW w:w="2570" w:type="dxa"/>
        </w:tcPr>
        <w:p w14:paraId="0EBAD89B" w14:textId="77777777" w:rsidR="006C6C61" w:rsidRDefault="006C6C61" w:rsidP="00AB56E6">
          <w:pPr>
            <w:pStyle w:val="Header"/>
            <w:jc w:val="center"/>
          </w:pPr>
        </w:p>
      </w:tc>
      <w:tc>
        <w:tcPr>
          <w:tcW w:w="2570" w:type="dxa"/>
        </w:tcPr>
        <w:p w14:paraId="3114596C" w14:textId="77777777" w:rsidR="006C6C61" w:rsidRDefault="006C6C61" w:rsidP="00AB56E6">
          <w:pPr>
            <w:pStyle w:val="Header"/>
            <w:ind w:right="-115"/>
            <w:jc w:val="right"/>
          </w:pPr>
        </w:p>
      </w:tc>
    </w:tr>
  </w:tbl>
  <w:p w14:paraId="38929CBB" w14:textId="77777777" w:rsidR="006C6C61" w:rsidRDefault="006C6C6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5D19" w14:textId="4885F92C" w:rsidR="006E7B79" w:rsidRPr="007F3554" w:rsidRDefault="006E7B79" w:rsidP="00961ED3">
    <w:pPr>
      <w:pStyle w:val="HeaderWhite"/>
    </w:pPr>
    <w:r w:rsidRPr="00EB3CA1">
      <w:rPr>
        <w:rFonts w:eastAsiaTheme="minorHAnsi"/>
      </w:rPr>
      <w:t>Australian Office of Financial Management</w:t>
    </w:r>
    <w:r w:rsidRPr="00EB3CA1">
      <w:t xml:space="preserve"> </w:t>
    </w:r>
    <w:r w:rsidRPr="00EB3CA1">
      <w:rPr>
        <w:b/>
        <w:bCs w:val="0"/>
      </w:rPr>
      <w:t>Annual Report</w:t>
    </w:r>
    <w:r w:rsidRPr="00EB3CA1">
      <w:t xml:space="preserve"> 202</w:t>
    </w:r>
    <w:r w:rsidR="00AD669F">
      <w:t>4</w:t>
    </w:r>
    <w:r w:rsidRPr="00EB3CA1">
      <w:t>–</w:t>
    </w:r>
    <w:r w:rsidR="00FC4794">
      <w:t>25</w:t>
    </w:r>
  </w:p>
  <w:p w14:paraId="03C870F1" w14:textId="0BFBC598" w:rsidR="00406B6D" w:rsidRPr="007F3554" w:rsidRDefault="00406B6D" w:rsidP="00EB3CA1">
    <w:pPr>
      <w:pStyle w:val="HeaderWhi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82C2" w14:textId="77777777" w:rsidR="002F13B5" w:rsidRPr="00C95C8D" w:rsidRDefault="002F13B5" w:rsidP="00935D85">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16EB1E9D" w14:textId="77777777" w:rsidR="002F13B5" w:rsidRPr="007F3554" w:rsidRDefault="002F13B5" w:rsidP="00EB3CA1">
    <w:pPr>
      <w:pStyle w:val="HeaderWhit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B0EA" w14:textId="77777777" w:rsidR="00952A47" w:rsidRPr="00C95C8D" w:rsidRDefault="00952A47" w:rsidP="00DE036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2935F094" w14:textId="77777777" w:rsidR="00952A47" w:rsidRPr="003A7DBE" w:rsidRDefault="00952A47" w:rsidP="003A7DBE">
    <w:pPr>
      <w:pStyle w:val="Header"/>
      <w:rPr>
        <w:bCs w:val="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44E43" w14:textId="75B0118A" w:rsidR="00486844" w:rsidRPr="00C95C8D" w:rsidRDefault="000D0FB5" w:rsidP="00486844">
    <w:pPr>
      <w:pStyle w:val="Header"/>
      <w:jc w:val="right"/>
      <w:rPr>
        <w:lang w:val="en-US"/>
      </w:rPr>
    </w:pPr>
    <w:r w:rsidRPr="00C95C8D">
      <w:rPr>
        <w:rFonts w:eastAsiaTheme="minorHAnsi"/>
        <w:lang w:val="en-US"/>
      </w:rPr>
      <w:t>Australian Office of Financial Management</w:t>
    </w:r>
    <w:r w:rsidRPr="00C95C8D">
      <w:rPr>
        <w:lang w:val="en-US"/>
      </w:rPr>
      <w:t xml:space="preserve"> </w:t>
    </w:r>
    <w:r w:rsidRPr="00C95C8D">
      <w:rPr>
        <w:b/>
        <w:bCs w:val="0"/>
        <w:color w:val="472978" w:themeColor="accent1"/>
        <w:lang w:val="en-US"/>
      </w:rPr>
      <w:t>Annual Report</w:t>
    </w:r>
    <w:r w:rsidRPr="00C95C8D">
      <w:rPr>
        <w:lang w:val="en-US"/>
      </w:rPr>
      <w:t xml:space="preserve"> 202</w:t>
    </w:r>
    <w:r w:rsidR="00486844">
      <w:rPr>
        <w:lang w:val="en-US"/>
      </w:rPr>
      <w:t>4</w:t>
    </w:r>
    <w:r w:rsidRPr="00C95C8D">
      <w:rPr>
        <w:lang w:val="en-US"/>
      </w:rPr>
      <w:t>–2</w:t>
    </w:r>
    <w:r w:rsidR="00486844">
      <w:rPr>
        <w:lang w:val="en-US"/>
      </w:rPr>
      <w:t>5</w:t>
    </w:r>
  </w:p>
  <w:p w14:paraId="6CF55E39" w14:textId="6742C898" w:rsidR="000D0FB5" w:rsidRPr="005C6B88" w:rsidRDefault="000D0FB5" w:rsidP="00750510">
    <w:pPr>
      <w:pStyle w:val="HeaderOd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2096" w14:textId="6FD44DAD" w:rsidR="006E7B79" w:rsidRPr="007F3554" w:rsidRDefault="006E7B79" w:rsidP="00961ED3">
    <w:pPr>
      <w:pStyle w:val="HeaderWhite"/>
    </w:pPr>
    <w:r w:rsidRPr="00EB3CA1">
      <w:rPr>
        <w:rFonts w:eastAsiaTheme="minorHAnsi"/>
      </w:rPr>
      <w:t>Australian Office of Financial Management</w:t>
    </w:r>
    <w:r w:rsidRPr="00EB3CA1">
      <w:t xml:space="preserve"> </w:t>
    </w:r>
    <w:r w:rsidRPr="00EB3CA1">
      <w:rPr>
        <w:b/>
        <w:bCs w:val="0"/>
      </w:rPr>
      <w:t>Annual Report</w:t>
    </w:r>
    <w:r w:rsidRPr="00EB3CA1">
      <w:t xml:space="preserve"> 202</w:t>
    </w:r>
    <w:r w:rsidR="00486844">
      <w:t>4</w:t>
    </w:r>
    <w:r w:rsidRPr="00EB3CA1">
      <w:t>–2</w:t>
    </w:r>
    <w:r w:rsidR="00FC4794">
      <w:t>5</w:t>
    </w:r>
  </w:p>
  <w:p w14:paraId="7FE0EF98" w14:textId="77777777" w:rsidR="00952A47" w:rsidRPr="007F3554" w:rsidRDefault="00952A47" w:rsidP="00EB3CA1">
    <w:pPr>
      <w:pStyle w:val="HeaderWhi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49FD" w14:textId="77777777" w:rsidR="002F13B5" w:rsidRPr="00C95C8D" w:rsidRDefault="002F13B5" w:rsidP="00935D85">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790D662F" w14:textId="77777777" w:rsidR="002F13B5" w:rsidRPr="007F3554" w:rsidRDefault="002F13B5" w:rsidP="00EB3CA1">
    <w:pPr>
      <w:pStyle w:val="HeaderWhit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4D22" w14:textId="77777777" w:rsidR="00652E60" w:rsidRPr="00C95C8D" w:rsidRDefault="00652E60" w:rsidP="00DE036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739E0F01" w14:textId="77777777" w:rsidR="00652E60" w:rsidRPr="003A7DBE" w:rsidRDefault="00652E60" w:rsidP="003A7DBE">
    <w:pPr>
      <w:pStyle w:val="Header"/>
      <w:rPr>
        <w:bCs w:val="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2775" w14:textId="68DE9885" w:rsidR="00057EEB" w:rsidRDefault="00057EEB" w:rsidP="00961ED3">
    <w:pPr>
      <w:pStyle w:val="HeaderWhite"/>
    </w:pPr>
    <w:r w:rsidRPr="00EB3CA1">
      <w:rPr>
        <w:rFonts w:eastAsiaTheme="minorHAnsi"/>
      </w:rPr>
      <w:t>Australian Office of Financial Management</w:t>
    </w:r>
    <w:r w:rsidRPr="00EB3CA1">
      <w:t xml:space="preserve"> </w:t>
    </w:r>
    <w:r w:rsidRPr="00EB3CA1">
      <w:rPr>
        <w:b/>
        <w:bCs w:val="0"/>
      </w:rPr>
      <w:t>Annual Report</w:t>
    </w:r>
    <w:r w:rsidRPr="00EB3CA1">
      <w:t xml:space="preserve"> 202</w:t>
    </w:r>
    <w:r w:rsidR="00486844">
      <w:t>4</w:t>
    </w:r>
    <w:r w:rsidRPr="00EB3CA1">
      <w:t>–2</w:t>
    </w:r>
    <w:r w:rsidR="00486844">
      <w:t>5</w:t>
    </w:r>
  </w:p>
  <w:p w14:paraId="696687AA" w14:textId="77777777" w:rsidR="00486844" w:rsidRPr="007F3554" w:rsidRDefault="00486844" w:rsidP="00486844">
    <w:pPr>
      <w:pStyle w:val="HeaderWhite"/>
      <w:jc w:val="center"/>
    </w:pPr>
  </w:p>
  <w:p w14:paraId="4A903652" w14:textId="0816654F" w:rsidR="00390E16" w:rsidRPr="007F3554" w:rsidRDefault="00390E16" w:rsidP="00EB3CA1">
    <w:pPr>
      <w:pStyle w:val="HeaderWhit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61EC" w14:textId="391478D2" w:rsidR="00390E16" w:rsidRPr="00C95C8D" w:rsidRDefault="00390E16" w:rsidP="00750510">
    <w:pPr>
      <w:pStyle w:val="Header"/>
      <w:jc w:val="right"/>
      <w:rPr>
        <w:lang w:val="en-US"/>
      </w:rPr>
    </w:pPr>
    <w:r w:rsidRPr="00C95C8D">
      <w:rPr>
        <w:rFonts w:eastAsiaTheme="minorHAnsi"/>
        <w:lang w:val="en-US"/>
      </w:rPr>
      <w:t>Australian Office of Financial Management</w:t>
    </w:r>
    <w:r w:rsidRPr="00C95C8D">
      <w:rPr>
        <w:lang w:val="en-US"/>
      </w:rPr>
      <w:t xml:space="preserve"> </w:t>
    </w:r>
    <w:r w:rsidRPr="00C95C8D">
      <w:rPr>
        <w:b/>
        <w:bCs w:val="0"/>
        <w:color w:val="472978" w:themeColor="accent1"/>
        <w:lang w:val="en-US"/>
      </w:rPr>
      <w:t>Annual Report</w:t>
    </w:r>
    <w:r w:rsidRPr="00C95C8D">
      <w:rPr>
        <w:lang w:val="en-US"/>
      </w:rPr>
      <w:t xml:space="preserve"> 202</w:t>
    </w:r>
    <w:r w:rsidR="00DB63CE">
      <w:rPr>
        <w:lang w:val="en-US"/>
      </w:rPr>
      <w:t>4</w:t>
    </w:r>
    <w:r w:rsidRPr="00C95C8D">
      <w:rPr>
        <w:lang w:val="en-US"/>
      </w:rPr>
      <w:t>–2</w:t>
    </w:r>
    <w:r w:rsidR="00DB63CE">
      <w:rPr>
        <w:lang w:val="en-US"/>
      </w:rPr>
      <w:t>5</w:t>
    </w:r>
  </w:p>
  <w:p w14:paraId="1BF388F5" w14:textId="77777777" w:rsidR="00390E16" w:rsidRPr="005C6B88" w:rsidRDefault="00390E16" w:rsidP="00750510">
    <w:pPr>
      <w:pStyle w:val="HeaderOdd"/>
    </w:pPr>
  </w:p>
  <w:p w14:paraId="68D9D9E5" w14:textId="77777777" w:rsidR="00390E16" w:rsidRPr="007F3554" w:rsidRDefault="00390E16" w:rsidP="00EB3CA1">
    <w:pPr>
      <w:pStyle w:val="HeaderWhite"/>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623C" w14:textId="7D7AC991" w:rsidR="004B423B" w:rsidRPr="007F6AB0" w:rsidRDefault="002C60D2" w:rsidP="007F6AB0">
    <w:pPr>
      <w:pStyle w:val="Header"/>
    </w:pPr>
    <w:r>
      <w:rPr>
        <w:noProof/>
      </w:rPr>
      <w:drawing>
        <wp:anchor distT="0" distB="0" distL="114300" distR="114300" simplePos="0" relativeHeight="251736163" behindDoc="1" locked="0" layoutInCell="1" allowOverlap="1" wp14:anchorId="58ADD998" wp14:editId="518DD2AF">
          <wp:simplePos x="0" y="0"/>
          <wp:positionH relativeFrom="page">
            <wp:posOffset>-2691130</wp:posOffset>
          </wp:positionH>
          <wp:positionV relativeFrom="paragraph">
            <wp:posOffset>1328288</wp:posOffset>
          </wp:positionV>
          <wp:extent cx="7613650" cy="2872740"/>
          <wp:effectExtent l="0" t="0" r="0" b="0"/>
          <wp:wrapNone/>
          <wp:docPr id="178003132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77980"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613650" cy="2872740"/>
                  </a:xfrm>
                  <a:prstGeom prst="rect">
                    <a:avLst/>
                  </a:prstGeom>
                </pic:spPr>
              </pic:pic>
            </a:graphicData>
          </a:graphic>
          <wp14:sizeRelH relativeFrom="page">
            <wp14:pctWidth>0</wp14:pctWidth>
          </wp14:sizeRelH>
          <wp14:sizeRelV relativeFrom="page">
            <wp14:pctHeight>0</wp14:pctHeight>
          </wp14:sizeRelV>
        </wp:anchor>
      </w:drawing>
    </w:r>
    <w:r w:rsidR="004B423B" w:rsidRPr="003A53A0">
      <w:rPr>
        <w:noProof/>
        <w:sz w:val="32"/>
        <w:szCs w:val="32"/>
      </w:rPr>
      <mc:AlternateContent>
        <mc:Choice Requires="wps">
          <w:drawing>
            <wp:anchor distT="0" distB="0" distL="114300" distR="114300" simplePos="0" relativeHeight="251737187" behindDoc="0" locked="0" layoutInCell="1" allowOverlap="1" wp14:anchorId="7F4B5B14" wp14:editId="08F212D1">
              <wp:simplePos x="0" y="0"/>
              <wp:positionH relativeFrom="rightMargin">
                <wp:posOffset>238125</wp:posOffset>
              </wp:positionH>
              <wp:positionV relativeFrom="margin">
                <wp:posOffset>6985</wp:posOffset>
              </wp:positionV>
              <wp:extent cx="399600" cy="4883150"/>
              <wp:effectExtent l="0" t="0" r="635" b="0"/>
              <wp:wrapNone/>
              <wp:docPr id="95320945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8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0140E" w14:textId="11B259FA" w:rsidR="004B423B" w:rsidRPr="00C95C8D" w:rsidRDefault="004B423B" w:rsidP="0081099C">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7944BB" w:rsidRPr="00C95C8D">
                            <w:rPr>
                              <w:lang w:val="en-US"/>
                            </w:rPr>
                            <w:t>202</w:t>
                          </w:r>
                          <w:r w:rsidR="007944BB">
                            <w:rPr>
                              <w:lang w:val="en-US"/>
                            </w:rPr>
                            <w:t>4</w:t>
                          </w:r>
                          <w:r w:rsidR="007944BB" w:rsidRPr="00C95C8D">
                            <w:rPr>
                              <w:lang w:val="en-US"/>
                            </w:rPr>
                            <w:t>–2</w:t>
                          </w:r>
                          <w:r w:rsidR="007944BB">
                            <w:rPr>
                              <w:lang w:val="en-US"/>
                            </w:rPr>
                            <w:t>5</w:t>
                          </w:r>
                        </w:p>
                        <w:p w14:paraId="2C8E58DE" w14:textId="77777777" w:rsidR="004B423B" w:rsidRPr="00137C7E" w:rsidRDefault="004B423B" w:rsidP="0081099C">
                          <w:pPr>
                            <w:pStyle w:val="HeaderOdd"/>
                          </w:pPr>
                        </w:p>
                        <w:p w14:paraId="6BF4192F" w14:textId="77777777" w:rsidR="004B423B" w:rsidRPr="00137C7E" w:rsidRDefault="004B423B" w:rsidP="0081099C">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B5B14" id="_x0000_t202" coordsize="21600,21600" o:spt="202" path="m,l,21600r21600,l21600,xe">
              <v:stroke joinstyle="miter"/>
              <v:path gradientshapeok="t" o:connecttype="rect"/>
            </v:shapetype>
            <v:shape id="Text Box 6" o:spid="_x0000_s1026" type="#_x0000_t202" alt="Landscape Odd Header" style="position:absolute;margin-left:18.75pt;margin-top:.55pt;width:31.45pt;height:384.5pt;z-index:25173718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" stroked="f">
              <v:textbox style="layout-flow:vertical" inset="0,0,0,.2mm">
                <w:txbxContent>
                  <w:p w14:paraId="6080140E" w14:textId="11B259FA" w:rsidR="004B423B" w:rsidRPr="00C95C8D" w:rsidRDefault="004B423B" w:rsidP="0081099C">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7944BB" w:rsidRPr="00C95C8D">
                      <w:rPr>
                        <w:lang w:val="en-US"/>
                      </w:rPr>
                      <w:t>202</w:t>
                    </w:r>
                    <w:r w:rsidR="007944BB">
                      <w:rPr>
                        <w:lang w:val="en-US"/>
                      </w:rPr>
                      <w:t>4</w:t>
                    </w:r>
                    <w:r w:rsidR="007944BB" w:rsidRPr="00C95C8D">
                      <w:rPr>
                        <w:lang w:val="en-US"/>
                      </w:rPr>
                      <w:t>–2</w:t>
                    </w:r>
                    <w:r w:rsidR="007944BB">
                      <w:rPr>
                        <w:lang w:val="en-US"/>
                      </w:rPr>
                      <w:t>5</w:t>
                    </w:r>
                  </w:p>
                  <w:p w14:paraId="2C8E58DE" w14:textId="77777777" w:rsidR="004B423B" w:rsidRPr="00137C7E" w:rsidRDefault="004B423B" w:rsidP="0081099C">
                    <w:pPr>
                      <w:pStyle w:val="HeaderOdd"/>
                    </w:pPr>
                  </w:p>
                  <w:p w14:paraId="6BF4192F" w14:textId="77777777" w:rsidR="004B423B" w:rsidRPr="00137C7E" w:rsidRDefault="004B423B" w:rsidP="0081099C">
                    <w:pPr>
                      <w:pStyle w:val="HeaderOdd"/>
                    </w:pPr>
                  </w:p>
                </w:txbxContent>
              </v:textbox>
              <w10:wrap anchorx="margin" anchory="margin"/>
            </v:shape>
          </w:pict>
        </mc:Fallback>
      </mc:AlternateContent>
    </w:r>
    <w:r w:rsidR="004B423B">
      <w:rPr>
        <w:noProof/>
      </w:rPr>
      <mc:AlternateContent>
        <mc:Choice Requires="wps">
          <w:drawing>
            <wp:anchor distT="45720" distB="45720" distL="114300" distR="114300" simplePos="0" relativeHeight="251735139" behindDoc="0" locked="0" layoutInCell="1" allowOverlap="1" wp14:anchorId="49C89BD7" wp14:editId="12ECAA32">
              <wp:simplePos x="0" y="0"/>
              <wp:positionH relativeFrom="column">
                <wp:posOffset>-1433195</wp:posOffset>
              </wp:positionH>
              <wp:positionV relativeFrom="paragraph">
                <wp:posOffset>1418590</wp:posOffset>
              </wp:positionV>
              <wp:extent cx="2360930" cy="258445"/>
              <wp:effectExtent l="3492" t="0" r="4763" b="0"/>
              <wp:wrapSquare wrapText="bothSides"/>
              <wp:docPr id="5490876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0E77066E" w14:textId="77777777" w:rsidR="004B423B" w:rsidRPr="00121C95" w:rsidRDefault="004B423B" w:rsidP="0081099C">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89BD7" id="Text Box 2" o:spid="_x0000_s1027" type="#_x0000_t202" alt="&quot;&quot;" style="position:absolute;margin-left:-112.85pt;margin-top:111.7pt;width:185.9pt;height:20.35pt;rotation:90;z-index:2517351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" filled="f" stroked="f">
              <v:textbox inset="0">
                <w:txbxContent>
                  <w:p w14:paraId="0E77066E" w14:textId="77777777" w:rsidR="004B423B" w:rsidRPr="00121C95" w:rsidRDefault="004B423B" w:rsidP="0081099C">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FD14" w14:textId="77777777" w:rsidR="005E4834" w:rsidRPr="00DD4D18" w:rsidRDefault="005E4834" w:rsidP="00DD4D1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99C3" w14:textId="77777777" w:rsidR="004B423B" w:rsidRPr="0035103E" w:rsidRDefault="004B423B" w:rsidP="0035103E">
    <w:pPr>
      <w:pStyle w:val="Header"/>
    </w:pPr>
    <w:r w:rsidRPr="003A53A0">
      <w:rPr>
        <w:noProof/>
        <w:sz w:val="32"/>
        <w:szCs w:val="32"/>
      </w:rPr>
      <mc:AlternateContent>
        <mc:Choice Requires="wps">
          <w:drawing>
            <wp:anchor distT="0" distB="0" distL="114300" distR="114300" simplePos="0" relativeHeight="251739235" behindDoc="0" locked="0" layoutInCell="1" allowOverlap="1" wp14:anchorId="75907BD8" wp14:editId="42EBFB8A">
              <wp:simplePos x="0" y="0"/>
              <wp:positionH relativeFrom="rightMargin">
                <wp:posOffset>216535</wp:posOffset>
              </wp:positionH>
              <wp:positionV relativeFrom="margin">
                <wp:posOffset>-38735</wp:posOffset>
              </wp:positionV>
              <wp:extent cx="399600" cy="4883150"/>
              <wp:effectExtent l="0" t="0" r="635" b="0"/>
              <wp:wrapNone/>
              <wp:docPr id="13923586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8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2CBBB" w14:textId="6766EB7A" w:rsidR="004B423B" w:rsidRPr="00C95C8D" w:rsidRDefault="004B423B" w:rsidP="00B014A4">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7944BB" w:rsidRPr="00C95C8D">
                            <w:rPr>
                              <w:lang w:val="en-US"/>
                            </w:rPr>
                            <w:t>202</w:t>
                          </w:r>
                          <w:r w:rsidR="007944BB">
                            <w:rPr>
                              <w:lang w:val="en-US"/>
                            </w:rPr>
                            <w:t>4</w:t>
                          </w:r>
                          <w:r w:rsidR="007944BB" w:rsidRPr="00C95C8D">
                            <w:rPr>
                              <w:lang w:val="en-US"/>
                            </w:rPr>
                            <w:t>–2</w:t>
                          </w:r>
                          <w:r w:rsidR="007944BB">
                            <w:rPr>
                              <w:lang w:val="en-US"/>
                            </w:rPr>
                            <w:t>5</w:t>
                          </w:r>
                        </w:p>
                        <w:p w14:paraId="036EBEB2" w14:textId="77777777" w:rsidR="004B423B" w:rsidRPr="00137C7E" w:rsidRDefault="004B423B" w:rsidP="0035103E">
                          <w:pPr>
                            <w:pStyle w:val="HeaderOdd"/>
                          </w:pPr>
                        </w:p>
                        <w:p w14:paraId="4A966C82" w14:textId="77777777" w:rsidR="004B423B" w:rsidRPr="00137C7E" w:rsidRDefault="004B423B" w:rsidP="0035103E">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07BD8" id="_x0000_t202" coordsize="21600,21600" o:spt="202" path="m,l,21600r21600,l21600,xe">
              <v:stroke joinstyle="miter"/>
              <v:path gradientshapeok="t" o:connecttype="rect"/>
            </v:shapetype>
            <v:shape id="_x0000_s1028" type="#_x0000_t202" alt="Landscape Odd Header" style="position:absolute;margin-left:17.05pt;margin-top:-3.05pt;width:31.45pt;height:384.5pt;z-index:25173923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" stroked="f">
              <v:textbox style="layout-flow:vertical" inset="0,0,0,.2mm">
                <w:txbxContent>
                  <w:p w14:paraId="5FA2CBBB" w14:textId="6766EB7A" w:rsidR="004B423B" w:rsidRPr="00C95C8D" w:rsidRDefault="004B423B" w:rsidP="00B014A4">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7944BB" w:rsidRPr="00C95C8D">
                      <w:rPr>
                        <w:lang w:val="en-US"/>
                      </w:rPr>
                      <w:t>202</w:t>
                    </w:r>
                    <w:r w:rsidR="007944BB">
                      <w:rPr>
                        <w:lang w:val="en-US"/>
                      </w:rPr>
                      <w:t>4</w:t>
                    </w:r>
                    <w:r w:rsidR="007944BB" w:rsidRPr="00C95C8D">
                      <w:rPr>
                        <w:lang w:val="en-US"/>
                      </w:rPr>
                      <w:t>–2</w:t>
                    </w:r>
                    <w:r w:rsidR="007944BB">
                      <w:rPr>
                        <w:lang w:val="en-US"/>
                      </w:rPr>
                      <w:t>5</w:t>
                    </w:r>
                  </w:p>
                  <w:p w14:paraId="036EBEB2" w14:textId="77777777" w:rsidR="004B423B" w:rsidRPr="00137C7E" w:rsidRDefault="004B423B" w:rsidP="0035103E">
                    <w:pPr>
                      <w:pStyle w:val="HeaderOdd"/>
                    </w:pPr>
                  </w:p>
                  <w:p w14:paraId="4A966C82" w14:textId="77777777" w:rsidR="004B423B" w:rsidRPr="00137C7E" w:rsidRDefault="004B423B" w:rsidP="0035103E">
                    <w:pPr>
                      <w:pStyle w:val="HeaderOdd"/>
                    </w:pPr>
                  </w:p>
                </w:txbxContent>
              </v:textbox>
              <w10:wrap anchorx="margin" anchory="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BEC7" w14:textId="77777777" w:rsidR="00B45B09" w:rsidRPr="00B462C4" w:rsidRDefault="00B45B09" w:rsidP="000D0F04">
    <w:pPr>
      <w:pStyle w:val="Header"/>
    </w:pPr>
    <w:r w:rsidRPr="003A53A0">
      <w:rPr>
        <w:noProof/>
        <w:sz w:val="32"/>
        <w:szCs w:val="32"/>
      </w:rPr>
      <mc:AlternateContent>
        <mc:Choice Requires="wps">
          <w:drawing>
            <wp:anchor distT="0" distB="0" distL="114300" distR="114300" simplePos="0" relativeHeight="251658274" behindDoc="0" locked="0" layoutInCell="1" allowOverlap="1" wp14:anchorId="220F9211" wp14:editId="4A634B60">
              <wp:simplePos x="0" y="0"/>
              <wp:positionH relativeFrom="rightMargin">
                <wp:posOffset>489585</wp:posOffset>
              </wp:positionH>
              <wp:positionV relativeFrom="margin">
                <wp:align>top</wp:align>
              </wp:positionV>
              <wp:extent cx="399600" cy="5022000"/>
              <wp:effectExtent l="0" t="0" r="635" b="7620"/>
              <wp:wrapNone/>
              <wp:docPr id="97508062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502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C6903" w14:textId="62166FCB" w:rsidR="00B45B09" w:rsidRPr="00C95C8D" w:rsidRDefault="00B45B09" w:rsidP="006C648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FD6E33">
                            <w:rPr>
                              <w:lang w:val="en-US"/>
                            </w:rPr>
                            <w:t>4</w:t>
                          </w:r>
                          <w:r w:rsidRPr="00C95C8D">
                            <w:rPr>
                              <w:lang w:val="en-US"/>
                            </w:rPr>
                            <w:t>–2</w:t>
                          </w:r>
                          <w:r w:rsidR="00FD6E33">
                            <w:rPr>
                              <w:lang w:val="en-US"/>
                            </w:rPr>
                            <w:t>5</w:t>
                          </w:r>
                        </w:p>
                        <w:p w14:paraId="04E5942D" w14:textId="77777777" w:rsidR="00B45B09" w:rsidRPr="00137C7E" w:rsidRDefault="00B45B09" w:rsidP="006C6482">
                          <w:pPr>
                            <w:pStyle w:val="HeaderOdd"/>
                          </w:pPr>
                        </w:p>
                        <w:p w14:paraId="76722E07" w14:textId="77777777" w:rsidR="00B45B09" w:rsidRPr="00137C7E" w:rsidRDefault="00B45B09" w:rsidP="006C6482">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F9211" id="_x0000_t202" coordsize="21600,21600" o:spt="202" path="m,l,21600r21600,l21600,xe">
              <v:stroke joinstyle="miter"/>
              <v:path gradientshapeok="t" o:connecttype="rect"/>
            </v:shapetype>
            <v:shape id="_x0000_s1032" type="#_x0000_t202" alt="Landscape Odd Header" style="position:absolute;margin-left:38.55pt;margin-top:0;width:31.45pt;height:395.45pt;z-index:251658274;visibility:visible;mso-wrap-style:square;mso-width-percent:0;mso-height-percent:0;mso-wrap-distance-left:9pt;mso-wrap-distance-top:0;mso-wrap-distance-right:9pt;mso-wrap-distance-bottom:0;mso-position-horizontal:absolute;mso-position-horizontal-relative:right-margin-area;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" stroked="f">
              <v:textbox style="layout-flow:vertical" inset="0,0,0,.2mm">
                <w:txbxContent>
                  <w:p w14:paraId="68CC6903" w14:textId="62166FCB" w:rsidR="00B45B09" w:rsidRPr="00C95C8D" w:rsidRDefault="00B45B09" w:rsidP="006C6482">
                    <w:pPr>
                      <w:pStyle w:val="Header"/>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sidR="00FD6E33">
                      <w:rPr>
                        <w:lang w:val="en-US"/>
                      </w:rPr>
                      <w:t>4</w:t>
                    </w:r>
                    <w:r w:rsidRPr="00C95C8D">
                      <w:rPr>
                        <w:lang w:val="en-US"/>
                      </w:rPr>
                      <w:t>–2</w:t>
                    </w:r>
                    <w:r w:rsidR="00FD6E33">
                      <w:rPr>
                        <w:lang w:val="en-US"/>
                      </w:rPr>
                      <w:t>5</w:t>
                    </w:r>
                  </w:p>
                  <w:p w14:paraId="04E5942D" w14:textId="77777777" w:rsidR="00B45B09" w:rsidRPr="00137C7E" w:rsidRDefault="00B45B09" w:rsidP="006C6482">
                    <w:pPr>
                      <w:pStyle w:val="HeaderOdd"/>
                    </w:pPr>
                  </w:p>
                  <w:p w14:paraId="76722E07" w14:textId="77777777" w:rsidR="00B45B09" w:rsidRPr="00137C7E" w:rsidRDefault="00B45B09" w:rsidP="006C6482">
                    <w:pPr>
                      <w:pStyle w:val="HeaderOdd"/>
                    </w:pPr>
                  </w:p>
                </w:txbxContent>
              </v:textbox>
              <w10:wrap anchorx="margin" anchory="margin"/>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56AB" w14:textId="028A8D4D" w:rsidR="000D0F04" w:rsidRPr="00C95C8D" w:rsidRDefault="000D0F04" w:rsidP="00750510">
    <w:pPr>
      <w:pStyle w:val="Header"/>
      <w:rPr>
        <w:lang w:val="en-US"/>
      </w:rPr>
    </w:pPr>
    <w:r w:rsidRPr="00C95C8D">
      <w:rPr>
        <w:rFonts w:eastAsiaTheme="minorHAnsi"/>
        <w:lang w:val="en-US"/>
      </w:rPr>
      <w:t>Australian Office of Financial Management</w:t>
    </w:r>
    <w:r w:rsidRPr="00C95C8D">
      <w:rPr>
        <w:lang w:val="en-US"/>
      </w:rPr>
      <w:t xml:space="preserve"> </w:t>
    </w:r>
    <w:r w:rsidRPr="00C95C8D">
      <w:rPr>
        <w:b/>
        <w:bCs w:val="0"/>
        <w:color w:val="472978" w:themeColor="accent1"/>
        <w:lang w:val="en-US"/>
      </w:rPr>
      <w:t>Annual Report</w:t>
    </w:r>
    <w:r w:rsidRPr="00C95C8D">
      <w:rPr>
        <w:lang w:val="en-US"/>
      </w:rPr>
      <w:t xml:space="preserve"> 202</w:t>
    </w:r>
    <w:r w:rsidR="00D01E69">
      <w:rPr>
        <w:lang w:val="en-US"/>
      </w:rPr>
      <w:t>4</w:t>
    </w:r>
    <w:r w:rsidRPr="00C95C8D">
      <w:rPr>
        <w:lang w:val="en-US"/>
      </w:rPr>
      <w:t>–2</w:t>
    </w:r>
    <w:r w:rsidR="00D01E69">
      <w:rPr>
        <w:lang w:val="en-US"/>
      </w:rPr>
      <w:t>5</w:t>
    </w:r>
  </w:p>
  <w:p w14:paraId="6D9749EB" w14:textId="77777777" w:rsidR="000D0F04" w:rsidRPr="000D0F04" w:rsidRDefault="000D0F04">
    <w:pPr>
      <w:rPr>
        <w:color w:val="auto"/>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B27D7" w14:textId="77777777" w:rsidR="001E2AEB" w:rsidRPr="00C95C8D" w:rsidRDefault="001E2AEB" w:rsidP="00935D85">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1887A209" w14:textId="615B40BB" w:rsidR="007A0DA6" w:rsidRPr="00C95C8D" w:rsidRDefault="007A0DA6" w:rsidP="00935D85">
    <w:pPr>
      <w:pStyle w:val="Header"/>
      <w:jc w:val="right"/>
      <w:rPr>
        <w:lang w:val="en-US"/>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6620" w14:textId="77777777" w:rsidR="00D05422" w:rsidRPr="007F3554" w:rsidRDefault="00D05422" w:rsidP="00EB3CA1">
    <w:pPr>
      <w:pStyle w:val="HeaderWhite"/>
    </w:pPr>
    <w:r w:rsidRPr="007F3554">
      <w:t xml:space="preserve">Australian Office of Financial Management </w:t>
    </w:r>
    <w:r w:rsidRPr="007F3554">
      <w:rPr>
        <w:b/>
      </w:rPr>
      <w:t>Annual Report</w:t>
    </w:r>
    <w:r w:rsidRPr="007F3554">
      <w:t xml:space="preserve"> 202</w:t>
    </w:r>
    <w:r>
      <w:t>4</w:t>
    </w:r>
    <w:r w:rsidRPr="007F3554">
      <w:t>–2</w:t>
    </w:r>
    <w:r>
      <w:t>5</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2E48" w14:textId="69182D06" w:rsidR="002C5E6A" w:rsidRPr="0035103E" w:rsidRDefault="002C5E6A" w:rsidP="0035103E">
    <w:pPr>
      <w:pStyle w:val="Header"/>
    </w:pPr>
    <w:r w:rsidRPr="003A53A0">
      <w:rPr>
        <w:noProof/>
        <w:sz w:val="32"/>
        <w:szCs w:val="32"/>
      </w:rPr>
      <mc:AlternateContent>
        <mc:Choice Requires="wps">
          <w:drawing>
            <wp:anchor distT="0" distB="0" distL="114300" distR="114300" simplePos="0" relativeHeight="251759715" behindDoc="0" locked="0" layoutInCell="1" allowOverlap="1" wp14:anchorId="69F7319B" wp14:editId="00B6E7DE">
              <wp:simplePos x="0" y="0"/>
              <wp:positionH relativeFrom="rightMargin">
                <wp:posOffset>216535</wp:posOffset>
              </wp:positionH>
              <wp:positionV relativeFrom="margin">
                <wp:align>top</wp:align>
              </wp:positionV>
              <wp:extent cx="399600" cy="4883150"/>
              <wp:effectExtent l="0" t="0" r="635" b="0"/>
              <wp:wrapNone/>
              <wp:docPr id="12307948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8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C07DD" w14:textId="7D0BB2BC" w:rsidR="002C5E6A" w:rsidRPr="00137C7E" w:rsidRDefault="002C5E6A" w:rsidP="00B42750">
                          <w:pPr>
                            <w:pStyle w:val="Header"/>
                            <w:jc w:val="right"/>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B42750" w:rsidRPr="00C95C8D">
                            <w:rPr>
                              <w:lang w:val="en-US"/>
                            </w:rPr>
                            <w:t>202</w:t>
                          </w:r>
                          <w:r w:rsidR="00B42750">
                            <w:rPr>
                              <w:lang w:val="en-US"/>
                            </w:rPr>
                            <w:t>4</w:t>
                          </w:r>
                          <w:r w:rsidR="00B42750" w:rsidRPr="00C95C8D">
                            <w:rPr>
                              <w:lang w:val="en-US"/>
                            </w:rPr>
                            <w:t>–2</w:t>
                          </w:r>
                          <w:r w:rsidR="00B42750">
                            <w:rPr>
                              <w:lang w:val="en-US"/>
                            </w:rPr>
                            <w:t>5</w:t>
                          </w:r>
                        </w:p>
                        <w:p w14:paraId="6046ABBC" w14:textId="77777777" w:rsidR="002C5E6A" w:rsidRPr="00137C7E" w:rsidRDefault="002C5E6A" w:rsidP="0035103E">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7319B" id="_x0000_t202" coordsize="21600,21600" o:spt="202" path="m,l,21600r21600,l21600,xe">
              <v:stroke joinstyle="miter"/>
              <v:path gradientshapeok="t" o:connecttype="rect"/>
            </v:shapetype>
            <v:shape id="_x0000_s1042" type="#_x0000_t202" alt="Landscape Odd Header" style="position:absolute;margin-left:17.05pt;margin-top:0;width:31.45pt;height:384.5pt;z-index:251759715;visibility:visible;mso-wrap-style:square;mso-width-percent:0;mso-height-percent:0;mso-wrap-distance-left:9pt;mso-wrap-distance-top:0;mso-wrap-distance-right:9pt;mso-wrap-distance-bottom:0;mso-position-horizontal:absolute;mso-position-horizontal-relative:right-margin-area;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" stroked="f">
              <v:textbox style="layout-flow:vertical" inset="0,0,0,.2mm">
                <w:txbxContent>
                  <w:p w14:paraId="7B7C07DD" w14:textId="7D0BB2BC" w:rsidR="002C5E6A" w:rsidRPr="00137C7E" w:rsidRDefault="002C5E6A" w:rsidP="00B42750">
                    <w:pPr>
                      <w:pStyle w:val="Header"/>
                      <w:jc w:val="right"/>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B42750" w:rsidRPr="00C95C8D">
                      <w:rPr>
                        <w:lang w:val="en-US"/>
                      </w:rPr>
                      <w:t>202</w:t>
                    </w:r>
                    <w:r w:rsidR="00B42750">
                      <w:rPr>
                        <w:lang w:val="en-US"/>
                      </w:rPr>
                      <w:t>4</w:t>
                    </w:r>
                    <w:r w:rsidR="00B42750" w:rsidRPr="00C95C8D">
                      <w:rPr>
                        <w:lang w:val="en-US"/>
                      </w:rPr>
                      <w:t>–2</w:t>
                    </w:r>
                    <w:r w:rsidR="00B42750">
                      <w:rPr>
                        <w:lang w:val="en-US"/>
                      </w:rPr>
                      <w:t>5</w:t>
                    </w:r>
                  </w:p>
                  <w:p w14:paraId="6046ABBC" w14:textId="77777777" w:rsidR="002C5E6A" w:rsidRPr="00137C7E" w:rsidRDefault="002C5E6A" w:rsidP="0035103E">
                    <w:pPr>
                      <w:pStyle w:val="HeaderOdd"/>
                    </w:pP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F42B" w14:textId="77777777" w:rsidR="00C11331" w:rsidRPr="00C95C8D" w:rsidRDefault="00C11331" w:rsidP="008A5847">
    <w:pPr>
      <w:pStyle w:val="Header"/>
      <w:tabs>
        <w:tab w:val="left" w:pos="10922"/>
        <w:tab w:val="right" w:pos="12387"/>
      </w:tabs>
      <w:rPr>
        <w:lang w:val="en-US"/>
      </w:rPr>
    </w:pPr>
    <w:r>
      <w:rPr>
        <w:lang w:val="en-US"/>
      </w:rPr>
      <w:tab/>
    </w:r>
    <w:r>
      <w:rPr>
        <w:lang w:val="en-US"/>
      </w:rPr>
      <w:tab/>
    </w:r>
    <w:r w:rsidRPr="003A53A0">
      <w:rPr>
        <w:noProof/>
        <w:sz w:val="32"/>
        <w:szCs w:val="32"/>
      </w:rPr>
      <mc:AlternateContent>
        <mc:Choice Requires="wps">
          <w:drawing>
            <wp:anchor distT="0" distB="0" distL="114300" distR="114300" simplePos="0" relativeHeight="251658302" behindDoc="0" locked="0" layoutInCell="1" allowOverlap="1" wp14:anchorId="14148D13" wp14:editId="7374D4F6">
              <wp:simplePos x="0" y="0"/>
              <wp:positionH relativeFrom="rightMargin">
                <wp:posOffset>488722</wp:posOffset>
              </wp:positionH>
              <wp:positionV relativeFrom="margin">
                <wp:posOffset>-1019</wp:posOffset>
              </wp:positionV>
              <wp:extent cx="399600" cy="5020573"/>
              <wp:effectExtent l="0" t="0" r="635" b="8890"/>
              <wp:wrapNone/>
              <wp:docPr id="45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50205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20F11" w14:textId="77777777" w:rsidR="00C11331" w:rsidRPr="00C95C8D" w:rsidRDefault="00C11331" w:rsidP="00B06162">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5ED8D903" w14:textId="77777777" w:rsidR="00C11331" w:rsidRPr="00137C7E" w:rsidRDefault="00C11331" w:rsidP="00B06162">
                          <w:pPr>
                            <w:pStyle w:val="TOC2"/>
                            <w:jc w:val="right"/>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48D13" id="_x0000_t202" coordsize="21600,21600" o:spt="202" path="m,l,21600r21600,l21600,xe">
              <v:stroke joinstyle="miter"/>
              <v:path gradientshapeok="t" o:connecttype="rect"/>
            </v:shapetype>
            <v:shape id="_x0000_s1046" type="#_x0000_t202" alt="Landscape Odd Header" style="position:absolute;margin-left:38.5pt;margin-top:-.1pt;width:31.45pt;height:395.3pt;z-index:25165830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" stroked="f">
              <v:textbox style="layout-flow:vertical" inset="0,0,0,.2mm">
                <w:txbxContent>
                  <w:p w14:paraId="5B120F11" w14:textId="77777777" w:rsidR="00C11331" w:rsidRPr="00C95C8D" w:rsidRDefault="00C11331" w:rsidP="00B06162">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2025–26</w:t>
                    </w:r>
                  </w:p>
                  <w:p w14:paraId="5ED8D903" w14:textId="77777777" w:rsidR="00C11331" w:rsidRPr="00137C7E" w:rsidRDefault="00C11331" w:rsidP="00B06162">
                    <w:pPr>
                      <w:pStyle w:val="TOC2"/>
                      <w:jc w:val="right"/>
                    </w:pPr>
                  </w:p>
                </w:txbxContent>
              </v:textbox>
              <w10:wrap anchorx="margin" anchory="margin"/>
            </v:shape>
          </w:pict>
        </mc:Fallback>
      </mc:AlternateContent>
    </w:r>
  </w:p>
  <w:p w14:paraId="324BF468" w14:textId="77777777" w:rsidR="00C11331" w:rsidRDefault="00C1133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2846" w14:textId="7E3FCAB1" w:rsidR="00221139" w:rsidRPr="007F6AB0" w:rsidRDefault="00CE5BB7" w:rsidP="007F6AB0">
    <w:pPr>
      <w:pStyle w:val="Header"/>
    </w:pPr>
    <w:r>
      <w:rPr>
        <w:noProof/>
      </w:rPr>
      <mc:AlternateContent>
        <mc:Choice Requires="wps">
          <w:drawing>
            <wp:anchor distT="45720" distB="45720" distL="114300" distR="114300" simplePos="0" relativeHeight="251768931" behindDoc="0" locked="0" layoutInCell="1" allowOverlap="1" wp14:anchorId="70412BBC" wp14:editId="30CFFD78">
              <wp:simplePos x="0" y="0"/>
              <wp:positionH relativeFrom="column">
                <wp:posOffset>-1433195</wp:posOffset>
              </wp:positionH>
              <wp:positionV relativeFrom="paragraph">
                <wp:posOffset>1414145</wp:posOffset>
              </wp:positionV>
              <wp:extent cx="2360930" cy="258445"/>
              <wp:effectExtent l="3492" t="0" r="4763" b="0"/>
              <wp:wrapSquare wrapText="bothSides"/>
              <wp:docPr id="15385667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258445"/>
                      </a:xfrm>
                      <a:prstGeom prst="rect">
                        <a:avLst/>
                      </a:prstGeom>
                      <a:noFill/>
                      <a:ln w="9525">
                        <a:noFill/>
                        <a:miter lim="800000"/>
                        <a:headEnd/>
                        <a:tailEnd/>
                      </a:ln>
                    </wps:spPr>
                    <wps:txbx>
                      <w:txbxContent>
                        <w:p w14:paraId="36C79A60" w14:textId="77777777" w:rsidR="00221139" w:rsidRPr="00121C95" w:rsidRDefault="00221139" w:rsidP="0081099C">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412BBC" id="_x0000_t202" coordsize="21600,21600" o:spt="202" path="m,l,21600r21600,l21600,xe">
              <v:stroke joinstyle="miter"/>
              <v:path gradientshapeok="t" o:connecttype="rect"/>
            </v:shapetype>
            <v:shape id="_x0000_s1050" type="#_x0000_t202" alt="&quot;&quot;" style="position:absolute;margin-left:-112.85pt;margin-top:111.35pt;width:185.9pt;height:20.35pt;rotation:90;z-index:2517689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" filled="f" stroked="f">
              <v:textbox inset="0">
                <w:txbxContent>
                  <w:p w14:paraId="36C79A60" w14:textId="77777777" w:rsidR="00221139" w:rsidRPr="00121C95" w:rsidRDefault="00221139" w:rsidP="0081099C">
                    <w:pPr>
                      <w:pStyle w:val="FooterOdd"/>
                      <w:tabs>
                        <w:tab w:val="right" w:pos="9072"/>
                      </w:tabs>
                      <w:jc w:val="left"/>
                      <w:rPr>
                        <w:sz w:val="18"/>
                        <w:szCs w:val="18"/>
                      </w:rPr>
                    </w:pPr>
                    <w:r w:rsidRPr="00121C95">
                      <w:rPr>
                        <w:sz w:val="18"/>
                        <w:szCs w:val="18"/>
                      </w:rPr>
                      <w:fldChar w:fldCharType="begin"/>
                    </w:r>
                    <w:r w:rsidRPr="00121C95">
                      <w:rPr>
                        <w:sz w:val="18"/>
                        <w:szCs w:val="18"/>
                      </w:rPr>
                      <w:instrText xml:space="preserve"> PAGE   \* MERGEFORMAT </w:instrText>
                    </w:r>
                    <w:r w:rsidRPr="00121C95">
                      <w:rPr>
                        <w:sz w:val="18"/>
                        <w:szCs w:val="18"/>
                      </w:rPr>
                      <w:fldChar w:fldCharType="separate"/>
                    </w:r>
                    <w:r w:rsidRPr="00121C95">
                      <w:rPr>
                        <w:sz w:val="18"/>
                        <w:szCs w:val="18"/>
                      </w:rPr>
                      <w:t>5</w:t>
                    </w:r>
                    <w:r w:rsidRPr="00121C95">
                      <w:rPr>
                        <w:sz w:val="18"/>
                        <w:szCs w:val="18"/>
                      </w:rPr>
                      <w:fldChar w:fldCharType="end"/>
                    </w:r>
                  </w:p>
                </w:txbxContent>
              </v:textbox>
              <w10:wrap type="square"/>
            </v:shape>
          </w:pict>
        </mc:Fallback>
      </mc:AlternateContent>
    </w:r>
    <w:r w:rsidR="004F6504">
      <w:rPr>
        <w:noProof/>
      </w:rPr>
      <w:drawing>
        <wp:anchor distT="0" distB="0" distL="114300" distR="114300" simplePos="0" relativeHeight="251769955" behindDoc="1" locked="0" layoutInCell="1" allowOverlap="1" wp14:anchorId="67D4DE48" wp14:editId="35B07146">
          <wp:simplePos x="0" y="0"/>
          <wp:positionH relativeFrom="page">
            <wp:posOffset>-2691253</wp:posOffset>
          </wp:positionH>
          <wp:positionV relativeFrom="paragraph">
            <wp:posOffset>1363423</wp:posOffset>
          </wp:positionV>
          <wp:extent cx="7613650" cy="2872905"/>
          <wp:effectExtent l="0" t="0" r="0" b="0"/>
          <wp:wrapNone/>
          <wp:docPr id="133509561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58868"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613650" cy="2872905"/>
                  </a:xfrm>
                  <a:prstGeom prst="rect">
                    <a:avLst/>
                  </a:prstGeom>
                </pic:spPr>
              </pic:pic>
            </a:graphicData>
          </a:graphic>
          <wp14:sizeRelH relativeFrom="page">
            <wp14:pctWidth>0</wp14:pctWidth>
          </wp14:sizeRelH>
          <wp14:sizeRelV relativeFrom="page">
            <wp14:pctHeight>0</wp14:pctHeight>
          </wp14:sizeRelV>
        </wp:anchor>
      </w:drawing>
    </w:r>
    <w:r w:rsidR="00221139" w:rsidRPr="003A53A0">
      <w:rPr>
        <w:noProof/>
        <w:sz w:val="32"/>
        <w:szCs w:val="32"/>
      </w:rPr>
      <mc:AlternateContent>
        <mc:Choice Requires="wps">
          <w:drawing>
            <wp:anchor distT="0" distB="0" distL="114300" distR="114300" simplePos="0" relativeHeight="251770979" behindDoc="0" locked="0" layoutInCell="1" allowOverlap="1" wp14:anchorId="4367BF46" wp14:editId="3B4A637C">
              <wp:simplePos x="0" y="0"/>
              <wp:positionH relativeFrom="rightMargin">
                <wp:posOffset>238125</wp:posOffset>
              </wp:positionH>
              <wp:positionV relativeFrom="margin">
                <wp:posOffset>6985</wp:posOffset>
              </wp:positionV>
              <wp:extent cx="399600" cy="4883150"/>
              <wp:effectExtent l="0" t="0" r="635" b="0"/>
              <wp:wrapNone/>
              <wp:docPr id="188555210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8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8825E" w14:textId="506FA18B" w:rsidR="00221139" w:rsidRPr="00137C7E" w:rsidRDefault="00221139" w:rsidP="00B42750">
                          <w:pPr>
                            <w:pStyle w:val="Heade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B42750" w:rsidRPr="00C95C8D">
                            <w:rPr>
                              <w:lang w:val="en-US"/>
                            </w:rPr>
                            <w:t>202</w:t>
                          </w:r>
                          <w:r w:rsidR="00B42750">
                            <w:rPr>
                              <w:lang w:val="en-US"/>
                            </w:rPr>
                            <w:t>4</w:t>
                          </w:r>
                          <w:r w:rsidR="00B42750" w:rsidRPr="00C95C8D">
                            <w:rPr>
                              <w:lang w:val="en-US"/>
                            </w:rPr>
                            <w:t>–2</w:t>
                          </w:r>
                          <w:r w:rsidR="00B42750">
                            <w:rPr>
                              <w:lang w:val="en-US"/>
                            </w:rPr>
                            <w:t>5</w:t>
                          </w:r>
                        </w:p>
                        <w:p w14:paraId="0E1E2D96" w14:textId="77777777" w:rsidR="00221139" w:rsidRPr="00137C7E" w:rsidRDefault="00221139" w:rsidP="0081099C">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7BF46" id="_x0000_s1051" type="#_x0000_t202" alt="Landscape Odd Header" style="position:absolute;margin-left:18.75pt;margin-top:.55pt;width:31.45pt;height:384.5pt;z-index:25177097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" stroked="f">
              <v:textbox style="layout-flow:vertical" inset="0,0,0,.2mm">
                <w:txbxContent>
                  <w:p w14:paraId="5528825E" w14:textId="506FA18B" w:rsidR="00221139" w:rsidRPr="00137C7E" w:rsidRDefault="00221139" w:rsidP="00B42750">
                    <w:pPr>
                      <w:pStyle w:val="Heade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w:t>
                    </w:r>
                    <w:r w:rsidR="00B42750" w:rsidRPr="00C95C8D">
                      <w:rPr>
                        <w:lang w:val="en-US"/>
                      </w:rPr>
                      <w:t>202</w:t>
                    </w:r>
                    <w:r w:rsidR="00B42750">
                      <w:rPr>
                        <w:lang w:val="en-US"/>
                      </w:rPr>
                      <w:t>4</w:t>
                    </w:r>
                    <w:r w:rsidR="00B42750" w:rsidRPr="00C95C8D">
                      <w:rPr>
                        <w:lang w:val="en-US"/>
                      </w:rPr>
                      <w:t>–2</w:t>
                    </w:r>
                    <w:r w:rsidR="00B42750">
                      <w:rPr>
                        <w:lang w:val="en-US"/>
                      </w:rPr>
                      <w:t>5</w:t>
                    </w:r>
                  </w:p>
                  <w:p w14:paraId="0E1E2D96" w14:textId="77777777" w:rsidR="00221139" w:rsidRPr="00137C7E" w:rsidRDefault="00221139" w:rsidP="0081099C">
                    <w:pPr>
                      <w:pStyle w:val="HeaderOdd"/>
                    </w:pPr>
                  </w:p>
                </w:txbxContent>
              </v:textbox>
              <w10:wrap anchorx="margin" anchory="margin"/>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E39D" w14:textId="6170CB3D" w:rsidR="005345D9" w:rsidRPr="00C95C8D" w:rsidRDefault="005345D9" w:rsidP="00750510">
    <w:pPr>
      <w:pStyle w:val="Header"/>
      <w:rPr>
        <w:lang w:val="en-US"/>
      </w:rPr>
    </w:pPr>
    <w:r w:rsidRPr="00C95C8D">
      <w:rPr>
        <w:rFonts w:eastAsiaTheme="minorHAnsi"/>
        <w:lang w:val="en-US"/>
      </w:rPr>
      <w:t>Australian Office of Financial Management</w:t>
    </w:r>
    <w:r w:rsidRPr="00C95C8D">
      <w:rPr>
        <w:lang w:val="en-US"/>
      </w:rPr>
      <w:t xml:space="preserve"> </w:t>
    </w:r>
    <w:r w:rsidRPr="00C95C8D">
      <w:rPr>
        <w:b/>
        <w:bCs w:val="0"/>
        <w:color w:val="472978" w:themeColor="accent1"/>
        <w:lang w:val="en-US"/>
      </w:rPr>
      <w:t>Annual Report</w:t>
    </w:r>
    <w:r w:rsidRPr="00C95C8D">
      <w:rPr>
        <w:lang w:val="en-US"/>
      </w:rPr>
      <w:t xml:space="preserve"> 202</w:t>
    </w:r>
    <w:r w:rsidR="00BF23DC">
      <w:rPr>
        <w:lang w:val="en-US"/>
      </w:rPr>
      <w:t>4</w:t>
    </w:r>
    <w:r w:rsidRPr="00C95C8D">
      <w:rPr>
        <w:lang w:val="en-US"/>
      </w:rPr>
      <w:t>–2</w:t>
    </w:r>
    <w:r w:rsidR="00BF23DC">
      <w:rPr>
        <w:lang w:val="en-US"/>
      </w:rPr>
      <w:t>5</w:t>
    </w:r>
  </w:p>
  <w:p w14:paraId="547CE057" w14:textId="77777777" w:rsidR="005345D9" w:rsidRPr="005C6B88" w:rsidRDefault="005345D9" w:rsidP="00750510">
    <w:pPr>
      <w:pStyle w:val="HeaderOdd"/>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4E07" w14:textId="74792725" w:rsidR="005345D9" w:rsidRPr="00C95C8D" w:rsidRDefault="005345D9" w:rsidP="00750510">
    <w:pPr>
      <w:pStyle w:val="Header"/>
      <w:jc w:val="right"/>
      <w:rPr>
        <w:lang w:val="en-US"/>
      </w:rPr>
    </w:pPr>
    <w:r w:rsidRPr="00C95C8D">
      <w:rPr>
        <w:rFonts w:eastAsiaTheme="minorHAnsi"/>
        <w:lang w:val="en-US"/>
      </w:rPr>
      <w:t>Australian Office of Financial Management</w:t>
    </w:r>
    <w:r w:rsidRPr="00C95C8D">
      <w:rPr>
        <w:lang w:val="en-US"/>
      </w:rPr>
      <w:t xml:space="preserve"> </w:t>
    </w:r>
    <w:r w:rsidRPr="00C95C8D">
      <w:rPr>
        <w:b/>
        <w:bCs w:val="0"/>
        <w:color w:val="472978" w:themeColor="accent1"/>
        <w:lang w:val="en-US"/>
      </w:rPr>
      <w:t>Annual Report</w:t>
    </w:r>
    <w:r w:rsidRPr="00C95C8D">
      <w:rPr>
        <w:lang w:val="en-US"/>
      </w:rPr>
      <w:t xml:space="preserve"> 202</w:t>
    </w:r>
    <w:r w:rsidR="00BF23DC">
      <w:rPr>
        <w:lang w:val="en-US"/>
      </w:rPr>
      <w:t>4</w:t>
    </w:r>
    <w:r w:rsidRPr="00C95C8D">
      <w:rPr>
        <w:lang w:val="en-US"/>
      </w:rPr>
      <w:t>–2</w:t>
    </w:r>
    <w:r w:rsidR="00BF23DC">
      <w:rPr>
        <w:lang w:val="en-US"/>
      </w:rPr>
      <w:t>5</w:t>
    </w:r>
  </w:p>
  <w:p w14:paraId="7C712779" w14:textId="77777777" w:rsidR="005345D9" w:rsidRPr="005C6B88" w:rsidRDefault="005345D9" w:rsidP="00750510">
    <w:pPr>
      <w:pStyle w:val="HeaderOd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A31E" w14:textId="77777777" w:rsidR="000F6808" w:rsidRDefault="000F6808">
    <w:pPr>
      <w:pStyle w:val="Header"/>
    </w:pPr>
    <w:r>
      <w:rPr>
        <w:noProof/>
      </w:rPr>
      <w:drawing>
        <wp:anchor distT="0" distB="0" distL="114300" distR="114300" simplePos="0" relativeHeight="251658246" behindDoc="1" locked="0" layoutInCell="1" allowOverlap="1" wp14:anchorId="50F748D5" wp14:editId="39FA5F0D">
          <wp:simplePos x="0" y="0"/>
          <wp:positionH relativeFrom="page">
            <wp:posOffset>9525</wp:posOffset>
          </wp:positionH>
          <wp:positionV relativeFrom="page">
            <wp:posOffset>-86582250</wp:posOffset>
          </wp:positionV>
          <wp:extent cx="7534275" cy="975360"/>
          <wp:effectExtent l="0" t="0" r="9525" b="0"/>
          <wp:wrapNone/>
          <wp:docPr id="1505804735" name="Picture 15058047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09963" name="Picture 7288099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4275" cy="97536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E2AF" w14:textId="46349C40" w:rsidR="00C904B4" w:rsidRPr="00C95C8D" w:rsidRDefault="00183AC7" w:rsidP="00C904B4">
    <w:pPr>
      <w:pStyle w:val="Header"/>
      <w:rPr>
        <w:lang w:val="en-US"/>
      </w:rPr>
    </w:pPr>
    <w:r>
      <w:rPr>
        <w:noProof/>
        <w:lang w:val="en-US"/>
      </w:rPr>
      <mc:AlternateContent>
        <mc:Choice Requires="wps">
          <w:drawing>
            <wp:anchor distT="0" distB="0" distL="114300" distR="114300" simplePos="0" relativeHeight="251658241" behindDoc="1" locked="0" layoutInCell="1" allowOverlap="1" wp14:anchorId="3B16BB7D" wp14:editId="65822182">
              <wp:simplePos x="0" y="0"/>
              <wp:positionH relativeFrom="page">
                <wp:posOffset>-381000</wp:posOffset>
              </wp:positionH>
              <wp:positionV relativeFrom="paragraph">
                <wp:posOffset>-1151890</wp:posOffset>
              </wp:positionV>
              <wp:extent cx="8315643" cy="10782300"/>
              <wp:effectExtent l="0" t="0" r="9525" b="0"/>
              <wp:wrapNone/>
              <wp:docPr id="164012184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15643" cy="10782300"/>
                      </a:xfrm>
                      <a:prstGeom prst="rect">
                        <a:avLst/>
                      </a:prstGeom>
                      <a:solidFill>
                        <a:srgbClr val="EBE5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51188" id="Rectangle 2" o:spid="_x0000_s1026" alt="&quot;&quot;" style="position:absolute;margin-left:-30pt;margin-top:-90.7pt;width:654.8pt;height:84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" fillcolor="#ebe5f2" stroked="f" strokeweight="1pt">
              <w10:wrap anchorx="page"/>
            </v:rect>
          </w:pict>
        </mc:Fallback>
      </mc:AlternateContent>
    </w:r>
    <w:r w:rsidR="00C904B4" w:rsidRPr="00C95C8D">
      <w:rPr>
        <w:lang w:val="en-US"/>
      </w:rPr>
      <w:t xml:space="preserve">Australian Office of Financial Management </w:t>
    </w:r>
    <w:r w:rsidR="00C904B4" w:rsidRPr="00C95C8D">
      <w:rPr>
        <w:b/>
        <w:bCs w:val="0"/>
        <w:color w:val="472978" w:themeColor="accent1"/>
        <w:lang w:val="en-US"/>
      </w:rPr>
      <w:t>Annual Report</w:t>
    </w:r>
    <w:r w:rsidR="00C904B4" w:rsidRPr="00C95C8D">
      <w:rPr>
        <w:lang w:val="en-US"/>
      </w:rPr>
      <w:t xml:space="preserve"> 202</w:t>
    </w:r>
    <w:r w:rsidR="00E056E8">
      <w:rPr>
        <w:lang w:val="en-US"/>
      </w:rPr>
      <w:t>4</w:t>
    </w:r>
    <w:r w:rsidR="00C904B4" w:rsidRPr="00C95C8D">
      <w:rPr>
        <w:lang w:val="en-US"/>
      </w:rPr>
      <w:t>–2</w:t>
    </w:r>
    <w:r w:rsidR="00E056E8">
      <w:rPr>
        <w:lang w:val="en-US"/>
      </w:rPr>
      <w:t>5</w:t>
    </w:r>
  </w:p>
  <w:p w14:paraId="3AAA4422" w14:textId="0DD40DCD" w:rsidR="005E4834" w:rsidRDefault="005E48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E799" w14:textId="77777777" w:rsidR="00183AC7" w:rsidRPr="00C95C8D" w:rsidRDefault="00183AC7" w:rsidP="00935D85">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01B85B3B" w14:textId="348659FC" w:rsidR="00C904B4" w:rsidRPr="00C95C8D" w:rsidRDefault="00C904B4" w:rsidP="00C904B4">
    <w:pPr>
      <w:pStyle w:val="Header"/>
      <w:jc w:val="righ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BAB33" w14:textId="40B39354" w:rsidR="007B65D0" w:rsidRPr="00C95C8D" w:rsidRDefault="007B65D0" w:rsidP="00C904B4">
    <w:pPr>
      <w:pStyle w:val="Header"/>
      <w:jc w:val="right"/>
      <w:rPr>
        <w:lang w:val="en-US"/>
      </w:rPr>
    </w:pPr>
    <w:r>
      <w:rPr>
        <w:noProof/>
        <w:lang w:val="en-US"/>
      </w:rPr>
      <mc:AlternateContent>
        <mc:Choice Requires="wps">
          <w:drawing>
            <wp:anchor distT="0" distB="0" distL="114300" distR="114300" simplePos="0" relativeHeight="251658240" behindDoc="1" locked="0" layoutInCell="1" allowOverlap="1" wp14:anchorId="4427C226" wp14:editId="3E737514">
              <wp:simplePos x="0" y="0"/>
              <wp:positionH relativeFrom="page">
                <wp:align>left</wp:align>
              </wp:positionH>
              <wp:positionV relativeFrom="page">
                <wp:align>top</wp:align>
              </wp:positionV>
              <wp:extent cx="7559675" cy="10814050"/>
              <wp:effectExtent l="0" t="0" r="3175" b="6350"/>
              <wp:wrapNone/>
              <wp:docPr id="140935108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814050"/>
                      </a:xfrm>
                      <a:prstGeom prst="rect">
                        <a:avLst/>
                      </a:prstGeom>
                      <a:solidFill>
                        <a:srgbClr val="EBE5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073C6" id="Rectangle 2" o:spid="_x0000_s1026" alt="&quot;&quot;" style="position:absolute;margin-left:0;margin-top:0;width:595.25pt;height:8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" fillcolor="#ebe5f2" stroked="f" strokeweight="1pt">
              <w10:wrap anchorx="page" anchory="page"/>
            </v:rect>
          </w:pict>
        </mc:Fallback>
      </mc:AlternateContent>
    </w: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9DA1" w14:textId="77777777" w:rsidR="006C6C61" w:rsidRDefault="006C6C61">
    <w:pPr>
      <w:pStyle w:val="Header"/>
    </w:pPr>
    <w:r w:rsidRPr="00747144">
      <w:rPr>
        <w:noProof/>
        <w:color w:val="FFFFFF" w:themeColor="background1"/>
      </w:rPr>
      <mc:AlternateContent>
        <mc:Choice Requires="wps">
          <w:drawing>
            <wp:anchor distT="0" distB="0" distL="114300" distR="114300" simplePos="0" relativeHeight="251658245" behindDoc="1" locked="0" layoutInCell="1" allowOverlap="1" wp14:anchorId="1A515ED2" wp14:editId="3EAF4F4B">
              <wp:simplePos x="0" y="0"/>
              <wp:positionH relativeFrom="page">
                <wp:posOffset>8255</wp:posOffset>
              </wp:positionH>
              <wp:positionV relativeFrom="page">
                <wp:posOffset>-6985</wp:posOffset>
              </wp:positionV>
              <wp:extent cx="7555320" cy="10690920"/>
              <wp:effectExtent l="0" t="0" r="7620" b="0"/>
              <wp:wrapNone/>
              <wp:docPr id="66" name="Rectangle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5320" cy="106909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358EA" id="Rectangle 66" o:spid="_x0000_s1026" alt="&quot;&quot;" style="position:absolute;margin-left:.65pt;margin-top:-.55pt;width:594.9pt;height:841.8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" fillcolor="#472978 [3204]" stroked="f" strokeweight="1pt">
              <w10:wrap anchorx="page" anchory="page"/>
            </v:rect>
          </w:pict>
        </mc:Fallback>
      </mc:AlternateContent>
    </w:r>
    <w:r w:rsidRPr="00747144">
      <w:rPr>
        <w:noProof/>
      </w:rPr>
      <mc:AlternateContent>
        <mc:Choice Requires="wps">
          <w:drawing>
            <wp:anchor distT="0" distB="0" distL="114300" distR="114300" simplePos="0" relativeHeight="251658244" behindDoc="1" locked="0" layoutInCell="1" allowOverlap="1" wp14:anchorId="6681C224" wp14:editId="1B01CD60">
              <wp:simplePos x="0" y="0"/>
              <wp:positionH relativeFrom="page">
                <wp:posOffset>0</wp:posOffset>
              </wp:positionH>
              <wp:positionV relativeFrom="page">
                <wp:posOffset>10810875</wp:posOffset>
              </wp:positionV>
              <wp:extent cx="7555230" cy="10690860"/>
              <wp:effectExtent l="0" t="0" r="7620" b="0"/>
              <wp:wrapNone/>
              <wp:docPr id="67" name="Rectangle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5230" cy="1069086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D152D" id="Rectangle 67" o:spid="_x0000_s1026" alt="&quot;&quot;" style="position:absolute;margin-left:0;margin-top:851.25pt;width:594.9pt;height:841.8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" fillcolor="#472978 [3204]" stroked="f" strokeweight="1pt">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F045" w14:textId="77777777" w:rsidR="00502614" w:rsidRPr="00C95C8D" w:rsidRDefault="00502614" w:rsidP="00502614">
    <w:pPr>
      <w:pStyle w:val="Header"/>
      <w:jc w:val="right"/>
      <w:rPr>
        <w:lang w:val="en-US"/>
      </w:rPr>
    </w:pPr>
    <w:r w:rsidRPr="00C95C8D">
      <w:rPr>
        <w:lang w:val="en-US"/>
      </w:rPr>
      <w:t xml:space="preserve">Australian Office of Financial Management </w:t>
    </w:r>
    <w:r w:rsidRPr="00C95C8D">
      <w:rPr>
        <w:b/>
        <w:bCs w:val="0"/>
        <w:color w:val="472978" w:themeColor="accent1"/>
        <w:lang w:val="en-US"/>
      </w:rPr>
      <w:t>Annual Report</w:t>
    </w:r>
    <w:r w:rsidRPr="00C95C8D">
      <w:rPr>
        <w:lang w:val="en-US"/>
      </w:rPr>
      <w:t xml:space="preserve"> 202</w:t>
    </w:r>
    <w:r>
      <w:rPr>
        <w:lang w:val="en-US"/>
      </w:rPr>
      <w:t>4</w:t>
    </w:r>
    <w:r w:rsidRPr="00C95C8D">
      <w:rPr>
        <w:lang w:val="en-US"/>
      </w:rPr>
      <w:t>–2</w:t>
    </w:r>
    <w:r>
      <w:rPr>
        <w:lang w:val="en-US"/>
      </w:rPr>
      <w:t>5</w:t>
    </w:r>
  </w:p>
  <w:p w14:paraId="5EC55A76" w14:textId="77777777" w:rsidR="00502614" w:rsidRPr="005C6B88" w:rsidRDefault="00502614" w:rsidP="00502614">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1EFF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660A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36E4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9E9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2C21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7648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7431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8251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90F1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32CC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ED3FC7"/>
    <w:multiLevelType w:val="multilevel"/>
    <w:tmpl w:val="87E4AD98"/>
    <w:lvl w:ilvl="0">
      <w:start w:val="1"/>
      <w:numFmt w:val="bullet"/>
      <w:lvlRestart w:val="0"/>
      <w:pStyle w:val="BoxBullet"/>
      <w:lvlText w:val="•"/>
      <w:lvlJc w:val="left"/>
      <w:pPr>
        <w:tabs>
          <w:tab w:val="num" w:pos="283"/>
        </w:tabs>
        <w:ind w:left="283" w:hanging="283"/>
      </w:pPr>
      <w:rPr>
        <w:rFonts w:ascii="Times New Roman" w:hAnsi="Times New Roman" w:cs="Times New Roman" w:hint="default"/>
        <w:b w:val="0"/>
        <w:i w:val="0"/>
        <w:sz w:val="20"/>
      </w:rPr>
    </w:lvl>
    <w:lvl w:ilvl="1">
      <w:start w:val="1"/>
      <w:numFmt w:val="bullet"/>
      <w:pStyle w:val="BoxDash"/>
      <w:lvlText w:val="–"/>
      <w:lvlJc w:val="left"/>
      <w:pPr>
        <w:tabs>
          <w:tab w:val="num" w:pos="567"/>
        </w:tabs>
        <w:ind w:left="567" w:hanging="284"/>
      </w:pPr>
      <w:rPr>
        <w:rFonts w:hint="default"/>
        <w:b w:val="0"/>
        <w:i w:val="0"/>
      </w:rPr>
    </w:lvl>
    <w:lvl w:ilvl="2">
      <w:start w:val="1"/>
      <w:numFmt w:val="bullet"/>
      <w:pStyle w:val="BoxDoubleDo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1" w15:restartNumberingAfterBreak="0">
    <w:nsid w:val="0C8467A8"/>
    <w:multiLevelType w:val="multilevel"/>
    <w:tmpl w:val="426C85A4"/>
    <w:styleLink w:val="CurrentList6"/>
    <w:lvl w:ilvl="0">
      <w:start w:val="1"/>
      <w:numFmt w:val="upperLetter"/>
      <w:lvlText w:val="%1."/>
      <w:lvlJc w:val="left"/>
      <w:pPr>
        <w:ind w:left="5388" w:hanging="360"/>
      </w:pPr>
    </w:lvl>
    <w:lvl w:ilvl="1">
      <w:start w:val="1"/>
      <w:numFmt w:val="lowerLetter"/>
      <w:lvlText w:val="%2."/>
      <w:lvlJc w:val="left"/>
      <w:pPr>
        <w:ind w:left="6108" w:hanging="360"/>
      </w:pPr>
    </w:lvl>
    <w:lvl w:ilvl="2">
      <w:start w:val="1"/>
      <w:numFmt w:val="lowerRoman"/>
      <w:lvlText w:val="%3."/>
      <w:lvlJc w:val="right"/>
      <w:pPr>
        <w:ind w:left="6828" w:hanging="180"/>
      </w:pPr>
    </w:lvl>
    <w:lvl w:ilvl="3">
      <w:start w:val="1"/>
      <w:numFmt w:val="decimal"/>
      <w:lvlText w:val="%4."/>
      <w:lvlJc w:val="left"/>
      <w:pPr>
        <w:ind w:left="7548" w:hanging="360"/>
      </w:pPr>
    </w:lvl>
    <w:lvl w:ilvl="4">
      <w:start w:val="1"/>
      <w:numFmt w:val="lowerLetter"/>
      <w:lvlText w:val="%5."/>
      <w:lvlJc w:val="left"/>
      <w:pPr>
        <w:ind w:left="8268" w:hanging="360"/>
      </w:pPr>
    </w:lvl>
    <w:lvl w:ilvl="5">
      <w:start w:val="1"/>
      <w:numFmt w:val="lowerRoman"/>
      <w:lvlText w:val="%6."/>
      <w:lvlJc w:val="right"/>
      <w:pPr>
        <w:ind w:left="8988" w:hanging="180"/>
      </w:pPr>
    </w:lvl>
    <w:lvl w:ilvl="6">
      <w:start w:val="1"/>
      <w:numFmt w:val="decimal"/>
      <w:lvlText w:val="%7."/>
      <w:lvlJc w:val="left"/>
      <w:pPr>
        <w:ind w:left="9708" w:hanging="360"/>
      </w:pPr>
    </w:lvl>
    <w:lvl w:ilvl="7">
      <w:start w:val="1"/>
      <w:numFmt w:val="lowerLetter"/>
      <w:lvlText w:val="%8."/>
      <w:lvlJc w:val="left"/>
      <w:pPr>
        <w:ind w:left="10428" w:hanging="360"/>
      </w:pPr>
    </w:lvl>
    <w:lvl w:ilvl="8">
      <w:start w:val="1"/>
      <w:numFmt w:val="lowerRoman"/>
      <w:lvlText w:val="%9."/>
      <w:lvlJc w:val="right"/>
      <w:pPr>
        <w:ind w:left="11148" w:hanging="180"/>
      </w:pPr>
    </w:lvl>
  </w:abstractNum>
  <w:abstractNum w:abstractNumId="12" w15:restartNumberingAfterBreak="0">
    <w:nsid w:val="0EB13D52"/>
    <w:multiLevelType w:val="multilevel"/>
    <w:tmpl w:val="E8E41F68"/>
    <w:styleLink w:val="CurrentList2"/>
    <w:lvl w:ilvl="0">
      <w:start w:val="1"/>
      <w:numFmt w:val="decimal"/>
      <w:lvlText w:val="%1."/>
      <w:lvlJc w:val="left"/>
      <w:pPr>
        <w:ind w:left="340" w:hanging="340"/>
      </w:pPr>
      <w:rPr>
        <w:rFonts w:hint="default"/>
        <w:caps w:val="0"/>
        <w:strike w:val="0"/>
        <w:dstrike w:val="0"/>
        <w:vanish w:val="0"/>
        <w:color w:val="018996"/>
        <w:vertAlign w:val="baseline"/>
      </w:rPr>
    </w:lvl>
    <w:lvl w:ilvl="1">
      <w:start w:val="1"/>
      <w:numFmt w:val="lowerLetter"/>
      <w:lvlText w:val="%2."/>
      <w:lvlJc w:val="left"/>
      <w:pPr>
        <w:ind w:left="680" w:hanging="340"/>
      </w:pPr>
      <w:rPr>
        <w:rFonts w:hint="default"/>
        <w:color w:val="018996"/>
      </w:rPr>
    </w:lvl>
    <w:lvl w:ilvl="2">
      <w:start w:val="1"/>
      <w:numFmt w:val="lowerRoman"/>
      <w:lvlText w:val="%3."/>
      <w:lvlJc w:val="left"/>
      <w:pPr>
        <w:ind w:left="1021" w:hanging="341"/>
      </w:pPr>
      <w:rPr>
        <w:rFonts w:hint="default"/>
        <w:color w:val="018996"/>
      </w:rPr>
    </w:lvl>
    <w:lvl w:ilvl="3">
      <w:start w:val="1"/>
      <w:numFmt w:val="decimal"/>
      <w:lvlText w:val="%4."/>
      <w:lvlJc w:val="left"/>
      <w:pPr>
        <w:ind w:left="1361" w:hanging="340"/>
      </w:pPr>
      <w:rPr>
        <w:rFonts w:hint="default"/>
        <w:b w:val="0"/>
        <w:i w:val="0"/>
        <w:color w:val="018996"/>
      </w:rPr>
    </w:lvl>
    <w:lvl w:ilvl="4">
      <w:start w:val="1"/>
      <w:numFmt w:val="lowerLetter"/>
      <w:lvlText w:val="%5."/>
      <w:lvlJc w:val="left"/>
      <w:pPr>
        <w:ind w:left="1701" w:hanging="340"/>
      </w:pPr>
      <w:rPr>
        <w:rFonts w:hint="default"/>
        <w:color w:val="018996"/>
      </w:rPr>
    </w:lvl>
    <w:lvl w:ilvl="5">
      <w:start w:val="1"/>
      <w:numFmt w:val="lowerRoman"/>
      <w:lvlText w:val="%6."/>
      <w:lvlJc w:val="right"/>
      <w:pPr>
        <w:ind w:left="2041" w:hanging="340"/>
      </w:pPr>
      <w:rPr>
        <w:rFonts w:hint="default"/>
        <w:color w:val="018996"/>
      </w:rPr>
    </w:lvl>
    <w:lvl w:ilvl="6">
      <w:start w:val="1"/>
      <w:numFmt w:val="decimal"/>
      <w:lvlText w:val="%7."/>
      <w:lvlJc w:val="left"/>
      <w:pPr>
        <w:ind w:left="2381" w:hanging="340"/>
      </w:pPr>
      <w:rPr>
        <w:rFonts w:hint="default"/>
        <w:color w:val="018996"/>
      </w:rPr>
    </w:lvl>
    <w:lvl w:ilvl="7">
      <w:start w:val="1"/>
      <w:numFmt w:val="lowerLetter"/>
      <w:lvlText w:val="%8."/>
      <w:lvlJc w:val="left"/>
      <w:pPr>
        <w:ind w:left="2722" w:hanging="341"/>
      </w:pPr>
      <w:rPr>
        <w:rFonts w:hint="default"/>
        <w:color w:val="018996"/>
      </w:rPr>
    </w:lvl>
    <w:lvl w:ilvl="8">
      <w:start w:val="1"/>
      <w:numFmt w:val="lowerRoman"/>
      <w:lvlText w:val="%9."/>
      <w:lvlJc w:val="right"/>
      <w:pPr>
        <w:ind w:left="3062" w:hanging="340"/>
      </w:pPr>
      <w:rPr>
        <w:rFonts w:hint="default"/>
        <w:color w:val="018996"/>
      </w:rPr>
    </w:lvl>
  </w:abstractNum>
  <w:abstractNum w:abstractNumId="13"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B71687"/>
    <w:multiLevelType w:val="multilevel"/>
    <w:tmpl w:val="9C005542"/>
    <w:styleLink w:val="CurrentList3"/>
    <w:lvl w:ilvl="0">
      <w:start w:val="1"/>
      <w:numFmt w:val="bullet"/>
      <w:lvlText w:val=""/>
      <w:lvlJc w:val="left"/>
      <w:pPr>
        <w:ind w:left="340" w:hanging="340"/>
      </w:pPr>
      <w:rPr>
        <w:rFonts w:ascii="Symbol" w:hAnsi="Symbol" w:hint="default"/>
        <w:caps w:val="0"/>
        <w:strike w:val="0"/>
        <w:dstrike w:val="0"/>
        <w:vanish w:val="0"/>
        <w:color w:val="472978" w:themeColor="accent1"/>
        <w:vertAlign w:val="baseline"/>
      </w:rPr>
    </w:lvl>
    <w:lvl w:ilvl="1">
      <w:start w:val="1"/>
      <w:numFmt w:val="bullet"/>
      <w:lvlText w:val="o"/>
      <w:lvlJc w:val="left"/>
      <w:pPr>
        <w:ind w:left="680" w:hanging="340"/>
      </w:pPr>
      <w:rPr>
        <w:rFonts w:ascii="Courier New" w:hAnsi="Courier New" w:hint="default"/>
        <w:color w:val="472978" w:themeColor="accent1"/>
      </w:rPr>
    </w:lvl>
    <w:lvl w:ilvl="2">
      <w:start w:val="1"/>
      <w:numFmt w:val="bullet"/>
      <w:lvlText w:val=""/>
      <w:lvlJc w:val="left"/>
      <w:pPr>
        <w:ind w:left="1021" w:hanging="341"/>
      </w:pPr>
      <w:rPr>
        <w:rFonts w:ascii="Symbol" w:hAnsi="Symbol" w:hint="default"/>
        <w:color w:val="472978" w:themeColor="accent1"/>
      </w:rPr>
    </w:lvl>
    <w:lvl w:ilvl="3">
      <w:start w:val="1"/>
      <w:numFmt w:val="bullet"/>
      <w:lvlText w:val="o"/>
      <w:lvlJc w:val="left"/>
      <w:pPr>
        <w:ind w:left="1361" w:hanging="340"/>
      </w:pPr>
      <w:rPr>
        <w:rFonts w:ascii="Courier New" w:hAnsi="Courier New" w:hint="default"/>
        <w:b w:val="0"/>
        <w:i w:val="0"/>
        <w:color w:val="472978" w:themeColor="accent1"/>
      </w:rPr>
    </w:lvl>
    <w:lvl w:ilvl="4">
      <w:start w:val="1"/>
      <w:numFmt w:val="bullet"/>
      <w:lvlText w:val=""/>
      <w:lvlJc w:val="left"/>
      <w:pPr>
        <w:ind w:left="1701" w:hanging="340"/>
      </w:pPr>
      <w:rPr>
        <w:rFonts w:ascii="Symbol" w:hAnsi="Symbol" w:hint="default"/>
        <w:color w:val="472978" w:themeColor="accent1"/>
      </w:rPr>
    </w:lvl>
    <w:lvl w:ilvl="5">
      <w:start w:val="1"/>
      <w:numFmt w:val="bullet"/>
      <w:lvlText w:val="o"/>
      <w:lvlJc w:val="left"/>
      <w:pPr>
        <w:ind w:left="2041" w:hanging="340"/>
      </w:pPr>
      <w:rPr>
        <w:rFonts w:ascii="Courier New" w:hAnsi="Courier New" w:hint="default"/>
        <w:color w:val="472978" w:themeColor="accent1"/>
      </w:rPr>
    </w:lvl>
    <w:lvl w:ilvl="6">
      <w:start w:val="1"/>
      <w:numFmt w:val="bullet"/>
      <w:lvlText w:val=""/>
      <w:lvlJc w:val="left"/>
      <w:pPr>
        <w:ind w:left="2381" w:hanging="340"/>
      </w:pPr>
      <w:rPr>
        <w:rFonts w:ascii="Symbol" w:hAnsi="Symbol" w:hint="default"/>
        <w:color w:val="472978" w:themeColor="accent1"/>
      </w:rPr>
    </w:lvl>
    <w:lvl w:ilvl="7">
      <w:start w:val="1"/>
      <w:numFmt w:val="bullet"/>
      <w:lvlText w:val="o"/>
      <w:lvlJc w:val="left"/>
      <w:pPr>
        <w:ind w:left="2722" w:hanging="341"/>
      </w:pPr>
      <w:rPr>
        <w:rFonts w:ascii="Courier New" w:hAnsi="Courier New" w:hint="default"/>
        <w:color w:val="472978" w:themeColor="accent1"/>
      </w:rPr>
    </w:lvl>
    <w:lvl w:ilvl="8">
      <w:start w:val="1"/>
      <w:numFmt w:val="bullet"/>
      <w:lvlText w:val=""/>
      <w:lvlJc w:val="left"/>
      <w:pPr>
        <w:ind w:left="3062" w:hanging="340"/>
      </w:pPr>
      <w:rPr>
        <w:rFonts w:ascii="Symbol" w:hAnsi="Symbol" w:hint="default"/>
        <w:color w:val="472978" w:themeColor="accent1"/>
      </w:rPr>
    </w:lvl>
  </w:abstractNum>
  <w:abstractNum w:abstractNumId="15" w15:restartNumberingAfterBreak="0">
    <w:nsid w:val="16CC4E5D"/>
    <w:multiLevelType w:val="multilevel"/>
    <w:tmpl w:val="D10E9CF6"/>
    <w:numStyleLink w:val="OneLevelList"/>
  </w:abstractNum>
  <w:abstractNum w:abstractNumId="16" w15:restartNumberingAfterBreak="0">
    <w:nsid w:val="1B01235C"/>
    <w:multiLevelType w:val="multilevel"/>
    <w:tmpl w:val="4E766582"/>
    <w:styleLink w:val="AOFMNumericList"/>
    <w:lvl w:ilvl="0">
      <w:start w:val="1"/>
      <w:numFmt w:val="decimal"/>
      <w:lvlText w:val="%1."/>
      <w:lvlJc w:val="left"/>
      <w:pPr>
        <w:ind w:left="340" w:hanging="340"/>
      </w:pPr>
      <w:rPr>
        <w:rFonts w:hint="default"/>
        <w:color w:val="472978" w:themeColor="accent1"/>
      </w:rPr>
    </w:lvl>
    <w:lvl w:ilvl="1">
      <w:start w:val="1"/>
      <w:numFmt w:val="lowerLetter"/>
      <w:lvlText w:val="%2."/>
      <w:lvlJc w:val="left"/>
      <w:pPr>
        <w:ind w:left="680" w:hanging="340"/>
      </w:pPr>
      <w:rPr>
        <w:rFonts w:hint="default"/>
        <w:color w:val="472978" w:themeColor="accent1"/>
      </w:rPr>
    </w:lvl>
    <w:lvl w:ilvl="2">
      <w:start w:val="1"/>
      <w:numFmt w:val="lowerRoman"/>
      <w:lvlText w:val="%3."/>
      <w:lvlJc w:val="left"/>
      <w:pPr>
        <w:ind w:left="1021" w:hanging="341"/>
      </w:pPr>
      <w:rPr>
        <w:rFonts w:hint="default"/>
        <w:color w:val="472978" w:themeColor="accent1"/>
      </w:rPr>
    </w:lvl>
    <w:lvl w:ilvl="3">
      <w:start w:val="1"/>
      <w:numFmt w:val="decimal"/>
      <w:lvlText w:val="%4."/>
      <w:lvlJc w:val="left"/>
      <w:pPr>
        <w:ind w:left="1361" w:hanging="340"/>
      </w:pPr>
      <w:rPr>
        <w:rFonts w:hint="default"/>
        <w:color w:val="472978" w:themeColor="accent1"/>
      </w:rPr>
    </w:lvl>
    <w:lvl w:ilvl="4">
      <w:start w:val="1"/>
      <w:numFmt w:val="lowerLetter"/>
      <w:lvlText w:val="%5."/>
      <w:lvlJc w:val="left"/>
      <w:pPr>
        <w:ind w:left="1701" w:hanging="340"/>
      </w:pPr>
      <w:rPr>
        <w:rFonts w:hint="default"/>
        <w:color w:val="472978" w:themeColor="accent1"/>
      </w:rPr>
    </w:lvl>
    <w:lvl w:ilvl="5">
      <w:start w:val="1"/>
      <w:numFmt w:val="lowerRoman"/>
      <w:lvlText w:val="%6."/>
      <w:lvlJc w:val="right"/>
      <w:pPr>
        <w:ind w:left="2041" w:hanging="340"/>
      </w:pPr>
      <w:rPr>
        <w:rFonts w:hint="default"/>
        <w:color w:val="472978" w:themeColor="accent1"/>
      </w:rPr>
    </w:lvl>
    <w:lvl w:ilvl="6">
      <w:start w:val="1"/>
      <w:numFmt w:val="decimal"/>
      <w:lvlText w:val="%7."/>
      <w:lvlJc w:val="left"/>
      <w:pPr>
        <w:ind w:left="2381" w:hanging="340"/>
      </w:pPr>
      <w:rPr>
        <w:rFonts w:hint="default"/>
        <w:color w:val="472978" w:themeColor="accent1"/>
      </w:rPr>
    </w:lvl>
    <w:lvl w:ilvl="7">
      <w:start w:val="1"/>
      <w:numFmt w:val="lowerLetter"/>
      <w:lvlText w:val="%8."/>
      <w:lvlJc w:val="left"/>
      <w:pPr>
        <w:ind w:left="2722" w:hanging="341"/>
      </w:pPr>
      <w:rPr>
        <w:rFonts w:hint="default"/>
        <w:color w:val="472978" w:themeColor="accent1"/>
      </w:rPr>
    </w:lvl>
    <w:lvl w:ilvl="8">
      <w:start w:val="1"/>
      <w:numFmt w:val="lowerRoman"/>
      <w:lvlText w:val="%9."/>
      <w:lvlJc w:val="right"/>
      <w:pPr>
        <w:ind w:left="3062" w:hanging="340"/>
      </w:pPr>
      <w:rPr>
        <w:rFonts w:hint="default"/>
        <w:color w:val="472978" w:themeColor="accent1"/>
      </w:rPr>
    </w:lvl>
  </w:abstractNum>
  <w:abstractNum w:abstractNumId="17" w15:restartNumberingAfterBreak="0">
    <w:nsid w:val="1E0E2C1F"/>
    <w:multiLevelType w:val="multilevel"/>
    <w:tmpl w:val="50BE142A"/>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FA5C4E"/>
    <w:multiLevelType w:val="multilevel"/>
    <w:tmpl w:val="9C005542"/>
    <w:styleLink w:val="CurrentList1"/>
    <w:lvl w:ilvl="0">
      <w:start w:val="1"/>
      <w:numFmt w:val="bullet"/>
      <w:lvlText w:val=""/>
      <w:lvlJc w:val="left"/>
      <w:pPr>
        <w:ind w:left="340" w:hanging="340"/>
      </w:pPr>
      <w:rPr>
        <w:rFonts w:ascii="Symbol" w:hAnsi="Symbol" w:hint="default"/>
        <w:caps w:val="0"/>
        <w:strike w:val="0"/>
        <w:dstrike w:val="0"/>
        <w:vanish w:val="0"/>
        <w:color w:val="018996"/>
        <w:vertAlign w:val="baseline"/>
      </w:rPr>
    </w:lvl>
    <w:lvl w:ilvl="1">
      <w:start w:val="1"/>
      <w:numFmt w:val="bullet"/>
      <w:lvlText w:val="o"/>
      <w:lvlJc w:val="left"/>
      <w:pPr>
        <w:ind w:left="680" w:hanging="340"/>
      </w:pPr>
      <w:rPr>
        <w:rFonts w:ascii="Courier New" w:hAnsi="Courier New" w:hint="default"/>
        <w:color w:val="018996"/>
      </w:rPr>
    </w:lvl>
    <w:lvl w:ilvl="2">
      <w:start w:val="1"/>
      <w:numFmt w:val="bullet"/>
      <w:lvlText w:val=""/>
      <w:lvlJc w:val="left"/>
      <w:pPr>
        <w:ind w:left="1021" w:hanging="341"/>
      </w:pPr>
      <w:rPr>
        <w:rFonts w:ascii="Symbol" w:hAnsi="Symbol" w:hint="default"/>
        <w:color w:val="018996"/>
      </w:rPr>
    </w:lvl>
    <w:lvl w:ilvl="3">
      <w:start w:val="1"/>
      <w:numFmt w:val="bullet"/>
      <w:lvlText w:val="o"/>
      <w:lvlJc w:val="left"/>
      <w:pPr>
        <w:ind w:left="1361" w:hanging="340"/>
      </w:pPr>
      <w:rPr>
        <w:rFonts w:ascii="Courier New" w:hAnsi="Courier New" w:hint="default"/>
        <w:b w:val="0"/>
        <w:i w:val="0"/>
        <w:color w:val="018996"/>
      </w:rPr>
    </w:lvl>
    <w:lvl w:ilvl="4">
      <w:start w:val="1"/>
      <w:numFmt w:val="bullet"/>
      <w:lvlText w:val=""/>
      <w:lvlJc w:val="left"/>
      <w:pPr>
        <w:ind w:left="1701" w:hanging="340"/>
      </w:pPr>
      <w:rPr>
        <w:rFonts w:ascii="Symbol" w:hAnsi="Symbol" w:hint="default"/>
        <w:color w:val="018996"/>
      </w:rPr>
    </w:lvl>
    <w:lvl w:ilvl="5">
      <w:start w:val="1"/>
      <w:numFmt w:val="bullet"/>
      <w:lvlText w:val="o"/>
      <w:lvlJc w:val="left"/>
      <w:pPr>
        <w:ind w:left="2041" w:hanging="340"/>
      </w:pPr>
      <w:rPr>
        <w:rFonts w:ascii="Courier New" w:hAnsi="Courier New" w:hint="default"/>
        <w:color w:val="018996"/>
      </w:rPr>
    </w:lvl>
    <w:lvl w:ilvl="6">
      <w:start w:val="1"/>
      <w:numFmt w:val="bullet"/>
      <w:lvlText w:val=""/>
      <w:lvlJc w:val="left"/>
      <w:pPr>
        <w:ind w:left="2381" w:hanging="340"/>
      </w:pPr>
      <w:rPr>
        <w:rFonts w:ascii="Symbol" w:hAnsi="Symbol" w:hint="default"/>
        <w:color w:val="018996"/>
      </w:rPr>
    </w:lvl>
    <w:lvl w:ilvl="7">
      <w:start w:val="1"/>
      <w:numFmt w:val="bullet"/>
      <w:lvlText w:val="o"/>
      <w:lvlJc w:val="left"/>
      <w:pPr>
        <w:ind w:left="2722" w:hanging="341"/>
      </w:pPr>
      <w:rPr>
        <w:rFonts w:ascii="Courier New" w:hAnsi="Courier New" w:hint="default"/>
        <w:color w:val="018996"/>
      </w:rPr>
    </w:lvl>
    <w:lvl w:ilvl="8">
      <w:start w:val="1"/>
      <w:numFmt w:val="bullet"/>
      <w:lvlText w:val=""/>
      <w:lvlJc w:val="left"/>
      <w:pPr>
        <w:ind w:left="3062" w:hanging="340"/>
      </w:pPr>
      <w:rPr>
        <w:rFonts w:ascii="Symbol" w:hAnsi="Symbol" w:hint="default"/>
        <w:color w:val="018996"/>
      </w:rPr>
    </w:lvl>
  </w:abstractNum>
  <w:abstractNum w:abstractNumId="19" w15:restartNumberingAfterBreak="0">
    <w:nsid w:val="24766D09"/>
    <w:multiLevelType w:val="multilevel"/>
    <w:tmpl w:val="E5069682"/>
    <w:styleLink w:val="CurrentList11"/>
    <w:lvl w:ilvl="0">
      <w:start w:val="1"/>
      <w:numFmt w:val="upperLetter"/>
      <w:lvlText w:val="%1."/>
      <w:lvlJc w:val="left"/>
      <w:pPr>
        <w:ind w:left="567" w:hanging="567"/>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08C2710"/>
    <w:multiLevelType w:val="multilevel"/>
    <w:tmpl w:val="97DC52FC"/>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1" w15:restartNumberingAfterBreak="0">
    <w:nsid w:val="3238442C"/>
    <w:multiLevelType w:val="multilevel"/>
    <w:tmpl w:val="20C6D62C"/>
    <w:styleLink w:val="ChartandTableFootnoteAlphaList"/>
    <w:lvl w:ilvl="0">
      <w:start w:val="1"/>
      <w:numFmt w:val="lowerLetter"/>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F26260"/>
    <w:multiLevelType w:val="hybridMultilevel"/>
    <w:tmpl w:val="8B8AC8A4"/>
    <w:lvl w:ilvl="0" w:tplc="3AC8686A">
      <w:start w:val="1"/>
      <w:numFmt w:val="bullet"/>
      <w:pStyle w:val="Tabletext-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775223"/>
    <w:multiLevelType w:val="hybridMultilevel"/>
    <w:tmpl w:val="992E00B6"/>
    <w:lvl w:ilvl="0" w:tplc="16F8727E">
      <w:start w:val="1"/>
      <w:numFmt w:val="decimal"/>
      <w:pStyle w:val="ListParagraph"/>
      <w:lvlText w:val="%1."/>
      <w:lvlJc w:val="left"/>
      <w:pPr>
        <w:ind w:left="720" w:hanging="360"/>
      </w:pPr>
      <w:rPr>
        <w:rFonts w:ascii="Arial Nova" w:hAnsi="Arial Nova"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6953B12"/>
    <w:multiLevelType w:val="hybridMultilevel"/>
    <w:tmpl w:val="CE24CB26"/>
    <w:lvl w:ilvl="0" w:tplc="0EA8B93A">
      <w:start w:val="1"/>
      <w:numFmt w:val="decimal"/>
      <w:pStyle w:val="Normal-numbered"/>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C42B1A"/>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6" w15:restartNumberingAfterBreak="0">
    <w:nsid w:val="36E94352"/>
    <w:multiLevelType w:val="multilevel"/>
    <w:tmpl w:val="1066825E"/>
    <w:styleLink w:val="CurrentList8"/>
    <w:lvl w:ilvl="0">
      <w:start w:val="1"/>
      <w:numFmt w:val="upperLetter"/>
      <w:lvlText w:val="%1."/>
      <w:lvlJc w:val="left"/>
      <w:pPr>
        <w:ind w:left="397" w:hanging="397"/>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E35468F"/>
    <w:multiLevelType w:val="multilevel"/>
    <w:tmpl w:val="93B6197C"/>
    <w:lvl w:ilvl="0">
      <w:start w:val="1"/>
      <w:numFmt w:val="upperRoman"/>
      <w:pStyle w:val="FootnoteList"/>
      <w:lvlText w:val="(%1)"/>
      <w:lvlJc w:val="left"/>
      <w:pPr>
        <w:ind w:left="720" w:hanging="360"/>
      </w:pPr>
      <w:rPr>
        <w:rFonts w:ascii="Open Sans" w:eastAsia="Times New Roman" w:hAnsi="Open Sans" w:cs="Times New Roman (Body CS)"/>
        <w:caps w:val="0"/>
        <w:strike w:val="0"/>
        <w:dstrike w:val="0"/>
        <w:vanish w:val="0"/>
        <w:color w:val="018996"/>
        <w:vertAlign w:val="baseline"/>
      </w:rPr>
    </w:lvl>
    <w:lvl w:ilvl="1">
      <w:start w:val="1"/>
      <w:numFmt w:val="bullet"/>
      <w:lvlText w:val="o"/>
      <w:lvlJc w:val="left"/>
      <w:pPr>
        <w:ind w:left="680" w:hanging="340"/>
      </w:pPr>
      <w:rPr>
        <w:rFonts w:ascii="Courier New" w:hAnsi="Courier New" w:hint="default"/>
        <w:color w:val="018996"/>
      </w:rPr>
    </w:lvl>
    <w:lvl w:ilvl="2">
      <w:start w:val="1"/>
      <w:numFmt w:val="bullet"/>
      <w:lvlText w:val=""/>
      <w:lvlJc w:val="left"/>
      <w:pPr>
        <w:ind w:left="1021" w:hanging="341"/>
      </w:pPr>
      <w:rPr>
        <w:rFonts w:ascii="Symbol" w:hAnsi="Symbol" w:hint="default"/>
        <w:color w:val="018996"/>
      </w:rPr>
    </w:lvl>
    <w:lvl w:ilvl="3">
      <w:start w:val="1"/>
      <w:numFmt w:val="bullet"/>
      <w:lvlText w:val="o"/>
      <w:lvlJc w:val="left"/>
      <w:pPr>
        <w:ind w:left="1361" w:hanging="340"/>
      </w:pPr>
      <w:rPr>
        <w:rFonts w:ascii="Courier New" w:hAnsi="Courier New" w:hint="default"/>
        <w:b w:val="0"/>
        <w:i w:val="0"/>
        <w:color w:val="018996"/>
      </w:rPr>
    </w:lvl>
    <w:lvl w:ilvl="4">
      <w:start w:val="1"/>
      <w:numFmt w:val="bullet"/>
      <w:lvlText w:val=""/>
      <w:lvlJc w:val="left"/>
      <w:pPr>
        <w:ind w:left="1701" w:hanging="340"/>
      </w:pPr>
      <w:rPr>
        <w:rFonts w:ascii="Symbol" w:hAnsi="Symbol" w:hint="default"/>
        <w:color w:val="018996"/>
      </w:rPr>
    </w:lvl>
    <w:lvl w:ilvl="5">
      <w:start w:val="1"/>
      <w:numFmt w:val="bullet"/>
      <w:lvlText w:val="o"/>
      <w:lvlJc w:val="left"/>
      <w:pPr>
        <w:ind w:left="2041" w:hanging="340"/>
      </w:pPr>
      <w:rPr>
        <w:rFonts w:ascii="Courier New" w:hAnsi="Courier New" w:hint="default"/>
        <w:color w:val="018996"/>
      </w:rPr>
    </w:lvl>
    <w:lvl w:ilvl="6">
      <w:start w:val="1"/>
      <w:numFmt w:val="bullet"/>
      <w:lvlText w:val=""/>
      <w:lvlJc w:val="left"/>
      <w:pPr>
        <w:ind w:left="2381" w:hanging="340"/>
      </w:pPr>
      <w:rPr>
        <w:rFonts w:ascii="Symbol" w:hAnsi="Symbol" w:hint="default"/>
        <w:color w:val="018996"/>
      </w:rPr>
    </w:lvl>
    <w:lvl w:ilvl="7">
      <w:start w:val="1"/>
      <w:numFmt w:val="bullet"/>
      <w:lvlText w:val="o"/>
      <w:lvlJc w:val="left"/>
      <w:pPr>
        <w:ind w:left="2722" w:hanging="341"/>
      </w:pPr>
      <w:rPr>
        <w:rFonts w:ascii="Courier New" w:hAnsi="Courier New" w:hint="default"/>
        <w:color w:val="018996"/>
      </w:rPr>
    </w:lvl>
    <w:lvl w:ilvl="8">
      <w:start w:val="1"/>
      <w:numFmt w:val="bullet"/>
      <w:lvlText w:val=""/>
      <w:lvlJc w:val="left"/>
      <w:pPr>
        <w:ind w:left="3062" w:hanging="340"/>
      </w:pPr>
      <w:rPr>
        <w:rFonts w:ascii="Symbol" w:hAnsi="Symbol" w:hint="default"/>
        <w:color w:val="018996"/>
      </w:rPr>
    </w:lvl>
  </w:abstractNum>
  <w:abstractNum w:abstractNumId="28" w15:restartNumberingAfterBreak="0">
    <w:nsid w:val="3E8A033F"/>
    <w:multiLevelType w:val="hybridMultilevel"/>
    <w:tmpl w:val="D17C3E14"/>
    <w:lvl w:ilvl="0" w:tplc="004E18F8">
      <w:start w:val="1"/>
      <w:numFmt w:val="upperLetter"/>
      <w:pStyle w:val="SectionOverviewTOC1"/>
      <w:lvlText w:val="%1."/>
      <w:lvlJc w:val="left"/>
      <w:pPr>
        <w:ind w:left="426" w:hanging="360"/>
      </w:p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9" w15:restartNumberingAfterBreak="0">
    <w:nsid w:val="42DF18DF"/>
    <w:multiLevelType w:val="multilevel"/>
    <w:tmpl w:val="D10E9CF6"/>
    <w:styleLink w:val="OneLevelList"/>
    <w:lvl w:ilvl="0">
      <w:start w:val="1"/>
      <w:numFmt w:val="decimal"/>
      <w:pStyle w:val="OneLevelNumberedParagraph"/>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5310A5"/>
    <w:multiLevelType w:val="multilevel"/>
    <w:tmpl w:val="74E03502"/>
    <w:styleLink w:val="AOFMBulletList"/>
    <w:lvl w:ilvl="0">
      <w:start w:val="1"/>
      <w:numFmt w:val="bullet"/>
      <w:lvlText w:val=""/>
      <w:lvlJc w:val="left"/>
      <w:pPr>
        <w:ind w:left="340" w:hanging="340"/>
      </w:pPr>
      <w:rPr>
        <w:rFonts w:ascii="Symbol" w:hAnsi="Symbol" w:hint="default"/>
        <w:caps w:val="0"/>
        <w:strike w:val="0"/>
        <w:dstrike w:val="0"/>
        <w:vanish w:val="0"/>
        <w:color w:val="472978" w:themeColor="accent1"/>
        <w:vertAlign w:val="baseline"/>
      </w:rPr>
    </w:lvl>
    <w:lvl w:ilvl="1">
      <w:start w:val="1"/>
      <w:numFmt w:val="bullet"/>
      <w:lvlText w:val="o"/>
      <w:lvlJc w:val="left"/>
      <w:pPr>
        <w:ind w:left="680" w:hanging="340"/>
      </w:pPr>
      <w:rPr>
        <w:rFonts w:ascii="Courier New" w:hAnsi="Courier New" w:hint="default"/>
        <w:color w:val="472978" w:themeColor="accent1"/>
      </w:rPr>
    </w:lvl>
    <w:lvl w:ilvl="2">
      <w:start w:val="1"/>
      <w:numFmt w:val="bullet"/>
      <w:lvlText w:val=""/>
      <w:lvlJc w:val="left"/>
      <w:pPr>
        <w:ind w:left="1021" w:hanging="341"/>
      </w:pPr>
      <w:rPr>
        <w:rFonts w:ascii="Symbol" w:hAnsi="Symbol" w:hint="default"/>
        <w:color w:val="472978" w:themeColor="accent1"/>
      </w:rPr>
    </w:lvl>
    <w:lvl w:ilvl="3">
      <w:start w:val="1"/>
      <w:numFmt w:val="bullet"/>
      <w:lvlText w:val="o"/>
      <w:lvlJc w:val="left"/>
      <w:pPr>
        <w:ind w:left="1361" w:hanging="340"/>
      </w:pPr>
      <w:rPr>
        <w:rFonts w:ascii="Courier New" w:hAnsi="Courier New" w:hint="default"/>
        <w:b w:val="0"/>
        <w:i w:val="0"/>
        <w:color w:val="472978" w:themeColor="accent1"/>
      </w:rPr>
    </w:lvl>
    <w:lvl w:ilvl="4">
      <w:start w:val="1"/>
      <w:numFmt w:val="bullet"/>
      <w:lvlText w:val=""/>
      <w:lvlJc w:val="left"/>
      <w:pPr>
        <w:ind w:left="1701" w:hanging="340"/>
      </w:pPr>
      <w:rPr>
        <w:rFonts w:ascii="Symbol" w:hAnsi="Symbol" w:hint="default"/>
        <w:color w:val="472978" w:themeColor="accent1"/>
      </w:rPr>
    </w:lvl>
    <w:lvl w:ilvl="5">
      <w:start w:val="1"/>
      <w:numFmt w:val="bullet"/>
      <w:lvlText w:val="o"/>
      <w:lvlJc w:val="left"/>
      <w:pPr>
        <w:ind w:left="2041" w:hanging="340"/>
      </w:pPr>
      <w:rPr>
        <w:rFonts w:ascii="Courier New" w:hAnsi="Courier New" w:hint="default"/>
        <w:color w:val="472978" w:themeColor="accent1"/>
      </w:rPr>
    </w:lvl>
    <w:lvl w:ilvl="6">
      <w:start w:val="1"/>
      <w:numFmt w:val="bullet"/>
      <w:lvlText w:val=""/>
      <w:lvlJc w:val="left"/>
      <w:pPr>
        <w:ind w:left="2381" w:hanging="340"/>
      </w:pPr>
      <w:rPr>
        <w:rFonts w:ascii="Symbol" w:hAnsi="Symbol" w:hint="default"/>
        <w:color w:val="472978" w:themeColor="accent1"/>
      </w:rPr>
    </w:lvl>
    <w:lvl w:ilvl="7">
      <w:start w:val="1"/>
      <w:numFmt w:val="bullet"/>
      <w:lvlText w:val="o"/>
      <w:lvlJc w:val="left"/>
      <w:pPr>
        <w:ind w:left="2722" w:hanging="341"/>
      </w:pPr>
      <w:rPr>
        <w:rFonts w:ascii="Courier New" w:hAnsi="Courier New" w:hint="default"/>
        <w:color w:val="472978" w:themeColor="accent1"/>
      </w:rPr>
    </w:lvl>
    <w:lvl w:ilvl="8">
      <w:start w:val="1"/>
      <w:numFmt w:val="bullet"/>
      <w:lvlText w:val=""/>
      <w:lvlJc w:val="left"/>
      <w:pPr>
        <w:ind w:left="3062" w:hanging="340"/>
      </w:pPr>
      <w:rPr>
        <w:rFonts w:ascii="Symbol" w:hAnsi="Symbol" w:hint="default"/>
        <w:color w:val="472978" w:themeColor="accent1"/>
      </w:rPr>
    </w:lvl>
  </w:abstractNum>
  <w:abstractNum w:abstractNumId="31" w15:restartNumberingAfterBreak="0">
    <w:nsid w:val="4B26325F"/>
    <w:multiLevelType w:val="hybridMultilevel"/>
    <w:tmpl w:val="2DAEE2E0"/>
    <w:lvl w:ilvl="0" w:tplc="A924425E">
      <w:start w:val="1"/>
      <w:numFmt w:val="bullet"/>
      <w:pStyle w:val="Boxbullet0"/>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21288F"/>
    <w:multiLevelType w:val="multilevel"/>
    <w:tmpl w:val="FB1C1856"/>
    <w:name w:val="StandardBulletedList"/>
    <w:lvl w:ilvl="0">
      <w:start w:val="1"/>
      <w:numFmt w:val="bullet"/>
      <w:pStyle w:val="Bullet"/>
      <w:lvlText w:val=""/>
      <w:lvlJc w:val="left"/>
      <w:pPr>
        <w:ind w:left="360" w:hanging="360"/>
      </w:pPr>
      <w:rPr>
        <w:rFonts w:ascii="Symbol" w:hAnsi="Symbol" w:hint="default"/>
        <w:sz w:val="19"/>
        <w:szCs w:val="19"/>
      </w:rPr>
    </w:lvl>
    <w:lvl w:ilvl="1">
      <w:start w:val="1"/>
      <w:numFmt w:val="bullet"/>
      <w:pStyle w:val="BulletLevel2"/>
      <w:lvlText w:val="»"/>
      <w:lvlJc w:val="left"/>
      <w:pPr>
        <w:ind w:left="832" w:hanging="360"/>
      </w:pPr>
      <w:rPr>
        <w:rFonts w:ascii="Arial Nova" w:hAnsi="Arial Nova" w:hint="default"/>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rPr>
        <w:rFonts w:ascii="Open Sans" w:eastAsia="Times New Roman" w:hAnsi="Open Sans" w:cs="Times New Roman (Body 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286E2E"/>
    <w:multiLevelType w:val="hybridMultilevel"/>
    <w:tmpl w:val="E65E2D94"/>
    <w:lvl w:ilvl="0" w:tplc="FF7E3952">
      <w:start w:val="1"/>
      <w:numFmt w:val="lowerLetter"/>
      <w:pStyle w:val="ChartorTableNoteAlpha"/>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E081E1D"/>
    <w:multiLevelType w:val="multilevel"/>
    <w:tmpl w:val="426C85A4"/>
    <w:styleLink w:val="CurrentList5"/>
    <w:lvl w:ilvl="0">
      <w:start w:val="1"/>
      <w:numFmt w:val="upperLetter"/>
      <w:lvlText w:val="%1."/>
      <w:lvlJc w:val="left"/>
      <w:pPr>
        <w:ind w:left="426" w:hanging="360"/>
      </w:p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35" w15:restartNumberingAfterBreak="0">
    <w:nsid w:val="619F638A"/>
    <w:multiLevelType w:val="singleLevel"/>
    <w:tmpl w:val="9DC8B0EC"/>
    <w:name w:val="ChartandTableFootnoteAlpha"/>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36" w15:restartNumberingAfterBreak="0">
    <w:nsid w:val="64A7208E"/>
    <w:multiLevelType w:val="hybridMultilevel"/>
    <w:tmpl w:val="2B48D448"/>
    <w:lvl w:ilvl="0" w:tplc="770206CE">
      <w:start w:val="1"/>
      <w:numFmt w:val="upperLetter"/>
      <w:pStyle w:val="Heading1-alpha"/>
      <w:lvlText w:val="%1."/>
      <w:lvlJc w:val="left"/>
      <w:pPr>
        <w:ind w:left="862"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7EE6388"/>
    <w:multiLevelType w:val="hybridMultilevel"/>
    <w:tmpl w:val="DF1CED1C"/>
    <w:lvl w:ilvl="0" w:tplc="0C09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A313456"/>
    <w:multiLevelType w:val="multilevel"/>
    <w:tmpl w:val="141CE458"/>
    <w:styleLink w:val="CurrentList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CB0432"/>
    <w:multiLevelType w:val="multilevel"/>
    <w:tmpl w:val="204C4FA0"/>
    <w:styleLink w:val="CurrentList9"/>
    <w:lvl w:ilvl="0">
      <w:start w:val="1"/>
      <w:numFmt w:val="upperLetter"/>
      <w:lvlText w:val="%1."/>
      <w:lvlJc w:val="left"/>
      <w:pPr>
        <w:ind w:left="397" w:hanging="397"/>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3F54312"/>
    <w:multiLevelType w:val="multilevel"/>
    <w:tmpl w:val="568A4F32"/>
    <w:styleLink w:val="CurrentList4"/>
    <w:lvl w:ilvl="0">
      <w:start w:val="1"/>
      <w:numFmt w:val="bullet"/>
      <w:lvlText w:val=""/>
      <w:lvlJc w:val="left"/>
      <w:pPr>
        <w:ind w:left="340" w:hanging="340"/>
      </w:pPr>
      <w:rPr>
        <w:rFonts w:ascii="Symbol" w:hAnsi="Symbol" w:hint="default"/>
        <w:caps w:val="0"/>
        <w:strike w:val="0"/>
        <w:dstrike w:val="0"/>
        <w:vanish w:val="0"/>
        <w:color w:val="018996"/>
        <w:vertAlign w:val="baseline"/>
      </w:rPr>
    </w:lvl>
    <w:lvl w:ilvl="1">
      <w:start w:val="1"/>
      <w:numFmt w:val="bullet"/>
      <w:lvlText w:val="o"/>
      <w:lvlJc w:val="left"/>
      <w:pPr>
        <w:ind w:left="680" w:hanging="340"/>
      </w:pPr>
      <w:rPr>
        <w:rFonts w:ascii="Courier New" w:hAnsi="Courier New" w:hint="default"/>
        <w:color w:val="018996"/>
      </w:rPr>
    </w:lvl>
    <w:lvl w:ilvl="2">
      <w:start w:val="1"/>
      <w:numFmt w:val="bullet"/>
      <w:lvlText w:val=""/>
      <w:lvlJc w:val="left"/>
      <w:pPr>
        <w:ind w:left="1021" w:hanging="341"/>
      </w:pPr>
      <w:rPr>
        <w:rFonts w:ascii="Symbol" w:hAnsi="Symbol" w:hint="default"/>
        <w:color w:val="018996"/>
      </w:rPr>
    </w:lvl>
    <w:lvl w:ilvl="3">
      <w:start w:val="1"/>
      <w:numFmt w:val="bullet"/>
      <w:lvlText w:val="o"/>
      <w:lvlJc w:val="left"/>
      <w:pPr>
        <w:ind w:left="1361" w:hanging="340"/>
      </w:pPr>
      <w:rPr>
        <w:rFonts w:ascii="Courier New" w:hAnsi="Courier New" w:hint="default"/>
        <w:b w:val="0"/>
        <w:i w:val="0"/>
        <w:color w:val="018996"/>
      </w:rPr>
    </w:lvl>
    <w:lvl w:ilvl="4">
      <w:start w:val="1"/>
      <w:numFmt w:val="bullet"/>
      <w:lvlText w:val=""/>
      <w:lvlJc w:val="left"/>
      <w:pPr>
        <w:ind w:left="1701" w:hanging="340"/>
      </w:pPr>
      <w:rPr>
        <w:rFonts w:ascii="Symbol" w:hAnsi="Symbol" w:hint="default"/>
        <w:color w:val="018996"/>
      </w:rPr>
    </w:lvl>
    <w:lvl w:ilvl="5">
      <w:start w:val="1"/>
      <w:numFmt w:val="bullet"/>
      <w:lvlText w:val="o"/>
      <w:lvlJc w:val="left"/>
      <w:pPr>
        <w:ind w:left="2041" w:hanging="340"/>
      </w:pPr>
      <w:rPr>
        <w:rFonts w:ascii="Courier New" w:hAnsi="Courier New" w:hint="default"/>
        <w:color w:val="018996"/>
      </w:rPr>
    </w:lvl>
    <w:lvl w:ilvl="6">
      <w:start w:val="1"/>
      <w:numFmt w:val="bullet"/>
      <w:lvlText w:val=""/>
      <w:lvlJc w:val="left"/>
      <w:pPr>
        <w:ind w:left="2381" w:hanging="340"/>
      </w:pPr>
      <w:rPr>
        <w:rFonts w:ascii="Symbol" w:hAnsi="Symbol" w:hint="default"/>
        <w:color w:val="018996"/>
      </w:rPr>
    </w:lvl>
    <w:lvl w:ilvl="7">
      <w:start w:val="1"/>
      <w:numFmt w:val="bullet"/>
      <w:lvlText w:val="o"/>
      <w:lvlJc w:val="left"/>
      <w:pPr>
        <w:ind w:left="2722" w:hanging="341"/>
      </w:pPr>
      <w:rPr>
        <w:rFonts w:ascii="Courier New" w:hAnsi="Courier New" w:hint="default"/>
        <w:color w:val="018996"/>
      </w:rPr>
    </w:lvl>
    <w:lvl w:ilvl="8">
      <w:start w:val="1"/>
      <w:numFmt w:val="bullet"/>
      <w:lvlText w:val=""/>
      <w:lvlJc w:val="left"/>
      <w:pPr>
        <w:ind w:left="3062" w:hanging="340"/>
      </w:pPr>
      <w:rPr>
        <w:rFonts w:ascii="Symbol" w:hAnsi="Symbol" w:hint="default"/>
        <w:color w:val="018996"/>
      </w:rPr>
    </w:lvl>
  </w:abstractNum>
  <w:abstractNum w:abstractNumId="41" w15:restartNumberingAfterBreak="0">
    <w:nsid w:val="77FA1326"/>
    <w:multiLevelType w:val="multilevel"/>
    <w:tmpl w:val="04A0C5AE"/>
    <w:name w:val="StandardBulletedList_"/>
    <w:lvl w:ilvl="0">
      <w:start w:val="1"/>
      <w:numFmt w:val="bullet"/>
      <w:lvlRestart w:val="0"/>
      <w:lvlText w:val="•"/>
      <w:lvlJc w:val="left"/>
      <w:pPr>
        <w:tabs>
          <w:tab w:val="num" w:pos="850"/>
        </w:tabs>
        <w:ind w:left="850" w:hanging="283"/>
      </w:pPr>
      <w:rPr>
        <w:rFonts w:ascii="Times New Roman" w:hAnsi="Times New Roman" w:cs="Times New Roman"/>
        <w:b w:val="0"/>
        <w:i w:val="0"/>
      </w:rPr>
    </w:lvl>
    <w:lvl w:ilvl="1">
      <w:start w:val="1"/>
      <w:numFmt w:val="bullet"/>
      <w:lvlText w:val="–"/>
      <w:lvlJc w:val="left"/>
      <w:pPr>
        <w:tabs>
          <w:tab w:val="num" w:pos="1134"/>
        </w:tabs>
        <w:ind w:left="1134" w:hanging="284"/>
      </w:pPr>
      <w:rPr>
        <w:rFonts w:ascii="Times New Roman" w:hAnsi="Times New Roman" w:cs="Times New Roman"/>
        <w:b w:val="0"/>
        <w:i w:val="0"/>
      </w:rPr>
    </w:lvl>
    <w:lvl w:ilvl="2">
      <w:start w:val="1"/>
      <w:numFmt w:val="bullet"/>
      <w:lvlText w:val=":"/>
      <w:lvlJc w:val="left"/>
      <w:pPr>
        <w:tabs>
          <w:tab w:val="num" w:pos="1417"/>
        </w:tabs>
        <w:ind w:left="1417"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2" w15:restartNumberingAfterBreak="0">
    <w:nsid w:val="7EDC229B"/>
    <w:multiLevelType w:val="multilevel"/>
    <w:tmpl w:val="8DBCD04A"/>
    <w:styleLink w:val="CurrentList7"/>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64373481">
    <w:abstractNumId w:val="16"/>
  </w:num>
  <w:num w:numId="2" w16cid:durableId="694771880">
    <w:abstractNumId w:val="18"/>
  </w:num>
  <w:num w:numId="3" w16cid:durableId="1271471404">
    <w:abstractNumId w:val="12"/>
  </w:num>
  <w:num w:numId="4" w16cid:durableId="1580795712">
    <w:abstractNumId w:val="14"/>
  </w:num>
  <w:num w:numId="5" w16cid:durableId="1205559799">
    <w:abstractNumId w:val="40"/>
  </w:num>
  <w:num w:numId="6" w16cid:durableId="79566971">
    <w:abstractNumId w:val="30"/>
  </w:num>
  <w:num w:numId="7" w16cid:durableId="1641959663">
    <w:abstractNumId w:val="28"/>
  </w:num>
  <w:num w:numId="8" w16cid:durableId="397554945">
    <w:abstractNumId w:val="34"/>
  </w:num>
  <w:num w:numId="9" w16cid:durableId="363137447">
    <w:abstractNumId w:val="11"/>
  </w:num>
  <w:num w:numId="10" w16cid:durableId="2143763827">
    <w:abstractNumId w:val="27"/>
  </w:num>
  <w:num w:numId="11" w16cid:durableId="687951706">
    <w:abstractNumId w:val="42"/>
  </w:num>
  <w:num w:numId="12" w16cid:durableId="106854182">
    <w:abstractNumId w:val="26"/>
  </w:num>
  <w:num w:numId="13" w16cid:durableId="1366561884">
    <w:abstractNumId w:val="39"/>
  </w:num>
  <w:num w:numId="14" w16cid:durableId="832331534">
    <w:abstractNumId w:val="38"/>
  </w:num>
  <w:num w:numId="15" w16cid:durableId="1973945332">
    <w:abstractNumId w:val="19"/>
  </w:num>
  <w:num w:numId="16" w16cid:durableId="1184825549">
    <w:abstractNumId w:val="32"/>
  </w:num>
  <w:num w:numId="17" w16cid:durableId="543955293">
    <w:abstractNumId w:val="33"/>
  </w:num>
  <w:num w:numId="18" w16cid:durableId="447743163">
    <w:abstractNumId w:val="36"/>
  </w:num>
  <w:num w:numId="19" w16cid:durableId="115564177">
    <w:abstractNumId w:val="22"/>
  </w:num>
  <w:num w:numId="20" w16cid:durableId="2030985278">
    <w:abstractNumId w:val="9"/>
  </w:num>
  <w:num w:numId="21" w16cid:durableId="1980723075">
    <w:abstractNumId w:val="7"/>
  </w:num>
  <w:num w:numId="22" w16cid:durableId="1214006515">
    <w:abstractNumId w:val="6"/>
  </w:num>
  <w:num w:numId="23" w16cid:durableId="823395619">
    <w:abstractNumId w:val="5"/>
  </w:num>
  <w:num w:numId="24" w16cid:durableId="509103375">
    <w:abstractNumId w:val="4"/>
  </w:num>
  <w:num w:numId="25" w16cid:durableId="1455826518">
    <w:abstractNumId w:val="8"/>
  </w:num>
  <w:num w:numId="26" w16cid:durableId="1847282944">
    <w:abstractNumId w:val="3"/>
  </w:num>
  <w:num w:numId="27" w16cid:durableId="104734834">
    <w:abstractNumId w:val="2"/>
  </w:num>
  <w:num w:numId="28" w16cid:durableId="1759212169">
    <w:abstractNumId w:val="1"/>
  </w:num>
  <w:num w:numId="29" w16cid:durableId="938566854">
    <w:abstractNumId w:val="0"/>
  </w:num>
  <w:num w:numId="30" w16cid:durableId="1000039956">
    <w:abstractNumId w:val="31"/>
  </w:num>
  <w:num w:numId="31" w16cid:durableId="1380284742">
    <w:abstractNumId w:val="20"/>
  </w:num>
  <w:num w:numId="32" w16cid:durableId="863714490">
    <w:abstractNumId w:val="10"/>
  </w:num>
  <w:num w:numId="33" w16cid:durableId="913198201">
    <w:abstractNumId w:val="15"/>
  </w:num>
  <w:num w:numId="34" w16cid:durableId="1276212779">
    <w:abstractNumId w:val="17"/>
  </w:num>
  <w:num w:numId="35" w16cid:durableId="844518168">
    <w:abstractNumId w:val="25"/>
  </w:num>
  <w:num w:numId="36" w16cid:durableId="1235773327">
    <w:abstractNumId w:val="29"/>
  </w:num>
  <w:num w:numId="37" w16cid:durableId="2026982494">
    <w:abstractNumId w:val="33"/>
    <w:lvlOverride w:ilvl="0">
      <w:startOverride w:val="1"/>
    </w:lvlOverride>
  </w:num>
  <w:num w:numId="38" w16cid:durableId="1089037067">
    <w:abstractNumId w:val="33"/>
    <w:lvlOverride w:ilvl="0">
      <w:startOverride w:val="2"/>
    </w:lvlOverride>
  </w:num>
  <w:num w:numId="39" w16cid:durableId="785152849">
    <w:abstractNumId w:val="33"/>
    <w:lvlOverride w:ilvl="0">
      <w:startOverride w:val="1"/>
    </w:lvlOverride>
  </w:num>
  <w:num w:numId="40" w16cid:durableId="2053915686">
    <w:abstractNumId w:val="33"/>
    <w:lvlOverride w:ilvl="0">
      <w:startOverride w:val="1"/>
    </w:lvlOverride>
  </w:num>
  <w:num w:numId="41" w16cid:durableId="1790540035">
    <w:abstractNumId w:val="33"/>
    <w:lvlOverride w:ilvl="0">
      <w:startOverride w:val="1"/>
    </w:lvlOverride>
  </w:num>
  <w:num w:numId="42" w16cid:durableId="577439820">
    <w:abstractNumId w:val="33"/>
    <w:lvlOverride w:ilvl="0">
      <w:startOverride w:val="1"/>
    </w:lvlOverride>
  </w:num>
  <w:num w:numId="43" w16cid:durableId="1281566756">
    <w:abstractNumId w:val="33"/>
    <w:lvlOverride w:ilvl="0">
      <w:startOverride w:val="1"/>
    </w:lvlOverride>
  </w:num>
  <w:num w:numId="44" w16cid:durableId="1721588715">
    <w:abstractNumId w:val="33"/>
    <w:lvlOverride w:ilvl="0">
      <w:startOverride w:val="1"/>
    </w:lvlOverride>
  </w:num>
  <w:num w:numId="45" w16cid:durableId="741366312">
    <w:abstractNumId w:val="37"/>
  </w:num>
  <w:num w:numId="46" w16cid:durableId="1345591657">
    <w:abstractNumId w:val="33"/>
    <w:lvlOverride w:ilvl="0">
      <w:startOverride w:val="1"/>
    </w:lvlOverride>
  </w:num>
  <w:num w:numId="47" w16cid:durableId="1009021643">
    <w:abstractNumId w:val="24"/>
  </w:num>
  <w:num w:numId="48" w16cid:durableId="1808820169">
    <w:abstractNumId w:val="13"/>
  </w:num>
  <w:num w:numId="49" w16cid:durableId="1745368652">
    <w:abstractNumId w:val="23"/>
  </w:num>
  <w:num w:numId="50" w16cid:durableId="1241717122">
    <w:abstractNumId w:val="21"/>
  </w:num>
  <w:num w:numId="51" w16cid:durableId="1892763750">
    <w:abstractNumId w:val="36"/>
    <w:lvlOverride w:ilvl="0">
      <w:startOverride w:val="1"/>
    </w:lvlOverride>
  </w:num>
  <w:num w:numId="52" w16cid:durableId="2075349999">
    <w:abstractNumId w:val="36"/>
    <w:lvlOverride w:ilvl="0">
      <w:startOverride w:val="1"/>
    </w:lvlOverride>
  </w:num>
  <w:num w:numId="53" w16cid:durableId="1531607528">
    <w:abstractNumId w:val="33"/>
    <w:lvlOverride w:ilvl="0">
      <w:startOverride w:val="1"/>
    </w:lvlOverride>
  </w:num>
  <w:num w:numId="54" w16cid:durableId="1496409638">
    <w:abstractNumId w:val="33"/>
    <w:lvlOverride w:ilvl="0">
      <w:startOverride w:val="1"/>
    </w:lvlOverride>
  </w:num>
  <w:num w:numId="55" w16cid:durableId="214508161">
    <w:abstractNumId w:val="33"/>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F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1"/>
  <w:stylePaneSortMethod w:val="0000"/>
  <w:documentProtection w:enforcement="0"/>
  <w:autoFormatOverrid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07"/>
    <w:rsid w:val="0000007D"/>
    <w:rsid w:val="000000ED"/>
    <w:rsid w:val="000001AB"/>
    <w:rsid w:val="00000295"/>
    <w:rsid w:val="00000499"/>
    <w:rsid w:val="000004F8"/>
    <w:rsid w:val="00000514"/>
    <w:rsid w:val="00000564"/>
    <w:rsid w:val="00000574"/>
    <w:rsid w:val="00000607"/>
    <w:rsid w:val="000006CD"/>
    <w:rsid w:val="000006FF"/>
    <w:rsid w:val="0000086F"/>
    <w:rsid w:val="000008C6"/>
    <w:rsid w:val="000009E5"/>
    <w:rsid w:val="00000A5D"/>
    <w:rsid w:val="00000B02"/>
    <w:rsid w:val="00000C10"/>
    <w:rsid w:val="00000D58"/>
    <w:rsid w:val="00000E93"/>
    <w:rsid w:val="00000F6B"/>
    <w:rsid w:val="00000FA1"/>
    <w:rsid w:val="00001028"/>
    <w:rsid w:val="000012C2"/>
    <w:rsid w:val="00001465"/>
    <w:rsid w:val="00001557"/>
    <w:rsid w:val="000015AF"/>
    <w:rsid w:val="000015F9"/>
    <w:rsid w:val="000016BE"/>
    <w:rsid w:val="0000182E"/>
    <w:rsid w:val="0000184E"/>
    <w:rsid w:val="000018BB"/>
    <w:rsid w:val="000018EC"/>
    <w:rsid w:val="00001999"/>
    <w:rsid w:val="00001A13"/>
    <w:rsid w:val="00001B58"/>
    <w:rsid w:val="00001C0D"/>
    <w:rsid w:val="00001C6F"/>
    <w:rsid w:val="00001CFE"/>
    <w:rsid w:val="00001D2F"/>
    <w:rsid w:val="00001D95"/>
    <w:rsid w:val="00001E07"/>
    <w:rsid w:val="00001E1D"/>
    <w:rsid w:val="00001E6D"/>
    <w:rsid w:val="00001EAE"/>
    <w:rsid w:val="00001EBC"/>
    <w:rsid w:val="00001FCD"/>
    <w:rsid w:val="00001FEC"/>
    <w:rsid w:val="0000201C"/>
    <w:rsid w:val="00002081"/>
    <w:rsid w:val="0000215D"/>
    <w:rsid w:val="00002165"/>
    <w:rsid w:val="00002184"/>
    <w:rsid w:val="000023A4"/>
    <w:rsid w:val="00002400"/>
    <w:rsid w:val="0000240F"/>
    <w:rsid w:val="000025CE"/>
    <w:rsid w:val="00002625"/>
    <w:rsid w:val="000026EA"/>
    <w:rsid w:val="0000270A"/>
    <w:rsid w:val="00002719"/>
    <w:rsid w:val="00002831"/>
    <w:rsid w:val="000029A3"/>
    <w:rsid w:val="000029E0"/>
    <w:rsid w:val="00002A76"/>
    <w:rsid w:val="00002C24"/>
    <w:rsid w:val="00002C90"/>
    <w:rsid w:val="00002EB0"/>
    <w:rsid w:val="00002FDA"/>
    <w:rsid w:val="00002FDD"/>
    <w:rsid w:val="0000308E"/>
    <w:rsid w:val="000030E4"/>
    <w:rsid w:val="0000330C"/>
    <w:rsid w:val="000033F4"/>
    <w:rsid w:val="00003402"/>
    <w:rsid w:val="0000346C"/>
    <w:rsid w:val="0000358C"/>
    <w:rsid w:val="00003647"/>
    <w:rsid w:val="000036A8"/>
    <w:rsid w:val="00003748"/>
    <w:rsid w:val="000037D6"/>
    <w:rsid w:val="000037DD"/>
    <w:rsid w:val="0000387C"/>
    <w:rsid w:val="000039A6"/>
    <w:rsid w:val="00003B9A"/>
    <w:rsid w:val="00003C1C"/>
    <w:rsid w:val="00003C75"/>
    <w:rsid w:val="00003E14"/>
    <w:rsid w:val="00003E22"/>
    <w:rsid w:val="00003E99"/>
    <w:rsid w:val="00003F86"/>
    <w:rsid w:val="000040A6"/>
    <w:rsid w:val="000041D2"/>
    <w:rsid w:val="000042E3"/>
    <w:rsid w:val="000042E4"/>
    <w:rsid w:val="000044DF"/>
    <w:rsid w:val="000045BB"/>
    <w:rsid w:val="000047C7"/>
    <w:rsid w:val="00004939"/>
    <w:rsid w:val="0000494B"/>
    <w:rsid w:val="000049D0"/>
    <w:rsid w:val="00004C80"/>
    <w:rsid w:val="00004CA9"/>
    <w:rsid w:val="00004D7B"/>
    <w:rsid w:val="00004DA5"/>
    <w:rsid w:val="00004E37"/>
    <w:rsid w:val="00004E62"/>
    <w:rsid w:val="00004EA6"/>
    <w:rsid w:val="00004F0C"/>
    <w:rsid w:val="000050A0"/>
    <w:rsid w:val="000050FA"/>
    <w:rsid w:val="00005252"/>
    <w:rsid w:val="0000542B"/>
    <w:rsid w:val="000055E9"/>
    <w:rsid w:val="00005671"/>
    <w:rsid w:val="00005749"/>
    <w:rsid w:val="0000579C"/>
    <w:rsid w:val="00005839"/>
    <w:rsid w:val="000058D6"/>
    <w:rsid w:val="000059B5"/>
    <w:rsid w:val="00005AAE"/>
    <w:rsid w:val="00005BCE"/>
    <w:rsid w:val="00005C41"/>
    <w:rsid w:val="00005D59"/>
    <w:rsid w:val="00005DAE"/>
    <w:rsid w:val="00005E9C"/>
    <w:rsid w:val="00005F8B"/>
    <w:rsid w:val="0000609B"/>
    <w:rsid w:val="0000616C"/>
    <w:rsid w:val="000061FD"/>
    <w:rsid w:val="00006236"/>
    <w:rsid w:val="0000629E"/>
    <w:rsid w:val="00006393"/>
    <w:rsid w:val="000064B5"/>
    <w:rsid w:val="000065D5"/>
    <w:rsid w:val="0000661C"/>
    <w:rsid w:val="0000669C"/>
    <w:rsid w:val="0000672E"/>
    <w:rsid w:val="00006773"/>
    <w:rsid w:val="000068B6"/>
    <w:rsid w:val="00006AB6"/>
    <w:rsid w:val="000070B9"/>
    <w:rsid w:val="00007240"/>
    <w:rsid w:val="0000735B"/>
    <w:rsid w:val="00007449"/>
    <w:rsid w:val="00007710"/>
    <w:rsid w:val="0000773F"/>
    <w:rsid w:val="000078BB"/>
    <w:rsid w:val="000078CF"/>
    <w:rsid w:val="000078E1"/>
    <w:rsid w:val="000079A0"/>
    <w:rsid w:val="000079CB"/>
    <w:rsid w:val="00007AAC"/>
    <w:rsid w:val="00007C46"/>
    <w:rsid w:val="00007EED"/>
    <w:rsid w:val="00007F4C"/>
    <w:rsid w:val="00007F97"/>
    <w:rsid w:val="000101DB"/>
    <w:rsid w:val="000104BC"/>
    <w:rsid w:val="000104C9"/>
    <w:rsid w:val="00010534"/>
    <w:rsid w:val="000108A5"/>
    <w:rsid w:val="00010A33"/>
    <w:rsid w:val="00010A71"/>
    <w:rsid w:val="00010B26"/>
    <w:rsid w:val="00010BCD"/>
    <w:rsid w:val="00010C5D"/>
    <w:rsid w:val="00010C6C"/>
    <w:rsid w:val="00010E3B"/>
    <w:rsid w:val="00010E66"/>
    <w:rsid w:val="000111CA"/>
    <w:rsid w:val="000113C7"/>
    <w:rsid w:val="000113E8"/>
    <w:rsid w:val="000114C1"/>
    <w:rsid w:val="000114C5"/>
    <w:rsid w:val="00011573"/>
    <w:rsid w:val="00011692"/>
    <w:rsid w:val="000116DD"/>
    <w:rsid w:val="00011829"/>
    <w:rsid w:val="0001188E"/>
    <w:rsid w:val="000118FE"/>
    <w:rsid w:val="0001197D"/>
    <w:rsid w:val="00011B33"/>
    <w:rsid w:val="00011B42"/>
    <w:rsid w:val="00011C36"/>
    <w:rsid w:val="00011C9C"/>
    <w:rsid w:val="00011D2F"/>
    <w:rsid w:val="00012321"/>
    <w:rsid w:val="00012422"/>
    <w:rsid w:val="00012552"/>
    <w:rsid w:val="000128D0"/>
    <w:rsid w:val="00012914"/>
    <w:rsid w:val="000129B2"/>
    <w:rsid w:val="00012AA0"/>
    <w:rsid w:val="00012D33"/>
    <w:rsid w:val="00012D40"/>
    <w:rsid w:val="00012EC1"/>
    <w:rsid w:val="00012FED"/>
    <w:rsid w:val="0001302B"/>
    <w:rsid w:val="000130F6"/>
    <w:rsid w:val="0001322E"/>
    <w:rsid w:val="00013392"/>
    <w:rsid w:val="00013722"/>
    <w:rsid w:val="00013740"/>
    <w:rsid w:val="00013827"/>
    <w:rsid w:val="000138FB"/>
    <w:rsid w:val="00013988"/>
    <w:rsid w:val="000139AF"/>
    <w:rsid w:val="00013A89"/>
    <w:rsid w:val="00013C38"/>
    <w:rsid w:val="00013C47"/>
    <w:rsid w:val="00013E5C"/>
    <w:rsid w:val="00013E9A"/>
    <w:rsid w:val="00013EA0"/>
    <w:rsid w:val="00013F3E"/>
    <w:rsid w:val="00013FD6"/>
    <w:rsid w:val="0001411D"/>
    <w:rsid w:val="00014173"/>
    <w:rsid w:val="00014176"/>
    <w:rsid w:val="000141CC"/>
    <w:rsid w:val="000143F6"/>
    <w:rsid w:val="00014434"/>
    <w:rsid w:val="00014451"/>
    <w:rsid w:val="00014487"/>
    <w:rsid w:val="00014529"/>
    <w:rsid w:val="000145C7"/>
    <w:rsid w:val="0001490D"/>
    <w:rsid w:val="0001497D"/>
    <w:rsid w:val="00014A14"/>
    <w:rsid w:val="00014BBC"/>
    <w:rsid w:val="00014CAB"/>
    <w:rsid w:val="00014D31"/>
    <w:rsid w:val="00014D86"/>
    <w:rsid w:val="00014DDE"/>
    <w:rsid w:val="00014F3D"/>
    <w:rsid w:val="00014F92"/>
    <w:rsid w:val="00014FA3"/>
    <w:rsid w:val="0001502A"/>
    <w:rsid w:val="0001505F"/>
    <w:rsid w:val="000153D3"/>
    <w:rsid w:val="000155D1"/>
    <w:rsid w:val="00015660"/>
    <w:rsid w:val="00015764"/>
    <w:rsid w:val="00015836"/>
    <w:rsid w:val="00015887"/>
    <w:rsid w:val="00015A12"/>
    <w:rsid w:val="00015A61"/>
    <w:rsid w:val="00015B15"/>
    <w:rsid w:val="00015D3C"/>
    <w:rsid w:val="00015D63"/>
    <w:rsid w:val="00015DE3"/>
    <w:rsid w:val="00015E45"/>
    <w:rsid w:val="00015F18"/>
    <w:rsid w:val="00015F27"/>
    <w:rsid w:val="00015FAF"/>
    <w:rsid w:val="00016198"/>
    <w:rsid w:val="000161DE"/>
    <w:rsid w:val="000162E4"/>
    <w:rsid w:val="00016343"/>
    <w:rsid w:val="0001638D"/>
    <w:rsid w:val="00016415"/>
    <w:rsid w:val="0001645B"/>
    <w:rsid w:val="0001649F"/>
    <w:rsid w:val="0001650F"/>
    <w:rsid w:val="0001655D"/>
    <w:rsid w:val="000165BD"/>
    <w:rsid w:val="000166C7"/>
    <w:rsid w:val="00016794"/>
    <w:rsid w:val="000168AB"/>
    <w:rsid w:val="000169CA"/>
    <w:rsid w:val="000169D9"/>
    <w:rsid w:val="00016A17"/>
    <w:rsid w:val="00016A62"/>
    <w:rsid w:val="00016CEF"/>
    <w:rsid w:val="00016F16"/>
    <w:rsid w:val="00016F1B"/>
    <w:rsid w:val="00016F53"/>
    <w:rsid w:val="00017059"/>
    <w:rsid w:val="000170F5"/>
    <w:rsid w:val="00017258"/>
    <w:rsid w:val="00017339"/>
    <w:rsid w:val="00017479"/>
    <w:rsid w:val="000176B1"/>
    <w:rsid w:val="00017777"/>
    <w:rsid w:val="0001780D"/>
    <w:rsid w:val="00017859"/>
    <w:rsid w:val="00017987"/>
    <w:rsid w:val="00017C32"/>
    <w:rsid w:val="00017C46"/>
    <w:rsid w:val="00017CA7"/>
    <w:rsid w:val="00017DF4"/>
    <w:rsid w:val="00017F30"/>
    <w:rsid w:val="00020012"/>
    <w:rsid w:val="0002004B"/>
    <w:rsid w:val="00020258"/>
    <w:rsid w:val="00020382"/>
    <w:rsid w:val="000203F1"/>
    <w:rsid w:val="00020439"/>
    <w:rsid w:val="0002069B"/>
    <w:rsid w:val="00020749"/>
    <w:rsid w:val="000208DF"/>
    <w:rsid w:val="000208E2"/>
    <w:rsid w:val="000209AB"/>
    <w:rsid w:val="000209E1"/>
    <w:rsid w:val="00020AF4"/>
    <w:rsid w:val="00020DED"/>
    <w:rsid w:val="00020F9B"/>
    <w:rsid w:val="0002107B"/>
    <w:rsid w:val="0002113C"/>
    <w:rsid w:val="00021194"/>
    <w:rsid w:val="000211BC"/>
    <w:rsid w:val="0002132C"/>
    <w:rsid w:val="00021422"/>
    <w:rsid w:val="00021466"/>
    <w:rsid w:val="00021497"/>
    <w:rsid w:val="0002174A"/>
    <w:rsid w:val="0002177B"/>
    <w:rsid w:val="000217CD"/>
    <w:rsid w:val="000217CE"/>
    <w:rsid w:val="00021885"/>
    <w:rsid w:val="00021916"/>
    <w:rsid w:val="00021A8F"/>
    <w:rsid w:val="00021C60"/>
    <w:rsid w:val="00021D04"/>
    <w:rsid w:val="00021F6A"/>
    <w:rsid w:val="00021FB1"/>
    <w:rsid w:val="0002208C"/>
    <w:rsid w:val="00022097"/>
    <w:rsid w:val="00022437"/>
    <w:rsid w:val="00022624"/>
    <w:rsid w:val="0002263F"/>
    <w:rsid w:val="0002272A"/>
    <w:rsid w:val="00022791"/>
    <w:rsid w:val="000228B0"/>
    <w:rsid w:val="000228B5"/>
    <w:rsid w:val="0002291C"/>
    <w:rsid w:val="00022979"/>
    <w:rsid w:val="000229B9"/>
    <w:rsid w:val="00022A90"/>
    <w:rsid w:val="00022C38"/>
    <w:rsid w:val="00022C61"/>
    <w:rsid w:val="00022CC3"/>
    <w:rsid w:val="00022EFD"/>
    <w:rsid w:val="000231AE"/>
    <w:rsid w:val="0002330F"/>
    <w:rsid w:val="000233DF"/>
    <w:rsid w:val="00023406"/>
    <w:rsid w:val="0002341D"/>
    <w:rsid w:val="0002346D"/>
    <w:rsid w:val="00023548"/>
    <w:rsid w:val="00023657"/>
    <w:rsid w:val="0002368B"/>
    <w:rsid w:val="000236D8"/>
    <w:rsid w:val="00023777"/>
    <w:rsid w:val="00023983"/>
    <w:rsid w:val="00023AB2"/>
    <w:rsid w:val="00023B7C"/>
    <w:rsid w:val="00023BE1"/>
    <w:rsid w:val="00023D6D"/>
    <w:rsid w:val="00023EC8"/>
    <w:rsid w:val="00023FCD"/>
    <w:rsid w:val="00024071"/>
    <w:rsid w:val="00024402"/>
    <w:rsid w:val="00024415"/>
    <w:rsid w:val="00024444"/>
    <w:rsid w:val="000245E8"/>
    <w:rsid w:val="00024627"/>
    <w:rsid w:val="000246EF"/>
    <w:rsid w:val="00024738"/>
    <w:rsid w:val="0002479B"/>
    <w:rsid w:val="000247DE"/>
    <w:rsid w:val="000248A2"/>
    <w:rsid w:val="00024C2B"/>
    <w:rsid w:val="00024CA9"/>
    <w:rsid w:val="00024D1B"/>
    <w:rsid w:val="00024EE8"/>
    <w:rsid w:val="000251AA"/>
    <w:rsid w:val="000251B4"/>
    <w:rsid w:val="000252FE"/>
    <w:rsid w:val="000254BD"/>
    <w:rsid w:val="00025538"/>
    <w:rsid w:val="0002560F"/>
    <w:rsid w:val="00025711"/>
    <w:rsid w:val="00025875"/>
    <w:rsid w:val="0002592A"/>
    <w:rsid w:val="00025ACB"/>
    <w:rsid w:val="00025B6E"/>
    <w:rsid w:val="00025D49"/>
    <w:rsid w:val="00025E4E"/>
    <w:rsid w:val="00025F56"/>
    <w:rsid w:val="000260B5"/>
    <w:rsid w:val="00026301"/>
    <w:rsid w:val="00026309"/>
    <w:rsid w:val="0002641E"/>
    <w:rsid w:val="000264D7"/>
    <w:rsid w:val="000264EE"/>
    <w:rsid w:val="0002652D"/>
    <w:rsid w:val="00026546"/>
    <w:rsid w:val="000266B5"/>
    <w:rsid w:val="0002679D"/>
    <w:rsid w:val="0002680D"/>
    <w:rsid w:val="00026B9D"/>
    <w:rsid w:val="00026C74"/>
    <w:rsid w:val="00026DF8"/>
    <w:rsid w:val="00026E01"/>
    <w:rsid w:val="00026EF8"/>
    <w:rsid w:val="00026F77"/>
    <w:rsid w:val="000272C6"/>
    <w:rsid w:val="00027372"/>
    <w:rsid w:val="00027468"/>
    <w:rsid w:val="0002746E"/>
    <w:rsid w:val="0002762A"/>
    <w:rsid w:val="00027665"/>
    <w:rsid w:val="000276A0"/>
    <w:rsid w:val="000276D6"/>
    <w:rsid w:val="0002778B"/>
    <w:rsid w:val="000278F7"/>
    <w:rsid w:val="00027A09"/>
    <w:rsid w:val="00027A0C"/>
    <w:rsid w:val="00027B15"/>
    <w:rsid w:val="00027B68"/>
    <w:rsid w:val="00027C72"/>
    <w:rsid w:val="00027DE8"/>
    <w:rsid w:val="00027E39"/>
    <w:rsid w:val="00027FB4"/>
    <w:rsid w:val="00030119"/>
    <w:rsid w:val="000301AF"/>
    <w:rsid w:val="000301ED"/>
    <w:rsid w:val="0003030B"/>
    <w:rsid w:val="0003038E"/>
    <w:rsid w:val="00030484"/>
    <w:rsid w:val="0003057D"/>
    <w:rsid w:val="000305C1"/>
    <w:rsid w:val="000307C1"/>
    <w:rsid w:val="00030911"/>
    <w:rsid w:val="00030929"/>
    <w:rsid w:val="00030C7F"/>
    <w:rsid w:val="00030CB6"/>
    <w:rsid w:val="00030E62"/>
    <w:rsid w:val="00030EA9"/>
    <w:rsid w:val="00030EED"/>
    <w:rsid w:val="00030F46"/>
    <w:rsid w:val="00030F4C"/>
    <w:rsid w:val="00031063"/>
    <w:rsid w:val="00031134"/>
    <w:rsid w:val="000311C6"/>
    <w:rsid w:val="00031437"/>
    <w:rsid w:val="000315CE"/>
    <w:rsid w:val="000315D0"/>
    <w:rsid w:val="000315DD"/>
    <w:rsid w:val="000317CE"/>
    <w:rsid w:val="00031E91"/>
    <w:rsid w:val="00031EBF"/>
    <w:rsid w:val="00031ED6"/>
    <w:rsid w:val="00031EE7"/>
    <w:rsid w:val="00031F3F"/>
    <w:rsid w:val="00031F61"/>
    <w:rsid w:val="000321C8"/>
    <w:rsid w:val="00032223"/>
    <w:rsid w:val="0003229B"/>
    <w:rsid w:val="0003231E"/>
    <w:rsid w:val="000323DA"/>
    <w:rsid w:val="00032475"/>
    <w:rsid w:val="00032506"/>
    <w:rsid w:val="00032762"/>
    <w:rsid w:val="00032BBD"/>
    <w:rsid w:val="00032C9A"/>
    <w:rsid w:val="00032ED5"/>
    <w:rsid w:val="00032F55"/>
    <w:rsid w:val="000331CA"/>
    <w:rsid w:val="000332AA"/>
    <w:rsid w:val="000332FC"/>
    <w:rsid w:val="0003332E"/>
    <w:rsid w:val="00033397"/>
    <w:rsid w:val="000333E9"/>
    <w:rsid w:val="0003349F"/>
    <w:rsid w:val="0003359C"/>
    <w:rsid w:val="000335D6"/>
    <w:rsid w:val="00033651"/>
    <w:rsid w:val="000338E6"/>
    <w:rsid w:val="000339D5"/>
    <w:rsid w:val="00033A19"/>
    <w:rsid w:val="00033BEE"/>
    <w:rsid w:val="00033BF1"/>
    <w:rsid w:val="00033CE7"/>
    <w:rsid w:val="00033D4A"/>
    <w:rsid w:val="00033F66"/>
    <w:rsid w:val="00033F95"/>
    <w:rsid w:val="0003410E"/>
    <w:rsid w:val="0003413E"/>
    <w:rsid w:val="00034167"/>
    <w:rsid w:val="00034247"/>
    <w:rsid w:val="000342B4"/>
    <w:rsid w:val="00034313"/>
    <w:rsid w:val="00034582"/>
    <w:rsid w:val="000345B2"/>
    <w:rsid w:val="00034623"/>
    <w:rsid w:val="00034659"/>
    <w:rsid w:val="00034882"/>
    <w:rsid w:val="000348BC"/>
    <w:rsid w:val="00034A64"/>
    <w:rsid w:val="00034AA7"/>
    <w:rsid w:val="00034B36"/>
    <w:rsid w:val="00034C8A"/>
    <w:rsid w:val="00034C8E"/>
    <w:rsid w:val="00034DB0"/>
    <w:rsid w:val="00034E5C"/>
    <w:rsid w:val="000350B1"/>
    <w:rsid w:val="00035418"/>
    <w:rsid w:val="0003542D"/>
    <w:rsid w:val="00035488"/>
    <w:rsid w:val="000355AB"/>
    <w:rsid w:val="0003560D"/>
    <w:rsid w:val="00035842"/>
    <w:rsid w:val="00035881"/>
    <w:rsid w:val="0003592D"/>
    <w:rsid w:val="00035971"/>
    <w:rsid w:val="000359B5"/>
    <w:rsid w:val="00035A2A"/>
    <w:rsid w:val="00035A71"/>
    <w:rsid w:val="00035A86"/>
    <w:rsid w:val="00035B20"/>
    <w:rsid w:val="00035C28"/>
    <w:rsid w:val="00035DA2"/>
    <w:rsid w:val="00035F06"/>
    <w:rsid w:val="00035F9C"/>
    <w:rsid w:val="00036133"/>
    <w:rsid w:val="000361CC"/>
    <w:rsid w:val="0003623A"/>
    <w:rsid w:val="000365B3"/>
    <w:rsid w:val="000365CB"/>
    <w:rsid w:val="0003678B"/>
    <w:rsid w:val="000369F9"/>
    <w:rsid w:val="00036B45"/>
    <w:rsid w:val="00036B72"/>
    <w:rsid w:val="00036CC6"/>
    <w:rsid w:val="00036CFC"/>
    <w:rsid w:val="00036E02"/>
    <w:rsid w:val="00036EAA"/>
    <w:rsid w:val="0003745E"/>
    <w:rsid w:val="00037473"/>
    <w:rsid w:val="00037593"/>
    <w:rsid w:val="00037595"/>
    <w:rsid w:val="000375C7"/>
    <w:rsid w:val="00037680"/>
    <w:rsid w:val="00037768"/>
    <w:rsid w:val="00037934"/>
    <w:rsid w:val="00037954"/>
    <w:rsid w:val="00037AEC"/>
    <w:rsid w:val="00037B53"/>
    <w:rsid w:val="00037BDD"/>
    <w:rsid w:val="00037C2F"/>
    <w:rsid w:val="00037EB6"/>
    <w:rsid w:val="00037F7C"/>
    <w:rsid w:val="00040011"/>
    <w:rsid w:val="00040393"/>
    <w:rsid w:val="00040462"/>
    <w:rsid w:val="0004050C"/>
    <w:rsid w:val="000407B4"/>
    <w:rsid w:val="000409B4"/>
    <w:rsid w:val="00040C16"/>
    <w:rsid w:val="00040C6F"/>
    <w:rsid w:val="00040CF2"/>
    <w:rsid w:val="00040D6B"/>
    <w:rsid w:val="00040F9B"/>
    <w:rsid w:val="00040FB7"/>
    <w:rsid w:val="00040FEA"/>
    <w:rsid w:val="000410DD"/>
    <w:rsid w:val="000411B9"/>
    <w:rsid w:val="00041269"/>
    <w:rsid w:val="0004126D"/>
    <w:rsid w:val="00041526"/>
    <w:rsid w:val="0004154E"/>
    <w:rsid w:val="00041685"/>
    <w:rsid w:val="0004168B"/>
    <w:rsid w:val="000417BE"/>
    <w:rsid w:val="00041A2C"/>
    <w:rsid w:val="00041A46"/>
    <w:rsid w:val="00041A48"/>
    <w:rsid w:val="00041AA6"/>
    <w:rsid w:val="00041F1A"/>
    <w:rsid w:val="00041F60"/>
    <w:rsid w:val="00041F84"/>
    <w:rsid w:val="000420BE"/>
    <w:rsid w:val="000420CE"/>
    <w:rsid w:val="000420D4"/>
    <w:rsid w:val="00042187"/>
    <w:rsid w:val="0004220E"/>
    <w:rsid w:val="00042314"/>
    <w:rsid w:val="000424B4"/>
    <w:rsid w:val="00042556"/>
    <w:rsid w:val="000425F3"/>
    <w:rsid w:val="0004276B"/>
    <w:rsid w:val="00042BB5"/>
    <w:rsid w:val="00042D32"/>
    <w:rsid w:val="00042D85"/>
    <w:rsid w:val="00042F6B"/>
    <w:rsid w:val="00043179"/>
    <w:rsid w:val="00043180"/>
    <w:rsid w:val="000431AE"/>
    <w:rsid w:val="000431CA"/>
    <w:rsid w:val="000432F9"/>
    <w:rsid w:val="00043317"/>
    <w:rsid w:val="0004341B"/>
    <w:rsid w:val="0004353B"/>
    <w:rsid w:val="00043656"/>
    <w:rsid w:val="000438AB"/>
    <w:rsid w:val="000438CF"/>
    <w:rsid w:val="00043A1C"/>
    <w:rsid w:val="00043ABB"/>
    <w:rsid w:val="00043B63"/>
    <w:rsid w:val="00043D92"/>
    <w:rsid w:val="00043DFC"/>
    <w:rsid w:val="00043ED0"/>
    <w:rsid w:val="00043FF5"/>
    <w:rsid w:val="00044352"/>
    <w:rsid w:val="00044359"/>
    <w:rsid w:val="000444B2"/>
    <w:rsid w:val="000444DD"/>
    <w:rsid w:val="0004456A"/>
    <w:rsid w:val="000445E2"/>
    <w:rsid w:val="00044627"/>
    <w:rsid w:val="000446C0"/>
    <w:rsid w:val="0004483E"/>
    <w:rsid w:val="0004489D"/>
    <w:rsid w:val="000449DC"/>
    <w:rsid w:val="00044B02"/>
    <w:rsid w:val="00044C2E"/>
    <w:rsid w:val="00044CB0"/>
    <w:rsid w:val="00044D22"/>
    <w:rsid w:val="00044E28"/>
    <w:rsid w:val="00044E6A"/>
    <w:rsid w:val="00045085"/>
    <w:rsid w:val="000450C1"/>
    <w:rsid w:val="0004535A"/>
    <w:rsid w:val="00045408"/>
    <w:rsid w:val="00045487"/>
    <w:rsid w:val="00045585"/>
    <w:rsid w:val="000455BF"/>
    <w:rsid w:val="00045802"/>
    <w:rsid w:val="00045939"/>
    <w:rsid w:val="00045960"/>
    <w:rsid w:val="00045B23"/>
    <w:rsid w:val="00045B84"/>
    <w:rsid w:val="00045C98"/>
    <w:rsid w:val="00045CBC"/>
    <w:rsid w:val="00045E09"/>
    <w:rsid w:val="00045F5F"/>
    <w:rsid w:val="0004605D"/>
    <w:rsid w:val="00046233"/>
    <w:rsid w:val="00046283"/>
    <w:rsid w:val="000463F9"/>
    <w:rsid w:val="0004640C"/>
    <w:rsid w:val="0004643F"/>
    <w:rsid w:val="00046509"/>
    <w:rsid w:val="00046560"/>
    <w:rsid w:val="00046671"/>
    <w:rsid w:val="0004667F"/>
    <w:rsid w:val="00046AFB"/>
    <w:rsid w:val="00046B08"/>
    <w:rsid w:val="00046C3C"/>
    <w:rsid w:val="00046C70"/>
    <w:rsid w:val="00046E3D"/>
    <w:rsid w:val="000472DB"/>
    <w:rsid w:val="000472DE"/>
    <w:rsid w:val="000473A9"/>
    <w:rsid w:val="000473B3"/>
    <w:rsid w:val="000473FF"/>
    <w:rsid w:val="00047405"/>
    <w:rsid w:val="000475D2"/>
    <w:rsid w:val="0004782A"/>
    <w:rsid w:val="00047A02"/>
    <w:rsid w:val="00047A51"/>
    <w:rsid w:val="00047A54"/>
    <w:rsid w:val="00047A9D"/>
    <w:rsid w:val="00047BB9"/>
    <w:rsid w:val="00047BC6"/>
    <w:rsid w:val="00047C11"/>
    <w:rsid w:val="00047D6A"/>
    <w:rsid w:val="0005000E"/>
    <w:rsid w:val="0005011D"/>
    <w:rsid w:val="0005024C"/>
    <w:rsid w:val="00050277"/>
    <w:rsid w:val="000503B5"/>
    <w:rsid w:val="000504C4"/>
    <w:rsid w:val="000505D8"/>
    <w:rsid w:val="000505E1"/>
    <w:rsid w:val="00050739"/>
    <w:rsid w:val="000507CA"/>
    <w:rsid w:val="000508FA"/>
    <w:rsid w:val="00050925"/>
    <w:rsid w:val="00050AC8"/>
    <w:rsid w:val="00050B58"/>
    <w:rsid w:val="00050CD3"/>
    <w:rsid w:val="00050E3D"/>
    <w:rsid w:val="00050F57"/>
    <w:rsid w:val="00050F6A"/>
    <w:rsid w:val="000510FE"/>
    <w:rsid w:val="0005135E"/>
    <w:rsid w:val="000514C8"/>
    <w:rsid w:val="00051890"/>
    <w:rsid w:val="00051936"/>
    <w:rsid w:val="0005196F"/>
    <w:rsid w:val="00051B72"/>
    <w:rsid w:val="00051BD3"/>
    <w:rsid w:val="00051BFD"/>
    <w:rsid w:val="00051C29"/>
    <w:rsid w:val="00051C8B"/>
    <w:rsid w:val="0005217F"/>
    <w:rsid w:val="00052182"/>
    <w:rsid w:val="000523AC"/>
    <w:rsid w:val="0005252E"/>
    <w:rsid w:val="000525A4"/>
    <w:rsid w:val="000525C8"/>
    <w:rsid w:val="00052634"/>
    <w:rsid w:val="00052804"/>
    <w:rsid w:val="000528A5"/>
    <w:rsid w:val="000528C3"/>
    <w:rsid w:val="00052A59"/>
    <w:rsid w:val="00052AF5"/>
    <w:rsid w:val="00052B20"/>
    <w:rsid w:val="00052B34"/>
    <w:rsid w:val="00052B52"/>
    <w:rsid w:val="00052BC4"/>
    <w:rsid w:val="00052BC7"/>
    <w:rsid w:val="00052C65"/>
    <w:rsid w:val="00052E3B"/>
    <w:rsid w:val="00052FF0"/>
    <w:rsid w:val="00053058"/>
    <w:rsid w:val="00053131"/>
    <w:rsid w:val="0005331E"/>
    <w:rsid w:val="0005338F"/>
    <w:rsid w:val="00053443"/>
    <w:rsid w:val="00053691"/>
    <w:rsid w:val="0005380E"/>
    <w:rsid w:val="00053955"/>
    <w:rsid w:val="00053A42"/>
    <w:rsid w:val="00053A5E"/>
    <w:rsid w:val="00053B2A"/>
    <w:rsid w:val="00053B44"/>
    <w:rsid w:val="00053B90"/>
    <w:rsid w:val="00053D13"/>
    <w:rsid w:val="00053DB5"/>
    <w:rsid w:val="00053E4C"/>
    <w:rsid w:val="00053FCB"/>
    <w:rsid w:val="00053FE6"/>
    <w:rsid w:val="00053FFF"/>
    <w:rsid w:val="000541F9"/>
    <w:rsid w:val="00054225"/>
    <w:rsid w:val="00054288"/>
    <w:rsid w:val="000542EC"/>
    <w:rsid w:val="00054312"/>
    <w:rsid w:val="00054525"/>
    <w:rsid w:val="00054553"/>
    <w:rsid w:val="000546F5"/>
    <w:rsid w:val="00054882"/>
    <w:rsid w:val="00054AF2"/>
    <w:rsid w:val="00054AF4"/>
    <w:rsid w:val="00054AFE"/>
    <w:rsid w:val="00054B44"/>
    <w:rsid w:val="00054C28"/>
    <w:rsid w:val="00054CA4"/>
    <w:rsid w:val="00054CD9"/>
    <w:rsid w:val="00054D5E"/>
    <w:rsid w:val="00054E3B"/>
    <w:rsid w:val="00054F36"/>
    <w:rsid w:val="000550D9"/>
    <w:rsid w:val="00055380"/>
    <w:rsid w:val="00055414"/>
    <w:rsid w:val="00055421"/>
    <w:rsid w:val="0005563E"/>
    <w:rsid w:val="0005567B"/>
    <w:rsid w:val="000556CA"/>
    <w:rsid w:val="000556E7"/>
    <w:rsid w:val="000558B0"/>
    <w:rsid w:val="00055A13"/>
    <w:rsid w:val="00055BB5"/>
    <w:rsid w:val="00055BB6"/>
    <w:rsid w:val="00055D4D"/>
    <w:rsid w:val="00055E0F"/>
    <w:rsid w:val="00055E16"/>
    <w:rsid w:val="00055E4A"/>
    <w:rsid w:val="00055FB5"/>
    <w:rsid w:val="000560F4"/>
    <w:rsid w:val="00056122"/>
    <w:rsid w:val="0005612B"/>
    <w:rsid w:val="000561F0"/>
    <w:rsid w:val="00056283"/>
    <w:rsid w:val="00056445"/>
    <w:rsid w:val="000564DF"/>
    <w:rsid w:val="00056566"/>
    <w:rsid w:val="00056579"/>
    <w:rsid w:val="0005690D"/>
    <w:rsid w:val="00056A8F"/>
    <w:rsid w:val="00056A95"/>
    <w:rsid w:val="00056BC1"/>
    <w:rsid w:val="00056C1D"/>
    <w:rsid w:val="00056D12"/>
    <w:rsid w:val="00056DB0"/>
    <w:rsid w:val="00056E09"/>
    <w:rsid w:val="00056E97"/>
    <w:rsid w:val="00056F37"/>
    <w:rsid w:val="00056F75"/>
    <w:rsid w:val="00056FB3"/>
    <w:rsid w:val="000570CC"/>
    <w:rsid w:val="000570E1"/>
    <w:rsid w:val="000570FD"/>
    <w:rsid w:val="00057334"/>
    <w:rsid w:val="0005734C"/>
    <w:rsid w:val="00057457"/>
    <w:rsid w:val="00057548"/>
    <w:rsid w:val="00057861"/>
    <w:rsid w:val="000578A0"/>
    <w:rsid w:val="00057922"/>
    <w:rsid w:val="0005794E"/>
    <w:rsid w:val="000579FA"/>
    <w:rsid w:val="00057B8F"/>
    <w:rsid w:val="00057C09"/>
    <w:rsid w:val="00057DE0"/>
    <w:rsid w:val="00057EEB"/>
    <w:rsid w:val="00057F87"/>
    <w:rsid w:val="000600D2"/>
    <w:rsid w:val="000601FA"/>
    <w:rsid w:val="00060233"/>
    <w:rsid w:val="000603A3"/>
    <w:rsid w:val="00060486"/>
    <w:rsid w:val="000604AC"/>
    <w:rsid w:val="00060523"/>
    <w:rsid w:val="0006052A"/>
    <w:rsid w:val="00060575"/>
    <w:rsid w:val="0006057D"/>
    <w:rsid w:val="0006058D"/>
    <w:rsid w:val="00060633"/>
    <w:rsid w:val="000606F1"/>
    <w:rsid w:val="0006086F"/>
    <w:rsid w:val="00060A59"/>
    <w:rsid w:val="00060AE8"/>
    <w:rsid w:val="00060C3B"/>
    <w:rsid w:val="00060D2D"/>
    <w:rsid w:val="00060DF9"/>
    <w:rsid w:val="00060E12"/>
    <w:rsid w:val="00060E94"/>
    <w:rsid w:val="00060F6B"/>
    <w:rsid w:val="00060F70"/>
    <w:rsid w:val="00060F7A"/>
    <w:rsid w:val="00060F86"/>
    <w:rsid w:val="00060F89"/>
    <w:rsid w:val="000610F5"/>
    <w:rsid w:val="0006136E"/>
    <w:rsid w:val="000616F0"/>
    <w:rsid w:val="0006185E"/>
    <w:rsid w:val="0006191E"/>
    <w:rsid w:val="000619F4"/>
    <w:rsid w:val="00061BB8"/>
    <w:rsid w:val="00061C9B"/>
    <w:rsid w:val="00061D35"/>
    <w:rsid w:val="00061D49"/>
    <w:rsid w:val="00061EDD"/>
    <w:rsid w:val="00061F19"/>
    <w:rsid w:val="00062003"/>
    <w:rsid w:val="00062092"/>
    <w:rsid w:val="000620D5"/>
    <w:rsid w:val="000620DE"/>
    <w:rsid w:val="0006217C"/>
    <w:rsid w:val="00062283"/>
    <w:rsid w:val="00062623"/>
    <w:rsid w:val="0006272A"/>
    <w:rsid w:val="00062830"/>
    <w:rsid w:val="00062937"/>
    <w:rsid w:val="00062965"/>
    <w:rsid w:val="0006298E"/>
    <w:rsid w:val="000629A5"/>
    <w:rsid w:val="00062A16"/>
    <w:rsid w:val="00062A44"/>
    <w:rsid w:val="00062AC6"/>
    <w:rsid w:val="00062AE6"/>
    <w:rsid w:val="00062C65"/>
    <w:rsid w:val="00062E28"/>
    <w:rsid w:val="00062ECE"/>
    <w:rsid w:val="0006306A"/>
    <w:rsid w:val="000630AF"/>
    <w:rsid w:val="0006314C"/>
    <w:rsid w:val="000632ED"/>
    <w:rsid w:val="00063415"/>
    <w:rsid w:val="00063441"/>
    <w:rsid w:val="000635F3"/>
    <w:rsid w:val="0006371C"/>
    <w:rsid w:val="0006382B"/>
    <w:rsid w:val="0006392D"/>
    <w:rsid w:val="00063B07"/>
    <w:rsid w:val="00063B82"/>
    <w:rsid w:val="00063C53"/>
    <w:rsid w:val="00063CC4"/>
    <w:rsid w:val="00063DBC"/>
    <w:rsid w:val="00063E62"/>
    <w:rsid w:val="00063ECB"/>
    <w:rsid w:val="00064132"/>
    <w:rsid w:val="0006413F"/>
    <w:rsid w:val="000641A2"/>
    <w:rsid w:val="000641FA"/>
    <w:rsid w:val="0006424F"/>
    <w:rsid w:val="000642A8"/>
    <w:rsid w:val="000642A9"/>
    <w:rsid w:val="000643BD"/>
    <w:rsid w:val="000643DF"/>
    <w:rsid w:val="000646C2"/>
    <w:rsid w:val="0006474B"/>
    <w:rsid w:val="0006478C"/>
    <w:rsid w:val="00064838"/>
    <w:rsid w:val="0006492D"/>
    <w:rsid w:val="00064AB4"/>
    <w:rsid w:val="00064AED"/>
    <w:rsid w:val="00064AF0"/>
    <w:rsid w:val="00064B3A"/>
    <w:rsid w:val="00064D4B"/>
    <w:rsid w:val="0006502F"/>
    <w:rsid w:val="0006503C"/>
    <w:rsid w:val="00065186"/>
    <w:rsid w:val="0006530C"/>
    <w:rsid w:val="000653E5"/>
    <w:rsid w:val="000653EB"/>
    <w:rsid w:val="000655C8"/>
    <w:rsid w:val="000656EB"/>
    <w:rsid w:val="000657B9"/>
    <w:rsid w:val="0006584F"/>
    <w:rsid w:val="000658A6"/>
    <w:rsid w:val="00065B2E"/>
    <w:rsid w:val="00065BBB"/>
    <w:rsid w:val="00065DB9"/>
    <w:rsid w:val="00065E12"/>
    <w:rsid w:val="00065F74"/>
    <w:rsid w:val="00065F90"/>
    <w:rsid w:val="0006617D"/>
    <w:rsid w:val="00066195"/>
    <w:rsid w:val="0006620F"/>
    <w:rsid w:val="0006627D"/>
    <w:rsid w:val="00066400"/>
    <w:rsid w:val="000664B8"/>
    <w:rsid w:val="00066594"/>
    <w:rsid w:val="000665A8"/>
    <w:rsid w:val="0006674B"/>
    <w:rsid w:val="000667B4"/>
    <w:rsid w:val="000667CC"/>
    <w:rsid w:val="000667CF"/>
    <w:rsid w:val="000668AB"/>
    <w:rsid w:val="000668C5"/>
    <w:rsid w:val="000668CA"/>
    <w:rsid w:val="000668D3"/>
    <w:rsid w:val="00066A46"/>
    <w:rsid w:val="00066B0D"/>
    <w:rsid w:val="00066C03"/>
    <w:rsid w:val="00066C34"/>
    <w:rsid w:val="00066F15"/>
    <w:rsid w:val="00066F6B"/>
    <w:rsid w:val="0006702D"/>
    <w:rsid w:val="00067169"/>
    <w:rsid w:val="000671D8"/>
    <w:rsid w:val="00067228"/>
    <w:rsid w:val="00067231"/>
    <w:rsid w:val="00067514"/>
    <w:rsid w:val="000675EC"/>
    <w:rsid w:val="0006762C"/>
    <w:rsid w:val="00067648"/>
    <w:rsid w:val="00067741"/>
    <w:rsid w:val="00067832"/>
    <w:rsid w:val="0006785B"/>
    <w:rsid w:val="000678B0"/>
    <w:rsid w:val="000679F1"/>
    <w:rsid w:val="000679FA"/>
    <w:rsid w:val="00067A1A"/>
    <w:rsid w:val="00067A51"/>
    <w:rsid w:val="00067B80"/>
    <w:rsid w:val="00067BDE"/>
    <w:rsid w:val="00067BF6"/>
    <w:rsid w:val="00067CC0"/>
    <w:rsid w:val="00067D97"/>
    <w:rsid w:val="00067D98"/>
    <w:rsid w:val="00070057"/>
    <w:rsid w:val="000701A9"/>
    <w:rsid w:val="00070277"/>
    <w:rsid w:val="00070335"/>
    <w:rsid w:val="00070348"/>
    <w:rsid w:val="000703C2"/>
    <w:rsid w:val="000703E8"/>
    <w:rsid w:val="0007050D"/>
    <w:rsid w:val="00070764"/>
    <w:rsid w:val="000708B0"/>
    <w:rsid w:val="0007099F"/>
    <w:rsid w:val="00070C9C"/>
    <w:rsid w:val="00070DE5"/>
    <w:rsid w:val="00070DED"/>
    <w:rsid w:val="00070F0B"/>
    <w:rsid w:val="00070F4E"/>
    <w:rsid w:val="0007121A"/>
    <w:rsid w:val="00071225"/>
    <w:rsid w:val="0007129A"/>
    <w:rsid w:val="00071321"/>
    <w:rsid w:val="000713F1"/>
    <w:rsid w:val="0007144C"/>
    <w:rsid w:val="0007150C"/>
    <w:rsid w:val="00071526"/>
    <w:rsid w:val="0007169B"/>
    <w:rsid w:val="0007176A"/>
    <w:rsid w:val="00071798"/>
    <w:rsid w:val="000717CF"/>
    <w:rsid w:val="000717D7"/>
    <w:rsid w:val="000718B2"/>
    <w:rsid w:val="000718EA"/>
    <w:rsid w:val="000719EC"/>
    <w:rsid w:val="00071C78"/>
    <w:rsid w:val="00071D3B"/>
    <w:rsid w:val="00071E4A"/>
    <w:rsid w:val="00071E65"/>
    <w:rsid w:val="00071FCE"/>
    <w:rsid w:val="0007210A"/>
    <w:rsid w:val="000721E9"/>
    <w:rsid w:val="000722CE"/>
    <w:rsid w:val="0007243D"/>
    <w:rsid w:val="000724B7"/>
    <w:rsid w:val="0007256C"/>
    <w:rsid w:val="0007288A"/>
    <w:rsid w:val="000729DC"/>
    <w:rsid w:val="00072B02"/>
    <w:rsid w:val="00072BEA"/>
    <w:rsid w:val="00072DEE"/>
    <w:rsid w:val="00072F60"/>
    <w:rsid w:val="00073055"/>
    <w:rsid w:val="00073099"/>
    <w:rsid w:val="000731C1"/>
    <w:rsid w:val="0007332B"/>
    <w:rsid w:val="000733BB"/>
    <w:rsid w:val="000733DF"/>
    <w:rsid w:val="000735CD"/>
    <w:rsid w:val="00073638"/>
    <w:rsid w:val="000736BE"/>
    <w:rsid w:val="000736FA"/>
    <w:rsid w:val="0007388A"/>
    <w:rsid w:val="000738D8"/>
    <w:rsid w:val="0007393A"/>
    <w:rsid w:val="00073AF7"/>
    <w:rsid w:val="00073B9F"/>
    <w:rsid w:val="00073BBE"/>
    <w:rsid w:val="00073C0D"/>
    <w:rsid w:val="00073CA4"/>
    <w:rsid w:val="00073FA4"/>
    <w:rsid w:val="000740D1"/>
    <w:rsid w:val="0007415A"/>
    <w:rsid w:val="00074190"/>
    <w:rsid w:val="00074295"/>
    <w:rsid w:val="000743B4"/>
    <w:rsid w:val="0007446D"/>
    <w:rsid w:val="0007447E"/>
    <w:rsid w:val="00074555"/>
    <w:rsid w:val="00074622"/>
    <w:rsid w:val="000746F8"/>
    <w:rsid w:val="0007477A"/>
    <w:rsid w:val="000747A4"/>
    <w:rsid w:val="00074875"/>
    <w:rsid w:val="00074899"/>
    <w:rsid w:val="00074CAE"/>
    <w:rsid w:val="00074DB0"/>
    <w:rsid w:val="00074E2F"/>
    <w:rsid w:val="0007507A"/>
    <w:rsid w:val="0007512D"/>
    <w:rsid w:val="000751C1"/>
    <w:rsid w:val="00075358"/>
    <w:rsid w:val="000754C8"/>
    <w:rsid w:val="00075557"/>
    <w:rsid w:val="000755F4"/>
    <w:rsid w:val="00075A63"/>
    <w:rsid w:val="00075B77"/>
    <w:rsid w:val="00075BCD"/>
    <w:rsid w:val="00075D00"/>
    <w:rsid w:val="00075DBB"/>
    <w:rsid w:val="00075E69"/>
    <w:rsid w:val="00075EA1"/>
    <w:rsid w:val="00075FCD"/>
    <w:rsid w:val="00076074"/>
    <w:rsid w:val="000760ED"/>
    <w:rsid w:val="00076278"/>
    <w:rsid w:val="000762B0"/>
    <w:rsid w:val="00076313"/>
    <w:rsid w:val="000763BA"/>
    <w:rsid w:val="00076402"/>
    <w:rsid w:val="00076476"/>
    <w:rsid w:val="0007673B"/>
    <w:rsid w:val="00076804"/>
    <w:rsid w:val="00076A22"/>
    <w:rsid w:val="00076B59"/>
    <w:rsid w:val="00076B74"/>
    <w:rsid w:val="00076D4E"/>
    <w:rsid w:val="00076EDD"/>
    <w:rsid w:val="00076EFA"/>
    <w:rsid w:val="00076FAF"/>
    <w:rsid w:val="00077020"/>
    <w:rsid w:val="0007713C"/>
    <w:rsid w:val="000771C0"/>
    <w:rsid w:val="00077287"/>
    <w:rsid w:val="00077344"/>
    <w:rsid w:val="000775AE"/>
    <w:rsid w:val="00077611"/>
    <w:rsid w:val="000776F3"/>
    <w:rsid w:val="000779DB"/>
    <w:rsid w:val="00077AE3"/>
    <w:rsid w:val="00077B10"/>
    <w:rsid w:val="00077B2F"/>
    <w:rsid w:val="00077C1C"/>
    <w:rsid w:val="00077D63"/>
    <w:rsid w:val="00077D82"/>
    <w:rsid w:val="00077DB0"/>
    <w:rsid w:val="00077E66"/>
    <w:rsid w:val="00077F6A"/>
    <w:rsid w:val="0007C582"/>
    <w:rsid w:val="00080087"/>
    <w:rsid w:val="0008010D"/>
    <w:rsid w:val="0008018D"/>
    <w:rsid w:val="000801CB"/>
    <w:rsid w:val="000802BF"/>
    <w:rsid w:val="0008037D"/>
    <w:rsid w:val="000803E2"/>
    <w:rsid w:val="00080441"/>
    <w:rsid w:val="00080556"/>
    <w:rsid w:val="00080739"/>
    <w:rsid w:val="000807D2"/>
    <w:rsid w:val="000807F5"/>
    <w:rsid w:val="000809D6"/>
    <w:rsid w:val="00080CE9"/>
    <w:rsid w:val="00080D15"/>
    <w:rsid w:val="00080E0F"/>
    <w:rsid w:val="00080E9C"/>
    <w:rsid w:val="00080F99"/>
    <w:rsid w:val="00080FFF"/>
    <w:rsid w:val="00081044"/>
    <w:rsid w:val="00081245"/>
    <w:rsid w:val="000814CB"/>
    <w:rsid w:val="00081690"/>
    <w:rsid w:val="00081805"/>
    <w:rsid w:val="0008185E"/>
    <w:rsid w:val="00081938"/>
    <w:rsid w:val="00081941"/>
    <w:rsid w:val="00081982"/>
    <w:rsid w:val="00081AC1"/>
    <w:rsid w:val="00081AE2"/>
    <w:rsid w:val="00081B11"/>
    <w:rsid w:val="00081B55"/>
    <w:rsid w:val="00081BB8"/>
    <w:rsid w:val="00081D3F"/>
    <w:rsid w:val="0008205C"/>
    <w:rsid w:val="000821B7"/>
    <w:rsid w:val="000822EB"/>
    <w:rsid w:val="00082371"/>
    <w:rsid w:val="000823A8"/>
    <w:rsid w:val="000823AD"/>
    <w:rsid w:val="00082433"/>
    <w:rsid w:val="0008249A"/>
    <w:rsid w:val="000826ED"/>
    <w:rsid w:val="00082817"/>
    <w:rsid w:val="00082918"/>
    <w:rsid w:val="00082A6A"/>
    <w:rsid w:val="00082A71"/>
    <w:rsid w:val="00082BCB"/>
    <w:rsid w:val="00082C16"/>
    <w:rsid w:val="00082CB7"/>
    <w:rsid w:val="00082CC1"/>
    <w:rsid w:val="00082E67"/>
    <w:rsid w:val="000830B3"/>
    <w:rsid w:val="0008310A"/>
    <w:rsid w:val="000831A3"/>
    <w:rsid w:val="000831E0"/>
    <w:rsid w:val="00083275"/>
    <w:rsid w:val="000832C2"/>
    <w:rsid w:val="00083376"/>
    <w:rsid w:val="0008340C"/>
    <w:rsid w:val="00083424"/>
    <w:rsid w:val="00083546"/>
    <w:rsid w:val="0008371D"/>
    <w:rsid w:val="0008375D"/>
    <w:rsid w:val="00083859"/>
    <w:rsid w:val="00083898"/>
    <w:rsid w:val="000838A7"/>
    <w:rsid w:val="00083911"/>
    <w:rsid w:val="00083969"/>
    <w:rsid w:val="0008399B"/>
    <w:rsid w:val="000839B2"/>
    <w:rsid w:val="00083B70"/>
    <w:rsid w:val="00083D3E"/>
    <w:rsid w:val="00083F72"/>
    <w:rsid w:val="00083FAB"/>
    <w:rsid w:val="00084079"/>
    <w:rsid w:val="0008444C"/>
    <w:rsid w:val="000846FB"/>
    <w:rsid w:val="000847D1"/>
    <w:rsid w:val="000848E7"/>
    <w:rsid w:val="00084915"/>
    <w:rsid w:val="00084ABC"/>
    <w:rsid w:val="00084AD9"/>
    <w:rsid w:val="00084BB4"/>
    <w:rsid w:val="00084CE6"/>
    <w:rsid w:val="00084D43"/>
    <w:rsid w:val="00084DEC"/>
    <w:rsid w:val="00084FA2"/>
    <w:rsid w:val="00084FB5"/>
    <w:rsid w:val="0008500B"/>
    <w:rsid w:val="00085026"/>
    <w:rsid w:val="0008503E"/>
    <w:rsid w:val="00085083"/>
    <w:rsid w:val="000850DD"/>
    <w:rsid w:val="00085485"/>
    <w:rsid w:val="000854E8"/>
    <w:rsid w:val="00085526"/>
    <w:rsid w:val="00085541"/>
    <w:rsid w:val="000855B1"/>
    <w:rsid w:val="0008564E"/>
    <w:rsid w:val="0008565F"/>
    <w:rsid w:val="00085726"/>
    <w:rsid w:val="000857BB"/>
    <w:rsid w:val="000859E1"/>
    <w:rsid w:val="00085D20"/>
    <w:rsid w:val="00085D45"/>
    <w:rsid w:val="00085D6F"/>
    <w:rsid w:val="00085E1E"/>
    <w:rsid w:val="00085E9B"/>
    <w:rsid w:val="00086004"/>
    <w:rsid w:val="000860BC"/>
    <w:rsid w:val="00086261"/>
    <w:rsid w:val="00086326"/>
    <w:rsid w:val="00086329"/>
    <w:rsid w:val="00086407"/>
    <w:rsid w:val="0008644A"/>
    <w:rsid w:val="00086478"/>
    <w:rsid w:val="00086497"/>
    <w:rsid w:val="00086519"/>
    <w:rsid w:val="000867B7"/>
    <w:rsid w:val="000868D1"/>
    <w:rsid w:val="000868D6"/>
    <w:rsid w:val="00086926"/>
    <w:rsid w:val="0008695E"/>
    <w:rsid w:val="00086A9D"/>
    <w:rsid w:val="00086D59"/>
    <w:rsid w:val="00086EA8"/>
    <w:rsid w:val="0008701C"/>
    <w:rsid w:val="000870AC"/>
    <w:rsid w:val="0008714E"/>
    <w:rsid w:val="00087239"/>
    <w:rsid w:val="0008726E"/>
    <w:rsid w:val="000873C2"/>
    <w:rsid w:val="00087571"/>
    <w:rsid w:val="0008766F"/>
    <w:rsid w:val="00087692"/>
    <w:rsid w:val="0008772A"/>
    <w:rsid w:val="000877E6"/>
    <w:rsid w:val="0008795B"/>
    <w:rsid w:val="00087A30"/>
    <w:rsid w:val="00087B52"/>
    <w:rsid w:val="00087C8D"/>
    <w:rsid w:val="00087CC4"/>
    <w:rsid w:val="00087D2C"/>
    <w:rsid w:val="00087DCD"/>
    <w:rsid w:val="00087DF7"/>
    <w:rsid w:val="00087E08"/>
    <w:rsid w:val="00087ED5"/>
    <w:rsid w:val="00087FA3"/>
    <w:rsid w:val="0009006A"/>
    <w:rsid w:val="00090113"/>
    <w:rsid w:val="00090199"/>
    <w:rsid w:val="000901B2"/>
    <w:rsid w:val="00090428"/>
    <w:rsid w:val="000904B3"/>
    <w:rsid w:val="00090510"/>
    <w:rsid w:val="00090673"/>
    <w:rsid w:val="000908B1"/>
    <w:rsid w:val="00090A33"/>
    <w:rsid w:val="00090B5F"/>
    <w:rsid w:val="00090BB0"/>
    <w:rsid w:val="00090C04"/>
    <w:rsid w:val="00090C16"/>
    <w:rsid w:val="00090D23"/>
    <w:rsid w:val="00090D4D"/>
    <w:rsid w:val="00090EA0"/>
    <w:rsid w:val="00090F0D"/>
    <w:rsid w:val="00091095"/>
    <w:rsid w:val="000910C5"/>
    <w:rsid w:val="000911A6"/>
    <w:rsid w:val="000912B5"/>
    <w:rsid w:val="00091454"/>
    <w:rsid w:val="000914C1"/>
    <w:rsid w:val="00091619"/>
    <w:rsid w:val="0009176D"/>
    <w:rsid w:val="000918D3"/>
    <w:rsid w:val="00091B1C"/>
    <w:rsid w:val="00091B4C"/>
    <w:rsid w:val="00091C72"/>
    <w:rsid w:val="00091D03"/>
    <w:rsid w:val="0009202F"/>
    <w:rsid w:val="00092047"/>
    <w:rsid w:val="000921B4"/>
    <w:rsid w:val="000921EE"/>
    <w:rsid w:val="000923E3"/>
    <w:rsid w:val="0009241C"/>
    <w:rsid w:val="000924F5"/>
    <w:rsid w:val="000925F5"/>
    <w:rsid w:val="00092644"/>
    <w:rsid w:val="00092721"/>
    <w:rsid w:val="0009272D"/>
    <w:rsid w:val="00092765"/>
    <w:rsid w:val="0009279A"/>
    <w:rsid w:val="000927D1"/>
    <w:rsid w:val="000927F2"/>
    <w:rsid w:val="0009281E"/>
    <w:rsid w:val="000929FC"/>
    <w:rsid w:val="00092BEE"/>
    <w:rsid w:val="00092C8A"/>
    <w:rsid w:val="00092D2D"/>
    <w:rsid w:val="00092EC1"/>
    <w:rsid w:val="0009308D"/>
    <w:rsid w:val="00093395"/>
    <w:rsid w:val="00093449"/>
    <w:rsid w:val="0009361C"/>
    <w:rsid w:val="0009386F"/>
    <w:rsid w:val="00093951"/>
    <w:rsid w:val="00093E5A"/>
    <w:rsid w:val="00093F08"/>
    <w:rsid w:val="00093FCF"/>
    <w:rsid w:val="0009401B"/>
    <w:rsid w:val="000942B5"/>
    <w:rsid w:val="0009454A"/>
    <w:rsid w:val="00094702"/>
    <w:rsid w:val="00094738"/>
    <w:rsid w:val="00094915"/>
    <w:rsid w:val="000949B7"/>
    <w:rsid w:val="000949FA"/>
    <w:rsid w:val="00094B44"/>
    <w:rsid w:val="00094BBB"/>
    <w:rsid w:val="00094C3F"/>
    <w:rsid w:val="00094DAF"/>
    <w:rsid w:val="00094F25"/>
    <w:rsid w:val="000950EB"/>
    <w:rsid w:val="00095117"/>
    <w:rsid w:val="000951BE"/>
    <w:rsid w:val="00095290"/>
    <w:rsid w:val="0009531D"/>
    <w:rsid w:val="00095396"/>
    <w:rsid w:val="000953D9"/>
    <w:rsid w:val="000953FA"/>
    <w:rsid w:val="00095431"/>
    <w:rsid w:val="0009553B"/>
    <w:rsid w:val="0009558B"/>
    <w:rsid w:val="000958A2"/>
    <w:rsid w:val="00095A38"/>
    <w:rsid w:val="00095A49"/>
    <w:rsid w:val="00095AC2"/>
    <w:rsid w:val="00095B3D"/>
    <w:rsid w:val="00095BF0"/>
    <w:rsid w:val="00095CA8"/>
    <w:rsid w:val="00095CCA"/>
    <w:rsid w:val="00095D25"/>
    <w:rsid w:val="00095DE1"/>
    <w:rsid w:val="00095F2F"/>
    <w:rsid w:val="00096232"/>
    <w:rsid w:val="000962C2"/>
    <w:rsid w:val="000962F7"/>
    <w:rsid w:val="00096321"/>
    <w:rsid w:val="000963FF"/>
    <w:rsid w:val="00096430"/>
    <w:rsid w:val="000966D8"/>
    <w:rsid w:val="00096925"/>
    <w:rsid w:val="00096BF3"/>
    <w:rsid w:val="00096CDF"/>
    <w:rsid w:val="00096CFE"/>
    <w:rsid w:val="00096D73"/>
    <w:rsid w:val="00096E83"/>
    <w:rsid w:val="00096F01"/>
    <w:rsid w:val="00096FEA"/>
    <w:rsid w:val="00097068"/>
    <w:rsid w:val="000970C5"/>
    <w:rsid w:val="0009728F"/>
    <w:rsid w:val="000973B1"/>
    <w:rsid w:val="000973F8"/>
    <w:rsid w:val="00097695"/>
    <w:rsid w:val="00097748"/>
    <w:rsid w:val="000977A3"/>
    <w:rsid w:val="00097845"/>
    <w:rsid w:val="00097854"/>
    <w:rsid w:val="0009785C"/>
    <w:rsid w:val="00097A02"/>
    <w:rsid w:val="00097A3E"/>
    <w:rsid w:val="00097B0A"/>
    <w:rsid w:val="00097B7A"/>
    <w:rsid w:val="00097CBF"/>
    <w:rsid w:val="00097D11"/>
    <w:rsid w:val="00097D12"/>
    <w:rsid w:val="00097E21"/>
    <w:rsid w:val="00097E85"/>
    <w:rsid w:val="00097F31"/>
    <w:rsid w:val="000A00B3"/>
    <w:rsid w:val="000A0126"/>
    <w:rsid w:val="000A01D0"/>
    <w:rsid w:val="000A01E8"/>
    <w:rsid w:val="000A030D"/>
    <w:rsid w:val="000A0654"/>
    <w:rsid w:val="000A066F"/>
    <w:rsid w:val="000A0A3B"/>
    <w:rsid w:val="000A0AEF"/>
    <w:rsid w:val="000A0B24"/>
    <w:rsid w:val="000A0BA9"/>
    <w:rsid w:val="000A0BBC"/>
    <w:rsid w:val="000A0BE5"/>
    <w:rsid w:val="000A0C44"/>
    <w:rsid w:val="000A0C6D"/>
    <w:rsid w:val="000A0F48"/>
    <w:rsid w:val="000A1024"/>
    <w:rsid w:val="000A1137"/>
    <w:rsid w:val="000A1357"/>
    <w:rsid w:val="000A1371"/>
    <w:rsid w:val="000A13FE"/>
    <w:rsid w:val="000A14AA"/>
    <w:rsid w:val="000A153F"/>
    <w:rsid w:val="000A1551"/>
    <w:rsid w:val="000A15B5"/>
    <w:rsid w:val="000A162C"/>
    <w:rsid w:val="000A1705"/>
    <w:rsid w:val="000A1774"/>
    <w:rsid w:val="000A1876"/>
    <w:rsid w:val="000A1918"/>
    <w:rsid w:val="000A19A7"/>
    <w:rsid w:val="000A1B41"/>
    <w:rsid w:val="000A1B6F"/>
    <w:rsid w:val="000A1C76"/>
    <w:rsid w:val="000A1CD9"/>
    <w:rsid w:val="000A1D4F"/>
    <w:rsid w:val="000A1ECB"/>
    <w:rsid w:val="000A1FC3"/>
    <w:rsid w:val="000A2075"/>
    <w:rsid w:val="000A20CE"/>
    <w:rsid w:val="000A220B"/>
    <w:rsid w:val="000A23DB"/>
    <w:rsid w:val="000A24F1"/>
    <w:rsid w:val="000A2541"/>
    <w:rsid w:val="000A26CB"/>
    <w:rsid w:val="000A26FD"/>
    <w:rsid w:val="000A27D2"/>
    <w:rsid w:val="000A2976"/>
    <w:rsid w:val="000A29B1"/>
    <w:rsid w:val="000A2A29"/>
    <w:rsid w:val="000A2AFE"/>
    <w:rsid w:val="000A2B91"/>
    <w:rsid w:val="000A2E02"/>
    <w:rsid w:val="000A2E76"/>
    <w:rsid w:val="000A2F1C"/>
    <w:rsid w:val="000A2F9F"/>
    <w:rsid w:val="000A3183"/>
    <w:rsid w:val="000A3329"/>
    <w:rsid w:val="000A3705"/>
    <w:rsid w:val="000A3C0B"/>
    <w:rsid w:val="000A3C9A"/>
    <w:rsid w:val="000A3CF7"/>
    <w:rsid w:val="000A3EF9"/>
    <w:rsid w:val="000A3F97"/>
    <w:rsid w:val="000A4260"/>
    <w:rsid w:val="000A426E"/>
    <w:rsid w:val="000A42C3"/>
    <w:rsid w:val="000A4481"/>
    <w:rsid w:val="000A44D8"/>
    <w:rsid w:val="000A4623"/>
    <w:rsid w:val="000A4658"/>
    <w:rsid w:val="000A4662"/>
    <w:rsid w:val="000A46BD"/>
    <w:rsid w:val="000A476F"/>
    <w:rsid w:val="000A4892"/>
    <w:rsid w:val="000A4938"/>
    <w:rsid w:val="000A4944"/>
    <w:rsid w:val="000A4A88"/>
    <w:rsid w:val="000A4A89"/>
    <w:rsid w:val="000A4C6E"/>
    <w:rsid w:val="000A4EB2"/>
    <w:rsid w:val="000A4EBB"/>
    <w:rsid w:val="000A5105"/>
    <w:rsid w:val="000A521F"/>
    <w:rsid w:val="000A5222"/>
    <w:rsid w:val="000A52E0"/>
    <w:rsid w:val="000A5338"/>
    <w:rsid w:val="000A5339"/>
    <w:rsid w:val="000A53E5"/>
    <w:rsid w:val="000A5443"/>
    <w:rsid w:val="000A5466"/>
    <w:rsid w:val="000A54F1"/>
    <w:rsid w:val="000A551F"/>
    <w:rsid w:val="000A5628"/>
    <w:rsid w:val="000A568D"/>
    <w:rsid w:val="000A578D"/>
    <w:rsid w:val="000A57C8"/>
    <w:rsid w:val="000A5815"/>
    <w:rsid w:val="000A589A"/>
    <w:rsid w:val="000A58F6"/>
    <w:rsid w:val="000A59EB"/>
    <w:rsid w:val="000A5B3E"/>
    <w:rsid w:val="000A5BE9"/>
    <w:rsid w:val="000A5C72"/>
    <w:rsid w:val="000A5DED"/>
    <w:rsid w:val="000A5E20"/>
    <w:rsid w:val="000A5E79"/>
    <w:rsid w:val="000A5EFF"/>
    <w:rsid w:val="000A5F12"/>
    <w:rsid w:val="000A5FD7"/>
    <w:rsid w:val="000A61D8"/>
    <w:rsid w:val="000A6268"/>
    <w:rsid w:val="000A646B"/>
    <w:rsid w:val="000A64F6"/>
    <w:rsid w:val="000A653F"/>
    <w:rsid w:val="000A6655"/>
    <w:rsid w:val="000A6730"/>
    <w:rsid w:val="000A675F"/>
    <w:rsid w:val="000A6836"/>
    <w:rsid w:val="000A687B"/>
    <w:rsid w:val="000A6901"/>
    <w:rsid w:val="000A6988"/>
    <w:rsid w:val="000A6A52"/>
    <w:rsid w:val="000A6A9F"/>
    <w:rsid w:val="000A6BD2"/>
    <w:rsid w:val="000A6C96"/>
    <w:rsid w:val="000A6E14"/>
    <w:rsid w:val="000A7104"/>
    <w:rsid w:val="000A7288"/>
    <w:rsid w:val="000A72B4"/>
    <w:rsid w:val="000A7B08"/>
    <w:rsid w:val="000A7B1C"/>
    <w:rsid w:val="000A7BC8"/>
    <w:rsid w:val="000A7C54"/>
    <w:rsid w:val="000A7D76"/>
    <w:rsid w:val="000A7EBD"/>
    <w:rsid w:val="000B005F"/>
    <w:rsid w:val="000B026B"/>
    <w:rsid w:val="000B0282"/>
    <w:rsid w:val="000B02B2"/>
    <w:rsid w:val="000B044D"/>
    <w:rsid w:val="000B05D6"/>
    <w:rsid w:val="000B07B5"/>
    <w:rsid w:val="000B097A"/>
    <w:rsid w:val="000B0AA2"/>
    <w:rsid w:val="000B0B3F"/>
    <w:rsid w:val="000B0B6E"/>
    <w:rsid w:val="000B0B8E"/>
    <w:rsid w:val="000B0BF0"/>
    <w:rsid w:val="000B0D76"/>
    <w:rsid w:val="000B0E13"/>
    <w:rsid w:val="000B0F69"/>
    <w:rsid w:val="000B11D1"/>
    <w:rsid w:val="000B11E0"/>
    <w:rsid w:val="000B1230"/>
    <w:rsid w:val="000B1269"/>
    <w:rsid w:val="000B12A9"/>
    <w:rsid w:val="000B12C1"/>
    <w:rsid w:val="000B13B4"/>
    <w:rsid w:val="000B1428"/>
    <w:rsid w:val="000B15ED"/>
    <w:rsid w:val="000B1657"/>
    <w:rsid w:val="000B17AB"/>
    <w:rsid w:val="000B17FC"/>
    <w:rsid w:val="000B199D"/>
    <w:rsid w:val="000B1A79"/>
    <w:rsid w:val="000B1C86"/>
    <w:rsid w:val="000B1E88"/>
    <w:rsid w:val="000B2092"/>
    <w:rsid w:val="000B20E9"/>
    <w:rsid w:val="000B212D"/>
    <w:rsid w:val="000B22C4"/>
    <w:rsid w:val="000B230B"/>
    <w:rsid w:val="000B249A"/>
    <w:rsid w:val="000B2770"/>
    <w:rsid w:val="000B2804"/>
    <w:rsid w:val="000B2A4A"/>
    <w:rsid w:val="000B2AC2"/>
    <w:rsid w:val="000B2B5A"/>
    <w:rsid w:val="000B2B6B"/>
    <w:rsid w:val="000B2C1C"/>
    <w:rsid w:val="000B2D1A"/>
    <w:rsid w:val="000B2E10"/>
    <w:rsid w:val="000B2F15"/>
    <w:rsid w:val="000B2F44"/>
    <w:rsid w:val="000B2FBC"/>
    <w:rsid w:val="000B316D"/>
    <w:rsid w:val="000B31A8"/>
    <w:rsid w:val="000B3254"/>
    <w:rsid w:val="000B32C1"/>
    <w:rsid w:val="000B3302"/>
    <w:rsid w:val="000B338F"/>
    <w:rsid w:val="000B33EC"/>
    <w:rsid w:val="000B3437"/>
    <w:rsid w:val="000B3492"/>
    <w:rsid w:val="000B34A1"/>
    <w:rsid w:val="000B396D"/>
    <w:rsid w:val="000B3B05"/>
    <w:rsid w:val="000B3C7C"/>
    <w:rsid w:val="000B3FF4"/>
    <w:rsid w:val="000B4021"/>
    <w:rsid w:val="000B4169"/>
    <w:rsid w:val="000B438B"/>
    <w:rsid w:val="000B4537"/>
    <w:rsid w:val="000B458A"/>
    <w:rsid w:val="000B461D"/>
    <w:rsid w:val="000B4658"/>
    <w:rsid w:val="000B4673"/>
    <w:rsid w:val="000B4708"/>
    <w:rsid w:val="000B4819"/>
    <w:rsid w:val="000B4AB5"/>
    <w:rsid w:val="000B4C2E"/>
    <w:rsid w:val="000B4C43"/>
    <w:rsid w:val="000B4CA1"/>
    <w:rsid w:val="000B4CBB"/>
    <w:rsid w:val="000B4E1E"/>
    <w:rsid w:val="000B4E20"/>
    <w:rsid w:val="000B4E61"/>
    <w:rsid w:val="000B4F8F"/>
    <w:rsid w:val="000B4FE8"/>
    <w:rsid w:val="000B4FF4"/>
    <w:rsid w:val="000B507A"/>
    <w:rsid w:val="000B510C"/>
    <w:rsid w:val="000B51EC"/>
    <w:rsid w:val="000B524C"/>
    <w:rsid w:val="000B528B"/>
    <w:rsid w:val="000B5493"/>
    <w:rsid w:val="000B5571"/>
    <w:rsid w:val="000B55EF"/>
    <w:rsid w:val="000B5630"/>
    <w:rsid w:val="000B5A00"/>
    <w:rsid w:val="000B5A80"/>
    <w:rsid w:val="000B5ADB"/>
    <w:rsid w:val="000B5B07"/>
    <w:rsid w:val="000B5CF9"/>
    <w:rsid w:val="000B5DA6"/>
    <w:rsid w:val="000B5DE0"/>
    <w:rsid w:val="000B63F4"/>
    <w:rsid w:val="000B6494"/>
    <w:rsid w:val="000B659A"/>
    <w:rsid w:val="000B682A"/>
    <w:rsid w:val="000B6915"/>
    <w:rsid w:val="000B695E"/>
    <w:rsid w:val="000B6B10"/>
    <w:rsid w:val="000B6CAB"/>
    <w:rsid w:val="000B6CB8"/>
    <w:rsid w:val="000B6CD7"/>
    <w:rsid w:val="000B6D1D"/>
    <w:rsid w:val="000B6D83"/>
    <w:rsid w:val="000B6D88"/>
    <w:rsid w:val="000B6EC9"/>
    <w:rsid w:val="000B70C6"/>
    <w:rsid w:val="000B70ED"/>
    <w:rsid w:val="000B71F7"/>
    <w:rsid w:val="000B7373"/>
    <w:rsid w:val="000B7455"/>
    <w:rsid w:val="000B7586"/>
    <w:rsid w:val="000B7654"/>
    <w:rsid w:val="000B7655"/>
    <w:rsid w:val="000B7694"/>
    <w:rsid w:val="000B76D8"/>
    <w:rsid w:val="000B775A"/>
    <w:rsid w:val="000B7790"/>
    <w:rsid w:val="000B7824"/>
    <w:rsid w:val="000B78B4"/>
    <w:rsid w:val="000B796B"/>
    <w:rsid w:val="000B7980"/>
    <w:rsid w:val="000B7C70"/>
    <w:rsid w:val="000B7CDB"/>
    <w:rsid w:val="000B7CF0"/>
    <w:rsid w:val="000B7D04"/>
    <w:rsid w:val="000B7D4D"/>
    <w:rsid w:val="000B7D85"/>
    <w:rsid w:val="000B7DCB"/>
    <w:rsid w:val="000B7E40"/>
    <w:rsid w:val="000B7E56"/>
    <w:rsid w:val="000B7F34"/>
    <w:rsid w:val="000B7F82"/>
    <w:rsid w:val="000C008F"/>
    <w:rsid w:val="000C00E5"/>
    <w:rsid w:val="000C0130"/>
    <w:rsid w:val="000C0131"/>
    <w:rsid w:val="000C0171"/>
    <w:rsid w:val="000C04D7"/>
    <w:rsid w:val="000C0595"/>
    <w:rsid w:val="000C068B"/>
    <w:rsid w:val="000C0761"/>
    <w:rsid w:val="000C0A7C"/>
    <w:rsid w:val="000C0C7A"/>
    <w:rsid w:val="000C0DC3"/>
    <w:rsid w:val="000C0EE7"/>
    <w:rsid w:val="000C0F44"/>
    <w:rsid w:val="000C133E"/>
    <w:rsid w:val="000C13D7"/>
    <w:rsid w:val="000C13EC"/>
    <w:rsid w:val="000C145F"/>
    <w:rsid w:val="000C14EE"/>
    <w:rsid w:val="000C1605"/>
    <w:rsid w:val="000C1696"/>
    <w:rsid w:val="000C1710"/>
    <w:rsid w:val="000C176E"/>
    <w:rsid w:val="000C17AB"/>
    <w:rsid w:val="000C1A2F"/>
    <w:rsid w:val="000C1B69"/>
    <w:rsid w:val="000C1B99"/>
    <w:rsid w:val="000C1D2B"/>
    <w:rsid w:val="000C1D8A"/>
    <w:rsid w:val="000C1E63"/>
    <w:rsid w:val="000C1EB9"/>
    <w:rsid w:val="000C2052"/>
    <w:rsid w:val="000C237A"/>
    <w:rsid w:val="000C2475"/>
    <w:rsid w:val="000C2537"/>
    <w:rsid w:val="000C25A0"/>
    <w:rsid w:val="000C2606"/>
    <w:rsid w:val="000C2680"/>
    <w:rsid w:val="000C2776"/>
    <w:rsid w:val="000C2A4C"/>
    <w:rsid w:val="000C2A8C"/>
    <w:rsid w:val="000C2C21"/>
    <w:rsid w:val="000C2D27"/>
    <w:rsid w:val="000C2E80"/>
    <w:rsid w:val="000C2F30"/>
    <w:rsid w:val="000C2F7D"/>
    <w:rsid w:val="000C2FF3"/>
    <w:rsid w:val="000C3339"/>
    <w:rsid w:val="000C333C"/>
    <w:rsid w:val="000C335F"/>
    <w:rsid w:val="000C33AF"/>
    <w:rsid w:val="000C342F"/>
    <w:rsid w:val="000C34E7"/>
    <w:rsid w:val="000C36E9"/>
    <w:rsid w:val="000C370B"/>
    <w:rsid w:val="000C3718"/>
    <w:rsid w:val="000C377A"/>
    <w:rsid w:val="000C3813"/>
    <w:rsid w:val="000C384E"/>
    <w:rsid w:val="000C3852"/>
    <w:rsid w:val="000C3855"/>
    <w:rsid w:val="000C3892"/>
    <w:rsid w:val="000C3A37"/>
    <w:rsid w:val="000C3A4C"/>
    <w:rsid w:val="000C3A70"/>
    <w:rsid w:val="000C3BEC"/>
    <w:rsid w:val="000C3C20"/>
    <w:rsid w:val="000C3CA2"/>
    <w:rsid w:val="000C3DFC"/>
    <w:rsid w:val="000C3ED0"/>
    <w:rsid w:val="000C4050"/>
    <w:rsid w:val="000C42A6"/>
    <w:rsid w:val="000C4961"/>
    <w:rsid w:val="000C49D9"/>
    <w:rsid w:val="000C4A1A"/>
    <w:rsid w:val="000C4A5F"/>
    <w:rsid w:val="000C4AD9"/>
    <w:rsid w:val="000C4B16"/>
    <w:rsid w:val="000C4C89"/>
    <w:rsid w:val="000C4D48"/>
    <w:rsid w:val="000C4D69"/>
    <w:rsid w:val="000C4EF0"/>
    <w:rsid w:val="000C4FA8"/>
    <w:rsid w:val="000C50F3"/>
    <w:rsid w:val="000C5215"/>
    <w:rsid w:val="000C5237"/>
    <w:rsid w:val="000C5325"/>
    <w:rsid w:val="000C532C"/>
    <w:rsid w:val="000C53CD"/>
    <w:rsid w:val="000C53ED"/>
    <w:rsid w:val="000C5404"/>
    <w:rsid w:val="000C5418"/>
    <w:rsid w:val="000C557B"/>
    <w:rsid w:val="000C559C"/>
    <w:rsid w:val="000C55AA"/>
    <w:rsid w:val="000C58A8"/>
    <w:rsid w:val="000C5947"/>
    <w:rsid w:val="000C5951"/>
    <w:rsid w:val="000C5A90"/>
    <w:rsid w:val="000C5B58"/>
    <w:rsid w:val="000C5B74"/>
    <w:rsid w:val="000C5CA7"/>
    <w:rsid w:val="000C5DE8"/>
    <w:rsid w:val="000C5FDA"/>
    <w:rsid w:val="000C60FC"/>
    <w:rsid w:val="000C6102"/>
    <w:rsid w:val="000C6149"/>
    <w:rsid w:val="000C6184"/>
    <w:rsid w:val="000C6214"/>
    <w:rsid w:val="000C62A5"/>
    <w:rsid w:val="000C64BD"/>
    <w:rsid w:val="000C67D6"/>
    <w:rsid w:val="000C681A"/>
    <w:rsid w:val="000C690F"/>
    <w:rsid w:val="000C6A21"/>
    <w:rsid w:val="000C6ACB"/>
    <w:rsid w:val="000C6B1B"/>
    <w:rsid w:val="000C6BA7"/>
    <w:rsid w:val="000C6C9F"/>
    <w:rsid w:val="000C6F0F"/>
    <w:rsid w:val="000C71B4"/>
    <w:rsid w:val="000C726F"/>
    <w:rsid w:val="000C7730"/>
    <w:rsid w:val="000C77CB"/>
    <w:rsid w:val="000C77FA"/>
    <w:rsid w:val="000C7A0F"/>
    <w:rsid w:val="000C7A1C"/>
    <w:rsid w:val="000C7F82"/>
    <w:rsid w:val="000D003D"/>
    <w:rsid w:val="000D0047"/>
    <w:rsid w:val="000D01D9"/>
    <w:rsid w:val="000D034D"/>
    <w:rsid w:val="000D0593"/>
    <w:rsid w:val="000D0617"/>
    <w:rsid w:val="000D06B9"/>
    <w:rsid w:val="000D0718"/>
    <w:rsid w:val="000D0735"/>
    <w:rsid w:val="000D07F7"/>
    <w:rsid w:val="000D091B"/>
    <w:rsid w:val="000D0943"/>
    <w:rsid w:val="000D0AAD"/>
    <w:rsid w:val="000D0B22"/>
    <w:rsid w:val="000D0D9B"/>
    <w:rsid w:val="000D0F04"/>
    <w:rsid w:val="000D0FB5"/>
    <w:rsid w:val="000D0FF3"/>
    <w:rsid w:val="000D105D"/>
    <w:rsid w:val="000D1065"/>
    <w:rsid w:val="000D13CA"/>
    <w:rsid w:val="000D1403"/>
    <w:rsid w:val="000D1746"/>
    <w:rsid w:val="000D1771"/>
    <w:rsid w:val="000D1959"/>
    <w:rsid w:val="000D1A2D"/>
    <w:rsid w:val="000D1A80"/>
    <w:rsid w:val="000D1BF4"/>
    <w:rsid w:val="000D1C52"/>
    <w:rsid w:val="000D1D75"/>
    <w:rsid w:val="000D1E66"/>
    <w:rsid w:val="000D1EA8"/>
    <w:rsid w:val="000D1F9A"/>
    <w:rsid w:val="000D2066"/>
    <w:rsid w:val="000D2108"/>
    <w:rsid w:val="000D25A1"/>
    <w:rsid w:val="000D27F3"/>
    <w:rsid w:val="000D2819"/>
    <w:rsid w:val="000D2841"/>
    <w:rsid w:val="000D2C64"/>
    <w:rsid w:val="000D2CBB"/>
    <w:rsid w:val="000D2D16"/>
    <w:rsid w:val="000D2DC3"/>
    <w:rsid w:val="000D304D"/>
    <w:rsid w:val="000D30A1"/>
    <w:rsid w:val="000D325F"/>
    <w:rsid w:val="000D332A"/>
    <w:rsid w:val="000D3444"/>
    <w:rsid w:val="000D3460"/>
    <w:rsid w:val="000D360F"/>
    <w:rsid w:val="000D3972"/>
    <w:rsid w:val="000D3A4C"/>
    <w:rsid w:val="000D3AF4"/>
    <w:rsid w:val="000D3D63"/>
    <w:rsid w:val="000D3DFE"/>
    <w:rsid w:val="000D3EB1"/>
    <w:rsid w:val="000D3EE2"/>
    <w:rsid w:val="000D3EEF"/>
    <w:rsid w:val="000D3F09"/>
    <w:rsid w:val="000D40DD"/>
    <w:rsid w:val="000D4145"/>
    <w:rsid w:val="000D418E"/>
    <w:rsid w:val="000D4193"/>
    <w:rsid w:val="000D4397"/>
    <w:rsid w:val="000D43F2"/>
    <w:rsid w:val="000D4432"/>
    <w:rsid w:val="000D444E"/>
    <w:rsid w:val="000D446C"/>
    <w:rsid w:val="000D4630"/>
    <w:rsid w:val="000D47D6"/>
    <w:rsid w:val="000D4829"/>
    <w:rsid w:val="000D4D0C"/>
    <w:rsid w:val="000D4E57"/>
    <w:rsid w:val="000D4E9F"/>
    <w:rsid w:val="000D4EE8"/>
    <w:rsid w:val="000D4FA4"/>
    <w:rsid w:val="000D521C"/>
    <w:rsid w:val="000D5245"/>
    <w:rsid w:val="000D52F4"/>
    <w:rsid w:val="000D551F"/>
    <w:rsid w:val="000D5567"/>
    <w:rsid w:val="000D559A"/>
    <w:rsid w:val="000D55F1"/>
    <w:rsid w:val="000D5812"/>
    <w:rsid w:val="000D5858"/>
    <w:rsid w:val="000D5871"/>
    <w:rsid w:val="000D5875"/>
    <w:rsid w:val="000D58FA"/>
    <w:rsid w:val="000D5B56"/>
    <w:rsid w:val="000D5B7D"/>
    <w:rsid w:val="000D5B9C"/>
    <w:rsid w:val="000D5F65"/>
    <w:rsid w:val="000D608F"/>
    <w:rsid w:val="000D6198"/>
    <w:rsid w:val="000D61D8"/>
    <w:rsid w:val="000D6241"/>
    <w:rsid w:val="000D6359"/>
    <w:rsid w:val="000D635B"/>
    <w:rsid w:val="000D638F"/>
    <w:rsid w:val="000D656F"/>
    <w:rsid w:val="000D66B5"/>
    <w:rsid w:val="000D6884"/>
    <w:rsid w:val="000D68D1"/>
    <w:rsid w:val="000D6A38"/>
    <w:rsid w:val="000D6A51"/>
    <w:rsid w:val="000D6C67"/>
    <w:rsid w:val="000D6CA1"/>
    <w:rsid w:val="000D6E46"/>
    <w:rsid w:val="000D6E58"/>
    <w:rsid w:val="000D7052"/>
    <w:rsid w:val="000D70CD"/>
    <w:rsid w:val="000D7308"/>
    <w:rsid w:val="000D738E"/>
    <w:rsid w:val="000D739F"/>
    <w:rsid w:val="000D73EB"/>
    <w:rsid w:val="000D763D"/>
    <w:rsid w:val="000D7742"/>
    <w:rsid w:val="000D7765"/>
    <w:rsid w:val="000D7B21"/>
    <w:rsid w:val="000D7E3E"/>
    <w:rsid w:val="000D7F8D"/>
    <w:rsid w:val="000E0348"/>
    <w:rsid w:val="000E0360"/>
    <w:rsid w:val="000E03A4"/>
    <w:rsid w:val="000E042C"/>
    <w:rsid w:val="000E0467"/>
    <w:rsid w:val="000E058C"/>
    <w:rsid w:val="000E05B1"/>
    <w:rsid w:val="000E0616"/>
    <w:rsid w:val="000E067F"/>
    <w:rsid w:val="000E0706"/>
    <w:rsid w:val="000E082D"/>
    <w:rsid w:val="000E0A89"/>
    <w:rsid w:val="000E0B4E"/>
    <w:rsid w:val="000E0C49"/>
    <w:rsid w:val="000E0C6A"/>
    <w:rsid w:val="000E0CC0"/>
    <w:rsid w:val="000E0D19"/>
    <w:rsid w:val="000E0E87"/>
    <w:rsid w:val="000E100A"/>
    <w:rsid w:val="000E1017"/>
    <w:rsid w:val="000E10C4"/>
    <w:rsid w:val="000E10DA"/>
    <w:rsid w:val="000E1248"/>
    <w:rsid w:val="000E133A"/>
    <w:rsid w:val="000E1468"/>
    <w:rsid w:val="000E14AF"/>
    <w:rsid w:val="000E1610"/>
    <w:rsid w:val="000E1701"/>
    <w:rsid w:val="000E1749"/>
    <w:rsid w:val="000E17F9"/>
    <w:rsid w:val="000E193D"/>
    <w:rsid w:val="000E1963"/>
    <w:rsid w:val="000E19AF"/>
    <w:rsid w:val="000E19F9"/>
    <w:rsid w:val="000E1B13"/>
    <w:rsid w:val="000E1B5D"/>
    <w:rsid w:val="000E1CAF"/>
    <w:rsid w:val="000E1F53"/>
    <w:rsid w:val="000E2015"/>
    <w:rsid w:val="000E2032"/>
    <w:rsid w:val="000E205E"/>
    <w:rsid w:val="000E2224"/>
    <w:rsid w:val="000E2240"/>
    <w:rsid w:val="000E2263"/>
    <w:rsid w:val="000E22B2"/>
    <w:rsid w:val="000E23A1"/>
    <w:rsid w:val="000E23D4"/>
    <w:rsid w:val="000E24B0"/>
    <w:rsid w:val="000E2691"/>
    <w:rsid w:val="000E2741"/>
    <w:rsid w:val="000E28D3"/>
    <w:rsid w:val="000E2B28"/>
    <w:rsid w:val="000E2CB7"/>
    <w:rsid w:val="000E2DE5"/>
    <w:rsid w:val="000E300E"/>
    <w:rsid w:val="000E3014"/>
    <w:rsid w:val="000E30D9"/>
    <w:rsid w:val="000E3118"/>
    <w:rsid w:val="000E34E1"/>
    <w:rsid w:val="000E3587"/>
    <w:rsid w:val="000E35E1"/>
    <w:rsid w:val="000E379B"/>
    <w:rsid w:val="000E3809"/>
    <w:rsid w:val="000E3821"/>
    <w:rsid w:val="000E3874"/>
    <w:rsid w:val="000E38A9"/>
    <w:rsid w:val="000E3A2C"/>
    <w:rsid w:val="000E3B70"/>
    <w:rsid w:val="000E3D63"/>
    <w:rsid w:val="000E420F"/>
    <w:rsid w:val="000E4272"/>
    <w:rsid w:val="000E442B"/>
    <w:rsid w:val="000E4656"/>
    <w:rsid w:val="000E4772"/>
    <w:rsid w:val="000E4819"/>
    <w:rsid w:val="000E4875"/>
    <w:rsid w:val="000E48E9"/>
    <w:rsid w:val="000E49DC"/>
    <w:rsid w:val="000E4B2F"/>
    <w:rsid w:val="000E4B43"/>
    <w:rsid w:val="000E4B8D"/>
    <w:rsid w:val="000E4E2B"/>
    <w:rsid w:val="000E4FE9"/>
    <w:rsid w:val="000E507C"/>
    <w:rsid w:val="000E53F3"/>
    <w:rsid w:val="000E5470"/>
    <w:rsid w:val="000E5520"/>
    <w:rsid w:val="000E55BA"/>
    <w:rsid w:val="000E55C1"/>
    <w:rsid w:val="000E563F"/>
    <w:rsid w:val="000E5BD7"/>
    <w:rsid w:val="000E5CB8"/>
    <w:rsid w:val="000E5DC6"/>
    <w:rsid w:val="000E5E4F"/>
    <w:rsid w:val="000E5FB4"/>
    <w:rsid w:val="000E5FEF"/>
    <w:rsid w:val="000E6032"/>
    <w:rsid w:val="000E606E"/>
    <w:rsid w:val="000E616B"/>
    <w:rsid w:val="000E6306"/>
    <w:rsid w:val="000E64CC"/>
    <w:rsid w:val="000E674F"/>
    <w:rsid w:val="000E6936"/>
    <w:rsid w:val="000E6A2B"/>
    <w:rsid w:val="000E6ADE"/>
    <w:rsid w:val="000E6B04"/>
    <w:rsid w:val="000E6C19"/>
    <w:rsid w:val="000E6E06"/>
    <w:rsid w:val="000E7088"/>
    <w:rsid w:val="000E710A"/>
    <w:rsid w:val="000E712C"/>
    <w:rsid w:val="000E71C9"/>
    <w:rsid w:val="000E720E"/>
    <w:rsid w:val="000E7306"/>
    <w:rsid w:val="000E7378"/>
    <w:rsid w:val="000E74BE"/>
    <w:rsid w:val="000E791E"/>
    <w:rsid w:val="000E79D0"/>
    <w:rsid w:val="000E7A23"/>
    <w:rsid w:val="000E7A4F"/>
    <w:rsid w:val="000E7B3F"/>
    <w:rsid w:val="000E7B49"/>
    <w:rsid w:val="000E7CDD"/>
    <w:rsid w:val="000E7E12"/>
    <w:rsid w:val="000F00B0"/>
    <w:rsid w:val="000F0109"/>
    <w:rsid w:val="000F0173"/>
    <w:rsid w:val="000F0204"/>
    <w:rsid w:val="000F021E"/>
    <w:rsid w:val="000F022F"/>
    <w:rsid w:val="000F02D1"/>
    <w:rsid w:val="000F0385"/>
    <w:rsid w:val="000F03EB"/>
    <w:rsid w:val="000F0685"/>
    <w:rsid w:val="000F068B"/>
    <w:rsid w:val="000F0876"/>
    <w:rsid w:val="000F0B30"/>
    <w:rsid w:val="000F0BE9"/>
    <w:rsid w:val="000F0C2D"/>
    <w:rsid w:val="000F0F1A"/>
    <w:rsid w:val="000F1127"/>
    <w:rsid w:val="000F112B"/>
    <w:rsid w:val="000F11A7"/>
    <w:rsid w:val="000F1215"/>
    <w:rsid w:val="000F136B"/>
    <w:rsid w:val="000F137A"/>
    <w:rsid w:val="000F137D"/>
    <w:rsid w:val="000F1454"/>
    <w:rsid w:val="000F14AF"/>
    <w:rsid w:val="000F1509"/>
    <w:rsid w:val="000F1663"/>
    <w:rsid w:val="000F1905"/>
    <w:rsid w:val="000F1940"/>
    <w:rsid w:val="000F19AD"/>
    <w:rsid w:val="000F19DE"/>
    <w:rsid w:val="000F1C35"/>
    <w:rsid w:val="000F1E49"/>
    <w:rsid w:val="000F2169"/>
    <w:rsid w:val="000F2297"/>
    <w:rsid w:val="000F24D5"/>
    <w:rsid w:val="000F24EE"/>
    <w:rsid w:val="000F2717"/>
    <w:rsid w:val="000F2828"/>
    <w:rsid w:val="000F285C"/>
    <w:rsid w:val="000F29EF"/>
    <w:rsid w:val="000F2A2F"/>
    <w:rsid w:val="000F2B18"/>
    <w:rsid w:val="000F2C77"/>
    <w:rsid w:val="000F2D15"/>
    <w:rsid w:val="000F307B"/>
    <w:rsid w:val="000F30B0"/>
    <w:rsid w:val="000F3283"/>
    <w:rsid w:val="000F32F6"/>
    <w:rsid w:val="000F3341"/>
    <w:rsid w:val="000F3491"/>
    <w:rsid w:val="000F353F"/>
    <w:rsid w:val="000F35C5"/>
    <w:rsid w:val="000F37B6"/>
    <w:rsid w:val="000F39B8"/>
    <w:rsid w:val="000F3A52"/>
    <w:rsid w:val="000F3C3E"/>
    <w:rsid w:val="000F3CDF"/>
    <w:rsid w:val="000F3D57"/>
    <w:rsid w:val="000F3D5A"/>
    <w:rsid w:val="000F3EA4"/>
    <w:rsid w:val="000F3F69"/>
    <w:rsid w:val="000F45FC"/>
    <w:rsid w:val="000F4656"/>
    <w:rsid w:val="000F4823"/>
    <w:rsid w:val="000F49E9"/>
    <w:rsid w:val="000F4B6B"/>
    <w:rsid w:val="000F4FB1"/>
    <w:rsid w:val="000F50F6"/>
    <w:rsid w:val="000F5150"/>
    <w:rsid w:val="000F521B"/>
    <w:rsid w:val="000F528D"/>
    <w:rsid w:val="000F5313"/>
    <w:rsid w:val="000F536C"/>
    <w:rsid w:val="000F53CD"/>
    <w:rsid w:val="000F542F"/>
    <w:rsid w:val="000F54D4"/>
    <w:rsid w:val="000F54D9"/>
    <w:rsid w:val="000F5517"/>
    <w:rsid w:val="000F5586"/>
    <w:rsid w:val="000F5587"/>
    <w:rsid w:val="000F561F"/>
    <w:rsid w:val="000F5634"/>
    <w:rsid w:val="000F5768"/>
    <w:rsid w:val="000F57B3"/>
    <w:rsid w:val="000F57C6"/>
    <w:rsid w:val="000F57E2"/>
    <w:rsid w:val="000F5863"/>
    <w:rsid w:val="000F587B"/>
    <w:rsid w:val="000F5A76"/>
    <w:rsid w:val="000F5A91"/>
    <w:rsid w:val="000F5AE2"/>
    <w:rsid w:val="000F5BEB"/>
    <w:rsid w:val="000F5DAF"/>
    <w:rsid w:val="000F5E0B"/>
    <w:rsid w:val="000F5E21"/>
    <w:rsid w:val="000F632C"/>
    <w:rsid w:val="000F6484"/>
    <w:rsid w:val="000F658C"/>
    <w:rsid w:val="000F6649"/>
    <w:rsid w:val="000F6655"/>
    <w:rsid w:val="000F671B"/>
    <w:rsid w:val="000F6742"/>
    <w:rsid w:val="000F6808"/>
    <w:rsid w:val="000F6A41"/>
    <w:rsid w:val="000F6B28"/>
    <w:rsid w:val="000F6B4B"/>
    <w:rsid w:val="000F6BC1"/>
    <w:rsid w:val="000F6BC6"/>
    <w:rsid w:val="000F6BFE"/>
    <w:rsid w:val="000F6DD2"/>
    <w:rsid w:val="000F6E21"/>
    <w:rsid w:val="000F71CE"/>
    <w:rsid w:val="000F72A0"/>
    <w:rsid w:val="000F732D"/>
    <w:rsid w:val="000F7435"/>
    <w:rsid w:val="000F744E"/>
    <w:rsid w:val="000F7463"/>
    <w:rsid w:val="000F7534"/>
    <w:rsid w:val="000F754E"/>
    <w:rsid w:val="000F7582"/>
    <w:rsid w:val="000F7633"/>
    <w:rsid w:val="000F76A7"/>
    <w:rsid w:val="000F7819"/>
    <w:rsid w:val="000F7929"/>
    <w:rsid w:val="000F7C75"/>
    <w:rsid w:val="000F7E16"/>
    <w:rsid w:val="00100042"/>
    <w:rsid w:val="0010018C"/>
    <w:rsid w:val="00100215"/>
    <w:rsid w:val="0010027B"/>
    <w:rsid w:val="0010033E"/>
    <w:rsid w:val="001003A4"/>
    <w:rsid w:val="001003D5"/>
    <w:rsid w:val="0010051A"/>
    <w:rsid w:val="0010065E"/>
    <w:rsid w:val="001007EB"/>
    <w:rsid w:val="001009AF"/>
    <w:rsid w:val="001009FE"/>
    <w:rsid w:val="00100AE5"/>
    <w:rsid w:val="00100B6F"/>
    <w:rsid w:val="00100F39"/>
    <w:rsid w:val="00100FEF"/>
    <w:rsid w:val="0010104F"/>
    <w:rsid w:val="00101080"/>
    <w:rsid w:val="001010FC"/>
    <w:rsid w:val="0010136A"/>
    <w:rsid w:val="001013A0"/>
    <w:rsid w:val="001013CC"/>
    <w:rsid w:val="0010142B"/>
    <w:rsid w:val="0010170D"/>
    <w:rsid w:val="00101731"/>
    <w:rsid w:val="00101797"/>
    <w:rsid w:val="001018AE"/>
    <w:rsid w:val="00101C21"/>
    <w:rsid w:val="00101D81"/>
    <w:rsid w:val="00101E43"/>
    <w:rsid w:val="00101F5C"/>
    <w:rsid w:val="00101FC2"/>
    <w:rsid w:val="001020A7"/>
    <w:rsid w:val="0010211B"/>
    <w:rsid w:val="001021F3"/>
    <w:rsid w:val="0010221A"/>
    <w:rsid w:val="001022C4"/>
    <w:rsid w:val="00102403"/>
    <w:rsid w:val="001028A4"/>
    <w:rsid w:val="00102970"/>
    <w:rsid w:val="00102AD5"/>
    <w:rsid w:val="00102B2B"/>
    <w:rsid w:val="00102BFD"/>
    <w:rsid w:val="00102C0D"/>
    <w:rsid w:val="00102C96"/>
    <w:rsid w:val="00102FB0"/>
    <w:rsid w:val="00103040"/>
    <w:rsid w:val="0010329D"/>
    <w:rsid w:val="001032D8"/>
    <w:rsid w:val="001032E7"/>
    <w:rsid w:val="0010364E"/>
    <w:rsid w:val="0010366D"/>
    <w:rsid w:val="00103737"/>
    <w:rsid w:val="001037AC"/>
    <w:rsid w:val="001037BF"/>
    <w:rsid w:val="00103847"/>
    <w:rsid w:val="0010395A"/>
    <w:rsid w:val="00103A8F"/>
    <w:rsid w:val="00103C34"/>
    <w:rsid w:val="00103D6B"/>
    <w:rsid w:val="00103DC5"/>
    <w:rsid w:val="00103E67"/>
    <w:rsid w:val="00103F26"/>
    <w:rsid w:val="001040B4"/>
    <w:rsid w:val="001040F9"/>
    <w:rsid w:val="00104112"/>
    <w:rsid w:val="001041D3"/>
    <w:rsid w:val="0010428B"/>
    <w:rsid w:val="001044D0"/>
    <w:rsid w:val="001046CB"/>
    <w:rsid w:val="001047BC"/>
    <w:rsid w:val="001047ED"/>
    <w:rsid w:val="0010484D"/>
    <w:rsid w:val="001048A3"/>
    <w:rsid w:val="0010492B"/>
    <w:rsid w:val="0010493B"/>
    <w:rsid w:val="00104A38"/>
    <w:rsid w:val="00104A95"/>
    <w:rsid w:val="00104BC2"/>
    <w:rsid w:val="00104CCC"/>
    <w:rsid w:val="00104D8D"/>
    <w:rsid w:val="00104DE7"/>
    <w:rsid w:val="00104E6D"/>
    <w:rsid w:val="00104EC3"/>
    <w:rsid w:val="00105035"/>
    <w:rsid w:val="0010505C"/>
    <w:rsid w:val="001050A1"/>
    <w:rsid w:val="001050C2"/>
    <w:rsid w:val="00105131"/>
    <w:rsid w:val="001052B2"/>
    <w:rsid w:val="001052E7"/>
    <w:rsid w:val="001054AE"/>
    <w:rsid w:val="00105572"/>
    <w:rsid w:val="0010572D"/>
    <w:rsid w:val="00105759"/>
    <w:rsid w:val="00105850"/>
    <w:rsid w:val="00105903"/>
    <w:rsid w:val="001059D8"/>
    <w:rsid w:val="00105A9C"/>
    <w:rsid w:val="00105D2A"/>
    <w:rsid w:val="00105D66"/>
    <w:rsid w:val="00105D6D"/>
    <w:rsid w:val="00105EFE"/>
    <w:rsid w:val="00105FCF"/>
    <w:rsid w:val="0010606E"/>
    <w:rsid w:val="001060B8"/>
    <w:rsid w:val="00106193"/>
    <w:rsid w:val="001061E0"/>
    <w:rsid w:val="0010627F"/>
    <w:rsid w:val="001062CB"/>
    <w:rsid w:val="00106343"/>
    <w:rsid w:val="00106378"/>
    <w:rsid w:val="00106418"/>
    <w:rsid w:val="00106441"/>
    <w:rsid w:val="00106627"/>
    <w:rsid w:val="00106687"/>
    <w:rsid w:val="001066B9"/>
    <w:rsid w:val="00106702"/>
    <w:rsid w:val="001068E9"/>
    <w:rsid w:val="001069A8"/>
    <w:rsid w:val="00106E2F"/>
    <w:rsid w:val="00106EA3"/>
    <w:rsid w:val="00106F2F"/>
    <w:rsid w:val="00106F77"/>
    <w:rsid w:val="00107014"/>
    <w:rsid w:val="00107049"/>
    <w:rsid w:val="001070BC"/>
    <w:rsid w:val="001071C9"/>
    <w:rsid w:val="00107272"/>
    <w:rsid w:val="001074DA"/>
    <w:rsid w:val="0010750C"/>
    <w:rsid w:val="0010751D"/>
    <w:rsid w:val="001077B1"/>
    <w:rsid w:val="001077EA"/>
    <w:rsid w:val="00107959"/>
    <w:rsid w:val="00107970"/>
    <w:rsid w:val="00107A24"/>
    <w:rsid w:val="00107A38"/>
    <w:rsid w:val="00107AB4"/>
    <w:rsid w:val="00107BC1"/>
    <w:rsid w:val="00107C8B"/>
    <w:rsid w:val="00107D4F"/>
    <w:rsid w:val="00107E13"/>
    <w:rsid w:val="00107FE2"/>
    <w:rsid w:val="00107FF3"/>
    <w:rsid w:val="001100ED"/>
    <w:rsid w:val="0011017D"/>
    <w:rsid w:val="00110192"/>
    <w:rsid w:val="00110335"/>
    <w:rsid w:val="00110396"/>
    <w:rsid w:val="001103B4"/>
    <w:rsid w:val="00110463"/>
    <w:rsid w:val="0011051D"/>
    <w:rsid w:val="00110547"/>
    <w:rsid w:val="0011056E"/>
    <w:rsid w:val="001105F5"/>
    <w:rsid w:val="001105FF"/>
    <w:rsid w:val="0011061C"/>
    <w:rsid w:val="001106B5"/>
    <w:rsid w:val="0011077B"/>
    <w:rsid w:val="001107F1"/>
    <w:rsid w:val="0011080E"/>
    <w:rsid w:val="001108BB"/>
    <w:rsid w:val="001109B8"/>
    <w:rsid w:val="00110A66"/>
    <w:rsid w:val="00110AF9"/>
    <w:rsid w:val="00110C47"/>
    <w:rsid w:val="00110C5D"/>
    <w:rsid w:val="00110C9A"/>
    <w:rsid w:val="00110D45"/>
    <w:rsid w:val="00110DDC"/>
    <w:rsid w:val="00110DEC"/>
    <w:rsid w:val="00110EA6"/>
    <w:rsid w:val="00110EEB"/>
    <w:rsid w:val="00110EFB"/>
    <w:rsid w:val="00110F4B"/>
    <w:rsid w:val="00111122"/>
    <w:rsid w:val="00111276"/>
    <w:rsid w:val="001114BF"/>
    <w:rsid w:val="001116E8"/>
    <w:rsid w:val="0011180C"/>
    <w:rsid w:val="00111ABA"/>
    <w:rsid w:val="00111C28"/>
    <w:rsid w:val="00111D66"/>
    <w:rsid w:val="00111ED2"/>
    <w:rsid w:val="00111FE8"/>
    <w:rsid w:val="0011208F"/>
    <w:rsid w:val="001120F4"/>
    <w:rsid w:val="0011225B"/>
    <w:rsid w:val="0011230E"/>
    <w:rsid w:val="00112483"/>
    <w:rsid w:val="001124C8"/>
    <w:rsid w:val="001124D5"/>
    <w:rsid w:val="00112714"/>
    <w:rsid w:val="00112817"/>
    <w:rsid w:val="00112877"/>
    <w:rsid w:val="001128A9"/>
    <w:rsid w:val="001129CC"/>
    <w:rsid w:val="00112B33"/>
    <w:rsid w:val="00113029"/>
    <w:rsid w:val="00113272"/>
    <w:rsid w:val="0011334F"/>
    <w:rsid w:val="00113440"/>
    <w:rsid w:val="001134A0"/>
    <w:rsid w:val="00113554"/>
    <w:rsid w:val="001136B4"/>
    <w:rsid w:val="0011383E"/>
    <w:rsid w:val="00113A91"/>
    <w:rsid w:val="00113B98"/>
    <w:rsid w:val="00113EA5"/>
    <w:rsid w:val="00113EED"/>
    <w:rsid w:val="00113EFA"/>
    <w:rsid w:val="0011410F"/>
    <w:rsid w:val="001141E1"/>
    <w:rsid w:val="00114362"/>
    <w:rsid w:val="00114492"/>
    <w:rsid w:val="001144D6"/>
    <w:rsid w:val="00114547"/>
    <w:rsid w:val="0011481B"/>
    <w:rsid w:val="00114857"/>
    <w:rsid w:val="00114958"/>
    <w:rsid w:val="00114A82"/>
    <w:rsid w:val="00114C68"/>
    <w:rsid w:val="00114CED"/>
    <w:rsid w:val="00114D39"/>
    <w:rsid w:val="00115023"/>
    <w:rsid w:val="001151CF"/>
    <w:rsid w:val="0011539A"/>
    <w:rsid w:val="00115482"/>
    <w:rsid w:val="00115495"/>
    <w:rsid w:val="00115620"/>
    <w:rsid w:val="001157F1"/>
    <w:rsid w:val="00115B3D"/>
    <w:rsid w:val="00115D1B"/>
    <w:rsid w:val="00115D9F"/>
    <w:rsid w:val="00115DF3"/>
    <w:rsid w:val="00115E3C"/>
    <w:rsid w:val="00115EA6"/>
    <w:rsid w:val="0011608C"/>
    <w:rsid w:val="00116219"/>
    <w:rsid w:val="00116238"/>
    <w:rsid w:val="001162B8"/>
    <w:rsid w:val="001162D1"/>
    <w:rsid w:val="00116343"/>
    <w:rsid w:val="001166E8"/>
    <w:rsid w:val="0011671B"/>
    <w:rsid w:val="00116859"/>
    <w:rsid w:val="001168EC"/>
    <w:rsid w:val="001168F6"/>
    <w:rsid w:val="00116ACB"/>
    <w:rsid w:val="00116B5D"/>
    <w:rsid w:val="00116B81"/>
    <w:rsid w:val="00116BFC"/>
    <w:rsid w:val="00116E02"/>
    <w:rsid w:val="00116E5B"/>
    <w:rsid w:val="00116FBF"/>
    <w:rsid w:val="00116FC5"/>
    <w:rsid w:val="001170D5"/>
    <w:rsid w:val="001174F9"/>
    <w:rsid w:val="001175CE"/>
    <w:rsid w:val="001177EC"/>
    <w:rsid w:val="001177FF"/>
    <w:rsid w:val="001179E2"/>
    <w:rsid w:val="00117A59"/>
    <w:rsid w:val="00117B74"/>
    <w:rsid w:val="00117B7B"/>
    <w:rsid w:val="00117C9E"/>
    <w:rsid w:val="00117D6F"/>
    <w:rsid w:val="00117E3C"/>
    <w:rsid w:val="00117FCF"/>
    <w:rsid w:val="00117FE9"/>
    <w:rsid w:val="0012008D"/>
    <w:rsid w:val="001200B0"/>
    <w:rsid w:val="001200E0"/>
    <w:rsid w:val="00120146"/>
    <w:rsid w:val="001201CB"/>
    <w:rsid w:val="00120202"/>
    <w:rsid w:val="00120266"/>
    <w:rsid w:val="00120322"/>
    <w:rsid w:val="00120374"/>
    <w:rsid w:val="00120414"/>
    <w:rsid w:val="001204B7"/>
    <w:rsid w:val="00120562"/>
    <w:rsid w:val="00120579"/>
    <w:rsid w:val="001205A5"/>
    <w:rsid w:val="00120723"/>
    <w:rsid w:val="001208B8"/>
    <w:rsid w:val="00120B0E"/>
    <w:rsid w:val="00120CA6"/>
    <w:rsid w:val="00120D7A"/>
    <w:rsid w:val="00120F57"/>
    <w:rsid w:val="00120F83"/>
    <w:rsid w:val="00121081"/>
    <w:rsid w:val="001210D8"/>
    <w:rsid w:val="00121148"/>
    <w:rsid w:val="00121153"/>
    <w:rsid w:val="00121162"/>
    <w:rsid w:val="00121195"/>
    <w:rsid w:val="001213EE"/>
    <w:rsid w:val="00121406"/>
    <w:rsid w:val="00121418"/>
    <w:rsid w:val="001214D2"/>
    <w:rsid w:val="001215A0"/>
    <w:rsid w:val="00121634"/>
    <w:rsid w:val="00121704"/>
    <w:rsid w:val="0012187A"/>
    <w:rsid w:val="001218BD"/>
    <w:rsid w:val="00121A94"/>
    <w:rsid w:val="00121B30"/>
    <w:rsid w:val="00121CB3"/>
    <w:rsid w:val="001220F6"/>
    <w:rsid w:val="001222AB"/>
    <w:rsid w:val="00122359"/>
    <w:rsid w:val="001223D6"/>
    <w:rsid w:val="0012244E"/>
    <w:rsid w:val="00122454"/>
    <w:rsid w:val="0012245B"/>
    <w:rsid w:val="0012245F"/>
    <w:rsid w:val="0012247D"/>
    <w:rsid w:val="0012258B"/>
    <w:rsid w:val="001227F2"/>
    <w:rsid w:val="00122ACB"/>
    <w:rsid w:val="00122DC5"/>
    <w:rsid w:val="00122DCA"/>
    <w:rsid w:val="00122DF6"/>
    <w:rsid w:val="00122E3E"/>
    <w:rsid w:val="00122EEB"/>
    <w:rsid w:val="00122F33"/>
    <w:rsid w:val="00122F35"/>
    <w:rsid w:val="00123449"/>
    <w:rsid w:val="001234B6"/>
    <w:rsid w:val="0012378E"/>
    <w:rsid w:val="00123A3E"/>
    <w:rsid w:val="00123A88"/>
    <w:rsid w:val="00123C0D"/>
    <w:rsid w:val="00123C13"/>
    <w:rsid w:val="00123C16"/>
    <w:rsid w:val="00123D9C"/>
    <w:rsid w:val="00123E9C"/>
    <w:rsid w:val="00123F0A"/>
    <w:rsid w:val="00123F40"/>
    <w:rsid w:val="001240D7"/>
    <w:rsid w:val="0012413A"/>
    <w:rsid w:val="00124165"/>
    <w:rsid w:val="00124235"/>
    <w:rsid w:val="00124249"/>
    <w:rsid w:val="0012429E"/>
    <w:rsid w:val="00124324"/>
    <w:rsid w:val="0012447B"/>
    <w:rsid w:val="00124507"/>
    <w:rsid w:val="0012477D"/>
    <w:rsid w:val="001247D2"/>
    <w:rsid w:val="00124823"/>
    <w:rsid w:val="00124856"/>
    <w:rsid w:val="001249B3"/>
    <w:rsid w:val="00124A6C"/>
    <w:rsid w:val="00124B12"/>
    <w:rsid w:val="00124F27"/>
    <w:rsid w:val="0012504C"/>
    <w:rsid w:val="00125083"/>
    <w:rsid w:val="001250A1"/>
    <w:rsid w:val="00125191"/>
    <w:rsid w:val="001251AA"/>
    <w:rsid w:val="00125377"/>
    <w:rsid w:val="0012548E"/>
    <w:rsid w:val="001254BA"/>
    <w:rsid w:val="0012561A"/>
    <w:rsid w:val="0012569F"/>
    <w:rsid w:val="001257A6"/>
    <w:rsid w:val="001258BF"/>
    <w:rsid w:val="0012598F"/>
    <w:rsid w:val="00125AEC"/>
    <w:rsid w:val="00125E04"/>
    <w:rsid w:val="00125E7D"/>
    <w:rsid w:val="00125F78"/>
    <w:rsid w:val="00125FCE"/>
    <w:rsid w:val="00126192"/>
    <w:rsid w:val="0012626A"/>
    <w:rsid w:val="0012662F"/>
    <w:rsid w:val="001266CF"/>
    <w:rsid w:val="00126A2C"/>
    <w:rsid w:val="00126A38"/>
    <w:rsid w:val="00126A6A"/>
    <w:rsid w:val="00126A72"/>
    <w:rsid w:val="00126AFD"/>
    <w:rsid w:val="00126B84"/>
    <w:rsid w:val="00126E20"/>
    <w:rsid w:val="00126F62"/>
    <w:rsid w:val="0012713C"/>
    <w:rsid w:val="00127248"/>
    <w:rsid w:val="001272ED"/>
    <w:rsid w:val="0012730A"/>
    <w:rsid w:val="00127456"/>
    <w:rsid w:val="001274E5"/>
    <w:rsid w:val="00127973"/>
    <w:rsid w:val="00127A94"/>
    <w:rsid w:val="00127AD7"/>
    <w:rsid w:val="00127C79"/>
    <w:rsid w:val="00127F24"/>
    <w:rsid w:val="00127FAC"/>
    <w:rsid w:val="001300CE"/>
    <w:rsid w:val="00130134"/>
    <w:rsid w:val="00130431"/>
    <w:rsid w:val="0013056F"/>
    <w:rsid w:val="001305D2"/>
    <w:rsid w:val="001305D5"/>
    <w:rsid w:val="001307B8"/>
    <w:rsid w:val="00130A59"/>
    <w:rsid w:val="00130BC1"/>
    <w:rsid w:val="00130C64"/>
    <w:rsid w:val="00130EF1"/>
    <w:rsid w:val="00130F30"/>
    <w:rsid w:val="00130F39"/>
    <w:rsid w:val="00130FBC"/>
    <w:rsid w:val="00131011"/>
    <w:rsid w:val="0013108C"/>
    <w:rsid w:val="001310F0"/>
    <w:rsid w:val="00131186"/>
    <w:rsid w:val="0013131D"/>
    <w:rsid w:val="00131449"/>
    <w:rsid w:val="00131997"/>
    <w:rsid w:val="00131B8A"/>
    <w:rsid w:val="00131C8E"/>
    <w:rsid w:val="00131CB0"/>
    <w:rsid w:val="00131CB1"/>
    <w:rsid w:val="00131CE3"/>
    <w:rsid w:val="00131D14"/>
    <w:rsid w:val="00131D38"/>
    <w:rsid w:val="00131D69"/>
    <w:rsid w:val="00131D92"/>
    <w:rsid w:val="00132125"/>
    <w:rsid w:val="0013223D"/>
    <w:rsid w:val="00132353"/>
    <w:rsid w:val="00132387"/>
    <w:rsid w:val="001324FD"/>
    <w:rsid w:val="001325E8"/>
    <w:rsid w:val="00132614"/>
    <w:rsid w:val="0013283D"/>
    <w:rsid w:val="00132842"/>
    <w:rsid w:val="0013284D"/>
    <w:rsid w:val="001329FB"/>
    <w:rsid w:val="00132A95"/>
    <w:rsid w:val="00132C93"/>
    <w:rsid w:val="00132CD1"/>
    <w:rsid w:val="00132D5A"/>
    <w:rsid w:val="00132E0E"/>
    <w:rsid w:val="00132E8E"/>
    <w:rsid w:val="00132EF1"/>
    <w:rsid w:val="00132EF9"/>
    <w:rsid w:val="00132F6E"/>
    <w:rsid w:val="00133067"/>
    <w:rsid w:val="00133174"/>
    <w:rsid w:val="00133308"/>
    <w:rsid w:val="00133394"/>
    <w:rsid w:val="00133447"/>
    <w:rsid w:val="00133522"/>
    <w:rsid w:val="0013360D"/>
    <w:rsid w:val="00133682"/>
    <w:rsid w:val="001339B4"/>
    <w:rsid w:val="001339CF"/>
    <w:rsid w:val="00133A66"/>
    <w:rsid w:val="00133D1A"/>
    <w:rsid w:val="00133D47"/>
    <w:rsid w:val="00133D62"/>
    <w:rsid w:val="00133DE4"/>
    <w:rsid w:val="00133E92"/>
    <w:rsid w:val="00133F27"/>
    <w:rsid w:val="001344A6"/>
    <w:rsid w:val="001345F4"/>
    <w:rsid w:val="0013464F"/>
    <w:rsid w:val="001346F3"/>
    <w:rsid w:val="0013482F"/>
    <w:rsid w:val="00134B13"/>
    <w:rsid w:val="00134C0F"/>
    <w:rsid w:val="00134C6A"/>
    <w:rsid w:val="00134D49"/>
    <w:rsid w:val="00134DCB"/>
    <w:rsid w:val="00134DDC"/>
    <w:rsid w:val="00134E3E"/>
    <w:rsid w:val="00134E9D"/>
    <w:rsid w:val="00135027"/>
    <w:rsid w:val="00135263"/>
    <w:rsid w:val="00135264"/>
    <w:rsid w:val="001353F9"/>
    <w:rsid w:val="0013545A"/>
    <w:rsid w:val="001355BE"/>
    <w:rsid w:val="00135640"/>
    <w:rsid w:val="00135BB2"/>
    <w:rsid w:val="00135C0A"/>
    <w:rsid w:val="00135C3D"/>
    <w:rsid w:val="00135C5D"/>
    <w:rsid w:val="00135D64"/>
    <w:rsid w:val="00135DAF"/>
    <w:rsid w:val="00135F4B"/>
    <w:rsid w:val="0013616D"/>
    <w:rsid w:val="00136199"/>
    <w:rsid w:val="00136230"/>
    <w:rsid w:val="00136272"/>
    <w:rsid w:val="0013635E"/>
    <w:rsid w:val="001363B2"/>
    <w:rsid w:val="0013640E"/>
    <w:rsid w:val="0013642B"/>
    <w:rsid w:val="0013643E"/>
    <w:rsid w:val="00136478"/>
    <w:rsid w:val="00136517"/>
    <w:rsid w:val="00136716"/>
    <w:rsid w:val="001367BA"/>
    <w:rsid w:val="00136A3B"/>
    <w:rsid w:val="00136F9D"/>
    <w:rsid w:val="00136FD1"/>
    <w:rsid w:val="0013704D"/>
    <w:rsid w:val="00137071"/>
    <w:rsid w:val="001371E0"/>
    <w:rsid w:val="00137499"/>
    <w:rsid w:val="00137554"/>
    <w:rsid w:val="001378BA"/>
    <w:rsid w:val="001378E4"/>
    <w:rsid w:val="00137908"/>
    <w:rsid w:val="00137A3B"/>
    <w:rsid w:val="00137B31"/>
    <w:rsid w:val="00137DA5"/>
    <w:rsid w:val="00137DB7"/>
    <w:rsid w:val="00137FA7"/>
    <w:rsid w:val="00140483"/>
    <w:rsid w:val="00140491"/>
    <w:rsid w:val="00140508"/>
    <w:rsid w:val="001405AB"/>
    <w:rsid w:val="001406D0"/>
    <w:rsid w:val="001407D7"/>
    <w:rsid w:val="00140967"/>
    <w:rsid w:val="001409C2"/>
    <w:rsid w:val="001409C3"/>
    <w:rsid w:val="001409C9"/>
    <w:rsid w:val="001409EB"/>
    <w:rsid w:val="00140A23"/>
    <w:rsid w:val="00140B50"/>
    <w:rsid w:val="00140B65"/>
    <w:rsid w:val="00140B98"/>
    <w:rsid w:val="00140C38"/>
    <w:rsid w:val="00140C39"/>
    <w:rsid w:val="00140D67"/>
    <w:rsid w:val="00140D6A"/>
    <w:rsid w:val="00140D72"/>
    <w:rsid w:val="00140E51"/>
    <w:rsid w:val="00140ECA"/>
    <w:rsid w:val="00141014"/>
    <w:rsid w:val="001411F7"/>
    <w:rsid w:val="00141200"/>
    <w:rsid w:val="001413A8"/>
    <w:rsid w:val="001413EB"/>
    <w:rsid w:val="001416F5"/>
    <w:rsid w:val="00141761"/>
    <w:rsid w:val="0014184B"/>
    <w:rsid w:val="001418A2"/>
    <w:rsid w:val="001419D6"/>
    <w:rsid w:val="00141A7C"/>
    <w:rsid w:val="00141AD4"/>
    <w:rsid w:val="00141C09"/>
    <w:rsid w:val="00141C2F"/>
    <w:rsid w:val="00141C42"/>
    <w:rsid w:val="00141CCD"/>
    <w:rsid w:val="00141D0A"/>
    <w:rsid w:val="00141E05"/>
    <w:rsid w:val="00141E40"/>
    <w:rsid w:val="00141EAA"/>
    <w:rsid w:val="00141F58"/>
    <w:rsid w:val="00142093"/>
    <w:rsid w:val="001421F8"/>
    <w:rsid w:val="00142231"/>
    <w:rsid w:val="00142256"/>
    <w:rsid w:val="00142292"/>
    <w:rsid w:val="0014237B"/>
    <w:rsid w:val="00142406"/>
    <w:rsid w:val="001424DF"/>
    <w:rsid w:val="00142540"/>
    <w:rsid w:val="001425C6"/>
    <w:rsid w:val="0014260D"/>
    <w:rsid w:val="0014276E"/>
    <w:rsid w:val="00142815"/>
    <w:rsid w:val="00142831"/>
    <w:rsid w:val="00142B3B"/>
    <w:rsid w:val="00142C25"/>
    <w:rsid w:val="00142CAD"/>
    <w:rsid w:val="00142D0C"/>
    <w:rsid w:val="00142DEB"/>
    <w:rsid w:val="00142E67"/>
    <w:rsid w:val="00142F26"/>
    <w:rsid w:val="00142FF8"/>
    <w:rsid w:val="00143095"/>
    <w:rsid w:val="0014335D"/>
    <w:rsid w:val="00143363"/>
    <w:rsid w:val="00143747"/>
    <w:rsid w:val="001438DA"/>
    <w:rsid w:val="001439FC"/>
    <w:rsid w:val="00143A5F"/>
    <w:rsid w:val="00143B07"/>
    <w:rsid w:val="00143B36"/>
    <w:rsid w:val="00143B4E"/>
    <w:rsid w:val="00143B5F"/>
    <w:rsid w:val="00143EF7"/>
    <w:rsid w:val="001441E5"/>
    <w:rsid w:val="001442D0"/>
    <w:rsid w:val="00144421"/>
    <w:rsid w:val="0014448B"/>
    <w:rsid w:val="001444F7"/>
    <w:rsid w:val="001445B5"/>
    <w:rsid w:val="00144610"/>
    <w:rsid w:val="00144A54"/>
    <w:rsid w:val="00144AE3"/>
    <w:rsid w:val="00144BB4"/>
    <w:rsid w:val="00144C04"/>
    <w:rsid w:val="00144C44"/>
    <w:rsid w:val="00144FBE"/>
    <w:rsid w:val="00145075"/>
    <w:rsid w:val="00145078"/>
    <w:rsid w:val="001451ED"/>
    <w:rsid w:val="00145441"/>
    <w:rsid w:val="001455C1"/>
    <w:rsid w:val="0014585F"/>
    <w:rsid w:val="0014587C"/>
    <w:rsid w:val="001458FD"/>
    <w:rsid w:val="00145B0E"/>
    <w:rsid w:val="00145B95"/>
    <w:rsid w:val="00145BD4"/>
    <w:rsid w:val="00145C11"/>
    <w:rsid w:val="00145C94"/>
    <w:rsid w:val="00145CB1"/>
    <w:rsid w:val="00145E7D"/>
    <w:rsid w:val="00145EFF"/>
    <w:rsid w:val="00145FAD"/>
    <w:rsid w:val="0014621F"/>
    <w:rsid w:val="0014630E"/>
    <w:rsid w:val="00146338"/>
    <w:rsid w:val="0014646D"/>
    <w:rsid w:val="0014655E"/>
    <w:rsid w:val="001465C0"/>
    <w:rsid w:val="0014666A"/>
    <w:rsid w:val="001466DC"/>
    <w:rsid w:val="0014675B"/>
    <w:rsid w:val="0014684B"/>
    <w:rsid w:val="001468DE"/>
    <w:rsid w:val="00146944"/>
    <w:rsid w:val="00146A5E"/>
    <w:rsid w:val="00146C05"/>
    <w:rsid w:val="00146C34"/>
    <w:rsid w:val="00146DBB"/>
    <w:rsid w:val="00146DC0"/>
    <w:rsid w:val="00146E97"/>
    <w:rsid w:val="00147115"/>
    <w:rsid w:val="001471B1"/>
    <w:rsid w:val="00147215"/>
    <w:rsid w:val="00147243"/>
    <w:rsid w:val="00147342"/>
    <w:rsid w:val="0014740A"/>
    <w:rsid w:val="0014741C"/>
    <w:rsid w:val="00147428"/>
    <w:rsid w:val="00147442"/>
    <w:rsid w:val="00147463"/>
    <w:rsid w:val="00147620"/>
    <w:rsid w:val="001476A8"/>
    <w:rsid w:val="00147919"/>
    <w:rsid w:val="00147B2B"/>
    <w:rsid w:val="00147B5A"/>
    <w:rsid w:val="00147B5C"/>
    <w:rsid w:val="00147BF9"/>
    <w:rsid w:val="00147D4D"/>
    <w:rsid w:val="00147EA9"/>
    <w:rsid w:val="0015009A"/>
    <w:rsid w:val="0015017C"/>
    <w:rsid w:val="001502CB"/>
    <w:rsid w:val="00150365"/>
    <w:rsid w:val="00150374"/>
    <w:rsid w:val="001509D1"/>
    <w:rsid w:val="00150C49"/>
    <w:rsid w:val="00150C6B"/>
    <w:rsid w:val="00150DC4"/>
    <w:rsid w:val="00150E8B"/>
    <w:rsid w:val="00150EB8"/>
    <w:rsid w:val="00150FDC"/>
    <w:rsid w:val="00150FE5"/>
    <w:rsid w:val="001510CC"/>
    <w:rsid w:val="00151128"/>
    <w:rsid w:val="00151200"/>
    <w:rsid w:val="0015138B"/>
    <w:rsid w:val="0015139B"/>
    <w:rsid w:val="001513B0"/>
    <w:rsid w:val="001513DA"/>
    <w:rsid w:val="0015149C"/>
    <w:rsid w:val="001514FF"/>
    <w:rsid w:val="00151505"/>
    <w:rsid w:val="00151809"/>
    <w:rsid w:val="0015190C"/>
    <w:rsid w:val="001519A2"/>
    <w:rsid w:val="00151ABC"/>
    <w:rsid w:val="00151B74"/>
    <w:rsid w:val="00151C14"/>
    <w:rsid w:val="00151E84"/>
    <w:rsid w:val="00151F5A"/>
    <w:rsid w:val="00152081"/>
    <w:rsid w:val="001520F0"/>
    <w:rsid w:val="001522EF"/>
    <w:rsid w:val="00152426"/>
    <w:rsid w:val="00152480"/>
    <w:rsid w:val="00152540"/>
    <w:rsid w:val="00152548"/>
    <w:rsid w:val="0015255D"/>
    <w:rsid w:val="0015277D"/>
    <w:rsid w:val="001527FF"/>
    <w:rsid w:val="00152845"/>
    <w:rsid w:val="0015285E"/>
    <w:rsid w:val="00152A4A"/>
    <w:rsid w:val="00152A56"/>
    <w:rsid w:val="00152AF8"/>
    <w:rsid w:val="00152BBC"/>
    <w:rsid w:val="00152D9C"/>
    <w:rsid w:val="00152DFE"/>
    <w:rsid w:val="00152E02"/>
    <w:rsid w:val="00152F4F"/>
    <w:rsid w:val="00153154"/>
    <w:rsid w:val="00153159"/>
    <w:rsid w:val="00153353"/>
    <w:rsid w:val="001533AC"/>
    <w:rsid w:val="00153905"/>
    <w:rsid w:val="00153947"/>
    <w:rsid w:val="00153A63"/>
    <w:rsid w:val="00153B6B"/>
    <w:rsid w:val="00153C9A"/>
    <w:rsid w:val="00153CB9"/>
    <w:rsid w:val="00153D51"/>
    <w:rsid w:val="00154013"/>
    <w:rsid w:val="0015401A"/>
    <w:rsid w:val="0015409E"/>
    <w:rsid w:val="001541C4"/>
    <w:rsid w:val="001541E5"/>
    <w:rsid w:val="001543CD"/>
    <w:rsid w:val="001544F8"/>
    <w:rsid w:val="001544FD"/>
    <w:rsid w:val="00154500"/>
    <w:rsid w:val="00154698"/>
    <w:rsid w:val="001546C1"/>
    <w:rsid w:val="00154762"/>
    <w:rsid w:val="001547FD"/>
    <w:rsid w:val="00154801"/>
    <w:rsid w:val="001548C8"/>
    <w:rsid w:val="00154993"/>
    <w:rsid w:val="001549A0"/>
    <w:rsid w:val="001549BA"/>
    <w:rsid w:val="00154B83"/>
    <w:rsid w:val="00154BE2"/>
    <w:rsid w:val="00154C97"/>
    <w:rsid w:val="00154DA1"/>
    <w:rsid w:val="00154FFA"/>
    <w:rsid w:val="00155086"/>
    <w:rsid w:val="00155302"/>
    <w:rsid w:val="0015545A"/>
    <w:rsid w:val="001554BF"/>
    <w:rsid w:val="001555BD"/>
    <w:rsid w:val="00155632"/>
    <w:rsid w:val="001557CD"/>
    <w:rsid w:val="00155938"/>
    <w:rsid w:val="00155950"/>
    <w:rsid w:val="00155CAC"/>
    <w:rsid w:val="00155D17"/>
    <w:rsid w:val="00155D99"/>
    <w:rsid w:val="00155DAF"/>
    <w:rsid w:val="00155F3A"/>
    <w:rsid w:val="00155FBB"/>
    <w:rsid w:val="00156126"/>
    <w:rsid w:val="00156240"/>
    <w:rsid w:val="00156465"/>
    <w:rsid w:val="00156471"/>
    <w:rsid w:val="001564E5"/>
    <w:rsid w:val="001564E9"/>
    <w:rsid w:val="00156755"/>
    <w:rsid w:val="00156797"/>
    <w:rsid w:val="001567DE"/>
    <w:rsid w:val="00156887"/>
    <w:rsid w:val="00156E63"/>
    <w:rsid w:val="00156FA0"/>
    <w:rsid w:val="001571CB"/>
    <w:rsid w:val="0015732A"/>
    <w:rsid w:val="00157362"/>
    <w:rsid w:val="00157457"/>
    <w:rsid w:val="0015752A"/>
    <w:rsid w:val="00157546"/>
    <w:rsid w:val="00157553"/>
    <w:rsid w:val="00157584"/>
    <w:rsid w:val="00157712"/>
    <w:rsid w:val="0015772E"/>
    <w:rsid w:val="001577C5"/>
    <w:rsid w:val="001577E0"/>
    <w:rsid w:val="0015780F"/>
    <w:rsid w:val="001578AD"/>
    <w:rsid w:val="00157962"/>
    <w:rsid w:val="0015796E"/>
    <w:rsid w:val="001579DE"/>
    <w:rsid w:val="00157B44"/>
    <w:rsid w:val="00157B83"/>
    <w:rsid w:val="00157BE8"/>
    <w:rsid w:val="00157D0E"/>
    <w:rsid w:val="00157D24"/>
    <w:rsid w:val="00157E0C"/>
    <w:rsid w:val="00160021"/>
    <w:rsid w:val="001600B4"/>
    <w:rsid w:val="001600BB"/>
    <w:rsid w:val="00160294"/>
    <w:rsid w:val="001604CD"/>
    <w:rsid w:val="00160787"/>
    <w:rsid w:val="001608C4"/>
    <w:rsid w:val="00160A12"/>
    <w:rsid w:val="00160A60"/>
    <w:rsid w:val="00160B14"/>
    <w:rsid w:val="00160B3F"/>
    <w:rsid w:val="00160CAF"/>
    <w:rsid w:val="00160CB3"/>
    <w:rsid w:val="00160DAF"/>
    <w:rsid w:val="00160DDA"/>
    <w:rsid w:val="00160E28"/>
    <w:rsid w:val="00160F26"/>
    <w:rsid w:val="00160FFD"/>
    <w:rsid w:val="001610F8"/>
    <w:rsid w:val="00161474"/>
    <w:rsid w:val="001615A3"/>
    <w:rsid w:val="00161728"/>
    <w:rsid w:val="0016177E"/>
    <w:rsid w:val="00161799"/>
    <w:rsid w:val="00161867"/>
    <w:rsid w:val="001618B1"/>
    <w:rsid w:val="0016195A"/>
    <w:rsid w:val="001619BD"/>
    <w:rsid w:val="00161A37"/>
    <w:rsid w:val="00161AB0"/>
    <w:rsid w:val="00161AB8"/>
    <w:rsid w:val="00161BB1"/>
    <w:rsid w:val="00161C60"/>
    <w:rsid w:val="00161ED3"/>
    <w:rsid w:val="00161F1D"/>
    <w:rsid w:val="00161FA4"/>
    <w:rsid w:val="00161FA9"/>
    <w:rsid w:val="0016204C"/>
    <w:rsid w:val="001620B1"/>
    <w:rsid w:val="001621F2"/>
    <w:rsid w:val="00162237"/>
    <w:rsid w:val="00162391"/>
    <w:rsid w:val="001623A2"/>
    <w:rsid w:val="001625CA"/>
    <w:rsid w:val="00162621"/>
    <w:rsid w:val="00162653"/>
    <w:rsid w:val="001626C6"/>
    <w:rsid w:val="001626DC"/>
    <w:rsid w:val="0016275D"/>
    <w:rsid w:val="00162807"/>
    <w:rsid w:val="0016282B"/>
    <w:rsid w:val="001628CF"/>
    <w:rsid w:val="001629FC"/>
    <w:rsid w:val="00162AEC"/>
    <w:rsid w:val="00162B0C"/>
    <w:rsid w:val="00162B8E"/>
    <w:rsid w:val="00162D8C"/>
    <w:rsid w:val="00162DBF"/>
    <w:rsid w:val="00162E08"/>
    <w:rsid w:val="00163031"/>
    <w:rsid w:val="001630A9"/>
    <w:rsid w:val="001633BB"/>
    <w:rsid w:val="001635A6"/>
    <w:rsid w:val="00163BEA"/>
    <w:rsid w:val="00163EE6"/>
    <w:rsid w:val="00163FF6"/>
    <w:rsid w:val="00164072"/>
    <w:rsid w:val="001640BD"/>
    <w:rsid w:val="001643EF"/>
    <w:rsid w:val="001644AF"/>
    <w:rsid w:val="00164652"/>
    <w:rsid w:val="001646C5"/>
    <w:rsid w:val="00164735"/>
    <w:rsid w:val="00164816"/>
    <w:rsid w:val="00164AB2"/>
    <w:rsid w:val="00164AE7"/>
    <w:rsid w:val="00164B27"/>
    <w:rsid w:val="00164C8D"/>
    <w:rsid w:val="00164D01"/>
    <w:rsid w:val="00164E51"/>
    <w:rsid w:val="00164F95"/>
    <w:rsid w:val="00165217"/>
    <w:rsid w:val="00165297"/>
    <w:rsid w:val="001653BA"/>
    <w:rsid w:val="0016549C"/>
    <w:rsid w:val="00165510"/>
    <w:rsid w:val="00165678"/>
    <w:rsid w:val="001657A4"/>
    <w:rsid w:val="001657C2"/>
    <w:rsid w:val="0016583C"/>
    <w:rsid w:val="001659A1"/>
    <w:rsid w:val="00165B03"/>
    <w:rsid w:val="00165B1E"/>
    <w:rsid w:val="00165C91"/>
    <w:rsid w:val="00165C94"/>
    <w:rsid w:val="00165CC1"/>
    <w:rsid w:val="00165CEF"/>
    <w:rsid w:val="00165D1D"/>
    <w:rsid w:val="001660CE"/>
    <w:rsid w:val="0016634C"/>
    <w:rsid w:val="0016645C"/>
    <w:rsid w:val="001664F4"/>
    <w:rsid w:val="00166538"/>
    <w:rsid w:val="0016659B"/>
    <w:rsid w:val="001667F0"/>
    <w:rsid w:val="0016688D"/>
    <w:rsid w:val="00166AA4"/>
    <w:rsid w:val="00166DD0"/>
    <w:rsid w:val="00166E15"/>
    <w:rsid w:val="00166E3C"/>
    <w:rsid w:val="00166FA1"/>
    <w:rsid w:val="00166FE5"/>
    <w:rsid w:val="00167093"/>
    <w:rsid w:val="00167267"/>
    <w:rsid w:val="001673CC"/>
    <w:rsid w:val="001673FF"/>
    <w:rsid w:val="0016758C"/>
    <w:rsid w:val="00167686"/>
    <w:rsid w:val="00167892"/>
    <w:rsid w:val="001679AD"/>
    <w:rsid w:val="00167AA9"/>
    <w:rsid w:val="00167B3F"/>
    <w:rsid w:val="00167B55"/>
    <w:rsid w:val="00167CD3"/>
    <w:rsid w:val="00167E7A"/>
    <w:rsid w:val="00167E9A"/>
    <w:rsid w:val="00167F8C"/>
    <w:rsid w:val="0017007A"/>
    <w:rsid w:val="00170300"/>
    <w:rsid w:val="00170345"/>
    <w:rsid w:val="0017048C"/>
    <w:rsid w:val="001704BB"/>
    <w:rsid w:val="0017054D"/>
    <w:rsid w:val="00170567"/>
    <w:rsid w:val="0017059E"/>
    <w:rsid w:val="0017072B"/>
    <w:rsid w:val="00170745"/>
    <w:rsid w:val="001708D3"/>
    <w:rsid w:val="00170A1E"/>
    <w:rsid w:val="00170A93"/>
    <w:rsid w:val="00170BB5"/>
    <w:rsid w:val="00170DE4"/>
    <w:rsid w:val="00170DEC"/>
    <w:rsid w:val="00170F0C"/>
    <w:rsid w:val="0017125E"/>
    <w:rsid w:val="00171324"/>
    <w:rsid w:val="0017135F"/>
    <w:rsid w:val="00171372"/>
    <w:rsid w:val="00171428"/>
    <w:rsid w:val="0017176B"/>
    <w:rsid w:val="001717CB"/>
    <w:rsid w:val="00171919"/>
    <w:rsid w:val="0017193A"/>
    <w:rsid w:val="001719E8"/>
    <w:rsid w:val="00171B12"/>
    <w:rsid w:val="00171C24"/>
    <w:rsid w:val="00171CB6"/>
    <w:rsid w:val="00171CF3"/>
    <w:rsid w:val="00171DF6"/>
    <w:rsid w:val="00172083"/>
    <w:rsid w:val="001721CF"/>
    <w:rsid w:val="001726CF"/>
    <w:rsid w:val="00172755"/>
    <w:rsid w:val="001728AA"/>
    <w:rsid w:val="00172B35"/>
    <w:rsid w:val="00172B5F"/>
    <w:rsid w:val="00172BA7"/>
    <w:rsid w:val="00172C1B"/>
    <w:rsid w:val="00172E31"/>
    <w:rsid w:val="00172E49"/>
    <w:rsid w:val="00173071"/>
    <w:rsid w:val="001732A9"/>
    <w:rsid w:val="00173398"/>
    <w:rsid w:val="0017342D"/>
    <w:rsid w:val="00173436"/>
    <w:rsid w:val="0017343A"/>
    <w:rsid w:val="0017380D"/>
    <w:rsid w:val="00173A75"/>
    <w:rsid w:val="00173BEB"/>
    <w:rsid w:val="00173C2D"/>
    <w:rsid w:val="00173D27"/>
    <w:rsid w:val="00173EA4"/>
    <w:rsid w:val="00173F8D"/>
    <w:rsid w:val="00174052"/>
    <w:rsid w:val="001740BA"/>
    <w:rsid w:val="00174171"/>
    <w:rsid w:val="001741ED"/>
    <w:rsid w:val="001742E7"/>
    <w:rsid w:val="00174331"/>
    <w:rsid w:val="001744CB"/>
    <w:rsid w:val="001744DA"/>
    <w:rsid w:val="001745A2"/>
    <w:rsid w:val="00174707"/>
    <w:rsid w:val="001747AD"/>
    <w:rsid w:val="00174879"/>
    <w:rsid w:val="001748AB"/>
    <w:rsid w:val="00174942"/>
    <w:rsid w:val="00174984"/>
    <w:rsid w:val="00174CA5"/>
    <w:rsid w:val="00174D10"/>
    <w:rsid w:val="00174D19"/>
    <w:rsid w:val="00174E25"/>
    <w:rsid w:val="00174E93"/>
    <w:rsid w:val="00175046"/>
    <w:rsid w:val="00175248"/>
    <w:rsid w:val="001752E3"/>
    <w:rsid w:val="00175377"/>
    <w:rsid w:val="00175414"/>
    <w:rsid w:val="00175650"/>
    <w:rsid w:val="00175767"/>
    <w:rsid w:val="0017599E"/>
    <w:rsid w:val="00175B76"/>
    <w:rsid w:val="00175C20"/>
    <w:rsid w:val="00175DBD"/>
    <w:rsid w:val="00175EFE"/>
    <w:rsid w:val="00175FDD"/>
    <w:rsid w:val="001761D4"/>
    <w:rsid w:val="0017623D"/>
    <w:rsid w:val="001762AE"/>
    <w:rsid w:val="001762EF"/>
    <w:rsid w:val="00176300"/>
    <w:rsid w:val="0017633E"/>
    <w:rsid w:val="001764AE"/>
    <w:rsid w:val="001764FB"/>
    <w:rsid w:val="00176570"/>
    <w:rsid w:val="001765AA"/>
    <w:rsid w:val="001765E9"/>
    <w:rsid w:val="0017672B"/>
    <w:rsid w:val="00176764"/>
    <w:rsid w:val="001769E3"/>
    <w:rsid w:val="00176A1E"/>
    <w:rsid w:val="00176B03"/>
    <w:rsid w:val="00176B14"/>
    <w:rsid w:val="00176BE5"/>
    <w:rsid w:val="00176C29"/>
    <w:rsid w:val="00176EB6"/>
    <w:rsid w:val="00176F6C"/>
    <w:rsid w:val="00177056"/>
    <w:rsid w:val="00177079"/>
    <w:rsid w:val="0017709B"/>
    <w:rsid w:val="001770D5"/>
    <w:rsid w:val="001770F5"/>
    <w:rsid w:val="00177115"/>
    <w:rsid w:val="0017761C"/>
    <w:rsid w:val="00177779"/>
    <w:rsid w:val="00177887"/>
    <w:rsid w:val="00177916"/>
    <w:rsid w:val="00177945"/>
    <w:rsid w:val="0017794A"/>
    <w:rsid w:val="00177967"/>
    <w:rsid w:val="00177A43"/>
    <w:rsid w:val="00177B4F"/>
    <w:rsid w:val="00177BC0"/>
    <w:rsid w:val="00177F8F"/>
    <w:rsid w:val="0018002A"/>
    <w:rsid w:val="001800E8"/>
    <w:rsid w:val="001801CF"/>
    <w:rsid w:val="001802F3"/>
    <w:rsid w:val="001805FE"/>
    <w:rsid w:val="00180662"/>
    <w:rsid w:val="0018082A"/>
    <w:rsid w:val="0018092F"/>
    <w:rsid w:val="00180982"/>
    <w:rsid w:val="00180A56"/>
    <w:rsid w:val="00180A6D"/>
    <w:rsid w:val="00180BED"/>
    <w:rsid w:val="00180DA3"/>
    <w:rsid w:val="00180E2E"/>
    <w:rsid w:val="00181023"/>
    <w:rsid w:val="0018103D"/>
    <w:rsid w:val="0018109E"/>
    <w:rsid w:val="001810E9"/>
    <w:rsid w:val="0018113D"/>
    <w:rsid w:val="001811DC"/>
    <w:rsid w:val="00181238"/>
    <w:rsid w:val="001812E8"/>
    <w:rsid w:val="0018130D"/>
    <w:rsid w:val="00181371"/>
    <w:rsid w:val="0018139D"/>
    <w:rsid w:val="00181490"/>
    <w:rsid w:val="001814D4"/>
    <w:rsid w:val="00181502"/>
    <w:rsid w:val="0018158F"/>
    <w:rsid w:val="001815C9"/>
    <w:rsid w:val="00181603"/>
    <w:rsid w:val="00181867"/>
    <w:rsid w:val="001819E2"/>
    <w:rsid w:val="00181A09"/>
    <w:rsid w:val="00181AD6"/>
    <w:rsid w:val="00181B0D"/>
    <w:rsid w:val="00181F18"/>
    <w:rsid w:val="00182012"/>
    <w:rsid w:val="00182169"/>
    <w:rsid w:val="001821EE"/>
    <w:rsid w:val="00182226"/>
    <w:rsid w:val="0018226E"/>
    <w:rsid w:val="001822A3"/>
    <w:rsid w:val="0018265D"/>
    <w:rsid w:val="001827D2"/>
    <w:rsid w:val="001827E2"/>
    <w:rsid w:val="00182811"/>
    <w:rsid w:val="00182ABB"/>
    <w:rsid w:val="00182B1C"/>
    <w:rsid w:val="00182DAA"/>
    <w:rsid w:val="00182E12"/>
    <w:rsid w:val="00182EAA"/>
    <w:rsid w:val="00182EBA"/>
    <w:rsid w:val="00182FD2"/>
    <w:rsid w:val="00183105"/>
    <w:rsid w:val="0018317D"/>
    <w:rsid w:val="001832B3"/>
    <w:rsid w:val="00183531"/>
    <w:rsid w:val="001836AF"/>
    <w:rsid w:val="00183852"/>
    <w:rsid w:val="0018390F"/>
    <w:rsid w:val="00183AC7"/>
    <w:rsid w:val="00183C35"/>
    <w:rsid w:val="00183C3C"/>
    <w:rsid w:val="00183CBD"/>
    <w:rsid w:val="00183CC2"/>
    <w:rsid w:val="00183E08"/>
    <w:rsid w:val="00183F11"/>
    <w:rsid w:val="001840FD"/>
    <w:rsid w:val="001840FF"/>
    <w:rsid w:val="00184100"/>
    <w:rsid w:val="0018414C"/>
    <w:rsid w:val="001841F2"/>
    <w:rsid w:val="001842B1"/>
    <w:rsid w:val="0018439E"/>
    <w:rsid w:val="001843FE"/>
    <w:rsid w:val="00184521"/>
    <w:rsid w:val="0018458D"/>
    <w:rsid w:val="001845D2"/>
    <w:rsid w:val="00184707"/>
    <w:rsid w:val="001847C4"/>
    <w:rsid w:val="001847D5"/>
    <w:rsid w:val="001849D9"/>
    <w:rsid w:val="001849DB"/>
    <w:rsid w:val="001849FB"/>
    <w:rsid w:val="00184A19"/>
    <w:rsid w:val="00184C55"/>
    <w:rsid w:val="0018507C"/>
    <w:rsid w:val="001850EB"/>
    <w:rsid w:val="00185130"/>
    <w:rsid w:val="00185212"/>
    <w:rsid w:val="0018525B"/>
    <w:rsid w:val="0018528E"/>
    <w:rsid w:val="001853AC"/>
    <w:rsid w:val="0018546E"/>
    <w:rsid w:val="00185658"/>
    <w:rsid w:val="001856D8"/>
    <w:rsid w:val="00185824"/>
    <w:rsid w:val="00185916"/>
    <w:rsid w:val="0018598C"/>
    <w:rsid w:val="001859E7"/>
    <w:rsid w:val="00185BA7"/>
    <w:rsid w:val="00185E34"/>
    <w:rsid w:val="00185F04"/>
    <w:rsid w:val="00185F97"/>
    <w:rsid w:val="00186187"/>
    <w:rsid w:val="001861DF"/>
    <w:rsid w:val="0018624F"/>
    <w:rsid w:val="00186352"/>
    <w:rsid w:val="00186361"/>
    <w:rsid w:val="00186366"/>
    <w:rsid w:val="00186409"/>
    <w:rsid w:val="001865F1"/>
    <w:rsid w:val="0018666A"/>
    <w:rsid w:val="001866DD"/>
    <w:rsid w:val="00186701"/>
    <w:rsid w:val="00186B8F"/>
    <w:rsid w:val="00186BB6"/>
    <w:rsid w:val="00186C43"/>
    <w:rsid w:val="00186D7D"/>
    <w:rsid w:val="00186DD5"/>
    <w:rsid w:val="00186EE4"/>
    <w:rsid w:val="00186F9C"/>
    <w:rsid w:val="0018702F"/>
    <w:rsid w:val="001870E5"/>
    <w:rsid w:val="001872B0"/>
    <w:rsid w:val="0018733C"/>
    <w:rsid w:val="001874DC"/>
    <w:rsid w:val="001875EB"/>
    <w:rsid w:val="00187713"/>
    <w:rsid w:val="00187786"/>
    <w:rsid w:val="001877FE"/>
    <w:rsid w:val="001878CF"/>
    <w:rsid w:val="001878EB"/>
    <w:rsid w:val="001879EC"/>
    <w:rsid w:val="00187B0E"/>
    <w:rsid w:val="00187B29"/>
    <w:rsid w:val="00187BC7"/>
    <w:rsid w:val="00187C1E"/>
    <w:rsid w:val="00187CFC"/>
    <w:rsid w:val="00187D97"/>
    <w:rsid w:val="00187DE0"/>
    <w:rsid w:val="00187E29"/>
    <w:rsid w:val="00187F46"/>
    <w:rsid w:val="00187FD2"/>
    <w:rsid w:val="00187FD8"/>
    <w:rsid w:val="001900B0"/>
    <w:rsid w:val="001901B2"/>
    <w:rsid w:val="001902A3"/>
    <w:rsid w:val="001903A7"/>
    <w:rsid w:val="0019044D"/>
    <w:rsid w:val="00190533"/>
    <w:rsid w:val="0019056B"/>
    <w:rsid w:val="001905A2"/>
    <w:rsid w:val="001905B2"/>
    <w:rsid w:val="001906B5"/>
    <w:rsid w:val="00190737"/>
    <w:rsid w:val="001909BA"/>
    <w:rsid w:val="00190A38"/>
    <w:rsid w:val="00190A42"/>
    <w:rsid w:val="00190B09"/>
    <w:rsid w:val="00190B39"/>
    <w:rsid w:val="00190BB7"/>
    <w:rsid w:val="00190BD2"/>
    <w:rsid w:val="00190C08"/>
    <w:rsid w:val="00190C0F"/>
    <w:rsid w:val="00190C66"/>
    <w:rsid w:val="00190DB7"/>
    <w:rsid w:val="00190FAE"/>
    <w:rsid w:val="00191032"/>
    <w:rsid w:val="00191073"/>
    <w:rsid w:val="001912B8"/>
    <w:rsid w:val="00191393"/>
    <w:rsid w:val="001913A1"/>
    <w:rsid w:val="0019147A"/>
    <w:rsid w:val="0019168D"/>
    <w:rsid w:val="001918AE"/>
    <w:rsid w:val="001918C0"/>
    <w:rsid w:val="00191942"/>
    <w:rsid w:val="00191988"/>
    <w:rsid w:val="00191D18"/>
    <w:rsid w:val="00191DED"/>
    <w:rsid w:val="00191F1E"/>
    <w:rsid w:val="00191F24"/>
    <w:rsid w:val="00192013"/>
    <w:rsid w:val="00192367"/>
    <w:rsid w:val="00192372"/>
    <w:rsid w:val="0019240F"/>
    <w:rsid w:val="00192437"/>
    <w:rsid w:val="00192447"/>
    <w:rsid w:val="00192452"/>
    <w:rsid w:val="001926C8"/>
    <w:rsid w:val="00192813"/>
    <w:rsid w:val="001928FA"/>
    <w:rsid w:val="00192999"/>
    <w:rsid w:val="00192A71"/>
    <w:rsid w:val="00192B44"/>
    <w:rsid w:val="00192BC3"/>
    <w:rsid w:val="00192BD4"/>
    <w:rsid w:val="00192C10"/>
    <w:rsid w:val="00192E10"/>
    <w:rsid w:val="001931A3"/>
    <w:rsid w:val="001931D9"/>
    <w:rsid w:val="001932AA"/>
    <w:rsid w:val="00193400"/>
    <w:rsid w:val="0019350D"/>
    <w:rsid w:val="001935E8"/>
    <w:rsid w:val="0019375E"/>
    <w:rsid w:val="001937C7"/>
    <w:rsid w:val="0019388C"/>
    <w:rsid w:val="00193951"/>
    <w:rsid w:val="001939C7"/>
    <w:rsid w:val="001939E9"/>
    <w:rsid w:val="00193AF0"/>
    <w:rsid w:val="00193C6C"/>
    <w:rsid w:val="00193CF5"/>
    <w:rsid w:val="00193FE2"/>
    <w:rsid w:val="0019423A"/>
    <w:rsid w:val="00194248"/>
    <w:rsid w:val="001944D1"/>
    <w:rsid w:val="001945A0"/>
    <w:rsid w:val="00194725"/>
    <w:rsid w:val="00194BE5"/>
    <w:rsid w:val="00194D08"/>
    <w:rsid w:val="00194D78"/>
    <w:rsid w:val="00194E98"/>
    <w:rsid w:val="00194F03"/>
    <w:rsid w:val="00194FE5"/>
    <w:rsid w:val="0019505D"/>
    <w:rsid w:val="0019511E"/>
    <w:rsid w:val="00195170"/>
    <w:rsid w:val="001951F4"/>
    <w:rsid w:val="00195278"/>
    <w:rsid w:val="0019528B"/>
    <w:rsid w:val="001952E9"/>
    <w:rsid w:val="001952FD"/>
    <w:rsid w:val="00195373"/>
    <w:rsid w:val="0019549D"/>
    <w:rsid w:val="0019549F"/>
    <w:rsid w:val="001954A4"/>
    <w:rsid w:val="001954FE"/>
    <w:rsid w:val="00195535"/>
    <w:rsid w:val="00195553"/>
    <w:rsid w:val="0019559C"/>
    <w:rsid w:val="00195631"/>
    <w:rsid w:val="00195848"/>
    <w:rsid w:val="0019585C"/>
    <w:rsid w:val="00195B36"/>
    <w:rsid w:val="00195B5A"/>
    <w:rsid w:val="00195F06"/>
    <w:rsid w:val="00196101"/>
    <w:rsid w:val="00196145"/>
    <w:rsid w:val="0019619B"/>
    <w:rsid w:val="001961C0"/>
    <w:rsid w:val="001961D4"/>
    <w:rsid w:val="001961DE"/>
    <w:rsid w:val="0019634A"/>
    <w:rsid w:val="00196507"/>
    <w:rsid w:val="00196518"/>
    <w:rsid w:val="00196540"/>
    <w:rsid w:val="0019665E"/>
    <w:rsid w:val="00196760"/>
    <w:rsid w:val="00196895"/>
    <w:rsid w:val="001968CC"/>
    <w:rsid w:val="0019690E"/>
    <w:rsid w:val="00196A10"/>
    <w:rsid w:val="00196A15"/>
    <w:rsid w:val="00196D4E"/>
    <w:rsid w:val="00196DE2"/>
    <w:rsid w:val="00196EBD"/>
    <w:rsid w:val="001970AA"/>
    <w:rsid w:val="001970BE"/>
    <w:rsid w:val="001970DF"/>
    <w:rsid w:val="001970E9"/>
    <w:rsid w:val="0019715D"/>
    <w:rsid w:val="00197356"/>
    <w:rsid w:val="0019735F"/>
    <w:rsid w:val="001974F5"/>
    <w:rsid w:val="0019751E"/>
    <w:rsid w:val="00197532"/>
    <w:rsid w:val="001976E9"/>
    <w:rsid w:val="001977C9"/>
    <w:rsid w:val="0019796C"/>
    <w:rsid w:val="0019797D"/>
    <w:rsid w:val="001979CF"/>
    <w:rsid w:val="00197AFD"/>
    <w:rsid w:val="00197BB2"/>
    <w:rsid w:val="00197C34"/>
    <w:rsid w:val="00197C7D"/>
    <w:rsid w:val="00197CB2"/>
    <w:rsid w:val="00197CD3"/>
    <w:rsid w:val="00197D06"/>
    <w:rsid w:val="00197D5B"/>
    <w:rsid w:val="00197E26"/>
    <w:rsid w:val="00197E32"/>
    <w:rsid w:val="00197EA7"/>
    <w:rsid w:val="00197F20"/>
    <w:rsid w:val="001A0099"/>
    <w:rsid w:val="001A0388"/>
    <w:rsid w:val="001A041E"/>
    <w:rsid w:val="001A043C"/>
    <w:rsid w:val="001A0462"/>
    <w:rsid w:val="001A0529"/>
    <w:rsid w:val="001A07E7"/>
    <w:rsid w:val="001A08C9"/>
    <w:rsid w:val="001A0917"/>
    <w:rsid w:val="001A0A3A"/>
    <w:rsid w:val="001A0A6F"/>
    <w:rsid w:val="001A0B25"/>
    <w:rsid w:val="001A0BE5"/>
    <w:rsid w:val="001A0D53"/>
    <w:rsid w:val="001A0E93"/>
    <w:rsid w:val="001A0F32"/>
    <w:rsid w:val="001A0F4B"/>
    <w:rsid w:val="001A0F6B"/>
    <w:rsid w:val="001A11DD"/>
    <w:rsid w:val="001A14D1"/>
    <w:rsid w:val="001A14FA"/>
    <w:rsid w:val="001A151A"/>
    <w:rsid w:val="001A1521"/>
    <w:rsid w:val="001A1629"/>
    <w:rsid w:val="001A197E"/>
    <w:rsid w:val="001A19EA"/>
    <w:rsid w:val="001A1A48"/>
    <w:rsid w:val="001A1BBF"/>
    <w:rsid w:val="001A1BEC"/>
    <w:rsid w:val="001A1D0F"/>
    <w:rsid w:val="001A1D2E"/>
    <w:rsid w:val="001A1D3C"/>
    <w:rsid w:val="001A1DA2"/>
    <w:rsid w:val="001A1E1E"/>
    <w:rsid w:val="001A1F14"/>
    <w:rsid w:val="001A1F36"/>
    <w:rsid w:val="001A2075"/>
    <w:rsid w:val="001A2128"/>
    <w:rsid w:val="001A2248"/>
    <w:rsid w:val="001A2252"/>
    <w:rsid w:val="001A227B"/>
    <w:rsid w:val="001A228B"/>
    <w:rsid w:val="001A2316"/>
    <w:rsid w:val="001A2673"/>
    <w:rsid w:val="001A284A"/>
    <w:rsid w:val="001A2852"/>
    <w:rsid w:val="001A2890"/>
    <w:rsid w:val="001A290A"/>
    <w:rsid w:val="001A2972"/>
    <w:rsid w:val="001A29B6"/>
    <w:rsid w:val="001A2A31"/>
    <w:rsid w:val="001A2A48"/>
    <w:rsid w:val="001A2C1D"/>
    <w:rsid w:val="001A2CD3"/>
    <w:rsid w:val="001A2D3D"/>
    <w:rsid w:val="001A2DC5"/>
    <w:rsid w:val="001A2EA9"/>
    <w:rsid w:val="001A2FFE"/>
    <w:rsid w:val="001A314B"/>
    <w:rsid w:val="001A31AD"/>
    <w:rsid w:val="001A32A3"/>
    <w:rsid w:val="001A331B"/>
    <w:rsid w:val="001A34A9"/>
    <w:rsid w:val="001A3726"/>
    <w:rsid w:val="001A374E"/>
    <w:rsid w:val="001A38A8"/>
    <w:rsid w:val="001A3A2F"/>
    <w:rsid w:val="001A3B08"/>
    <w:rsid w:val="001A3BBA"/>
    <w:rsid w:val="001A3C21"/>
    <w:rsid w:val="001A3E8E"/>
    <w:rsid w:val="001A3EC3"/>
    <w:rsid w:val="001A3EE2"/>
    <w:rsid w:val="001A4049"/>
    <w:rsid w:val="001A4107"/>
    <w:rsid w:val="001A4179"/>
    <w:rsid w:val="001A41A0"/>
    <w:rsid w:val="001A41AE"/>
    <w:rsid w:val="001A43DA"/>
    <w:rsid w:val="001A4505"/>
    <w:rsid w:val="001A45B8"/>
    <w:rsid w:val="001A4608"/>
    <w:rsid w:val="001A4640"/>
    <w:rsid w:val="001A4761"/>
    <w:rsid w:val="001A4881"/>
    <w:rsid w:val="001A489C"/>
    <w:rsid w:val="001A48F3"/>
    <w:rsid w:val="001A48F7"/>
    <w:rsid w:val="001A4913"/>
    <w:rsid w:val="001A491A"/>
    <w:rsid w:val="001A4986"/>
    <w:rsid w:val="001A4AA4"/>
    <w:rsid w:val="001A4B6D"/>
    <w:rsid w:val="001A4BA3"/>
    <w:rsid w:val="001A4CCA"/>
    <w:rsid w:val="001A4E1E"/>
    <w:rsid w:val="001A4E51"/>
    <w:rsid w:val="001A4E5D"/>
    <w:rsid w:val="001A4EF3"/>
    <w:rsid w:val="001A4F84"/>
    <w:rsid w:val="001A4FC7"/>
    <w:rsid w:val="001A4FF3"/>
    <w:rsid w:val="001A501C"/>
    <w:rsid w:val="001A5173"/>
    <w:rsid w:val="001A5542"/>
    <w:rsid w:val="001A5593"/>
    <w:rsid w:val="001A5605"/>
    <w:rsid w:val="001A5613"/>
    <w:rsid w:val="001A561B"/>
    <w:rsid w:val="001A56A6"/>
    <w:rsid w:val="001A571E"/>
    <w:rsid w:val="001A5868"/>
    <w:rsid w:val="001A5A10"/>
    <w:rsid w:val="001A5BFF"/>
    <w:rsid w:val="001A5CF0"/>
    <w:rsid w:val="001A5D1C"/>
    <w:rsid w:val="001A5DBF"/>
    <w:rsid w:val="001A5E76"/>
    <w:rsid w:val="001A5FA9"/>
    <w:rsid w:val="001A60F7"/>
    <w:rsid w:val="001A625A"/>
    <w:rsid w:val="001A6300"/>
    <w:rsid w:val="001A635E"/>
    <w:rsid w:val="001A6531"/>
    <w:rsid w:val="001A65BC"/>
    <w:rsid w:val="001A66E6"/>
    <w:rsid w:val="001A682A"/>
    <w:rsid w:val="001A6918"/>
    <w:rsid w:val="001A6A1D"/>
    <w:rsid w:val="001A6A9E"/>
    <w:rsid w:val="001A6AD4"/>
    <w:rsid w:val="001A6B9A"/>
    <w:rsid w:val="001A6BC6"/>
    <w:rsid w:val="001A6C19"/>
    <w:rsid w:val="001A6D44"/>
    <w:rsid w:val="001A6D45"/>
    <w:rsid w:val="001A6D61"/>
    <w:rsid w:val="001A6D8F"/>
    <w:rsid w:val="001A6DB1"/>
    <w:rsid w:val="001A6DC5"/>
    <w:rsid w:val="001A6E0C"/>
    <w:rsid w:val="001A6EC6"/>
    <w:rsid w:val="001A6F79"/>
    <w:rsid w:val="001A6FE7"/>
    <w:rsid w:val="001A7234"/>
    <w:rsid w:val="001A730F"/>
    <w:rsid w:val="001A7335"/>
    <w:rsid w:val="001A7435"/>
    <w:rsid w:val="001A748D"/>
    <w:rsid w:val="001A79DE"/>
    <w:rsid w:val="001A7B5D"/>
    <w:rsid w:val="001A7C48"/>
    <w:rsid w:val="001A7E9A"/>
    <w:rsid w:val="001A7EEC"/>
    <w:rsid w:val="001A7F9B"/>
    <w:rsid w:val="001A7FD4"/>
    <w:rsid w:val="001A7FF3"/>
    <w:rsid w:val="001B012E"/>
    <w:rsid w:val="001B015F"/>
    <w:rsid w:val="001B0195"/>
    <w:rsid w:val="001B0291"/>
    <w:rsid w:val="001B046D"/>
    <w:rsid w:val="001B0474"/>
    <w:rsid w:val="001B0480"/>
    <w:rsid w:val="001B0595"/>
    <w:rsid w:val="001B059F"/>
    <w:rsid w:val="001B05C3"/>
    <w:rsid w:val="001B0697"/>
    <w:rsid w:val="001B07FC"/>
    <w:rsid w:val="001B0803"/>
    <w:rsid w:val="001B08AA"/>
    <w:rsid w:val="001B0C4F"/>
    <w:rsid w:val="001B0CC3"/>
    <w:rsid w:val="001B0D0B"/>
    <w:rsid w:val="001B0FBC"/>
    <w:rsid w:val="001B107A"/>
    <w:rsid w:val="001B10C3"/>
    <w:rsid w:val="001B12E0"/>
    <w:rsid w:val="001B1403"/>
    <w:rsid w:val="001B143E"/>
    <w:rsid w:val="001B1480"/>
    <w:rsid w:val="001B15CF"/>
    <w:rsid w:val="001B16F1"/>
    <w:rsid w:val="001B1753"/>
    <w:rsid w:val="001B1B34"/>
    <w:rsid w:val="001B1BD0"/>
    <w:rsid w:val="001B1C98"/>
    <w:rsid w:val="001B1D9C"/>
    <w:rsid w:val="001B1DCC"/>
    <w:rsid w:val="001B2006"/>
    <w:rsid w:val="001B20D8"/>
    <w:rsid w:val="001B21BE"/>
    <w:rsid w:val="001B22CD"/>
    <w:rsid w:val="001B22F8"/>
    <w:rsid w:val="001B24E1"/>
    <w:rsid w:val="001B2538"/>
    <w:rsid w:val="001B26FD"/>
    <w:rsid w:val="001B2728"/>
    <w:rsid w:val="001B2914"/>
    <w:rsid w:val="001B295B"/>
    <w:rsid w:val="001B2A2B"/>
    <w:rsid w:val="001B2A81"/>
    <w:rsid w:val="001B2C77"/>
    <w:rsid w:val="001B2C89"/>
    <w:rsid w:val="001B2D02"/>
    <w:rsid w:val="001B2D5B"/>
    <w:rsid w:val="001B2FA3"/>
    <w:rsid w:val="001B3037"/>
    <w:rsid w:val="001B303E"/>
    <w:rsid w:val="001B3075"/>
    <w:rsid w:val="001B3106"/>
    <w:rsid w:val="001B321D"/>
    <w:rsid w:val="001B327F"/>
    <w:rsid w:val="001B32A2"/>
    <w:rsid w:val="001B342C"/>
    <w:rsid w:val="001B345F"/>
    <w:rsid w:val="001B3490"/>
    <w:rsid w:val="001B3569"/>
    <w:rsid w:val="001B3607"/>
    <w:rsid w:val="001B39CE"/>
    <w:rsid w:val="001B3AAB"/>
    <w:rsid w:val="001B3B5C"/>
    <w:rsid w:val="001B3E48"/>
    <w:rsid w:val="001B3EBA"/>
    <w:rsid w:val="001B4153"/>
    <w:rsid w:val="001B41E5"/>
    <w:rsid w:val="001B4523"/>
    <w:rsid w:val="001B45A4"/>
    <w:rsid w:val="001B47E1"/>
    <w:rsid w:val="001B4942"/>
    <w:rsid w:val="001B49D7"/>
    <w:rsid w:val="001B4A1B"/>
    <w:rsid w:val="001B4AC4"/>
    <w:rsid w:val="001B4BF2"/>
    <w:rsid w:val="001B4C7E"/>
    <w:rsid w:val="001B4D12"/>
    <w:rsid w:val="001B4E11"/>
    <w:rsid w:val="001B4ECF"/>
    <w:rsid w:val="001B4EF0"/>
    <w:rsid w:val="001B4F24"/>
    <w:rsid w:val="001B4F9F"/>
    <w:rsid w:val="001B50D4"/>
    <w:rsid w:val="001B5191"/>
    <w:rsid w:val="001B5256"/>
    <w:rsid w:val="001B55D5"/>
    <w:rsid w:val="001B55F5"/>
    <w:rsid w:val="001B5610"/>
    <w:rsid w:val="001B57A0"/>
    <w:rsid w:val="001B5A32"/>
    <w:rsid w:val="001B5A5B"/>
    <w:rsid w:val="001B5AD8"/>
    <w:rsid w:val="001B5B56"/>
    <w:rsid w:val="001B5C98"/>
    <w:rsid w:val="001B5E5E"/>
    <w:rsid w:val="001B5E62"/>
    <w:rsid w:val="001B5FB0"/>
    <w:rsid w:val="001B602F"/>
    <w:rsid w:val="001B62A8"/>
    <w:rsid w:val="001B62AA"/>
    <w:rsid w:val="001B6456"/>
    <w:rsid w:val="001B645E"/>
    <w:rsid w:val="001B6703"/>
    <w:rsid w:val="001B670A"/>
    <w:rsid w:val="001B678F"/>
    <w:rsid w:val="001B67AD"/>
    <w:rsid w:val="001B6950"/>
    <w:rsid w:val="001B698B"/>
    <w:rsid w:val="001B69BC"/>
    <w:rsid w:val="001B6B37"/>
    <w:rsid w:val="001B6BF4"/>
    <w:rsid w:val="001B6CAA"/>
    <w:rsid w:val="001B6D9F"/>
    <w:rsid w:val="001B6DC5"/>
    <w:rsid w:val="001B724B"/>
    <w:rsid w:val="001B7340"/>
    <w:rsid w:val="001B73A9"/>
    <w:rsid w:val="001B761D"/>
    <w:rsid w:val="001B778A"/>
    <w:rsid w:val="001B7893"/>
    <w:rsid w:val="001B7A2F"/>
    <w:rsid w:val="001B7A55"/>
    <w:rsid w:val="001B7D8A"/>
    <w:rsid w:val="001B7DDF"/>
    <w:rsid w:val="001B7E2E"/>
    <w:rsid w:val="001B7E80"/>
    <w:rsid w:val="001B7F33"/>
    <w:rsid w:val="001B7F64"/>
    <w:rsid w:val="001B7F75"/>
    <w:rsid w:val="001C014E"/>
    <w:rsid w:val="001C0165"/>
    <w:rsid w:val="001C02AB"/>
    <w:rsid w:val="001C02DD"/>
    <w:rsid w:val="001C05CF"/>
    <w:rsid w:val="001C080F"/>
    <w:rsid w:val="001C0933"/>
    <w:rsid w:val="001C0B47"/>
    <w:rsid w:val="001C0BDB"/>
    <w:rsid w:val="001C0BF9"/>
    <w:rsid w:val="001C0C60"/>
    <w:rsid w:val="001C0F92"/>
    <w:rsid w:val="001C1282"/>
    <w:rsid w:val="001C1292"/>
    <w:rsid w:val="001C15F7"/>
    <w:rsid w:val="001C16C2"/>
    <w:rsid w:val="001C1775"/>
    <w:rsid w:val="001C1A1C"/>
    <w:rsid w:val="001C1A71"/>
    <w:rsid w:val="001C1A91"/>
    <w:rsid w:val="001C1B81"/>
    <w:rsid w:val="001C1D36"/>
    <w:rsid w:val="001C1DC9"/>
    <w:rsid w:val="001C1E03"/>
    <w:rsid w:val="001C1E53"/>
    <w:rsid w:val="001C1E61"/>
    <w:rsid w:val="001C1E80"/>
    <w:rsid w:val="001C1F17"/>
    <w:rsid w:val="001C2091"/>
    <w:rsid w:val="001C21B1"/>
    <w:rsid w:val="001C2399"/>
    <w:rsid w:val="001C2540"/>
    <w:rsid w:val="001C25D0"/>
    <w:rsid w:val="001C26B6"/>
    <w:rsid w:val="001C28D2"/>
    <w:rsid w:val="001C292D"/>
    <w:rsid w:val="001C2B0D"/>
    <w:rsid w:val="001C2B9E"/>
    <w:rsid w:val="001C2E1E"/>
    <w:rsid w:val="001C2E85"/>
    <w:rsid w:val="001C2F7D"/>
    <w:rsid w:val="001C300C"/>
    <w:rsid w:val="001C3080"/>
    <w:rsid w:val="001C30D0"/>
    <w:rsid w:val="001C31BE"/>
    <w:rsid w:val="001C31DA"/>
    <w:rsid w:val="001C3296"/>
    <w:rsid w:val="001C3356"/>
    <w:rsid w:val="001C335F"/>
    <w:rsid w:val="001C3369"/>
    <w:rsid w:val="001C344B"/>
    <w:rsid w:val="001C34DF"/>
    <w:rsid w:val="001C35B6"/>
    <w:rsid w:val="001C36F5"/>
    <w:rsid w:val="001C3919"/>
    <w:rsid w:val="001C3959"/>
    <w:rsid w:val="001C3A3F"/>
    <w:rsid w:val="001C3A9D"/>
    <w:rsid w:val="001C3BBA"/>
    <w:rsid w:val="001C3DF1"/>
    <w:rsid w:val="001C3E6B"/>
    <w:rsid w:val="001C3EC0"/>
    <w:rsid w:val="001C3EDD"/>
    <w:rsid w:val="001C3F56"/>
    <w:rsid w:val="001C4008"/>
    <w:rsid w:val="001C4206"/>
    <w:rsid w:val="001C424A"/>
    <w:rsid w:val="001C4270"/>
    <w:rsid w:val="001C434E"/>
    <w:rsid w:val="001C4403"/>
    <w:rsid w:val="001C4425"/>
    <w:rsid w:val="001C4469"/>
    <w:rsid w:val="001C4580"/>
    <w:rsid w:val="001C4A54"/>
    <w:rsid w:val="001C4ACB"/>
    <w:rsid w:val="001C4AE7"/>
    <w:rsid w:val="001C4BD8"/>
    <w:rsid w:val="001C4D57"/>
    <w:rsid w:val="001C4EA6"/>
    <w:rsid w:val="001C4FA2"/>
    <w:rsid w:val="001C51E2"/>
    <w:rsid w:val="001C529E"/>
    <w:rsid w:val="001C539F"/>
    <w:rsid w:val="001C53D5"/>
    <w:rsid w:val="001C53D9"/>
    <w:rsid w:val="001C5448"/>
    <w:rsid w:val="001C545C"/>
    <w:rsid w:val="001C5515"/>
    <w:rsid w:val="001C5598"/>
    <w:rsid w:val="001C5843"/>
    <w:rsid w:val="001C5892"/>
    <w:rsid w:val="001C5898"/>
    <w:rsid w:val="001C58C4"/>
    <w:rsid w:val="001C59AC"/>
    <w:rsid w:val="001C5AE3"/>
    <w:rsid w:val="001C5C6F"/>
    <w:rsid w:val="001C6077"/>
    <w:rsid w:val="001C6124"/>
    <w:rsid w:val="001C618E"/>
    <w:rsid w:val="001C6231"/>
    <w:rsid w:val="001C6341"/>
    <w:rsid w:val="001C6351"/>
    <w:rsid w:val="001C6413"/>
    <w:rsid w:val="001C6454"/>
    <w:rsid w:val="001C64A2"/>
    <w:rsid w:val="001C6569"/>
    <w:rsid w:val="001C66A3"/>
    <w:rsid w:val="001C66C1"/>
    <w:rsid w:val="001C69AE"/>
    <w:rsid w:val="001C6A02"/>
    <w:rsid w:val="001C6BF2"/>
    <w:rsid w:val="001C6C9B"/>
    <w:rsid w:val="001C6CED"/>
    <w:rsid w:val="001C6DD4"/>
    <w:rsid w:val="001C6EC7"/>
    <w:rsid w:val="001C71FC"/>
    <w:rsid w:val="001C7303"/>
    <w:rsid w:val="001C766C"/>
    <w:rsid w:val="001C7689"/>
    <w:rsid w:val="001C7702"/>
    <w:rsid w:val="001C7734"/>
    <w:rsid w:val="001C7737"/>
    <w:rsid w:val="001C779B"/>
    <w:rsid w:val="001C77F7"/>
    <w:rsid w:val="001C78D7"/>
    <w:rsid w:val="001C7920"/>
    <w:rsid w:val="001C7B31"/>
    <w:rsid w:val="001C7B52"/>
    <w:rsid w:val="001C7BD5"/>
    <w:rsid w:val="001C7C00"/>
    <w:rsid w:val="001C7C55"/>
    <w:rsid w:val="001C7F52"/>
    <w:rsid w:val="001D0029"/>
    <w:rsid w:val="001D00F3"/>
    <w:rsid w:val="001D010C"/>
    <w:rsid w:val="001D02E0"/>
    <w:rsid w:val="001D0305"/>
    <w:rsid w:val="001D0439"/>
    <w:rsid w:val="001D05CB"/>
    <w:rsid w:val="001D0662"/>
    <w:rsid w:val="001D091A"/>
    <w:rsid w:val="001D0947"/>
    <w:rsid w:val="001D09FF"/>
    <w:rsid w:val="001D0A68"/>
    <w:rsid w:val="001D0A74"/>
    <w:rsid w:val="001D0B5A"/>
    <w:rsid w:val="001D0B6C"/>
    <w:rsid w:val="001D0C4C"/>
    <w:rsid w:val="001D0CEA"/>
    <w:rsid w:val="001D0D70"/>
    <w:rsid w:val="001D0DB8"/>
    <w:rsid w:val="001D0E70"/>
    <w:rsid w:val="001D0F13"/>
    <w:rsid w:val="001D0F2A"/>
    <w:rsid w:val="001D0FE8"/>
    <w:rsid w:val="001D0FF2"/>
    <w:rsid w:val="001D1163"/>
    <w:rsid w:val="001D11BB"/>
    <w:rsid w:val="001D120F"/>
    <w:rsid w:val="001D1386"/>
    <w:rsid w:val="001D13CB"/>
    <w:rsid w:val="001D1559"/>
    <w:rsid w:val="001D16D2"/>
    <w:rsid w:val="001D180A"/>
    <w:rsid w:val="001D1940"/>
    <w:rsid w:val="001D1C91"/>
    <w:rsid w:val="001D1F95"/>
    <w:rsid w:val="001D1FDE"/>
    <w:rsid w:val="001D24B5"/>
    <w:rsid w:val="001D29AA"/>
    <w:rsid w:val="001D2B06"/>
    <w:rsid w:val="001D2B29"/>
    <w:rsid w:val="001D2B3E"/>
    <w:rsid w:val="001D2D7C"/>
    <w:rsid w:val="001D2DFD"/>
    <w:rsid w:val="001D2E71"/>
    <w:rsid w:val="001D2E7F"/>
    <w:rsid w:val="001D2F27"/>
    <w:rsid w:val="001D2FDF"/>
    <w:rsid w:val="001D305F"/>
    <w:rsid w:val="001D31B2"/>
    <w:rsid w:val="001D3202"/>
    <w:rsid w:val="001D3297"/>
    <w:rsid w:val="001D3348"/>
    <w:rsid w:val="001D3470"/>
    <w:rsid w:val="001D355F"/>
    <w:rsid w:val="001D3561"/>
    <w:rsid w:val="001D3615"/>
    <w:rsid w:val="001D37CB"/>
    <w:rsid w:val="001D3917"/>
    <w:rsid w:val="001D3967"/>
    <w:rsid w:val="001D3972"/>
    <w:rsid w:val="001D3A92"/>
    <w:rsid w:val="001D3AD0"/>
    <w:rsid w:val="001D3ADA"/>
    <w:rsid w:val="001D3C11"/>
    <w:rsid w:val="001D3C62"/>
    <w:rsid w:val="001D3C8C"/>
    <w:rsid w:val="001D3C8D"/>
    <w:rsid w:val="001D3DCB"/>
    <w:rsid w:val="001D3E1D"/>
    <w:rsid w:val="001D3E4C"/>
    <w:rsid w:val="001D3E88"/>
    <w:rsid w:val="001D3E89"/>
    <w:rsid w:val="001D3EC8"/>
    <w:rsid w:val="001D3F00"/>
    <w:rsid w:val="001D3F4B"/>
    <w:rsid w:val="001D40D9"/>
    <w:rsid w:val="001D4144"/>
    <w:rsid w:val="001D435B"/>
    <w:rsid w:val="001D4576"/>
    <w:rsid w:val="001D45A0"/>
    <w:rsid w:val="001D45B5"/>
    <w:rsid w:val="001D4746"/>
    <w:rsid w:val="001D47E9"/>
    <w:rsid w:val="001D4806"/>
    <w:rsid w:val="001D4854"/>
    <w:rsid w:val="001D48ED"/>
    <w:rsid w:val="001D49B9"/>
    <w:rsid w:val="001D4A5F"/>
    <w:rsid w:val="001D4B3C"/>
    <w:rsid w:val="001D4C9B"/>
    <w:rsid w:val="001D4E05"/>
    <w:rsid w:val="001D4F3D"/>
    <w:rsid w:val="001D4F85"/>
    <w:rsid w:val="001D50B9"/>
    <w:rsid w:val="001D50EB"/>
    <w:rsid w:val="001D51AD"/>
    <w:rsid w:val="001D527F"/>
    <w:rsid w:val="001D535D"/>
    <w:rsid w:val="001D53E9"/>
    <w:rsid w:val="001D546F"/>
    <w:rsid w:val="001D54C1"/>
    <w:rsid w:val="001D54CA"/>
    <w:rsid w:val="001D5574"/>
    <w:rsid w:val="001D578F"/>
    <w:rsid w:val="001D57DD"/>
    <w:rsid w:val="001D5808"/>
    <w:rsid w:val="001D5811"/>
    <w:rsid w:val="001D58CE"/>
    <w:rsid w:val="001D590C"/>
    <w:rsid w:val="001D5AD3"/>
    <w:rsid w:val="001D5B2A"/>
    <w:rsid w:val="001D5B2F"/>
    <w:rsid w:val="001D5B4C"/>
    <w:rsid w:val="001D5B59"/>
    <w:rsid w:val="001D5CC6"/>
    <w:rsid w:val="001D5CF4"/>
    <w:rsid w:val="001D5DC9"/>
    <w:rsid w:val="001D6109"/>
    <w:rsid w:val="001D61AA"/>
    <w:rsid w:val="001D62C8"/>
    <w:rsid w:val="001D632F"/>
    <w:rsid w:val="001D643B"/>
    <w:rsid w:val="001D64C1"/>
    <w:rsid w:val="001D6538"/>
    <w:rsid w:val="001D6551"/>
    <w:rsid w:val="001D65AB"/>
    <w:rsid w:val="001D66B4"/>
    <w:rsid w:val="001D67D3"/>
    <w:rsid w:val="001D6813"/>
    <w:rsid w:val="001D6912"/>
    <w:rsid w:val="001D6A51"/>
    <w:rsid w:val="001D6A8B"/>
    <w:rsid w:val="001D6AAE"/>
    <w:rsid w:val="001D6C80"/>
    <w:rsid w:val="001D6D1B"/>
    <w:rsid w:val="001D6E33"/>
    <w:rsid w:val="001D6F7A"/>
    <w:rsid w:val="001D6FA5"/>
    <w:rsid w:val="001D704D"/>
    <w:rsid w:val="001D70B0"/>
    <w:rsid w:val="001D70D2"/>
    <w:rsid w:val="001D717B"/>
    <w:rsid w:val="001D7214"/>
    <w:rsid w:val="001D726F"/>
    <w:rsid w:val="001D736F"/>
    <w:rsid w:val="001D7480"/>
    <w:rsid w:val="001D7513"/>
    <w:rsid w:val="001D758B"/>
    <w:rsid w:val="001D7659"/>
    <w:rsid w:val="001D7748"/>
    <w:rsid w:val="001D7A24"/>
    <w:rsid w:val="001D7ABD"/>
    <w:rsid w:val="001D7B4C"/>
    <w:rsid w:val="001D7B52"/>
    <w:rsid w:val="001D7B65"/>
    <w:rsid w:val="001D7D12"/>
    <w:rsid w:val="001D7D2A"/>
    <w:rsid w:val="001D7F72"/>
    <w:rsid w:val="001E0079"/>
    <w:rsid w:val="001E00E7"/>
    <w:rsid w:val="001E0117"/>
    <w:rsid w:val="001E014C"/>
    <w:rsid w:val="001E0299"/>
    <w:rsid w:val="001E0495"/>
    <w:rsid w:val="001E0585"/>
    <w:rsid w:val="001E05DB"/>
    <w:rsid w:val="001E063D"/>
    <w:rsid w:val="001E066E"/>
    <w:rsid w:val="001E07D2"/>
    <w:rsid w:val="001E0811"/>
    <w:rsid w:val="001E0A6A"/>
    <w:rsid w:val="001E0BDA"/>
    <w:rsid w:val="001E0D87"/>
    <w:rsid w:val="001E0E03"/>
    <w:rsid w:val="001E0FBC"/>
    <w:rsid w:val="001E10A9"/>
    <w:rsid w:val="001E10AC"/>
    <w:rsid w:val="001E1226"/>
    <w:rsid w:val="001E124A"/>
    <w:rsid w:val="001E125C"/>
    <w:rsid w:val="001E1825"/>
    <w:rsid w:val="001E18AA"/>
    <w:rsid w:val="001E190F"/>
    <w:rsid w:val="001E19A9"/>
    <w:rsid w:val="001E1B8B"/>
    <w:rsid w:val="001E1BCF"/>
    <w:rsid w:val="001E1CEB"/>
    <w:rsid w:val="001E1DA0"/>
    <w:rsid w:val="001E1DA1"/>
    <w:rsid w:val="001E1E96"/>
    <w:rsid w:val="001E1EBA"/>
    <w:rsid w:val="001E1F04"/>
    <w:rsid w:val="001E1FAF"/>
    <w:rsid w:val="001E2143"/>
    <w:rsid w:val="001E21F6"/>
    <w:rsid w:val="001E21FB"/>
    <w:rsid w:val="001E2220"/>
    <w:rsid w:val="001E2239"/>
    <w:rsid w:val="001E230A"/>
    <w:rsid w:val="001E238B"/>
    <w:rsid w:val="001E238C"/>
    <w:rsid w:val="001E2591"/>
    <w:rsid w:val="001E25E5"/>
    <w:rsid w:val="001E2652"/>
    <w:rsid w:val="001E2727"/>
    <w:rsid w:val="001E2771"/>
    <w:rsid w:val="001E2812"/>
    <w:rsid w:val="001E28C0"/>
    <w:rsid w:val="001E28C3"/>
    <w:rsid w:val="001E28DE"/>
    <w:rsid w:val="001E2A2D"/>
    <w:rsid w:val="001E2AEB"/>
    <w:rsid w:val="001E2B1D"/>
    <w:rsid w:val="001E2C04"/>
    <w:rsid w:val="001E2C3F"/>
    <w:rsid w:val="001E2F3D"/>
    <w:rsid w:val="001E2F72"/>
    <w:rsid w:val="001E2F8A"/>
    <w:rsid w:val="001E3172"/>
    <w:rsid w:val="001E3219"/>
    <w:rsid w:val="001E347C"/>
    <w:rsid w:val="001E34F1"/>
    <w:rsid w:val="001E3806"/>
    <w:rsid w:val="001E38C7"/>
    <w:rsid w:val="001E3923"/>
    <w:rsid w:val="001E39FE"/>
    <w:rsid w:val="001E3B23"/>
    <w:rsid w:val="001E3B41"/>
    <w:rsid w:val="001E3B47"/>
    <w:rsid w:val="001E3BCD"/>
    <w:rsid w:val="001E3C0D"/>
    <w:rsid w:val="001E3C36"/>
    <w:rsid w:val="001E3E36"/>
    <w:rsid w:val="001E3E4A"/>
    <w:rsid w:val="001E3ECE"/>
    <w:rsid w:val="001E3EF8"/>
    <w:rsid w:val="001E3FC6"/>
    <w:rsid w:val="001E3FE5"/>
    <w:rsid w:val="001E4026"/>
    <w:rsid w:val="001E41B0"/>
    <w:rsid w:val="001E41E3"/>
    <w:rsid w:val="001E4681"/>
    <w:rsid w:val="001E4724"/>
    <w:rsid w:val="001E47C1"/>
    <w:rsid w:val="001E49DD"/>
    <w:rsid w:val="001E4BA5"/>
    <w:rsid w:val="001E4C1F"/>
    <w:rsid w:val="001E4D8A"/>
    <w:rsid w:val="001E4E1B"/>
    <w:rsid w:val="001E4E93"/>
    <w:rsid w:val="001E4F4D"/>
    <w:rsid w:val="001E50F0"/>
    <w:rsid w:val="001E5178"/>
    <w:rsid w:val="001E51ED"/>
    <w:rsid w:val="001E534E"/>
    <w:rsid w:val="001E53CF"/>
    <w:rsid w:val="001E57CA"/>
    <w:rsid w:val="001E582A"/>
    <w:rsid w:val="001E5A3E"/>
    <w:rsid w:val="001E5A6C"/>
    <w:rsid w:val="001E5BD8"/>
    <w:rsid w:val="001E5C50"/>
    <w:rsid w:val="001E5C58"/>
    <w:rsid w:val="001E5CBD"/>
    <w:rsid w:val="001E5D43"/>
    <w:rsid w:val="001E5E14"/>
    <w:rsid w:val="001E5E1A"/>
    <w:rsid w:val="001E5FCB"/>
    <w:rsid w:val="001E608E"/>
    <w:rsid w:val="001E61B2"/>
    <w:rsid w:val="001E65B3"/>
    <w:rsid w:val="001E6828"/>
    <w:rsid w:val="001E68D6"/>
    <w:rsid w:val="001E694B"/>
    <w:rsid w:val="001E69A1"/>
    <w:rsid w:val="001E6A95"/>
    <w:rsid w:val="001E6C97"/>
    <w:rsid w:val="001E6CC7"/>
    <w:rsid w:val="001E6D2D"/>
    <w:rsid w:val="001E6D55"/>
    <w:rsid w:val="001E6EAA"/>
    <w:rsid w:val="001E6F82"/>
    <w:rsid w:val="001E6FD7"/>
    <w:rsid w:val="001E704A"/>
    <w:rsid w:val="001E7053"/>
    <w:rsid w:val="001E715A"/>
    <w:rsid w:val="001E7196"/>
    <w:rsid w:val="001E734E"/>
    <w:rsid w:val="001E73AB"/>
    <w:rsid w:val="001E7429"/>
    <w:rsid w:val="001E755A"/>
    <w:rsid w:val="001E75DD"/>
    <w:rsid w:val="001E7807"/>
    <w:rsid w:val="001E7819"/>
    <w:rsid w:val="001E78FA"/>
    <w:rsid w:val="001E79FA"/>
    <w:rsid w:val="001E7A75"/>
    <w:rsid w:val="001E7D48"/>
    <w:rsid w:val="001E7E23"/>
    <w:rsid w:val="001E7E59"/>
    <w:rsid w:val="001E7EE7"/>
    <w:rsid w:val="001E7F63"/>
    <w:rsid w:val="001F001F"/>
    <w:rsid w:val="001F002B"/>
    <w:rsid w:val="001F02D1"/>
    <w:rsid w:val="001F0306"/>
    <w:rsid w:val="001F0387"/>
    <w:rsid w:val="001F04FC"/>
    <w:rsid w:val="001F0593"/>
    <w:rsid w:val="001F093E"/>
    <w:rsid w:val="001F0982"/>
    <w:rsid w:val="001F0986"/>
    <w:rsid w:val="001F09C2"/>
    <w:rsid w:val="001F0B2D"/>
    <w:rsid w:val="001F0B8B"/>
    <w:rsid w:val="001F0CAE"/>
    <w:rsid w:val="001F0DF7"/>
    <w:rsid w:val="001F0E25"/>
    <w:rsid w:val="001F0E42"/>
    <w:rsid w:val="001F0E7C"/>
    <w:rsid w:val="001F0ECE"/>
    <w:rsid w:val="001F0EFD"/>
    <w:rsid w:val="001F0FB6"/>
    <w:rsid w:val="001F0FEE"/>
    <w:rsid w:val="001F0FF4"/>
    <w:rsid w:val="001F1017"/>
    <w:rsid w:val="001F1036"/>
    <w:rsid w:val="001F1074"/>
    <w:rsid w:val="001F10B3"/>
    <w:rsid w:val="001F1129"/>
    <w:rsid w:val="001F11CA"/>
    <w:rsid w:val="001F11D7"/>
    <w:rsid w:val="001F126E"/>
    <w:rsid w:val="001F139B"/>
    <w:rsid w:val="001F17AD"/>
    <w:rsid w:val="001F17BD"/>
    <w:rsid w:val="001F17D6"/>
    <w:rsid w:val="001F1870"/>
    <w:rsid w:val="001F1902"/>
    <w:rsid w:val="001F1A76"/>
    <w:rsid w:val="001F1CCE"/>
    <w:rsid w:val="001F1F7A"/>
    <w:rsid w:val="001F2075"/>
    <w:rsid w:val="001F20EB"/>
    <w:rsid w:val="001F21C6"/>
    <w:rsid w:val="001F2239"/>
    <w:rsid w:val="001F2579"/>
    <w:rsid w:val="001F257F"/>
    <w:rsid w:val="001F26BE"/>
    <w:rsid w:val="001F271C"/>
    <w:rsid w:val="001F2836"/>
    <w:rsid w:val="001F2894"/>
    <w:rsid w:val="001F28D7"/>
    <w:rsid w:val="001F28E2"/>
    <w:rsid w:val="001F29E8"/>
    <w:rsid w:val="001F2BDB"/>
    <w:rsid w:val="001F2BEE"/>
    <w:rsid w:val="001F2C1C"/>
    <w:rsid w:val="001F2CDC"/>
    <w:rsid w:val="001F2D24"/>
    <w:rsid w:val="001F2E59"/>
    <w:rsid w:val="001F2FEC"/>
    <w:rsid w:val="001F3019"/>
    <w:rsid w:val="001F301D"/>
    <w:rsid w:val="001F3044"/>
    <w:rsid w:val="001F30A7"/>
    <w:rsid w:val="001F30C0"/>
    <w:rsid w:val="001F33CE"/>
    <w:rsid w:val="001F3407"/>
    <w:rsid w:val="001F345D"/>
    <w:rsid w:val="001F3645"/>
    <w:rsid w:val="001F3705"/>
    <w:rsid w:val="001F37DF"/>
    <w:rsid w:val="001F392E"/>
    <w:rsid w:val="001F39E4"/>
    <w:rsid w:val="001F3AF6"/>
    <w:rsid w:val="001F3BDE"/>
    <w:rsid w:val="001F3D61"/>
    <w:rsid w:val="001F40CA"/>
    <w:rsid w:val="001F4329"/>
    <w:rsid w:val="001F4505"/>
    <w:rsid w:val="001F4807"/>
    <w:rsid w:val="001F4841"/>
    <w:rsid w:val="001F4888"/>
    <w:rsid w:val="001F491C"/>
    <w:rsid w:val="001F49B6"/>
    <w:rsid w:val="001F4B60"/>
    <w:rsid w:val="001F4DF9"/>
    <w:rsid w:val="001F4E0E"/>
    <w:rsid w:val="001F4E3B"/>
    <w:rsid w:val="001F50ED"/>
    <w:rsid w:val="001F5145"/>
    <w:rsid w:val="001F514A"/>
    <w:rsid w:val="001F5170"/>
    <w:rsid w:val="001F5620"/>
    <w:rsid w:val="001F566C"/>
    <w:rsid w:val="001F56B6"/>
    <w:rsid w:val="001F56EC"/>
    <w:rsid w:val="001F5728"/>
    <w:rsid w:val="001F57D0"/>
    <w:rsid w:val="001F5886"/>
    <w:rsid w:val="001F58F4"/>
    <w:rsid w:val="001F5951"/>
    <w:rsid w:val="001F5AAF"/>
    <w:rsid w:val="001F5AF1"/>
    <w:rsid w:val="001F5B33"/>
    <w:rsid w:val="001F5CAC"/>
    <w:rsid w:val="001F5CC8"/>
    <w:rsid w:val="001F5D29"/>
    <w:rsid w:val="001F5DD0"/>
    <w:rsid w:val="001F61E9"/>
    <w:rsid w:val="001F6329"/>
    <w:rsid w:val="001F6431"/>
    <w:rsid w:val="001F65CD"/>
    <w:rsid w:val="001F65EB"/>
    <w:rsid w:val="001F66EC"/>
    <w:rsid w:val="001F6722"/>
    <w:rsid w:val="001F67B4"/>
    <w:rsid w:val="001F69D0"/>
    <w:rsid w:val="001F6C4F"/>
    <w:rsid w:val="001F6E46"/>
    <w:rsid w:val="001F6F8D"/>
    <w:rsid w:val="001F708C"/>
    <w:rsid w:val="001F70FB"/>
    <w:rsid w:val="001F7465"/>
    <w:rsid w:val="001F74E1"/>
    <w:rsid w:val="001F765A"/>
    <w:rsid w:val="001F7680"/>
    <w:rsid w:val="001F77CF"/>
    <w:rsid w:val="001F786C"/>
    <w:rsid w:val="001F79D2"/>
    <w:rsid w:val="001F7A98"/>
    <w:rsid w:val="001F7ADD"/>
    <w:rsid w:val="001F7BF1"/>
    <w:rsid w:val="001F7C98"/>
    <w:rsid w:val="001F7DB8"/>
    <w:rsid w:val="001F7DC7"/>
    <w:rsid w:val="001F7DE7"/>
    <w:rsid w:val="001F7E88"/>
    <w:rsid w:val="002000C4"/>
    <w:rsid w:val="0020016D"/>
    <w:rsid w:val="0020017A"/>
    <w:rsid w:val="002002F3"/>
    <w:rsid w:val="00200338"/>
    <w:rsid w:val="00200376"/>
    <w:rsid w:val="0020039D"/>
    <w:rsid w:val="002004D0"/>
    <w:rsid w:val="00200511"/>
    <w:rsid w:val="002006C8"/>
    <w:rsid w:val="0020074C"/>
    <w:rsid w:val="00200865"/>
    <w:rsid w:val="00200988"/>
    <w:rsid w:val="002009D0"/>
    <w:rsid w:val="00200B2C"/>
    <w:rsid w:val="00200DA3"/>
    <w:rsid w:val="00200F4A"/>
    <w:rsid w:val="00200F74"/>
    <w:rsid w:val="00200FAC"/>
    <w:rsid w:val="00201088"/>
    <w:rsid w:val="002011CE"/>
    <w:rsid w:val="00201317"/>
    <w:rsid w:val="00201608"/>
    <w:rsid w:val="00201610"/>
    <w:rsid w:val="0020164E"/>
    <w:rsid w:val="00201729"/>
    <w:rsid w:val="0020184E"/>
    <w:rsid w:val="002018D9"/>
    <w:rsid w:val="0020191D"/>
    <w:rsid w:val="0020193D"/>
    <w:rsid w:val="00201951"/>
    <w:rsid w:val="0020195D"/>
    <w:rsid w:val="00201BC1"/>
    <w:rsid w:val="00201D93"/>
    <w:rsid w:val="00201E29"/>
    <w:rsid w:val="00201EE0"/>
    <w:rsid w:val="00202096"/>
    <w:rsid w:val="00202137"/>
    <w:rsid w:val="002021BE"/>
    <w:rsid w:val="00202330"/>
    <w:rsid w:val="00202458"/>
    <w:rsid w:val="0020248A"/>
    <w:rsid w:val="00202544"/>
    <w:rsid w:val="002025D0"/>
    <w:rsid w:val="0020262F"/>
    <w:rsid w:val="002026A7"/>
    <w:rsid w:val="002026AC"/>
    <w:rsid w:val="00202727"/>
    <w:rsid w:val="0020288F"/>
    <w:rsid w:val="00202A72"/>
    <w:rsid w:val="00202B1D"/>
    <w:rsid w:val="00202B39"/>
    <w:rsid w:val="00202BF6"/>
    <w:rsid w:val="00202C4F"/>
    <w:rsid w:val="00202CB4"/>
    <w:rsid w:val="00202CCB"/>
    <w:rsid w:val="00202F4B"/>
    <w:rsid w:val="00203235"/>
    <w:rsid w:val="0020329F"/>
    <w:rsid w:val="00203592"/>
    <w:rsid w:val="00203608"/>
    <w:rsid w:val="00203618"/>
    <w:rsid w:val="0020362E"/>
    <w:rsid w:val="0020365C"/>
    <w:rsid w:val="0020365F"/>
    <w:rsid w:val="00203677"/>
    <w:rsid w:val="00203768"/>
    <w:rsid w:val="002037AD"/>
    <w:rsid w:val="002037B4"/>
    <w:rsid w:val="00203817"/>
    <w:rsid w:val="002039BF"/>
    <w:rsid w:val="00203A26"/>
    <w:rsid w:val="00203B79"/>
    <w:rsid w:val="00203C72"/>
    <w:rsid w:val="00203C87"/>
    <w:rsid w:val="00203EA4"/>
    <w:rsid w:val="00204051"/>
    <w:rsid w:val="0020435D"/>
    <w:rsid w:val="002043AC"/>
    <w:rsid w:val="00204486"/>
    <w:rsid w:val="002044B3"/>
    <w:rsid w:val="00204568"/>
    <w:rsid w:val="00204641"/>
    <w:rsid w:val="0020475B"/>
    <w:rsid w:val="00204778"/>
    <w:rsid w:val="00204AC5"/>
    <w:rsid w:val="00204BC1"/>
    <w:rsid w:val="00204D98"/>
    <w:rsid w:val="00204DB5"/>
    <w:rsid w:val="00204DC2"/>
    <w:rsid w:val="00204DC6"/>
    <w:rsid w:val="00204F84"/>
    <w:rsid w:val="00204F87"/>
    <w:rsid w:val="002050D9"/>
    <w:rsid w:val="00205180"/>
    <w:rsid w:val="002051E0"/>
    <w:rsid w:val="0020529B"/>
    <w:rsid w:val="00205522"/>
    <w:rsid w:val="002055D4"/>
    <w:rsid w:val="002056F7"/>
    <w:rsid w:val="0020572B"/>
    <w:rsid w:val="002059FA"/>
    <w:rsid w:val="00205E84"/>
    <w:rsid w:val="002060D5"/>
    <w:rsid w:val="00206218"/>
    <w:rsid w:val="0020624F"/>
    <w:rsid w:val="00206250"/>
    <w:rsid w:val="00206279"/>
    <w:rsid w:val="0020633B"/>
    <w:rsid w:val="0020634E"/>
    <w:rsid w:val="0020660E"/>
    <w:rsid w:val="002066B2"/>
    <w:rsid w:val="002066DD"/>
    <w:rsid w:val="002066EE"/>
    <w:rsid w:val="0020676B"/>
    <w:rsid w:val="00206849"/>
    <w:rsid w:val="00206976"/>
    <w:rsid w:val="00206A66"/>
    <w:rsid w:val="00206A6B"/>
    <w:rsid w:val="00206AA5"/>
    <w:rsid w:val="00206BA5"/>
    <w:rsid w:val="00206C7C"/>
    <w:rsid w:val="00206E11"/>
    <w:rsid w:val="00207085"/>
    <w:rsid w:val="002071CC"/>
    <w:rsid w:val="0020733B"/>
    <w:rsid w:val="00207374"/>
    <w:rsid w:val="00207561"/>
    <w:rsid w:val="002075D9"/>
    <w:rsid w:val="0020771A"/>
    <w:rsid w:val="00207773"/>
    <w:rsid w:val="002078B1"/>
    <w:rsid w:val="002079D6"/>
    <w:rsid w:val="00207C5C"/>
    <w:rsid w:val="00207C86"/>
    <w:rsid w:val="00207C93"/>
    <w:rsid w:val="00207CA2"/>
    <w:rsid w:val="00207D39"/>
    <w:rsid w:val="00207D42"/>
    <w:rsid w:val="00207E25"/>
    <w:rsid w:val="00207E2B"/>
    <w:rsid w:val="00207E3C"/>
    <w:rsid w:val="00207E56"/>
    <w:rsid w:val="00207E8B"/>
    <w:rsid w:val="00207EAB"/>
    <w:rsid w:val="00207F1F"/>
    <w:rsid w:val="00207FC6"/>
    <w:rsid w:val="00210080"/>
    <w:rsid w:val="00210179"/>
    <w:rsid w:val="0021018D"/>
    <w:rsid w:val="002103AB"/>
    <w:rsid w:val="00210444"/>
    <w:rsid w:val="0021048F"/>
    <w:rsid w:val="002106A2"/>
    <w:rsid w:val="00210831"/>
    <w:rsid w:val="002108B4"/>
    <w:rsid w:val="002108D5"/>
    <w:rsid w:val="00210900"/>
    <w:rsid w:val="002109D2"/>
    <w:rsid w:val="002109D9"/>
    <w:rsid w:val="00210D7E"/>
    <w:rsid w:val="00210DC6"/>
    <w:rsid w:val="00210E21"/>
    <w:rsid w:val="00210E3F"/>
    <w:rsid w:val="0021103F"/>
    <w:rsid w:val="002110B7"/>
    <w:rsid w:val="002111DD"/>
    <w:rsid w:val="002113F2"/>
    <w:rsid w:val="0021140A"/>
    <w:rsid w:val="002114B1"/>
    <w:rsid w:val="0021152D"/>
    <w:rsid w:val="0021165B"/>
    <w:rsid w:val="00211759"/>
    <w:rsid w:val="002117BF"/>
    <w:rsid w:val="00211995"/>
    <w:rsid w:val="00211A49"/>
    <w:rsid w:val="00211A7F"/>
    <w:rsid w:val="00211CFF"/>
    <w:rsid w:val="00211D8F"/>
    <w:rsid w:val="00211E16"/>
    <w:rsid w:val="00211E59"/>
    <w:rsid w:val="00211F03"/>
    <w:rsid w:val="002120D9"/>
    <w:rsid w:val="002120EF"/>
    <w:rsid w:val="002120FF"/>
    <w:rsid w:val="00212122"/>
    <w:rsid w:val="0021226C"/>
    <w:rsid w:val="002122AD"/>
    <w:rsid w:val="002123FB"/>
    <w:rsid w:val="002125D5"/>
    <w:rsid w:val="002125F4"/>
    <w:rsid w:val="00212697"/>
    <w:rsid w:val="0021277B"/>
    <w:rsid w:val="0021299C"/>
    <w:rsid w:val="00212A0B"/>
    <w:rsid w:val="00212B0D"/>
    <w:rsid w:val="00212B4C"/>
    <w:rsid w:val="00212CDF"/>
    <w:rsid w:val="00212EE3"/>
    <w:rsid w:val="00212F10"/>
    <w:rsid w:val="00212F11"/>
    <w:rsid w:val="00212F6C"/>
    <w:rsid w:val="00212FCA"/>
    <w:rsid w:val="00212FCD"/>
    <w:rsid w:val="0021320C"/>
    <w:rsid w:val="0021327C"/>
    <w:rsid w:val="00213377"/>
    <w:rsid w:val="002133A4"/>
    <w:rsid w:val="00213516"/>
    <w:rsid w:val="00213613"/>
    <w:rsid w:val="002139FA"/>
    <w:rsid w:val="00213A6F"/>
    <w:rsid w:val="00213BA4"/>
    <w:rsid w:val="00213BD5"/>
    <w:rsid w:val="00213BE7"/>
    <w:rsid w:val="00213C0B"/>
    <w:rsid w:val="00213C9D"/>
    <w:rsid w:val="00213CC4"/>
    <w:rsid w:val="00213DAD"/>
    <w:rsid w:val="00213DE4"/>
    <w:rsid w:val="00213E96"/>
    <w:rsid w:val="00213E9C"/>
    <w:rsid w:val="00213F36"/>
    <w:rsid w:val="00213FB3"/>
    <w:rsid w:val="00213FED"/>
    <w:rsid w:val="002141B8"/>
    <w:rsid w:val="002141C6"/>
    <w:rsid w:val="00214277"/>
    <w:rsid w:val="002142A2"/>
    <w:rsid w:val="002142D7"/>
    <w:rsid w:val="002142DE"/>
    <w:rsid w:val="002143FD"/>
    <w:rsid w:val="00214560"/>
    <w:rsid w:val="0021459D"/>
    <w:rsid w:val="002145E4"/>
    <w:rsid w:val="0021469B"/>
    <w:rsid w:val="002146CE"/>
    <w:rsid w:val="00214715"/>
    <w:rsid w:val="00214A30"/>
    <w:rsid w:val="00214A3F"/>
    <w:rsid w:val="00214A9E"/>
    <w:rsid w:val="00214BCF"/>
    <w:rsid w:val="00214D42"/>
    <w:rsid w:val="00214DEF"/>
    <w:rsid w:val="002150A7"/>
    <w:rsid w:val="002151E3"/>
    <w:rsid w:val="0021528B"/>
    <w:rsid w:val="002152A2"/>
    <w:rsid w:val="002153C1"/>
    <w:rsid w:val="00215679"/>
    <w:rsid w:val="0021567B"/>
    <w:rsid w:val="002156A1"/>
    <w:rsid w:val="002157E2"/>
    <w:rsid w:val="00215807"/>
    <w:rsid w:val="002159A0"/>
    <w:rsid w:val="00215ABA"/>
    <w:rsid w:val="00215B3E"/>
    <w:rsid w:val="00215D28"/>
    <w:rsid w:val="00215D85"/>
    <w:rsid w:val="00215DBA"/>
    <w:rsid w:val="00215E5D"/>
    <w:rsid w:val="00215E76"/>
    <w:rsid w:val="00216093"/>
    <w:rsid w:val="00216153"/>
    <w:rsid w:val="002161A4"/>
    <w:rsid w:val="002161B4"/>
    <w:rsid w:val="0021620C"/>
    <w:rsid w:val="00216269"/>
    <w:rsid w:val="0021629F"/>
    <w:rsid w:val="002164F4"/>
    <w:rsid w:val="00216529"/>
    <w:rsid w:val="0021652F"/>
    <w:rsid w:val="002165DF"/>
    <w:rsid w:val="00216719"/>
    <w:rsid w:val="00216778"/>
    <w:rsid w:val="0021694F"/>
    <w:rsid w:val="00216999"/>
    <w:rsid w:val="00216A6B"/>
    <w:rsid w:val="00216C35"/>
    <w:rsid w:val="00216C37"/>
    <w:rsid w:val="00216CA6"/>
    <w:rsid w:val="00216D13"/>
    <w:rsid w:val="00216E95"/>
    <w:rsid w:val="00216F23"/>
    <w:rsid w:val="00216F37"/>
    <w:rsid w:val="00217138"/>
    <w:rsid w:val="002171DC"/>
    <w:rsid w:val="002171F2"/>
    <w:rsid w:val="00217206"/>
    <w:rsid w:val="00217258"/>
    <w:rsid w:val="002172DD"/>
    <w:rsid w:val="0021731A"/>
    <w:rsid w:val="00217328"/>
    <w:rsid w:val="002174A0"/>
    <w:rsid w:val="00217554"/>
    <w:rsid w:val="002175C2"/>
    <w:rsid w:val="002175FF"/>
    <w:rsid w:val="002176EB"/>
    <w:rsid w:val="00217733"/>
    <w:rsid w:val="00217769"/>
    <w:rsid w:val="00217781"/>
    <w:rsid w:val="002178CB"/>
    <w:rsid w:val="002178FD"/>
    <w:rsid w:val="00217994"/>
    <w:rsid w:val="00217A5C"/>
    <w:rsid w:val="00217A9A"/>
    <w:rsid w:val="00217B17"/>
    <w:rsid w:val="00217E74"/>
    <w:rsid w:val="00217F3E"/>
    <w:rsid w:val="00217F9E"/>
    <w:rsid w:val="00217FD1"/>
    <w:rsid w:val="002201CF"/>
    <w:rsid w:val="002202FC"/>
    <w:rsid w:val="0022039B"/>
    <w:rsid w:val="002203CF"/>
    <w:rsid w:val="00220690"/>
    <w:rsid w:val="0022074B"/>
    <w:rsid w:val="002207DD"/>
    <w:rsid w:val="0022082C"/>
    <w:rsid w:val="00220896"/>
    <w:rsid w:val="002208A3"/>
    <w:rsid w:val="002209E0"/>
    <w:rsid w:val="00220A50"/>
    <w:rsid w:val="00220AE9"/>
    <w:rsid w:val="00220B47"/>
    <w:rsid w:val="00220B6F"/>
    <w:rsid w:val="00220D26"/>
    <w:rsid w:val="00220D94"/>
    <w:rsid w:val="00220DD5"/>
    <w:rsid w:val="00220F29"/>
    <w:rsid w:val="00221139"/>
    <w:rsid w:val="00221274"/>
    <w:rsid w:val="00221403"/>
    <w:rsid w:val="0022142C"/>
    <w:rsid w:val="002215C8"/>
    <w:rsid w:val="0022165A"/>
    <w:rsid w:val="00221664"/>
    <w:rsid w:val="00221765"/>
    <w:rsid w:val="002217CE"/>
    <w:rsid w:val="00221854"/>
    <w:rsid w:val="00221859"/>
    <w:rsid w:val="00221936"/>
    <w:rsid w:val="00221A26"/>
    <w:rsid w:val="00221AB3"/>
    <w:rsid w:val="00221B2D"/>
    <w:rsid w:val="00221BAE"/>
    <w:rsid w:val="00221C53"/>
    <w:rsid w:val="00221C92"/>
    <w:rsid w:val="00221CC2"/>
    <w:rsid w:val="00221CE0"/>
    <w:rsid w:val="00221CFB"/>
    <w:rsid w:val="00221D4E"/>
    <w:rsid w:val="00221D58"/>
    <w:rsid w:val="00221E2E"/>
    <w:rsid w:val="00221F63"/>
    <w:rsid w:val="00222047"/>
    <w:rsid w:val="0022206E"/>
    <w:rsid w:val="002220C0"/>
    <w:rsid w:val="0022217A"/>
    <w:rsid w:val="00222236"/>
    <w:rsid w:val="0022229C"/>
    <w:rsid w:val="0022242A"/>
    <w:rsid w:val="002224EE"/>
    <w:rsid w:val="002226A2"/>
    <w:rsid w:val="002226DD"/>
    <w:rsid w:val="00222777"/>
    <w:rsid w:val="00222849"/>
    <w:rsid w:val="00222911"/>
    <w:rsid w:val="00222A17"/>
    <w:rsid w:val="00222A5A"/>
    <w:rsid w:val="00222C38"/>
    <w:rsid w:val="00222C6D"/>
    <w:rsid w:val="00222E0C"/>
    <w:rsid w:val="00222E4A"/>
    <w:rsid w:val="00222E52"/>
    <w:rsid w:val="00222F1A"/>
    <w:rsid w:val="002231D1"/>
    <w:rsid w:val="002231ED"/>
    <w:rsid w:val="00223258"/>
    <w:rsid w:val="002233A5"/>
    <w:rsid w:val="002233F1"/>
    <w:rsid w:val="0022359B"/>
    <w:rsid w:val="002235FF"/>
    <w:rsid w:val="00223608"/>
    <w:rsid w:val="00223624"/>
    <w:rsid w:val="00223761"/>
    <w:rsid w:val="00223778"/>
    <w:rsid w:val="002238CE"/>
    <w:rsid w:val="002239B4"/>
    <w:rsid w:val="00223A65"/>
    <w:rsid w:val="00223B5A"/>
    <w:rsid w:val="00223BAF"/>
    <w:rsid w:val="00223BF5"/>
    <w:rsid w:val="00223CF4"/>
    <w:rsid w:val="00223FA5"/>
    <w:rsid w:val="00224009"/>
    <w:rsid w:val="0022423E"/>
    <w:rsid w:val="00224305"/>
    <w:rsid w:val="00224378"/>
    <w:rsid w:val="00224545"/>
    <w:rsid w:val="002245EA"/>
    <w:rsid w:val="00224864"/>
    <w:rsid w:val="00224BAA"/>
    <w:rsid w:val="00224C8A"/>
    <w:rsid w:val="00224CFC"/>
    <w:rsid w:val="00224FB7"/>
    <w:rsid w:val="00224FD7"/>
    <w:rsid w:val="00225052"/>
    <w:rsid w:val="00225278"/>
    <w:rsid w:val="00225408"/>
    <w:rsid w:val="002254A1"/>
    <w:rsid w:val="00225504"/>
    <w:rsid w:val="0022561D"/>
    <w:rsid w:val="002256B6"/>
    <w:rsid w:val="002256D7"/>
    <w:rsid w:val="00225768"/>
    <w:rsid w:val="00225775"/>
    <w:rsid w:val="002258E9"/>
    <w:rsid w:val="00225927"/>
    <w:rsid w:val="002259D4"/>
    <w:rsid w:val="00225B4E"/>
    <w:rsid w:val="00225F38"/>
    <w:rsid w:val="00226101"/>
    <w:rsid w:val="002261E5"/>
    <w:rsid w:val="00226290"/>
    <w:rsid w:val="00226499"/>
    <w:rsid w:val="00226668"/>
    <w:rsid w:val="00226766"/>
    <w:rsid w:val="002267B7"/>
    <w:rsid w:val="0022688E"/>
    <w:rsid w:val="002268CF"/>
    <w:rsid w:val="00226920"/>
    <w:rsid w:val="0022696D"/>
    <w:rsid w:val="00226A40"/>
    <w:rsid w:val="00226AA5"/>
    <w:rsid w:val="00226DC4"/>
    <w:rsid w:val="00226E93"/>
    <w:rsid w:val="002271DD"/>
    <w:rsid w:val="0022722E"/>
    <w:rsid w:val="002272D4"/>
    <w:rsid w:val="00227305"/>
    <w:rsid w:val="00227715"/>
    <w:rsid w:val="00227985"/>
    <w:rsid w:val="00227B11"/>
    <w:rsid w:val="00227BC5"/>
    <w:rsid w:val="00227BF4"/>
    <w:rsid w:val="00227CBA"/>
    <w:rsid w:val="00227E32"/>
    <w:rsid w:val="00227E7C"/>
    <w:rsid w:val="00227EE5"/>
    <w:rsid w:val="002301DC"/>
    <w:rsid w:val="002302A4"/>
    <w:rsid w:val="00230343"/>
    <w:rsid w:val="002303B4"/>
    <w:rsid w:val="002303BA"/>
    <w:rsid w:val="00230453"/>
    <w:rsid w:val="00230461"/>
    <w:rsid w:val="00230508"/>
    <w:rsid w:val="00230669"/>
    <w:rsid w:val="0023068B"/>
    <w:rsid w:val="00230820"/>
    <w:rsid w:val="0023095B"/>
    <w:rsid w:val="00230AA0"/>
    <w:rsid w:val="00230AA2"/>
    <w:rsid w:val="00230C95"/>
    <w:rsid w:val="00230DCA"/>
    <w:rsid w:val="00230FAB"/>
    <w:rsid w:val="002310BD"/>
    <w:rsid w:val="002310C5"/>
    <w:rsid w:val="00231100"/>
    <w:rsid w:val="0023115F"/>
    <w:rsid w:val="00231230"/>
    <w:rsid w:val="00231261"/>
    <w:rsid w:val="00231623"/>
    <w:rsid w:val="00231A19"/>
    <w:rsid w:val="00231B29"/>
    <w:rsid w:val="00231BE5"/>
    <w:rsid w:val="00231BEE"/>
    <w:rsid w:val="00231BF2"/>
    <w:rsid w:val="00231BF4"/>
    <w:rsid w:val="00231DE0"/>
    <w:rsid w:val="00231E22"/>
    <w:rsid w:val="00231EB6"/>
    <w:rsid w:val="00231F61"/>
    <w:rsid w:val="00231FBD"/>
    <w:rsid w:val="00232147"/>
    <w:rsid w:val="0023228E"/>
    <w:rsid w:val="00232643"/>
    <w:rsid w:val="00232949"/>
    <w:rsid w:val="0023298A"/>
    <w:rsid w:val="00232ADB"/>
    <w:rsid w:val="00232AE4"/>
    <w:rsid w:val="00232B35"/>
    <w:rsid w:val="00232B8B"/>
    <w:rsid w:val="00232BCB"/>
    <w:rsid w:val="00232BE1"/>
    <w:rsid w:val="00232CA3"/>
    <w:rsid w:val="00232D34"/>
    <w:rsid w:val="00232DFC"/>
    <w:rsid w:val="00232FBD"/>
    <w:rsid w:val="0023308C"/>
    <w:rsid w:val="002331D8"/>
    <w:rsid w:val="0023321C"/>
    <w:rsid w:val="002333A6"/>
    <w:rsid w:val="002334F4"/>
    <w:rsid w:val="00233568"/>
    <w:rsid w:val="002335FC"/>
    <w:rsid w:val="00233645"/>
    <w:rsid w:val="00233682"/>
    <w:rsid w:val="002337A8"/>
    <w:rsid w:val="00233949"/>
    <w:rsid w:val="002341E4"/>
    <w:rsid w:val="00234290"/>
    <w:rsid w:val="002342C5"/>
    <w:rsid w:val="002342D6"/>
    <w:rsid w:val="002343B4"/>
    <w:rsid w:val="0023447C"/>
    <w:rsid w:val="002344E8"/>
    <w:rsid w:val="002345FF"/>
    <w:rsid w:val="00234606"/>
    <w:rsid w:val="00234626"/>
    <w:rsid w:val="00234673"/>
    <w:rsid w:val="0023467E"/>
    <w:rsid w:val="0023490C"/>
    <w:rsid w:val="002349CA"/>
    <w:rsid w:val="00234D4E"/>
    <w:rsid w:val="00234E3A"/>
    <w:rsid w:val="00234EC1"/>
    <w:rsid w:val="00235023"/>
    <w:rsid w:val="002350FF"/>
    <w:rsid w:val="00235131"/>
    <w:rsid w:val="00235189"/>
    <w:rsid w:val="002351BB"/>
    <w:rsid w:val="0023530B"/>
    <w:rsid w:val="002353DC"/>
    <w:rsid w:val="00235460"/>
    <w:rsid w:val="002354A4"/>
    <w:rsid w:val="002354E4"/>
    <w:rsid w:val="002355A4"/>
    <w:rsid w:val="00235609"/>
    <w:rsid w:val="00235671"/>
    <w:rsid w:val="0023570C"/>
    <w:rsid w:val="0023586E"/>
    <w:rsid w:val="00235A33"/>
    <w:rsid w:val="00235A9A"/>
    <w:rsid w:val="00235B3E"/>
    <w:rsid w:val="00235B5C"/>
    <w:rsid w:val="00235BB8"/>
    <w:rsid w:val="00235C4F"/>
    <w:rsid w:val="00235D9D"/>
    <w:rsid w:val="00235FB3"/>
    <w:rsid w:val="00235FBD"/>
    <w:rsid w:val="00235FD4"/>
    <w:rsid w:val="00236002"/>
    <w:rsid w:val="002360DD"/>
    <w:rsid w:val="002362DE"/>
    <w:rsid w:val="002362FB"/>
    <w:rsid w:val="00236473"/>
    <w:rsid w:val="0023648D"/>
    <w:rsid w:val="00236512"/>
    <w:rsid w:val="0023678F"/>
    <w:rsid w:val="002368E5"/>
    <w:rsid w:val="002368F8"/>
    <w:rsid w:val="002369F5"/>
    <w:rsid w:val="00236B13"/>
    <w:rsid w:val="00236C6A"/>
    <w:rsid w:val="0023718B"/>
    <w:rsid w:val="00237210"/>
    <w:rsid w:val="0023726F"/>
    <w:rsid w:val="00237363"/>
    <w:rsid w:val="00237548"/>
    <w:rsid w:val="00237575"/>
    <w:rsid w:val="0023776A"/>
    <w:rsid w:val="0023790A"/>
    <w:rsid w:val="00237985"/>
    <w:rsid w:val="0023798A"/>
    <w:rsid w:val="00237BDC"/>
    <w:rsid w:val="00237D6D"/>
    <w:rsid w:val="00237DB7"/>
    <w:rsid w:val="00237E78"/>
    <w:rsid w:val="00237FAD"/>
    <w:rsid w:val="0024023F"/>
    <w:rsid w:val="00240282"/>
    <w:rsid w:val="002402A0"/>
    <w:rsid w:val="002402A1"/>
    <w:rsid w:val="002402C9"/>
    <w:rsid w:val="00240303"/>
    <w:rsid w:val="00240428"/>
    <w:rsid w:val="0024071F"/>
    <w:rsid w:val="002408FC"/>
    <w:rsid w:val="0024095C"/>
    <w:rsid w:val="00240CC7"/>
    <w:rsid w:val="00240DCF"/>
    <w:rsid w:val="00240F96"/>
    <w:rsid w:val="002411BC"/>
    <w:rsid w:val="00241491"/>
    <w:rsid w:val="002414AD"/>
    <w:rsid w:val="00241617"/>
    <w:rsid w:val="0024179A"/>
    <w:rsid w:val="002418DD"/>
    <w:rsid w:val="00241916"/>
    <w:rsid w:val="00241964"/>
    <w:rsid w:val="002419BC"/>
    <w:rsid w:val="002419BE"/>
    <w:rsid w:val="00241A9E"/>
    <w:rsid w:val="00241AB8"/>
    <w:rsid w:val="00241B04"/>
    <w:rsid w:val="00241B87"/>
    <w:rsid w:val="00241C02"/>
    <w:rsid w:val="00241C81"/>
    <w:rsid w:val="00241CE0"/>
    <w:rsid w:val="00241DAC"/>
    <w:rsid w:val="00241E1D"/>
    <w:rsid w:val="00241EC5"/>
    <w:rsid w:val="0024203F"/>
    <w:rsid w:val="002420D4"/>
    <w:rsid w:val="002423FB"/>
    <w:rsid w:val="0024256E"/>
    <w:rsid w:val="002426BF"/>
    <w:rsid w:val="00242774"/>
    <w:rsid w:val="002427C1"/>
    <w:rsid w:val="002429D9"/>
    <w:rsid w:val="002429DD"/>
    <w:rsid w:val="00242B5B"/>
    <w:rsid w:val="00242C10"/>
    <w:rsid w:val="00242C47"/>
    <w:rsid w:val="00242E54"/>
    <w:rsid w:val="00242F34"/>
    <w:rsid w:val="00242F38"/>
    <w:rsid w:val="00243104"/>
    <w:rsid w:val="0024329C"/>
    <w:rsid w:val="00243366"/>
    <w:rsid w:val="002433CB"/>
    <w:rsid w:val="0024345D"/>
    <w:rsid w:val="00243504"/>
    <w:rsid w:val="00243531"/>
    <w:rsid w:val="002435F0"/>
    <w:rsid w:val="00243749"/>
    <w:rsid w:val="0024379B"/>
    <w:rsid w:val="0024379F"/>
    <w:rsid w:val="002437A1"/>
    <w:rsid w:val="00243801"/>
    <w:rsid w:val="00243895"/>
    <w:rsid w:val="00243986"/>
    <w:rsid w:val="002439B6"/>
    <w:rsid w:val="002439E5"/>
    <w:rsid w:val="00243B41"/>
    <w:rsid w:val="00243B7C"/>
    <w:rsid w:val="00243B8C"/>
    <w:rsid w:val="00243B9E"/>
    <w:rsid w:val="00243C19"/>
    <w:rsid w:val="00243D5A"/>
    <w:rsid w:val="00244190"/>
    <w:rsid w:val="002442C3"/>
    <w:rsid w:val="00244568"/>
    <w:rsid w:val="00244589"/>
    <w:rsid w:val="00244803"/>
    <w:rsid w:val="00244823"/>
    <w:rsid w:val="002448B5"/>
    <w:rsid w:val="002448E0"/>
    <w:rsid w:val="00244900"/>
    <w:rsid w:val="0024494A"/>
    <w:rsid w:val="00244CD0"/>
    <w:rsid w:val="00244D3A"/>
    <w:rsid w:val="00244D45"/>
    <w:rsid w:val="00244DC3"/>
    <w:rsid w:val="00244E7B"/>
    <w:rsid w:val="00244E8C"/>
    <w:rsid w:val="00244EAA"/>
    <w:rsid w:val="00244F20"/>
    <w:rsid w:val="00244FFD"/>
    <w:rsid w:val="00245045"/>
    <w:rsid w:val="002450DD"/>
    <w:rsid w:val="002450F6"/>
    <w:rsid w:val="002451D5"/>
    <w:rsid w:val="002451F8"/>
    <w:rsid w:val="0024522E"/>
    <w:rsid w:val="0024532A"/>
    <w:rsid w:val="0024551E"/>
    <w:rsid w:val="00245587"/>
    <w:rsid w:val="00245799"/>
    <w:rsid w:val="002457A7"/>
    <w:rsid w:val="002457C6"/>
    <w:rsid w:val="0024586C"/>
    <w:rsid w:val="00245AFE"/>
    <w:rsid w:val="00245B17"/>
    <w:rsid w:val="00245B88"/>
    <w:rsid w:val="00245C5D"/>
    <w:rsid w:val="00245CDA"/>
    <w:rsid w:val="00245DEE"/>
    <w:rsid w:val="00245EC9"/>
    <w:rsid w:val="00245F92"/>
    <w:rsid w:val="00245FA5"/>
    <w:rsid w:val="00246069"/>
    <w:rsid w:val="002460A2"/>
    <w:rsid w:val="00246133"/>
    <w:rsid w:val="002461EA"/>
    <w:rsid w:val="002461F1"/>
    <w:rsid w:val="002462C1"/>
    <w:rsid w:val="00246444"/>
    <w:rsid w:val="00246504"/>
    <w:rsid w:val="00246601"/>
    <w:rsid w:val="00246911"/>
    <w:rsid w:val="0024693D"/>
    <w:rsid w:val="00246979"/>
    <w:rsid w:val="002469A6"/>
    <w:rsid w:val="00246B23"/>
    <w:rsid w:val="00246D28"/>
    <w:rsid w:val="00246D47"/>
    <w:rsid w:val="00246DD7"/>
    <w:rsid w:val="00246F2C"/>
    <w:rsid w:val="00246FF3"/>
    <w:rsid w:val="0024718F"/>
    <w:rsid w:val="002472C2"/>
    <w:rsid w:val="00247382"/>
    <w:rsid w:val="002476D0"/>
    <w:rsid w:val="00247717"/>
    <w:rsid w:val="002477B2"/>
    <w:rsid w:val="002477BC"/>
    <w:rsid w:val="002478AB"/>
    <w:rsid w:val="00247905"/>
    <w:rsid w:val="00247B87"/>
    <w:rsid w:val="00247C3C"/>
    <w:rsid w:val="00247C59"/>
    <w:rsid w:val="00247D72"/>
    <w:rsid w:val="00247D92"/>
    <w:rsid w:val="00247E2C"/>
    <w:rsid w:val="0025013F"/>
    <w:rsid w:val="00250141"/>
    <w:rsid w:val="00250351"/>
    <w:rsid w:val="002503B1"/>
    <w:rsid w:val="002504D3"/>
    <w:rsid w:val="002506D8"/>
    <w:rsid w:val="0025076C"/>
    <w:rsid w:val="00250840"/>
    <w:rsid w:val="0025086D"/>
    <w:rsid w:val="0025093E"/>
    <w:rsid w:val="00250D47"/>
    <w:rsid w:val="00250EAC"/>
    <w:rsid w:val="00250F0F"/>
    <w:rsid w:val="00251075"/>
    <w:rsid w:val="002510CF"/>
    <w:rsid w:val="002512DF"/>
    <w:rsid w:val="00251318"/>
    <w:rsid w:val="0025156D"/>
    <w:rsid w:val="002515CF"/>
    <w:rsid w:val="00251667"/>
    <w:rsid w:val="002516FF"/>
    <w:rsid w:val="0025188E"/>
    <w:rsid w:val="00251965"/>
    <w:rsid w:val="00251971"/>
    <w:rsid w:val="002519AE"/>
    <w:rsid w:val="002519EA"/>
    <w:rsid w:val="00251A00"/>
    <w:rsid w:val="00251A4E"/>
    <w:rsid w:val="00251D5C"/>
    <w:rsid w:val="00251F63"/>
    <w:rsid w:val="002520F6"/>
    <w:rsid w:val="0025211A"/>
    <w:rsid w:val="002521B6"/>
    <w:rsid w:val="002525FD"/>
    <w:rsid w:val="002526F3"/>
    <w:rsid w:val="00252859"/>
    <w:rsid w:val="00252889"/>
    <w:rsid w:val="002529A4"/>
    <w:rsid w:val="00252B5B"/>
    <w:rsid w:val="00252C41"/>
    <w:rsid w:val="00252CB3"/>
    <w:rsid w:val="00252CFE"/>
    <w:rsid w:val="00252D5B"/>
    <w:rsid w:val="00252E98"/>
    <w:rsid w:val="00252F37"/>
    <w:rsid w:val="0025305E"/>
    <w:rsid w:val="00253196"/>
    <w:rsid w:val="002533E8"/>
    <w:rsid w:val="002533EC"/>
    <w:rsid w:val="00253484"/>
    <w:rsid w:val="002534BA"/>
    <w:rsid w:val="002534D4"/>
    <w:rsid w:val="002535F3"/>
    <w:rsid w:val="0025362A"/>
    <w:rsid w:val="00253825"/>
    <w:rsid w:val="002538F6"/>
    <w:rsid w:val="00253A06"/>
    <w:rsid w:val="00253A94"/>
    <w:rsid w:val="00253B63"/>
    <w:rsid w:val="00253BCE"/>
    <w:rsid w:val="00253D04"/>
    <w:rsid w:val="00253EEE"/>
    <w:rsid w:val="00253F3E"/>
    <w:rsid w:val="00253FF8"/>
    <w:rsid w:val="00254028"/>
    <w:rsid w:val="00254058"/>
    <w:rsid w:val="002540FC"/>
    <w:rsid w:val="00254337"/>
    <w:rsid w:val="00254469"/>
    <w:rsid w:val="002544B3"/>
    <w:rsid w:val="00254507"/>
    <w:rsid w:val="0025454F"/>
    <w:rsid w:val="002545DC"/>
    <w:rsid w:val="0025465A"/>
    <w:rsid w:val="0025476C"/>
    <w:rsid w:val="0025480B"/>
    <w:rsid w:val="0025484C"/>
    <w:rsid w:val="00254911"/>
    <w:rsid w:val="00254992"/>
    <w:rsid w:val="002549E3"/>
    <w:rsid w:val="00254B1A"/>
    <w:rsid w:val="00254C1B"/>
    <w:rsid w:val="00254D02"/>
    <w:rsid w:val="00254D75"/>
    <w:rsid w:val="00254F0A"/>
    <w:rsid w:val="00254F0D"/>
    <w:rsid w:val="002550E9"/>
    <w:rsid w:val="00255181"/>
    <w:rsid w:val="00255268"/>
    <w:rsid w:val="00255269"/>
    <w:rsid w:val="002552F6"/>
    <w:rsid w:val="00255389"/>
    <w:rsid w:val="00255421"/>
    <w:rsid w:val="00255447"/>
    <w:rsid w:val="002555F1"/>
    <w:rsid w:val="0025561D"/>
    <w:rsid w:val="00255912"/>
    <w:rsid w:val="00255A11"/>
    <w:rsid w:val="00255A1F"/>
    <w:rsid w:val="00255ADF"/>
    <w:rsid w:val="00255AE3"/>
    <w:rsid w:val="00255B45"/>
    <w:rsid w:val="00255BFD"/>
    <w:rsid w:val="00255CDC"/>
    <w:rsid w:val="00255D83"/>
    <w:rsid w:val="00255E21"/>
    <w:rsid w:val="00256015"/>
    <w:rsid w:val="0025634C"/>
    <w:rsid w:val="00256400"/>
    <w:rsid w:val="002565A7"/>
    <w:rsid w:val="002566F8"/>
    <w:rsid w:val="00256707"/>
    <w:rsid w:val="0025674A"/>
    <w:rsid w:val="00256954"/>
    <w:rsid w:val="002569B1"/>
    <w:rsid w:val="00256BD7"/>
    <w:rsid w:val="00256C61"/>
    <w:rsid w:val="00256D56"/>
    <w:rsid w:val="00256E3E"/>
    <w:rsid w:val="00256FF4"/>
    <w:rsid w:val="002570BC"/>
    <w:rsid w:val="00257114"/>
    <w:rsid w:val="002571A0"/>
    <w:rsid w:val="002571CA"/>
    <w:rsid w:val="00257402"/>
    <w:rsid w:val="00257491"/>
    <w:rsid w:val="00257600"/>
    <w:rsid w:val="0025776E"/>
    <w:rsid w:val="00257877"/>
    <w:rsid w:val="00257993"/>
    <w:rsid w:val="002579E7"/>
    <w:rsid w:val="002579F4"/>
    <w:rsid w:val="00257B40"/>
    <w:rsid w:val="00257CA6"/>
    <w:rsid w:val="00257E81"/>
    <w:rsid w:val="00257EBF"/>
    <w:rsid w:val="00257F2B"/>
    <w:rsid w:val="00257F81"/>
    <w:rsid w:val="00257FBB"/>
    <w:rsid w:val="00260169"/>
    <w:rsid w:val="00260221"/>
    <w:rsid w:val="00260364"/>
    <w:rsid w:val="0026065D"/>
    <w:rsid w:val="002606AB"/>
    <w:rsid w:val="00260A28"/>
    <w:rsid w:val="00260A92"/>
    <w:rsid w:val="00260D7B"/>
    <w:rsid w:val="00260E51"/>
    <w:rsid w:val="00260FED"/>
    <w:rsid w:val="002610D3"/>
    <w:rsid w:val="00261245"/>
    <w:rsid w:val="0026126F"/>
    <w:rsid w:val="002612C9"/>
    <w:rsid w:val="00261413"/>
    <w:rsid w:val="002615E9"/>
    <w:rsid w:val="0026164A"/>
    <w:rsid w:val="0026171D"/>
    <w:rsid w:val="0026189E"/>
    <w:rsid w:val="00261901"/>
    <w:rsid w:val="00261A27"/>
    <w:rsid w:val="00261BB5"/>
    <w:rsid w:val="00261C6C"/>
    <w:rsid w:val="00261CBD"/>
    <w:rsid w:val="00261D3C"/>
    <w:rsid w:val="00261E29"/>
    <w:rsid w:val="00261EE4"/>
    <w:rsid w:val="00261F00"/>
    <w:rsid w:val="00261F31"/>
    <w:rsid w:val="00262129"/>
    <w:rsid w:val="0026212D"/>
    <w:rsid w:val="002621C6"/>
    <w:rsid w:val="0026232B"/>
    <w:rsid w:val="00262427"/>
    <w:rsid w:val="00262569"/>
    <w:rsid w:val="0026271F"/>
    <w:rsid w:val="00262996"/>
    <w:rsid w:val="00262BB2"/>
    <w:rsid w:val="00262BC5"/>
    <w:rsid w:val="00262D24"/>
    <w:rsid w:val="00262E56"/>
    <w:rsid w:val="00262E91"/>
    <w:rsid w:val="00262EA4"/>
    <w:rsid w:val="00262F6A"/>
    <w:rsid w:val="00262FEB"/>
    <w:rsid w:val="00263003"/>
    <w:rsid w:val="0026311E"/>
    <w:rsid w:val="002632A8"/>
    <w:rsid w:val="00263345"/>
    <w:rsid w:val="002633FD"/>
    <w:rsid w:val="0026353F"/>
    <w:rsid w:val="00263544"/>
    <w:rsid w:val="00263664"/>
    <w:rsid w:val="00263684"/>
    <w:rsid w:val="00263690"/>
    <w:rsid w:val="0026375D"/>
    <w:rsid w:val="0026384D"/>
    <w:rsid w:val="002638F2"/>
    <w:rsid w:val="00263924"/>
    <w:rsid w:val="00263B34"/>
    <w:rsid w:val="00263F03"/>
    <w:rsid w:val="00264056"/>
    <w:rsid w:val="002640BF"/>
    <w:rsid w:val="0026419D"/>
    <w:rsid w:val="002641A2"/>
    <w:rsid w:val="0026428F"/>
    <w:rsid w:val="002642A8"/>
    <w:rsid w:val="002642CA"/>
    <w:rsid w:val="00264422"/>
    <w:rsid w:val="002646D4"/>
    <w:rsid w:val="0026471B"/>
    <w:rsid w:val="002647CE"/>
    <w:rsid w:val="00264817"/>
    <w:rsid w:val="00264871"/>
    <w:rsid w:val="002648CC"/>
    <w:rsid w:val="002649C7"/>
    <w:rsid w:val="00264B37"/>
    <w:rsid w:val="00264B79"/>
    <w:rsid w:val="00264C93"/>
    <w:rsid w:val="00264C9B"/>
    <w:rsid w:val="00264C9D"/>
    <w:rsid w:val="00264D4A"/>
    <w:rsid w:val="00264DBC"/>
    <w:rsid w:val="00264EBA"/>
    <w:rsid w:val="00265132"/>
    <w:rsid w:val="00265324"/>
    <w:rsid w:val="002654DF"/>
    <w:rsid w:val="0026560D"/>
    <w:rsid w:val="00265678"/>
    <w:rsid w:val="002657D5"/>
    <w:rsid w:val="002657EC"/>
    <w:rsid w:val="002658BF"/>
    <w:rsid w:val="00265948"/>
    <w:rsid w:val="0026599D"/>
    <w:rsid w:val="00265AEF"/>
    <w:rsid w:val="00265B2A"/>
    <w:rsid w:val="00265B7B"/>
    <w:rsid w:val="00265C3F"/>
    <w:rsid w:val="00265D81"/>
    <w:rsid w:val="00265F2C"/>
    <w:rsid w:val="00266016"/>
    <w:rsid w:val="0026604E"/>
    <w:rsid w:val="0026633F"/>
    <w:rsid w:val="002663DF"/>
    <w:rsid w:val="002665E2"/>
    <w:rsid w:val="002666F2"/>
    <w:rsid w:val="00266756"/>
    <w:rsid w:val="00266818"/>
    <w:rsid w:val="00266840"/>
    <w:rsid w:val="002669A9"/>
    <w:rsid w:val="002669F7"/>
    <w:rsid w:val="00266A8C"/>
    <w:rsid w:val="00266C36"/>
    <w:rsid w:val="00266C6F"/>
    <w:rsid w:val="00266DBA"/>
    <w:rsid w:val="00266DD4"/>
    <w:rsid w:val="00266FB0"/>
    <w:rsid w:val="00267073"/>
    <w:rsid w:val="002671A6"/>
    <w:rsid w:val="00267231"/>
    <w:rsid w:val="00267586"/>
    <w:rsid w:val="002675A2"/>
    <w:rsid w:val="00267614"/>
    <w:rsid w:val="0026765A"/>
    <w:rsid w:val="00267679"/>
    <w:rsid w:val="0026774D"/>
    <w:rsid w:val="0026777E"/>
    <w:rsid w:val="0026779A"/>
    <w:rsid w:val="00267942"/>
    <w:rsid w:val="002679C4"/>
    <w:rsid w:val="00267B08"/>
    <w:rsid w:val="00267BEA"/>
    <w:rsid w:val="00267C36"/>
    <w:rsid w:val="00267C50"/>
    <w:rsid w:val="00267CC5"/>
    <w:rsid w:val="00267CFB"/>
    <w:rsid w:val="00267DC6"/>
    <w:rsid w:val="00267EBD"/>
    <w:rsid w:val="00270100"/>
    <w:rsid w:val="0027011A"/>
    <w:rsid w:val="00270158"/>
    <w:rsid w:val="0027022C"/>
    <w:rsid w:val="0027024E"/>
    <w:rsid w:val="002702D6"/>
    <w:rsid w:val="002703FB"/>
    <w:rsid w:val="00270457"/>
    <w:rsid w:val="002704D1"/>
    <w:rsid w:val="002704F0"/>
    <w:rsid w:val="00270576"/>
    <w:rsid w:val="00270640"/>
    <w:rsid w:val="0027066D"/>
    <w:rsid w:val="00270873"/>
    <w:rsid w:val="00270968"/>
    <w:rsid w:val="00270B17"/>
    <w:rsid w:val="00270B40"/>
    <w:rsid w:val="00270C11"/>
    <w:rsid w:val="00270C89"/>
    <w:rsid w:val="00270CCB"/>
    <w:rsid w:val="00270F18"/>
    <w:rsid w:val="00271047"/>
    <w:rsid w:val="002710B0"/>
    <w:rsid w:val="002711FA"/>
    <w:rsid w:val="00271275"/>
    <w:rsid w:val="002712DE"/>
    <w:rsid w:val="00271405"/>
    <w:rsid w:val="002714B7"/>
    <w:rsid w:val="00271691"/>
    <w:rsid w:val="00271697"/>
    <w:rsid w:val="002716B7"/>
    <w:rsid w:val="00271701"/>
    <w:rsid w:val="002717FD"/>
    <w:rsid w:val="00271871"/>
    <w:rsid w:val="002719FA"/>
    <w:rsid w:val="00271A1E"/>
    <w:rsid w:val="00271A48"/>
    <w:rsid w:val="00271B43"/>
    <w:rsid w:val="00271DAA"/>
    <w:rsid w:val="00271E51"/>
    <w:rsid w:val="00271E79"/>
    <w:rsid w:val="00271E8A"/>
    <w:rsid w:val="002721DC"/>
    <w:rsid w:val="0027227C"/>
    <w:rsid w:val="0027231E"/>
    <w:rsid w:val="00272422"/>
    <w:rsid w:val="00272499"/>
    <w:rsid w:val="00272506"/>
    <w:rsid w:val="00272540"/>
    <w:rsid w:val="002726AD"/>
    <w:rsid w:val="00272711"/>
    <w:rsid w:val="00272808"/>
    <w:rsid w:val="00272869"/>
    <w:rsid w:val="0027294C"/>
    <w:rsid w:val="00272A03"/>
    <w:rsid w:val="00272A37"/>
    <w:rsid w:val="00272A5D"/>
    <w:rsid w:val="00272BB5"/>
    <w:rsid w:val="00272EB6"/>
    <w:rsid w:val="0027304A"/>
    <w:rsid w:val="00273092"/>
    <w:rsid w:val="002730AD"/>
    <w:rsid w:val="002731E4"/>
    <w:rsid w:val="0027335C"/>
    <w:rsid w:val="0027369C"/>
    <w:rsid w:val="0027370D"/>
    <w:rsid w:val="00273813"/>
    <w:rsid w:val="00273A82"/>
    <w:rsid w:val="00273B02"/>
    <w:rsid w:val="00273B53"/>
    <w:rsid w:val="00273C75"/>
    <w:rsid w:val="0027408F"/>
    <w:rsid w:val="0027409A"/>
    <w:rsid w:val="002740CF"/>
    <w:rsid w:val="002742A1"/>
    <w:rsid w:val="00274321"/>
    <w:rsid w:val="00274346"/>
    <w:rsid w:val="00274383"/>
    <w:rsid w:val="00274452"/>
    <w:rsid w:val="002744E0"/>
    <w:rsid w:val="002744E7"/>
    <w:rsid w:val="0027463E"/>
    <w:rsid w:val="0027466C"/>
    <w:rsid w:val="00274688"/>
    <w:rsid w:val="002746E4"/>
    <w:rsid w:val="00274788"/>
    <w:rsid w:val="00274792"/>
    <w:rsid w:val="00274878"/>
    <w:rsid w:val="0027488D"/>
    <w:rsid w:val="0027492B"/>
    <w:rsid w:val="00274BA0"/>
    <w:rsid w:val="00274C47"/>
    <w:rsid w:val="00274D66"/>
    <w:rsid w:val="00274D6F"/>
    <w:rsid w:val="00274DEE"/>
    <w:rsid w:val="00274E5F"/>
    <w:rsid w:val="00275191"/>
    <w:rsid w:val="0027544E"/>
    <w:rsid w:val="002755B5"/>
    <w:rsid w:val="00275B4B"/>
    <w:rsid w:val="00275C8C"/>
    <w:rsid w:val="00275CF0"/>
    <w:rsid w:val="00275DD1"/>
    <w:rsid w:val="00275E37"/>
    <w:rsid w:val="00275F6E"/>
    <w:rsid w:val="00275FFC"/>
    <w:rsid w:val="00276025"/>
    <w:rsid w:val="0027606F"/>
    <w:rsid w:val="00276098"/>
    <w:rsid w:val="0027610A"/>
    <w:rsid w:val="00276153"/>
    <w:rsid w:val="00276359"/>
    <w:rsid w:val="002763B4"/>
    <w:rsid w:val="002763F9"/>
    <w:rsid w:val="00276439"/>
    <w:rsid w:val="0027645B"/>
    <w:rsid w:val="002765C2"/>
    <w:rsid w:val="00276615"/>
    <w:rsid w:val="0027673D"/>
    <w:rsid w:val="0027675E"/>
    <w:rsid w:val="00276888"/>
    <w:rsid w:val="002769DB"/>
    <w:rsid w:val="00276A59"/>
    <w:rsid w:val="00276AA3"/>
    <w:rsid w:val="00276BF8"/>
    <w:rsid w:val="00276C2D"/>
    <w:rsid w:val="00276C49"/>
    <w:rsid w:val="00276D1A"/>
    <w:rsid w:val="00276D77"/>
    <w:rsid w:val="00276E5B"/>
    <w:rsid w:val="00276ECA"/>
    <w:rsid w:val="00276F72"/>
    <w:rsid w:val="00276FB0"/>
    <w:rsid w:val="00276FE3"/>
    <w:rsid w:val="00277130"/>
    <w:rsid w:val="00277164"/>
    <w:rsid w:val="0027722A"/>
    <w:rsid w:val="00277242"/>
    <w:rsid w:val="002776C9"/>
    <w:rsid w:val="0027772D"/>
    <w:rsid w:val="00277765"/>
    <w:rsid w:val="002778DB"/>
    <w:rsid w:val="0027796D"/>
    <w:rsid w:val="00277AFC"/>
    <w:rsid w:val="00277B56"/>
    <w:rsid w:val="00277E0D"/>
    <w:rsid w:val="00277EF1"/>
    <w:rsid w:val="002800C6"/>
    <w:rsid w:val="0028044F"/>
    <w:rsid w:val="002806FF"/>
    <w:rsid w:val="0028070F"/>
    <w:rsid w:val="00280805"/>
    <w:rsid w:val="00280876"/>
    <w:rsid w:val="00280881"/>
    <w:rsid w:val="00280BB8"/>
    <w:rsid w:val="00280DA2"/>
    <w:rsid w:val="00280DC9"/>
    <w:rsid w:val="00280E1E"/>
    <w:rsid w:val="00280E31"/>
    <w:rsid w:val="00280E9C"/>
    <w:rsid w:val="00280F14"/>
    <w:rsid w:val="00280F6F"/>
    <w:rsid w:val="0028110E"/>
    <w:rsid w:val="00281196"/>
    <w:rsid w:val="002811E7"/>
    <w:rsid w:val="002813A4"/>
    <w:rsid w:val="00281559"/>
    <w:rsid w:val="002815E2"/>
    <w:rsid w:val="00281653"/>
    <w:rsid w:val="00281705"/>
    <w:rsid w:val="002817CD"/>
    <w:rsid w:val="00281896"/>
    <w:rsid w:val="0028189C"/>
    <w:rsid w:val="002818B3"/>
    <w:rsid w:val="002819E0"/>
    <w:rsid w:val="00281C1D"/>
    <w:rsid w:val="00281C75"/>
    <w:rsid w:val="00281EBF"/>
    <w:rsid w:val="00281ECB"/>
    <w:rsid w:val="00281ECE"/>
    <w:rsid w:val="00281ED8"/>
    <w:rsid w:val="00282154"/>
    <w:rsid w:val="00282187"/>
    <w:rsid w:val="002821FC"/>
    <w:rsid w:val="00282269"/>
    <w:rsid w:val="0028229A"/>
    <w:rsid w:val="00282312"/>
    <w:rsid w:val="00282498"/>
    <w:rsid w:val="002824E3"/>
    <w:rsid w:val="002825F2"/>
    <w:rsid w:val="002826C6"/>
    <w:rsid w:val="002828A4"/>
    <w:rsid w:val="00282994"/>
    <w:rsid w:val="00282B22"/>
    <w:rsid w:val="00282BC7"/>
    <w:rsid w:val="00282D22"/>
    <w:rsid w:val="00282DBF"/>
    <w:rsid w:val="00282FAE"/>
    <w:rsid w:val="0028301F"/>
    <w:rsid w:val="00283046"/>
    <w:rsid w:val="0028312C"/>
    <w:rsid w:val="00283174"/>
    <w:rsid w:val="0028318B"/>
    <w:rsid w:val="00283218"/>
    <w:rsid w:val="002832E2"/>
    <w:rsid w:val="0028334D"/>
    <w:rsid w:val="002834E0"/>
    <w:rsid w:val="002838CC"/>
    <w:rsid w:val="00283A26"/>
    <w:rsid w:val="00283C53"/>
    <w:rsid w:val="00283D76"/>
    <w:rsid w:val="00283DD9"/>
    <w:rsid w:val="00283E08"/>
    <w:rsid w:val="00283F0F"/>
    <w:rsid w:val="00283FFB"/>
    <w:rsid w:val="002840AD"/>
    <w:rsid w:val="002842E0"/>
    <w:rsid w:val="00284332"/>
    <w:rsid w:val="002843AA"/>
    <w:rsid w:val="002846CA"/>
    <w:rsid w:val="0028472C"/>
    <w:rsid w:val="00284739"/>
    <w:rsid w:val="0028474C"/>
    <w:rsid w:val="00284B62"/>
    <w:rsid w:val="00284CBA"/>
    <w:rsid w:val="00284DDA"/>
    <w:rsid w:val="00284DDC"/>
    <w:rsid w:val="00284E9D"/>
    <w:rsid w:val="00285242"/>
    <w:rsid w:val="0028525A"/>
    <w:rsid w:val="002853EA"/>
    <w:rsid w:val="00285442"/>
    <w:rsid w:val="00285465"/>
    <w:rsid w:val="0028554D"/>
    <w:rsid w:val="002855A7"/>
    <w:rsid w:val="002856C1"/>
    <w:rsid w:val="0028576B"/>
    <w:rsid w:val="002857C1"/>
    <w:rsid w:val="002857CB"/>
    <w:rsid w:val="002858D8"/>
    <w:rsid w:val="002859E4"/>
    <w:rsid w:val="00285A0A"/>
    <w:rsid w:val="00285BD6"/>
    <w:rsid w:val="00285CD4"/>
    <w:rsid w:val="00285DB4"/>
    <w:rsid w:val="00285EFB"/>
    <w:rsid w:val="00285F43"/>
    <w:rsid w:val="0028600B"/>
    <w:rsid w:val="002860AE"/>
    <w:rsid w:val="00286260"/>
    <w:rsid w:val="002865B3"/>
    <w:rsid w:val="002866D5"/>
    <w:rsid w:val="002866DB"/>
    <w:rsid w:val="00286719"/>
    <w:rsid w:val="00286854"/>
    <w:rsid w:val="00286984"/>
    <w:rsid w:val="002869AA"/>
    <w:rsid w:val="002869DF"/>
    <w:rsid w:val="00286AC5"/>
    <w:rsid w:val="00286B22"/>
    <w:rsid w:val="00286C57"/>
    <w:rsid w:val="00286C60"/>
    <w:rsid w:val="00286DB7"/>
    <w:rsid w:val="00286E9A"/>
    <w:rsid w:val="00286E9D"/>
    <w:rsid w:val="00286EDD"/>
    <w:rsid w:val="0028701A"/>
    <w:rsid w:val="00287181"/>
    <w:rsid w:val="0028727F"/>
    <w:rsid w:val="002872B3"/>
    <w:rsid w:val="002872BA"/>
    <w:rsid w:val="002872BE"/>
    <w:rsid w:val="0028737D"/>
    <w:rsid w:val="00287454"/>
    <w:rsid w:val="0028763A"/>
    <w:rsid w:val="0028771E"/>
    <w:rsid w:val="0028779A"/>
    <w:rsid w:val="0028780A"/>
    <w:rsid w:val="00287931"/>
    <w:rsid w:val="0028794E"/>
    <w:rsid w:val="00287994"/>
    <w:rsid w:val="002879DC"/>
    <w:rsid w:val="002879FA"/>
    <w:rsid w:val="00287F01"/>
    <w:rsid w:val="00287F2F"/>
    <w:rsid w:val="00287FCC"/>
    <w:rsid w:val="002902A8"/>
    <w:rsid w:val="0029031E"/>
    <w:rsid w:val="0029038C"/>
    <w:rsid w:val="0029052A"/>
    <w:rsid w:val="00290541"/>
    <w:rsid w:val="0029056E"/>
    <w:rsid w:val="002906D1"/>
    <w:rsid w:val="002906EF"/>
    <w:rsid w:val="00290701"/>
    <w:rsid w:val="00290867"/>
    <w:rsid w:val="00290A34"/>
    <w:rsid w:val="00290C31"/>
    <w:rsid w:val="00290EB3"/>
    <w:rsid w:val="002911D2"/>
    <w:rsid w:val="0029127E"/>
    <w:rsid w:val="00291300"/>
    <w:rsid w:val="0029136B"/>
    <w:rsid w:val="002913A8"/>
    <w:rsid w:val="00291529"/>
    <w:rsid w:val="002915CD"/>
    <w:rsid w:val="0029170D"/>
    <w:rsid w:val="00291839"/>
    <w:rsid w:val="002918C6"/>
    <w:rsid w:val="002918E4"/>
    <w:rsid w:val="00291975"/>
    <w:rsid w:val="00291985"/>
    <w:rsid w:val="00291A20"/>
    <w:rsid w:val="00291A25"/>
    <w:rsid w:val="00291A5F"/>
    <w:rsid w:val="00291AE0"/>
    <w:rsid w:val="00291AE1"/>
    <w:rsid w:val="00291B15"/>
    <w:rsid w:val="00291B37"/>
    <w:rsid w:val="00291B8E"/>
    <w:rsid w:val="00291E4D"/>
    <w:rsid w:val="00292017"/>
    <w:rsid w:val="00292038"/>
    <w:rsid w:val="002920BF"/>
    <w:rsid w:val="00292178"/>
    <w:rsid w:val="0029221F"/>
    <w:rsid w:val="00292412"/>
    <w:rsid w:val="0029252C"/>
    <w:rsid w:val="00292570"/>
    <w:rsid w:val="00292999"/>
    <w:rsid w:val="00292A5F"/>
    <w:rsid w:val="00292AF9"/>
    <w:rsid w:val="00292BC5"/>
    <w:rsid w:val="00292C92"/>
    <w:rsid w:val="00292D0C"/>
    <w:rsid w:val="00292D75"/>
    <w:rsid w:val="00292E8C"/>
    <w:rsid w:val="00292EB2"/>
    <w:rsid w:val="00292FAA"/>
    <w:rsid w:val="00293063"/>
    <w:rsid w:val="0029306F"/>
    <w:rsid w:val="002930CF"/>
    <w:rsid w:val="00293196"/>
    <w:rsid w:val="002931F5"/>
    <w:rsid w:val="0029326C"/>
    <w:rsid w:val="00293343"/>
    <w:rsid w:val="00293380"/>
    <w:rsid w:val="002933F5"/>
    <w:rsid w:val="0029343B"/>
    <w:rsid w:val="00293455"/>
    <w:rsid w:val="0029352E"/>
    <w:rsid w:val="002935A0"/>
    <w:rsid w:val="00293655"/>
    <w:rsid w:val="002936B1"/>
    <w:rsid w:val="00293B20"/>
    <w:rsid w:val="00293C22"/>
    <w:rsid w:val="00293C2A"/>
    <w:rsid w:val="00293D2C"/>
    <w:rsid w:val="00293D61"/>
    <w:rsid w:val="00293E4E"/>
    <w:rsid w:val="00293F75"/>
    <w:rsid w:val="00293FE0"/>
    <w:rsid w:val="00294010"/>
    <w:rsid w:val="00294017"/>
    <w:rsid w:val="002940EA"/>
    <w:rsid w:val="002941DD"/>
    <w:rsid w:val="0029424C"/>
    <w:rsid w:val="002942E2"/>
    <w:rsid w:val="00294315"/>
    <w:rsid w:val="00294395"/>
    <w:rsid w:val="002943DA"/>
    <w:rsid w:val="002943F9"/>
    <w:rsid w:val="002945D1"/>
    <w:rsid w:val="002945E8"/>
    <w:rsid w:val="002947CA"/>
    <w:rsid w:val="002948FC"/>
    <w:rsid w:val="00294A07"/>
    <w:rsid w:val="00294AD8"/>
    <w:rsid w:val="00294B93"/>
    <w:rsid w:val="00294C95"/>
    <w:rsid w:val="00294D9A"/>
    <w:rsid w:val="00294F9E"/>
    <w:rsid w:val="00295043"/>
    <w:rsid w:val="00295101"/>
    <w:rsid w:val="0029518A"/>
    <w:rsid w:val="0029534D"/>
    <w:rsid w:val="00295498"/>
    <w:rsid w:val="0029565F"/>
    <w:rsid w:val="00295712"/>
    <w:rsid w:val="00295726"/>
    <w:rsid w:val="0029572A"/>
    <w:rsid w:val="0029594C"/>
    <w:rsid w:val="002959BE"/>
    <w:rsid w:val="00295B84"/>
    <w:rsid w:val="00295CA7"/>
    <w:rsid w:val="00295D57"/>
    <w:rsid w:val="00295EE4"/>
    <w:rsid w:val="00295EEF"/>
    <w:rsid w:val="00295F12"/>
    <w:rsid w:val="0029601C"/>
    <w:rsid w:val="00296030"/>
    <w:rsid w:val="0029618B"/>
    <w:rsid w:val="00296243"/>
    <w:rsid w:val="002962D2"/>
    <w:rsid w:val="002963BF"/>
    <w:rsid w:val="00296743"/>
    <w:rsid w:val="0029690A"/>
    <w:rsid w:val="00296C7D"/>
    <w:rsid w:val="00296CBB"/>
    <w:rsid w:val="00296CBC"/>
    <w:rsid w:val="00296CD8"/>
    <w:rsid w:val="00296DBD"/>
    <w:rsid w:val="002970CE"/>
    <w:rsid w:val="0029720C"/>
    <w:rsid w:val="002972A5"/>
    <w:rsid w:val="002973EB"/>
    <w:rsid w:val="00297418"/>
    <w:rsid w:val="002974C7"/>
    <w:rsid w:val="00297504"/>
    <w:rsid w:val="002975E1"/>
    <w:rsid w:val="00297608"/>
    <w:rsid w:val="002976BC"/>
    <w:rsid w:val="0029783B"/>
    <w:rsid w:val="00297A34"/>
    <w:rsid w:val="00297B76"/>
    <w:rsid w:val="00297C18"/>
    <w:rsid w:val="00297DC0"/>
    <w:rsid w:val="00297EA5"/>
    <w:rsid w:val="00297EE4"/>
    <w:rsid w:val="00297FC9"/>
    <w:rsid w:val="002A0038"/>
    <w:rsid w:val="002A0180"/>
    <w:rsid w:val="002A026F"/>
    <w:rsid w:val="002A0278"/>
    <w:rsid w:val="002A0303"/>
    <w:rsid w:val="002A0374"/>
    <w:rsid w:val="002A0394"/>
    <w:rsid w:val="002A03D9"/>
    <w:rsid w:val="002A044F"/>
    <w:rsid w:val="002A0591"/>
    <w:rsid w:val="002A05AE"/>
    <w:rsid w:val="002A062C"/>
    <w:rsid w:val="002A06EC"/>
    <w:rsid w:val="002A07C4"/>
    <w:rsid w:val="002A07ED"/>
    <w:rsid w:val="002A08C3"/>
    <w:rsid w:val="002A08E8"/>
    <w:rsid w:val="002A090D"/>
    <w:rsid w:val="002A0923"/>
    <w:rsid w:val="002A0940"/>
    <w:rsid w:val="002A094B"/>
    <w:rsid w:val="002A0A32"/>
    <w:rsid w:val="002A0A44"/>
    <w:rsid w:val="002A0B30"/>
    <w:rsid w:val="002A0BC8"/>
    <w:rsid w:val="002A0E91"/>
    <w:rsid w:val="002A0E99"/>
    <w:rsid w:val="002A10A1"/>
    <w:rsid w:val="002A10BA"/>
    <w:rsid w:val="002A10D9"/>
    <w:rsid w:val="002A12AD"/>
    <w:rsid w:val="002A1335"/>
    <w:rsid w:val="002A13A7"/>
    <w:rsid w:val="002A13FF"/>
    <w:rsid w:val="002A1421"/>
    <w:rsid w:val="002A14BF"/>
    <w:rsid w:val="002A15DB"/>
    <w:rsid w:val="002A160F"/>
    <w:rsid w:val="002A1627"/>
    <w:rsid w:val="002A16D6"/>
    <w:rsid w:val="002A183E"/>
    <w:rsid w:val="002A185C"/>
    <w:rsid w:val="002A188B"/>
    <w:rsid w:val="002A1895"/>
    <w:rsid w:val="002A1912"/>
    <w:rsid w:val="002A1930"/>
    <w:rsid w:val="002A1B9A"/>
    <w:rsid w:val="002A1BB5"/>
    <w:rsid w:val="002A1D01"/>
    <w:rsid w:val="002A1D5B"/>
    <w:rsid w:val="002A1DFA"/>
    <w:rsid w:val="002A1F4A"/>
    <w:rsid w:val="002A1FDE"/>
    <w:rsid w:val="002A2071"/>
    <w:rsid w:val="002A20F9"/>
    <w:rsid w:val="002A2225"/>
    <w:rsid w:val="002A2304"/>
    <w:rsid w:val="002A2348"/>
    <w:rsid w:val="002A2427"/>
    <w:rsid w:val="002A268E"/>
    <w:rsid w:val="002A26EE"/>
    <w:rsid w:val="002A2752"/>
    <w:rsid w:val="002A2873"/>
    <w:rsid w:val="002A28D6"/>
    <w:rsid w:val="002A2D1F"/>
    <w:rsid w:val="002A2E19"/>
    <w:rsid w:val="002A2F91"/>
    <w:rsid w:val="002A3074"/>
    <w:rsid w:val="002A30DA"/>
    <w:rsid w:val="002A33B4"/>
    <w:rsid w:val="002A33CE"/>
    <w:rsid w:val="002A33CF"/>
    <w:rsid w:val="002A3529"/>
    <w:rsid w:val="002A3559"/>
    <w:rsid w:val="002A3641"/>
    <w:rsid w:val="002A383A"/>
    <w:rsid w:val="002A3866"/>
    <w:rsid w:val="002A3934"/>
    <w:rsid w:val="002A3989"/>
    <w:rsid w:val="002A39D1"/>
    <w:rsid w:val="002A3C17"/>
    <w:rsid w:val="002A3CDD"/>
    <w:rsid w:val="002A3DDF"/>
    <w:rsid w:val="002A3ED3"/>
    <w:rsid w:val="002A405A"/>
    <w:rsid w:val="002A4173"/>
    <w:rsid w:val="002A41F3"/>
    <w:rsid w:val="002A43B6"/>
    <w:rsid w:val="002A44D8"/>
    <w:rsid w:val="002A4573"/>
    <w:rsid w:val="002A4734"/>
    <w:rsid w:val="002A47AE"/>
    <w:rsid w:val="002A4A6C"/>
    <w:rsid w:val="002A4AFD"/>
    <w:rsid w:val="002A4CDC"/>
    <w:rsid w:val="002A4D08"/>
    <w:rsid w:val="002A508A"/>
    <w:rsid w:val="002A50E0"/>
    <w:rsid w:val="002A5420"/>
    <w:rsid w:val="002A55D8"/>
    <w:rsid w:val="002A576E"/>
    <w:rsid w:val="002A5A36"/>
    <w:rsid w:val="002A5AA9"/>
    <w:rsid w:val="002A5B23"/>
    <w:rsid w:val="002A5B42"/>
    <w:rsid w:val="002A5BC5"/>
    <w:rsid w:val="002A5BFE"/>
    <w:rsid w:val="002A5C9C"/>
    <w:rsid w:val="002A5CBC"/>
    <w:rsid w:val="002A5E10"/>
    <w:rsid w:val="002A5E1B"/>
    <w:rsid w:val="002A5E7C"/>
    <w:rsid w:val="002A5FCC"/>
    <w:rsid w:val="002A602F"/>
    <w:rsid w:val="002A6093"/>
    <w:rsid w:val="002A60C1"/>
    <w:rsid w:val="002A6301"/>
    <w:rsid w:val="002A6303"/>
    <w:rsid w:val="002A6361"/>
    <w:rsid w:val="002A6404"/>
    <w:rsid w:val="002A6413"/>
    <w:rsid w:val="002A64CE"/>
    <w:rsid w:val="002A651A"/>
    <w:rsid w:val="002A662F"/>
    <w:rsid w:val="002A66D0"/>
    <w:rsid w:val="002A6752"/>
    <w:rsid w:val="002A6844"/>
    <w:rsid w:val="002A6A9C"/>
    <w:rsid w:val="002A6ADD"/>
    <w:rsid w:val="002A6B5D"/>
    <w:rsid w:val="002A6F69"/>
    <w:rsid w:val="002A6F8C"/>
    <w:rsid w:val="002A6FA4"/>
    <w:rsid w:val="002A71EE"/>
    <w:rsid w:val="002A7238"/>
    <w:rsid w:val="002A7255"/>
    <w:rsid w:val="002A72FE"/>
    <w:rsid w:val="002A73C5"/>
    <w:rsid w:val="002A73D9"/>
    <w:rsid w:val="002A7550"/>
    <w:rsid w:val="002A76A5"/>
    <w:rsid w:val="002A76B3"/>
    <w:rsid w:val="002A7A78"/>
    <w:rsid w:val="002A7ABC"/>
    <w:rsid w:val="002A7B9E"/>
    <w:rsid w:val="002A7BB8"/>
    <w:rsid w:val="002A7BC3"/>
    <w:rsid w:val="002A7D16"/>
    <w:rsid w:val="002A7D44"/>
    <w:rsid w:val="002A7D80"/>
    <w:rsid w:val="002A7F86"/>
    <w:rsid w:val="002B0092"/>
    <w:rsid w:val="002B0093"/>
    <w:rsid w:val="002B0111"/>
    <w:rsid w:val="002B0360"/>
    <w:rsid w:val="002B038E"/>
    <w:rsid w:val="002B03E5"/>
    <w:rsid w:val="002B040A"/>
    <w:rsid w:val="002B04E5"/>
    <w:rsid w:val="002B06C4"/>
    <w:rsid w:val="002B06D7"/>
    <w:rsid w:val="002B090B"/>
    <w:rsid w:val="002B091D"/>
    <w:rsid w:val="002B092F"/>
    <w:rsid w:val="002B09F8"/>
    <w:rsid w:val="002B0AA8"/>
    <w:rsid w:val="002B0B31"/>
    <w:rsid w:val="002B0D40"/>
    <w:rsid w:val="002B0E58"/>
    <w:rsid w:val="002B0F8A"/>
    <w:rsid w:val="002B11CC"/>
    <w:rsid w:val="002B11E6"/>
    <w:rsid w:val="002B1303"/>
    <w:rsid w:val="002B1320"/>
    <w:rsid w:val="002B1579"/>
    <w:rsid w:val="002B1692"/>
    <w:rsid w:val="002B16FA"/>
    <w:rsid w:val="002B17BA"/>
    <w:rsid w:val="002B1815"/>
    <w:rsid w:val="002B188B"/>
    <w:rsid w:val="002B1937"/>
    <w:rsid w:val="002B19BA"/>
    <w:rsid w:val="002B19C9"/>
    <w:rsid w:val="002B1A04"/>
    <w:rsid w:val="002B1A3B"/>
    <w:rsid w:val="002B1ACC"/>
    <w:rsid w:val="002B1B5F"/>
    <w:rsid w:val="002B1E17"/>
    <w:rsid w:val="002B1E2A"/>
    <w:rsid w:val="002B1E3B"/>
    <w:rsid w:val="002B1E52"/>
    <w:rsid w:val="002B205D"/>
    <w:rsid w:val="002B20A8"/>
    <w:rsid w:val="002B21B9"/>
    <w:rsid w:val="002B21DD"/>
    <w:rsid w:val="002B2212"/>
    <w:rsid w:val="002B23AE"/>
    <w:rsid w:val="002B2530"/>
    <w:rsid w:val="002B2679"/>
    <w:rsid w:val="002B26F4"/>
    <w:rsid w:val="002B28E6"/>
    <w:rsid w:val="002B291D"/>
    <w:rsid w:val="002B297D"/>
    <w:rsid w:val="002B2B30"/>
    <w:rsid w:val="002B2BB2"/>
    <w:rsid w:val="002B2BC0"/>
    <w:rsid w:val="002B2C54"/>
    <w:rsid w:val="002B2C8F"/>
    <w:rsid w:val="002B2E32"/>
    <w:rsid w:val="002B2EDA"/>
    <w:rsid w:val="002B2FAB"/>
    <w:rsid w:val="002B2FB1"/>
    <w:rsid w:val="002B30D5"/>
    <w:rsid w:val="002B30E0"/>
    <w:rsid w:val="002B3104"/>
    <w:rsid w:val="002B31DB"/>
    <w:rsid w:val="002B3442"/>
    <w:rsid w:val="002B35BD"/>
    <w:rsid w:val="002B360F"/>
    <w:rsid w:val="002B3787"/>
    <w:rsid w:val="002B37AA"/>
    <w:rsid w:val="002B3877"/>
    <w:rsid w:val="002B3942"/>
    <w:rsid w:val="002B3986"/>
    <w:rsid w:val="002B3A32"/>
    <w:rsid w:val="002B3DE5"/>
    <w:rsid w:val="002B3DFC"/>
    <w:rsid w:val="002B3E07"/>
    <w:rsid w:val="002B3E41"/>
    <w:rsid w:val="002B3FC0"/>
    <w:rsid w:val="002B405F"/>
    <w:rsid w:val="002B43C0"/>
    <w:rsid w:val="002B43E9"/>
    <w:rsid w:val="002B4410"/>
    <w:rsid w:val="002B44B4"/>
    <w:rsid w:val="002B4555"/>
    <w:rsid w:val="002B4730"/>
    <w:rsid w:val="002B4759"/>
    <w:rsid w:val="002B4A8D"/>
    <w:rsid w:val="002B4B4E"/>
    <w:rsid w:val="002B4B96"/>
    <w:rsid w:val="002B4C22"/>
    <w:rsid w:val="002B4C8E"/>
    <w:rsid w:val="002B4E27"/>
    <w:rsid w:val="002B4EAB"/>
    <w:rsid w:val="002B4F91"/>
    <w:rsid w:val="002B5336"/>
    <w:rsid w:val="002B537D"/>
    <w:rsid w:val="002B53D7"/>
    <w:rsid w:val="002B5459"/>
    <w:rsid w:val="002B556C"/>
    <w:rsid w:val="002B55AE"/>
    <w:rsid w:val="002B55ED"/>
    <w:rsid w:val="002B573C"/>
    <w:rsid w:val="002B581A"/>
    <w:rsid w:val="002B58A3"/>
    <w:rsid w:val="002B58F6"/>
    <w:rsid w:val="002B591D"/>
    <w:rsid w:val="002B5948"/>
    <w:rsid w:val="002B597B"/>
    <w:rsid w:val="002B5B99"/>
    <w:rsid w:val="002B5BEE"/>
    <w:rsid w:val="002B5C21"/>
    <w:rsid w:val="002B617F"/>
    <w:rsid w:val="002B618C"/>
    <w:rsid w:val="002B6335"/>
    <w:rsid w:val="002B65CE"/>
    <w:rsid w:val="002B6749"/>
    <w:rsid w:val="002B67AB"/>
    <w:rsid w:val="002B67E1"/>
    <w:rsid w:val="002B68CE"/>
    <w:rsid w:val="002B6A00"/>
    <w:rsid w:val="002B6A36"/>
    <w:rsid w:val="002B6A3F"/>
    <w:rsid w:val="002B6AAF"/>
    <w:rsid w:val="002B6AC6"/>
    <w:rsid w:val="002B6AD4"/>
    <w:rsid w:val="002B6ADA"/>
    <w:rsid w:val="002B6B09"/>
    <w:rsid w:val="002B6C33"/>
    <w:rsid w:val="002B6D8F"/>
    <w:rsid w:val="002B6F0D"/>
    <w:rsid w:val="002B6F94"/>
    <w:rsid w:val="002B6FBD"/>
    <w:rsid w:val="002B72C3"/>
    <w:rsid w:val="002B72E3"/>
    <w:rsid w:val="002B73E3"/>
    <w:rsid w:val="002B749B"/>
    <w:rsid w:val="002B74CA"/>
    <w:rsid w:val="002B752B"/>
    <w:rsid w:val="002B759A"/>
    <w:rsid w:val="002B75A3"/>
    <w:rsid w:val="002B7600"/>
    <w:rsid w:val="002B7648"/>
    <w:rsid w:val="002B77D6"/>
    <w:rsid w:val="002B7A0F"/>
    <w:rsid w:val="002B7A92"/>
    <w:rsid w:val="002B7AA8"/>
    <w:rsid w:val="002B7BCE"/>
    <w:rsid w:val="002B7BE0"/>
    <w:rsid w:val="002B7C1B"/>
    <w:rsid w:val="002B7D59"/>
    <w:rsid w:val="002B7DA8"/>
    <w:rsid w:val="002B7E7B"/>
    <w:rsid w:val="002B7EBE"/>
    <w:rsid w:val="002C0095"/>
    <w:rsid w:val="002C0164"/>
    <w:rsid w:val="002C01FE"/>
    <w:rsid w:val="002C047D"/>
    <w:rsid w:val="002C04AC"/>
    <w:rsid w:val="002C0564"/>
    <w:rsid w:val="002C0672"/>
    <w:rsid w:val="002C06D4"/>
    <w:rsid w:val="002C0998"/>
    <w:rsid w:val="002C0B04"/>
    <w:rsid w:val="002C0B1F"/>
    <w:rsid w:val="002C0B68"/>
    <w:rsid w:val="002C0C08"/>
    <w:rsid w:val="002C0C0A"/>
    <w:rsid w:val="002C0EA5"/>
    <w:rsid w:val="002C0F42"/>
    <w:rsid w:val="002C1022"/>
    <w:rsid w:val="002C1200"/>
    <w:rsid w:val="002C12C9"/>
    <w:rsid w:val="002C12D9"/>
    <w:rsid w:val="002C13C4"/>
    <w:rsid w:val="002C13F4"/>
    <w:rsid w:val="002C1572"/>
    <w:rsid w:val="002C15AE"/>
    <w:rsid w:val="002C1618"/>
    <w:rsid w:val="002C18B9"/>
    <w:rsid w:val="002C18D2"/>
    <w:rsid w:val="002C1B60"/>
    <w:rsid w:val="002C1BA2"/>
    <w:rsid w:val="002C1BE5"/>
    <w:rsid w:val="002C1C18"/>
    <w:rsid w:val="002C212E"/>
    <w:rsid w:val="002C242F"/>
    <w:rsid w:val="002C2586"/>
    <w:rsid w:val="002C2646"/>
    <w:rsid w:val="002C2722"/>
    <w:rsid w:val="002C2735"/>
    <w:rsid w:val="002C278E"/>
    <w:rsid w:val="002C288C"/>
    <w:rsid w:val="002C2B4A"/>
    <w:rsid w:val="002C2B56"/>
    <w:rsid w:val="002C2F2A"/>
    <w:rsid w:val="002C30D7"/>
    <w:rsid w:val="002C31D2"/>
    <w:rsid w:val="002C3240"/>
    <w:rsid w:val="002C3337"/>
    <w:rsid w:val="002C34A1"/>
    <w:rsid w:val="002C359E"/>
    <w:rsid w:val="002C3617"/>
    <w:rsid w:val="002C363F"/>
    <w:rsid w:val="002C37AF"/>
    <w:rsid w:val="002C387F"/>
    <w:rsid w:val="002C395F"/>
    <w:rsid w:val="002C39FD"/>
    <w:rsid w:val="002C3B50"/>
    <w:rsid w:val="002C3BCA"/>
    <w:rsid w:val="002C3EA7"/>
    <w:rsid w:val="002C40B8"/>
    <w:rsid w:val="002C42E7"/>
    <w:rsid w:val="002C4310"/>
    <w:rsid w:val="002C43E7"/>
    <w:rsid w:val="002C43F9"/>
    <w:rsid w:val="002C446F"/>
    <w:rsid w:val="002C4475"/>
    <w:rsid w:val="002C4494"/>
    <w:rsid w:val="002C4564"/>
    <w:rsid w:val="002C45CC"/>
    <w:rsid w:val="002C45D2"/>
    <w:rsid w:val="002C4796"/>
    <w:rsid w:val="002C499B"/>
    <w:rsid w:val="002C49AC"/>
    <w:rsid w:val="002C4A2D"/>
    <w:rsid w:val="002C4B54"/>
    <w:rsid w:val="002C4B7A"/>
    <w:rsid w:val="002C4BF9"/>
    <w:rsid w:val="002C4C50"/>
    <w:rsid w:val="002C4C64"/>
    <w:rsid w:val="002C4CD0"/>
    <w:rsid w:val="002C4D9E"/>
    <w:rsid w:val="002C4EA9"/>
    <w:rsid w:val="002C4F07"/>
    <w:rsid w:val="002C4F32"/>
    <w:rsid w:val="002C5283"/>
    <w:rsid w:val="002C5321"/>
    <w:rsid w:val="002C5329"/>
    <w:rsid w:val="002C5491"/>
    <w:rsid w:val="002C55EA"/>
    <w:rsid w:val="002C561A"/>
    <w:rsid w:val="002C5677"/>
    <w:rsid w:val="002C5678"/>
    <w:rsid w:val="002C56C0"/>
    <w:rsid w:val="002C5714"/>
    <w:rsid w:val="002C597E"/>
    <w:rsid w:val="002C5B02"/>
    <w:rsid w:val="002C5B39"/>
    <w:rsid w:val="002C5B42"/>
    <w:rsid w:val="002C5BD7"/>
    <w:rsid w:val="002C5CC4"/>
    <w:rsid w:val="002C5D58"/>
    <w:rsid w:val="002C5E6A"/>
    <w:rsid w:val="002C5E79"/>
    <w:rsid w:val="002C60D2"/>
    <w:rsid w:val="002C6269"/>
    <w:rsid w:val="002C636E"/>
    <w:rsid w:val="002C636F"/>
    <w:rsid w:val="002C6475"/>
    <w:rsid w:val="002C6546"/>
    <w:rsid w:val="002C65CB"/>
    <w:rsid w:val="002C6649"/>
    <w:rsid w:val="002C6712"/>
    <w:rsid w:val="002C69A0"/>
    <w:rsid w:val="002C6A72"/>
    <w:rsid w:val="002C6B77"/>
    <w:rsid w:val="002C6C34"/>
    <w:rsid w:val="002C6C7D"/>
    <w:rsid w:val="002C6E7E"/>
    <w:rsid w:val="002C6E86"/>
    <w:rsid w:val="002C6EAC"/>
    <w:rsid w:val="002C6FCC"/>
    <w:rsid w:val="002C6FE1"/>
    <w:rsid w:val="002C7056"/>
    <w:rsid w:val="002C71B2"/>
    <w:rsid w:val="002C71E9"/>
    <w:rsid w:val="002C72B2"/>
    <w:rsid w:val="002C741E"/>
    <w:rsid w:val="002C7677"/>
    <w:rsid w:val="002C79AC"/>
    <w:rsid w:val="002C7B45"/>
    <w:rsid w:val="002D04B1"/>
    <w:rsid w:val="002D04C6"/>
    <w:rsid w:val="002D0791"/>
    <w:rsid w:val="002D0838"/>
    <w:rsid w:val="002D0860"/>
    <w:rsid w:val="002D0985"/>
    <w:rsid w:val="002D0A9C"/>
    <w:rsid w:val="002D0C0D"/>
    <w:rsid w:val="002D0C3D"/>
    <w:rsid w:val="002D0D08"/>
    <w:rsid w:val="002D0D24"/>
    <w:rsid w:val="002D0D71"/>
    <w:rsid w:val="002D0DD3"/>
    <w:rsid w:val="002D0E4C"/>
    <w:rsid w:val="002D0E72"/>
    <w:rsid w:val="002D0E8B"/>
    <w:rsid w:val="002D0E93"/>
    <w:rsid w:val="002D10D5"/>
    <w:rsid w:val="002D10FE"/>
    <w:rsid w:val="002D113D"/>
    <w:rsid w:val="002D1323"/>
    <w:rsid w:val="002D13D9"/>
    <w:rsid w:val="002D14E9"/>
    <w:rsid w:val="002D178B"/>
    <w:rsid w:val="002D19A0"/>
    <w:rsid w:val="002D1CBA"/>
    <w:rsid w:val="002D1CC3"/>
    <w:rsid w:val="002D1EA0"/>
    <w:rsid w:val="002D2152"/>
    <w:rsid w:val="002D2268"/>
    <w:rsid w:val="002D238B"/>
    <w:rsid w:val="002D2453"/>
    <w:rsid w:val="002D2636"/>
    <w:rsid w:val="002D27A2"/>
    <w:rsid w:val="002D2876"/>
    <w:rsid w:val="002D29BE"/>
    <w:rsid w:val="002D2AB1"/>
    <w:rsid w:val="002D2C20"/>
    <w:rsid w:val="002D2D58"/>
    <w:rsid w:val="002D2DAA"/>
    <w:rsid w:val="002D2DC2"/>
    <w:rsid w:val="002D2E79"/>
    <w:rsid w:val="002D2F15"/>
    <w:rsid w:val="002D2F3F"/>
    <w:rsid w:val="002D3060"/>
    <w:rsid w:val="002D30B5"/>
    <w:rsid w:val="002D322C"/>
    <w:rsid w:val="002D34A3"/>
    <w:rsid w:val="002D35E2"/>
    <w:rsid w:val="002D37C7"/>
    <w:rsid w:val="002D389C"/>
    <w:rsid w:val="002D38B2"/>
    <w:rsid w:val="002D38C4"/>
    <w:rsid w:val="002D39B7"/>
    <w:rsid w:val="002D3AFE"/>
    <w:rsid w:val="002D3B66"/>
    <w:rsid w:val="002D3C19"/>
    <w:rsid w:val="002D3C54"/>
    <w:rsid w:val="002D3D1F"/>
    <w:rsid w:val="002D3F1E"/>
    <w:rsid w:val="002D3F3D"/>
    <w:rsid w:val="002D408D"/>
    <w:rsid w:val="002D412C"/>
    <w:rsid w:val="002D415B"/>
    <w:rsid w:val="002D4350"/>
    <w:rsid w:val="002D440C"/>
    <w:rsid w:val="002D46F3"/>
    <w:rsid w:val="002D48B3"/>
    <w:rsid w:val="002D493B"/>
    <w:rsid w:val="002D4B45"/>
    <w:rsid w:val="002D4BFC"/>
    <w:rsid w:val="002D4DBA"/>
    <w:rsid w:val="002D4DFF"/>
    <w:rsid w:val="002D4EAA"/>
    <w:rsid w:val="002D4F81"/>
    <w:rsid w:val="002D508B"/>
    <w:rsid w:val="002D50E5"/>
    <w:rsid w:val="002D5359"/>
    <w:rsid w:val="002D53D0"/>
    <w:rsid w:val="002D53DB"/>
    <w:rsid w:val="002D545D"/>
    <w:rsid w:val="002D5529"/>
    <w:rsid w:val="002D56F1"/>
    <w:rsid w:val="002D5795"/>
    <w:rsid w:val="002D5880"/>
    <w:rsid w:val="002D5958"/>
    <w:rsid w:val="002D59A9"/>
    <w:rsid w:val="002D59CA"/>
    <w:rsid w:val="002D5A0F"/>
    <w:rsid w:val="002D5A87"/>
    <w:rsid w:val="002D5B18"/>
    <w:rsid w:val="002D5C65"/>
    <w:rsid w:val="002D5D97"/>
    <w:rsid w:val="002D5F0E"/>
    <w:rsid w:val="002D6065"/>
    <w:rsid w:val="002D615C"/>
    <w:rsid w:val="002D61B2"/>
    <w:rsid w:val="002D621D"/>
    <w:rsid w:val="002D6322"/>
    <w:rsid w:val="002D63BF"/>
    <w:rsid w:val="002D656B"/>
    <w:rsid w:val="002D68A2"/>
    <w:rsid w:val="002D69A3"/>
    <w:rsid w:val="002D69A8"/>
    <w:rsid w:val="002D6AC1"/>
    <w:rsid w:val="002D6AE8"/>
    <w:rsid w:val="002D6B83"/>
    <w:rsid w:val="002D6BBB"/>
    <w:rsid w:val="002D6D48"/>
    <w:rsid w:val="002D6E3E"/>
    <w:rsid w:val="002D6E63"/>
    <w:rsid w:val="002D6EDD"/>
    <w:rsid w:val="002D6F14"/>
    <w:rsid w:val="002D7064"/>
    <w:rsid w:val="002D707A"/>
    <w:rsid w:val="002D70C4"/>
    <w:rsid w:val="002D70EF"/>
    <w:rsid w:val="002D71DE"/>
    <w:rsid w:val="002D71F8"/>
    <w:rsid w:val="002D71FE"/>
    <w:rsid w:val="002D75AB"/>
    <w:rsid w:val="002D75F8"/>
    <w:rsid w:val="002D77A3"/>
    <w:rsid w:val="002D77B1"/>
    <w:rsid w:val="002D77B6"/>
    <w:rsid w:val="002D784E"/>
    <w:rsid w:val="002D78CB"/>
    <w:rsid w:val="002D78E9"/>
    <w:rsid w:val="002D79E4"/>
    <w:rsid w:val="002D7A09"/>
    <w:rsid w:val="002D7B0E"/>
    <w:rsid w:val="002D7BCC"/>
    <w:rsid w:val="002D7BF3"/>
    <w:rsid w:val="002D7C67"/>
    <w:rsid w:val="002D7CA5"/>
    <w:rsid w:val="002D7D20"/>
    <w:rsid w:val="002D7DBF"/>
    <w:rsid w:val="002D7E8F"/>
    <w:rsid w:val="002D7EC6"/>
    <w:rsid w:val="002D7EE7"/>
    <w:rsid w:val="002D7F95"/>
    <w:rsid w:val="002D950C"/>
    <w:rsid w:val="002E0154"/>
    <w:rsid w:val="002E022C"/>
    <w:rsid w:val="002E04A3"/>
    <w:rsid w:val="002E04DB"/>
    <w:rsid w:val="002E05C5"/>
    <w:rsid w:val="002E083D"/>
    <w:rsid w:val="002E0894"/>
    <w:rsid w:val="002E08A2"/>
    <w:rsid w:val="002E093A"/>
    <w:rsid w:val="002E09D6"/>
    <w:rsid w:val="002E0CA7"/>
    <w:rsid w:val="002E0D59"/>
    <w:rsid w:val="002E0E3A"/>
    <w:rsid w:val="002E0F28"/>
    <w:rsid w:val="002E114B"/>
    <w:rsid w:val="002E117D"/>
    <w:rsid w:val="002E1214"/>
    <w:rsid w:val="002E13B6"/>
    <w:rsid w:val="002E1440"/>
    <w:rsid w:val="002E1623"/>
    <w:rsid w:val="002E1629"/>
    <w:rsid w:val="002E175C"/>
    <w:rsid w:val="002E1840"/>
    <w:rsid w:val="002E1856"/>
    <w:rsid w:val="002E18CD"/>
    <w:rsid w:val="002E1C10"/>
    <w:rsid w:val="002E1D6C"/>
    <w:rsid w:val="002E1EBC"/>
    <w:rsid w:val="002E1F33"/>
    <w:rsid w:val="002E1FDD"/>
    <w:rsid w:val="002E205A"/>
    <w:rsid w:val="002E2318"/>
    <w:rsid w:val="002E23AA"/>
    <w:rsid w:val="002E24B0"/>
    <w:rsid w:val="002E256D"/>
    <w:rsid w:val="002E25B3"/>
    <w:rsid w:val="002E27AC"/>
    <w:rsid w:val="002E27B2"/>
    <w:rsid w:val="002E2826"/>
    <w:rsid w:val="002E282B"/>
    <w:rsid w:val="002E2A89"/>
    <w:rsid w:val="002E2AB0"/>
    <w:rsid w:val="002E2B11"/>
    <w:rsid w:val="002E2C2D"/>
    <w:rsid w:val="002E2C61"/>
    <w:rsid w:val="002E2E65"/>
    <w:rsid w:val="002E2E82"/>
    <w:rsid w:val="002E2FD9"/>
    <w:rsid w:val="002E3059"/>
    <w:rsid w:val="002E31FC"/>
    <w:rsid w:val="002E3213"/>
    <w:rsid w:val="002E321D"/>
    <w:rsid w:val="002E3358"/>
    <w:rsid w:val="002E3496"/>
    <w:rsid w:val="002E3510"/>
    <w:rsid w:val="002E3554"/>
    <w:rsid w:val="002E3616"/>
    <w:rsid w:val="002E3789"/>
    <w:rsid w:val="002E380F"/>
    <w:rsid w:val="002E38C8"/>
    <w:rsid w:val="002E38D0"/>
    <w:rsid w:val="002E3C06"/>
    <w:rsid w:val="002E3D2D"/>
    <w:rsid w:val="002E3F01"/>
    <w:rsid w:val="002E3F3A"/>
    <w:rsid w:val="002E403D"/>
    <w:rsid w:val="002E40A4"/>
    <w:rsid w:val="002E40B5"/>
    <w:rsid w:val="002E43E6"/>
    <w:rsid w:val="002E43F9"/>
    <w:rsid w:val="002E4432"/>
    <w:rsid w:val="002E4476"/>
    <w:rsid w:val="002E4547"/>
    <w:rsid w:val="002E4689"/>
    <w:rsid w:val="002E4747"/>
    <w:rsid w:val="002E481F"/>
    <w:rsid w:val="002E4969"/>
    <w:rsid w:val="002E49ED"/>
    <w:rsid w:val="002E4A0A"/>
    <w:rsid w:val="002E4A92"/>
    <w:rsid w:val="002E4AB0"/>
    <w:rsid w:val="002E4B4B"/>
    <w:rsid w:val="002E4B93"/>
    <w:rsid w:val="002E4C16"/>
    <w:rsid w:val="002E4C3A"/>
    <w:rsid w:val="002E4CAA"/>
    <w:rsid w:val="002E4D05"/>
    <w:rsid w:val="002E4D6A"/>
    <w:rsid w:val="002E4D9B"/>
    <w:rsid w:val="002E4F1A"/>
    <w:rsid w:val="002E4F84"/>
    <w:rsid w:val="002E4FD0"/>
    <w:rsid w:val="002E5337"/>
    <w:rsid w:val="002E5346"/>
    <w:rsid w:val="002E5360"/>
    <w:rsid w:val="002E57B4"/>
    <w:rsid w:val="002E57C9"/>
    <w:rsid w:val="002E5837"/>
    <w:rsid w:val="002E5884"/>
    <w:rsid w:val="002E58B2"/>
    <w:rsid w:val="002E58CD"/>
    <w:rsid w:val="002E5962"/>
    <w:rsid w:val="002E5A6C"/>
    <w:rsid w:val="002E5DCE"/>
    <w:rsid w:val="002E5DED"/>
    <w:rsid w:val="002E5F8C"/>
    <w:rsid w:val="002E6017"/>
    <w:rsid w:val="002E60DA"/>
    <w:rsid w:val="002E627A"/>
    <w:rsid w:val="002E6347"/>
    <w:rsid w:val="002E6349"/>
    <w:rsid w:val="002E63D5"/>
    <w:rsid w:val="002E63E0"/>
    <w:rsid w:val="002E64FF"/>
    <w:rsid w:val="002E6579"/>
    <w:rsid w:val="002E6771"/>
    <w:rsid w:val="002E6877"/>
    <w:rsid w:val="002E692B"/>
    <w:rsid w:val="002E6984"/>
    <w:rsid w:val="002E6A16"/>
    <w:rsid w:val="002E6BF5"/>
    <w:rsid w:val="002E6C05"/>
    <w:rsid w:val="002E7110"/>
    <w:rsid w:val="002E7230"/>
    <w:rsid w:val="002E728B"/>
    <w:rsid w:val="002E736A"/>
    <w:rsid w:val="002E75A7"/>
    <w:rsid w:val="002E7603"/>
    <w:rsid w:val="002E7822"/>
    <w:rsid w:val="002E78F8"/>
    <w:rsid w:val="002E798B"/>
    <w:rsid w:val="002E7AB9"/>
    <w:rsid w:val="002E7AE9"/>
    <w:rsid w:val="002E7AEC"/>
    <w:rsid w:val="002E7B48"/>
    <w:rsid w:val="002E7D50"/>
    <w:rsid w:val="002E7D51"/>
    <w:rsid w:val="002E7F32"/>
    <w:rsid w:val="002E7FC0"/>
    <w:rsid w:val="002F030B"/>
    <w:rsid w:val="002F04F3"/>
    <w:rsid w:val="002F065A"/>
    <w:rsid w:val="002F09A6"/>
    <w:rsid w:val="002F0A4F"/>
    <w:rsid w:val="002F0AB6"/>
    <w:rsid w:val="002F0CD9"/>
    <w:rsid w:val="002F0E08"/>
    <w:rsid w:val="002F0E0D"/>
    <w:rsid w:val="002F0E87"/>
    <w:rsid w:val="002F0FF0"/>
    <w:rsid w:val="002F1000"/>
    <w:rsid w:val="002F101E"/>
    <w:rsid w:val="002F1089"/>
    <w:rsid w:val="002F10B6"/>
    <w:rsid w:val="002F13B5"/>
    <w:rsid w:val="002F141E"/>
    <w:rsid w:val="002F1482"/>
    <w:rsid w:val="002F148F"/>
    <w:rsid w:val="002F15D4"/>
    <w:rsid w:val="002F172F"/>
    <w:rsid w:val="002F1AEE"/>
    <w:rsid w:val="002F1D78"/>
    <w:rsid w:val="002F2007"/>
    <w:rsid w:val="002F217F"/>
    <w:rsid w:val="002F231A"/>
    <w:rsid w:val="002F24EA"/>
    <w:rsid w:val="002F253C"/>
    <w:rsid w:val="002F2661"/>
    <w:rsid w:val="002F26DD"/>
    <w:rsid w:val="002F2873"/>
    <w:rsid w:val="002F28A5"/>
    <w:rsid w:val="002F28EE"/>
    <w:rsid w:val="002F2916"/>
    <w:rsid w:val="002F29BA"/>
    <w:rsid w:val="002F2A2E"/>
    <w:rsid w:val="002F2ADC"/>
    <w:rsid w:val="002F2B44"/>
    <w:rsid w:val="002F2BD9"/>
    <w:rsid w:val="002F2C5B"/>
    <w:rsid w:val="002F2D0B"/>
    <w:rsid w:val="002F2E0E"/>
    <w:rsid w:val="002F301E"/>
    <w:rsid w:val="002F31BC"/>
    <w:rsid w:val="002F31EB"/>
    <w:rsid w:val="002F3232"/>
    <w:rsid w:val="002F3265"/>
    <w:rsid w:val="002F329C"/>
    <w:rsid w:val="002F32CB"/>
    <w:rsid w:val="002F3509"/>
    <w:rsid w:val="002F36D5"/>
    <w:rsid w:val="002F375E"/>
    <w:rsid w:val="002F3953"/>
    <w:rsid w:val="002F3A87"/>
    <w:rsid w:val="002F3AED"/>
    <w:rsid w:val="002F3BAE"/>
    <w:rsid w:val="002F3C2A"/>
    <w:rsid w:val="002F3D1E"/>
    <w:rsid w:val="002F3E06"/>
    <w:rsid w:val="002F3E52"/>
    <w:rsid w:val="002F3E70"/>
    <w:rsid w:val="002F3EE2"/>
    <w:rsid w:val="002F3F33"/>
    <w:rsid w:val="002F4015"/>
    <w:rsid w:val="002F403B"/>
    <w:rsid w:val="002F4091"/>
    <w:rsid w:val="002F4199"/>
    <w:rsid w:val="002F4270"/>
    <w:rsid w:val="002F436B"/>
    <w:rsid w:val="002F45F9"/>
    <w:rsid w:val="002F4665"/>
    <w:rsid w:val="002F46D2"/>
    <w:rsid w:val="002F492E"/>
    <w:rsid w:val="002F495D"/>
    <w:rsid w:val="002F4977"/>
    <w:rsid w:val="002F49B3"/>
    <w:rsid w:val="002F4A2F"/>
    <w:rsid w:val="002F4A85"/>
    <w:rsid w:val="002F4CA1"/>
    <w:rsid w:val="002F4CF8"/>
    <w:rsid w:val="002F4D28"/>
    <w:rsid w:val="002F4D51"/>
    <w:rsid w:val="002F4D84"/>
    <w:rsid w:val="002F4DE5"/>
    <w:rsid w:val="002F4F4C"/>
    <w:rsid w:val="002F4F4D"/>
    <w:rsid w:val="002F4F68"/>
    <w:rsid w:val="002F4F98"/>
    <w:rsid w:val="002F5051"/>
    <w:rsid w:val="002F510F"/>
    <w:rsid w:val="002F5149"/>
    <w:rsid w:val="002F5173"/>
    <w:rsid w:val="002F556D"/>
    <w:rsid w:val="002F5595"/>
    <w:rsid w:val="002F5622"/>
    <w:rsid w:val="002F56F5"/>
    <w:rsid w:val="002F577A"/>
    <w:rsid w:val="002F57A5"/>
    <w:rsid w:val="002F5BA2"/>
    <w:rsid w:val="002F5C21"/>
    <w:rsid w:val="002F5C25"/>
    <w:rsid w:val="002F5C83"/>
    <w:rsid w:val="002F5DDD"/>
    <w:rsid w:val="002F5ED3"/>
    <w:rsid w:val="002F6001"/>
    <w:rsid w:val="002F61A1"/>
    <w:rsid w:val="002F639A"/>
    <w:rsid w:val="002F64F2"/>
    <w:rsid w:val="002F6536"/>
    <w:rsid w:val="002F65B7"/>
    <w:rsid w:val="002F675A"/>
    <w:rsid w:val="002F6806"/>
    <w:rsid w:val="002F6864"/>
    <w:rsid w:val="002F6882"/>
    <w:rsid w:val="002F6ADC"/>
    <w:rsid w:val="002F6BB5"/>
    <w:rsid w:val="002F6C28"/>
    <w:rsid w:val="002F6C31"/>
    <w:rsid w:val="002F6F2B"/>
    <w:rsid w:val="002F6FC5"/>
    <w:rsid w:val="002F7106"/>
    <w:rsid w:val="002F71E0"/>
    <w:rsid w:val="002F7273"/>
    <w:rsid w:val="002F72FA"/>
    <w:rsid w:val="002F754B"/>
    <w:rsid w:val="002F7600"/>
    <w:rsid w:val="002F763B"/>
    <w:rsid w:val="002F76FF"/>
    <w:rsid w:val="002F774D"/>
    <w:rsid w:val="002F7764"/>
    <w:rsid w:val="002F77BA"/>
    <w:rsid w:val="002F78EE"/>
    <w:rsid w:val="002F7906"/>
    <w:rsid w:val="002F7BF5"/>
    <w:rsid w:val="002F7C98"/>
    <w:rsid w:val="002F7DC4"/>
    <w:rsid w:val="002F7F95"/>
    <w:rsid w:val="002F7FDD"/>
    <w:rsid w:val="003000D6"/>
    <w:rsid w:val="003000DC"/>
    <w:rsid w:val="00300131"/>
    <w:rsid w:val="003001A9"/>
    <w:rsid w:val="0030037A"/>
    <w:rsid w:val="00300656"/>
    <w:rsid w:val="0030065C"/>
    <w:rsid w:val="0030079A"/>
    <w:rsid w:val="00300859"/>
    <w:rsid w:val="00300A0B"/>
    <w:rsid w:val="00300B43"/>
    <w:rsid w:val="00300B6E"/>
    <w:rsid w:val="00300BB1"/>
    <w:rsid w:val="00300BC3"/>
    <w:rsid w:val="00300BF0"/>
    <w:rsid w:val="00300BFA"/>
    <w:rsid w:val="00300C31"/>
    <w:rsid w:val="00300C86"/>
    <w:rsid w:val="00300C94"/>
    <w:rsid w:val="00300DDF"/>
    <w:rsid w:val="00300EAF"/>
    <w:rsid w:val="00300F4C"/>
    <w:rsid w:val="00300FE7"/>
    <w:rsid w:val="00301270"/>
    <w:rsid w:val="00301557"/>
    <w:rsid w:val="0030169D"/>
    <w:rsid w:val="00301766"/>
    <w:rsid w:val="003018BE"/>
    <w:rsid w:val="0030198B"/>
    <w:rsid w:val="00301BA4"/>
    <w:rsid w:val="00301BDB"/>
    <w:rsid w:val="00301CEC"/>
    <w:rsid w:val="00301CFB"/>
    <w:rsid w:val="00301F04"/>
    <w:rsid w:val="00301F5F"/>
    <w:rsid w:val="00301F84"/>
    <w:rsid w:val="00302009"/>
    <w:rsid w:val="00302191"/>
    <w:rsid w:val="0030231C"/>
    <w:rsid w:val="003023E0"/>
    <w:rsid w:val="00302484"/>
    <w:rsid w:val="00302611"/>
    <w:rsid w:val="0030261C"/>
    <w:rsid w:val="0030267D"/>
    <w:rsid w:val="0030270C"/>
    <w:rsid w:val="00302783"/>
    <w:rsid w:val="003027E9"/>
    <w:rsid w:val="00302864"/>
    <w:rsid w:val="003028BC"/>
    <w:rsid w:val="00302978"/>
    <w:rsid w:val="00302A4B"/>
    <w:rsid w:val="00302BB3"/>
    <w:rsid w:val="00302E37"/>
    <w:rsid w:val="00302F20"/>
    <w:rsid w:val="00302F65"/>
    <w:rsid w:val="00302FA7"/>
    <w:rsid w:val="003031B5"/>
    <w:rsid w:val="00303257"/>
    <w:rsid w:val="003032D1"/>
    <w:rsid w:val="003034B5"/>
    <w:rsid w:val="003034E1"/>
    <w:rsid w:val="00303632"/>
    <w:rsid w:val="00303A78"/>
    <w:rsid w:val="00303ED8"/>
    <w:rsid w:val="00304182"/>
    <w:rsid w:val="00304353"/>
    <w:rsid w:val="00304374"/>
    <w:rsid w:val="00304382"/>
    <w:rsid w:val="003044BD"/>
    <w:rsid w:val="00304516"/>
    <w:rsid w:val="0030455D"/>
    <w:rsid w:val="0030473B"/>
    <w:rsid w:val="003047AE"/>
    <w:rsid w:val="003048EB"/>
    <w:rsid w:val="00304A29"/>
    <w:rsid w:val="00304A65"/>
    <w:rsid w:val="00304D79"/>
    <w:rsid w:val="00304E5E"/>
    <w:rsid w:val="00304EA8"/>
    <w:rsid w:val="00304FFA"/>
    <w:rsid w:val="00305008"/>
    <w:rsid w:val="0030501F"/>
    <w:rsid w:val="003054C1"/>
    <w:rsid w:val="0030578E"/>
    <w:rsid w:val="00305803"/>
    <w:rsid w:val="00305906"/>
    <w:rsid w:val="003059F2"/>
    <w:rsid w:val="00305A02"/>
    <w:rsid w:val="00305C84"/>
    <w:rsid w:val="00305D65"/>
    <w:rsid w:val="00305DF6"/>
    <w:rsid w:val="00305E2A"/>
    <w:rsid w:val="00305E41"/>
    <w:rsid w:val="00305EFA"/>
    <w:rsid w:val="0030605C"/>
    <w:rsid w:val="0030621F"/>
    <w:rsid w:val="003065EB"/>
    <w:rsid w:val="003067A4"/>
    <w:rsid w:val="00306B21"/>
    <w:rsid w:val="00306B2C"/>
    <w:rsid w:val="00306B52"/>
    <w:rsid w:val="00306B6A"/>
    <w:rsid w:val="00306B8A"/>
    <w:rsid w:val="00306C21"/>
    <w:rsid w:val="00306D5E"/>
    <w:rsid w:val="00306D82"/>
    <w:rsid w:val="00306DBE"/>
    <w:rsid w:val="00306E92"/>
    <w:rsid w:val="0030713B"/>
    <w:rsid w:val="003071A7"/>
    <w:rsid w:val="0030722C"/>
    <w:rsid w:val="00307276"/>
    <w:rsid w:val="00307317"/>
    <w:rsid w:val="00307329"/>
    <w:rsid w:val="00307333"/>
    <w:rsid w:val="00307338"/>
    <w:rsid w:val="003073E6"/>
    <w:rsid w:val="003076A1"/>
    <w:rsid w:val="003077B4"/>
    <w:rsid w:val="00307824"/>
    <w:rsid w:val="0030786B"/>
    <w:rsid w:val="003078D6"/>
    <w:rsid w:val="00307938"/>
    <w:rsid w:val="003079E4"/>
    <w:rsid w:val="00307AD9"/>
    <w:rsid w:val="00307B46"/>
    <w:rsid w:val="00307B70"/>
    <w:rsid w:val="00307BC2"/>
    <w:rsid w:val="00307BFD"/>
    <w:rsid w:val="00307C76"/>
    <w:rsid w:val="00307D46"/>
    <w:rsid w:val="00307DDC"/>
    <w:rsid w:val="00307E60"/>
    <w:rsid w:val="00307F00"/>
    <w:rsid w:val="00307F2A"/>
    <w:rsid w:val="00307F6A"/>
    <w:rsid w:val="00307FE9"/>
    <w:rsid w:val="00310108"/>
    <w:rsid w:val="00310142"/>
    <w:rsid w:val="003101B8"/>
    <w:rsid w:val="00310214"/>
    <w:rsid w:val="003102FC"/>
    <w:rsid w:val="003103EA"/>
    <w:rsid w:val="00310410"/>
    <w:rsid w:val="003107EE"/>
    <w:rsid w:val="003108AB"/>
    <w:rsid w:val="003109C5"/>
    <w:rsid w:val="00310C3C"/>
    <w:rsid w:val="00310D70"/>
    <w:rsid w:val="00310EE0"/>
    <w:rsid w:val="00311053"/>
    <w:rsid w:val="0031106B"/>
    <w:rsid w:val="003112BF"/>
    <w:rsid w:val="0031140A"/>
    <w:rsid w:val="00311493"/>
    <w:rsid w:val="003115BF"/>
    <w:rsid w:val="003116B9"/>
    <w:rsid w:val="00311714"/>
    <w:rsid w:val="00311964"/>
    <w:rsid w:val="00311BDB"/>
    <w:rsid w:val="00311BDD"/>
    <w:rsid w:val="00311BF3"/>
    <w:rsid w:val="00311DC4"/>
    <w:rsid w:val="00311E38"/>
    <w:rsid w:val="00311F0D"/>
    <w:rsid w:val="00311F54"/>
    <w:rsid w:val="00311F59"/>
    <w:rsid w:val="00311F71"/>
    <w:rsid w:val="00312024"/>
    <w:rsid w:val="0031209B"/>
    <w:rsid w:val="00312296"/>
    <w:rsid w:val="003122E3"/>
    <w:rsid w:val="0031234E"/>
    <w:rsid w:val="0031239C"/>
    <w:rsid w:val="00312646"/>
    <w:rsid w:val="00312735"/>
    <w:rsid w:val="003127D4"/>
    <w:rsid w:val="003128C9"/>
    <w:rsid w:val="00312ABF"/>
    <w:rsid w:val="00312C4A"/>
    <w:rsid w:val="00312C65"/>
    <w:rsid w:val="00312D39"/>
    <w:rsid w:val="00312E5A"/>
    <w:rsid w:val="00312F8B"/>
    <w:rsid w:val="00313074"/>
    <w:rsid w:val="00313154"/>
    <w:rsid w:val="0031340C"/>
    <w:rsid w:val="003134A9"/>
    <w:rsid w:val="003134BC"/>
    <w:rsid w:val="003134DD"/>
    <w:rsid w:val="003135B5"/>
    <w:rsid w:val="00313659"/>
    <w:rsid w:val="0031373D"/>
    <w:rsid w:val="00313745"/>
    <w:rsid w:val="003137B2"/>
    <w:rsid w:val="003138B7"/>
    <w:rsid w:val="003138C1"/>
    <w:rsid w:val="00313950"/>
    <w:rsid w:val="00313A03"/>
    <w:rsid w:val="00313BA1"/>
    <w:rsid w:val="00313C17"/>
    <w:rsid w:val="00313DCA"/>
    <w:rsid w:val="00313E44"/>
    <w:rsid w:val="00313FCF"/>
    <w:rsid w:val="00314267"/>
    <w:rsid w:val="003142B6"/>
    <w:rsid w:val="0031449F"/>
    <w:rsid w:val="00314574"/>
    <w:rsid w:val="003145D4"/>
    <w:rsid w:val="0031469B"/>
    <w:rsid w:val="0031472C"/>
    <w:rsid w:val="0031475F"/>
    <w:rsid w:val="00314861"/>
    <w:rsid w:val="00314A95"/>
    <w:rsid w:val="00314B19"/>
    <w:rsid w:val="00314C67"/>
    <w:rsid w:val="00314C7B"/>
    <w:rsid w:val="00314DB0"/>
    <w:rsid w:val="00314E0C"/>
    <w:rsid w:val="00314F6F"/>
    <w:rsid w:val="00314FDC"/>
    <w:rsid w:val="00315005"/>
    <w:rsid w:val="00315169"/>
    <w:rsid w:val="0031519E"/>
    <w:rsid w:val="0031524B"/>
    <w:rsid w:val="003152C2"/>
    <w:rsid w:val="00315318"/>
    <w:rsid w:val="0031538A"/>
    <w:rsid w:val="003153A6"/>
    <w:rsid w:val="003153A9"/>
    <w:rsid w:val="003153D6"/>
    <w:rsid w:val="003156C1"/>
    <w:rsid w:val="003157A0"/>
    <w:rsid w:val="003158FE"/>
    <w:rsid w:val="00315B53"/>
    <w:rsid w:val="00315C8D"/>
    <w:rsid w:val="00315C9B"/>
    <w:rsid w:val="00315CB6"/>
    <w:rsid w:val="00315DA2"/>
    <w:rsid w:val="00315DD7"/>
    <w:rsid w:val="00315E40"/>
    <w:rsid w:val="00315F57"/>
    <w:rsid w:val="00315F7D"/>
    <w:rsid w:val="00315FF5"/>
    <w:rsid w:val="00316032"/>
    <w:rsid w:val="003160CC"/>
    <w:rsid w:val="003160F7"/>
    <w:rsid w:val="00316127"/>
    <w:rsid w:val="0031613B"/>
    <w:rsid w:val="0031638E"/>
    <w:rsid w:val="00316492"/>
    <w:rsid w:val="003164ED"/>
    <w:rsid w:val="0031665D"/>
    <w:rsid w:val="00316921"/>
    <w:rsid w:val="00316B45"/>
    <w:rsid w:val="00316C57"/>
    <w:rsid w:val="00316D28"/>
    <w:rsid w:val="00316D42"/>
    <w:rsid w:val="00316D98"/>
    <w:rsid w:val="00317274"/>
    <w:rsid w:val="003172C1"/>
    <w:rsid w:val="003172F2"/>
    <w:rsid w:val="00317531"/>
    <w:rsid w:val="003175C7"/>
    <w:rsid w:val="00317670"/>
    <w:rsid w:val="00317720"/>
    <w:rsid w:val="0031789B"/>
    <w:rsid w:val="003178DE"/>
    <w:rsid w:val="0031794B"/>
    <w:rsid w:val="00317988"/>
    <w:rsid w:val="003179C5"/>
    <w:rsid w:val="00317CD9"/>
    <w:rsid w:val="00317F36"/>
    <w:rsid w:val="00317F67"/>
    <w:rsid w:val="00320041"/>
    <w:rsid w:val="003200F7"/>
    <w:rsid w:val="00320129"/>
    <w:rsid w:val="0032014A"/>
    <w:rsid w:val="0032022B"/>
    <w:rsid w:val="0032025A"/>
    <w:rsid w:val="00320439"/>
    <w:rsid w:val="00320454"/>
    <w:rsid w:val="00320597"/>
    <w:rsid w:val="003205F1"/>
    <w:rsid w:val="003205F8"/>
    <w:rsid w:val="0032087B"/>
    <w:rsid w:val="00320EC1"/>
    <w:rsid w:val="00320EDA"/>
    <w:rsid w:val="0032119F"/>
    <w:rsid w:val="003211F6"/>
    <w:rsid w:val="00321252"/>
    <w:rsid w:val="00321264"/>
    <w:rsid w:val="00321340"/>
    <w:rsid w:val="0032141A"/>
    <w:rsid w:val="00321600"/>
    <w:rsid w:val="00321622"/>
    <w:rsid w:val="003216A6"/>
    <w:rsid w:val="003216FF"/>
    <w:rsid w:val="00321732"/>
    <w:rsid w:val="00321811"/>
    <w:rsid w:val="00321838"/>
    <w:rsid w:val="00321945"/>
    <w:rsid w:val="00321A37"/>
    <w:rsid w:val="00321E1B"/>
    <w:rsid w:val="00321F2B"/>
    <w:rsid w:val="00321F3A"/>
    <w:rsid w:val="003220F5"/>
    <w:rsid w:val="00322227"/>
    <w:rsid w:val="0032229C"/>
    <w:rsid w:val="00322392"/>
    <w:rsid w:val="0032245E"/>
    <w:rsid w:val="0032262B"/>
    <w:rsid w:val="00322698"/>
    <w:rsid w:val="003226F9"/>
    <w:rsid w:val="003227D9"/>
    <w:rsid w:val="003229D6"/>
    <w:rsid w:val="00322B0F"/>
    <w:rsid w:val="0032311C"/>
    <w:rsid w:val="0032313F"/>
    <w:rsid w:val="00323193"/>
    <w:rsid w:val="00323654"/>
    <w:rsid w:val="00323665"/>
    <w:rsid w:val="00323762"/>
    <w:rsid w:val="00323926"/>
    <w:rsid w:val="003239A9"/>
    <w:rsid w:val="00323B30"/>
    <w:rsid w:val="00323B79"/>
    <w:rsid w:val="00323D83"/>
    <w:rsid w:val="00323DA2"/>
    <w:rsid w:val="00323F80"/>
    <w:rsid w:val="003240E4"/>
    <w:rsid w:val="00324253"/>
    <w:rsid w:val="00324353"/>
    <w:rsid w:val="003243E5"/>
    <w:rsid w:val="00324567"/>
    <w:rsid w:val="0032469B"/>
    <w:rsid w:val="00324ACD"/>
    <w:rsid w:val="00324AD2"/>
    <w:rsid w:val="00324B74"/>
    <w:rsid w:val="00324DAC"/>
    <w:rsid w:val="00324E68"/>
    <w:rsid w:val="00325088"/>
    <w:rsid w:val="003250CE"/>
    <w:rsid w:val="00325234"/>
    <w:rsid w:val="0032534D"/>
    <w:rsid w:val="003253E6"/>
    <w:rsid w:val="0032547B"/>
    <w:rsid w:val="0032547D"/>
    <w:rsid w:val="003254BA"/>
    <w:rsid w:val="003254EB"/>
    <w:rsid w:val="00325533"/>
    <w:rsid w:val="003255E2"/>
    <w:rsid w:val="003256D3"/>
    <w:rsid w:val="003257F7"/>
    <w:rsid w:val="00325985"/>
    <w:rsid w:val="00325AFE"/>
    <w:rsid w:val="00325B5F"/>
    <w:rsid w:val="00325B65"/>
    <w:rsid w:val="00325DF1"/>
    <w:rsid w:val="00325E3B"/>
    <w:rsid w:val="00326054"/>
    <w:rsid w:val="003261CA"/>
    <w:rsid w:val="003261E9"/>
    <w:rsid w:val="00326300"/>
    <w:rsid w:val="0032631B"/>
    <w:rsid w:val="0032633D"/>
    <w:rsid w:val="003263BD"/>
    <w:rsid w:val="00326404"/>
    <w:rsid w:val="0032646E"/>
    <w:rsid w:val="003264F4"/>
    <w:rsid w:val="00326693"/>
    <w:rsid w:val="00326996"/>
    <w:rsid w:val="003269EB"/>
    <w:rsid w:val="003269EC"/>
    <w:rsid w:val="00326AB9"/>
    <w:rsid w:val="00326DD3"/>
    <w:rsid w:val="00326DEB"/>
    <w:rsid w:val="00326E56"/>
    <w:rsid w:val="00326E9B"/>
    <w:rsid w:val="00326F53"/>
    <w:rsid w:val="00326FFB"/>
    <w:rsid w:val="003270A6"/>
    <w:rsid w:val="003270F0"/>
    <w:rsid w:val="00327255"/>
    <w:rsid w:val="003272A9"/>
    <w:rsid w:val="003273C7"/>
    <w:rsid w:val="00327483"/>
    <w:rsid w:val="00327563"/>
    <w:rsid w:val="00327704"/>
    <w:rsid w:val="00327884"/>
    <w:rsid w:val="00327991"/>
    <w:rsid w:val="003279F1"/>
    <w:rsid w:val="00327C1D"/>
    <w:rsid w:val="00327DAF"/>
    <w:rsid w:val="00327DCD"/>
    <w:rsid w:val="00327ED7"/>
    <w:rsid w:val="00327EE9"/>
    <w:rsid w:val="00327EEA"/>
    <w:rsid w:val="00327F2A"/>
    <w:rsid w:val="003300E9"/>
    <w:rsid w:val="0033037F"/>
    <w:rsid w:val="003303A9"/>
    <w:rsid w:val="003303CA"/>
    <w:rsid w:val="003303E3"/>
    <w:rsid w:val="0033060E"/>
    <w:rsid w:val="00330678"/>
    <w:rsid w:val="00330701"/>
    <w:rsid w:val="003309B5"/>
    <w:rsid w:val="003309D3"/>
    <w:rsid w:val="00330A56"/>
    <w:rsid w:val="00330B01"/>
    <w:rsid w:val="00330B4E"/>
    <w:rsid w:val="00330C6F"/>
    <w:rsid w:val="00330D52"/>
    <w:rsid w:val="00330E11"/>
    <w:rsid w:val="00330E47"/>
    <w:rsid w:val="003312CF"/>
    <w:rsid w:val="0033140E"/>
    <w:rsid w:val="00331467"/>
    <w:rsid w:val="00331543"/>
    <w:rsid w:val="00331553"/>
    <w:rsid w:val="003316BD"/>
    <w:rsid w:val="003316F3"/>
    <w:rsid w:val="00331799"/>
    <w:rsid w:val="003318B5"/>
    <w:rsid w:val="003318F4"/>
    <w:rsid w:val="00331903"/>
    <w:rsid w:val="00331A4D"/>
    <w:rsid w:val="00331ACD"/>
    <w:rsid w:val="00331DC5"/>
    <w:rsid w:val="00331EFB"/>
    <w:rsid w:val="00331F8F"/>
    <w:rsid w:val="00331FC7"/>
    <w:rsid w:val="00331FD0"/>
    <w:rsid w:val="0033203A"/>
    <w:rsid w:val="00332073"/>
    <w:rsid w:val="0033211E"/>
    <w:rsid w:val="0033215F"/>
    <w:rsid w:val="0033235B"/>
    <w:rsid w:val="003324E8"/>
    <w:rsid w:val="0033298E"/>
    <w:rsid w:val="00332B4C"/>
    <w:rsid w:val="00332B71"/>
    <w:rsid w:val="00332E30"/>
    <w:rsid w:val="00332EF2"/>
    <w:rsid w:val="003331C6"/>
    <w:rsid w:val="0033329A"/>
    <w:rsid w:val="003332CC"/>
    <w:rsid w:val="003332D4"/>
    <w:rsid w:val="0033332E"/>
    <w:rsid w:val="0033364F"/>
    <w:rsid w:val="003336C2"/>
    <w:rsid w:val="003336F5"/>
    <w:rsid w:val="0033386B"/>
    <w:rsid w:val="003338C5"/>
    <w:rsid w:val="003338DC"/>
    <w:rsid w:val="00333956"/>
    <w:rsid w:val="0033395C"/>
    <w:rsid w:val="0033399A"/>
    <w:rsid w:val="00333BB1"/>
    <w:rsid w:val="00333D07"/>
    <w:rsid w:val="00333DA1"/>
    <w:rsid w:val="00333F1E"/>
    <w:rsid w:val="00333FBD"/>
    <w:rsid w:val="003340C3"/>
    <w:rsid w:val="00334147"/>
    <w:rsid w:val="003342F1"/>
    <w:rsid w:val="00334307"/>
    <w:rsid w:val="003345C5"/>
    <w:rsid w:val="00334661"/>
    <w:rsid w:val="00334852"/>
    <w:rsid w:val="00334A13"/>
    <w:rsid w:val="00334ABE"/>
    <w:rsid w:val="00334C83"/>
    <w:rsid w:val="00334E5D"/>
    <w:rsid w:val="00334E74"/>
    <w:rsid w:val="00334F16"/>
    <w:rsid w:val="00334F52"/>
    <w:rsid w:val="00334F93"/>
    <w:rsid w:val="0033501F"/>
    <w:rsid w:val="0033503A"/>
    <w:rsid w:val="00335044"/>
    <w:rsid w:val="00335063"/>
    <w:rsid w:val="003352CD"/>
    <w:rsid w:val="003353E0"/>
    <w:rsid w:val="003354B8"/>
    <w:rsid w:val="003354E2"/>
    <w:rsid w:val="00335541"/>
    <w:rsid w:val="0033559D"/>
    <w:rsid w:val="0033560B"/>
    <w:rsid w:val="00335720"/>
    <w:rsid w:val="00335788"/>
    <w:rsid w:val="003357C5"/>
    <w:rsid w:val="00335CC3"/>
    <w:rsid w:val="00335CFD"/>
    <w:rsid w:val="00335D3B"/>
    <w:rsid w:val="0033624A"/>
    <w:rsid w:val="00336251"/>
    <w:rsid w:val="003363C0"/>
    <w:rsid w:val="0033646D"/>
    <w:rsid w:val="00336590"/>
    <w:rsid w:val="00336592"/>
    <w:rsid w:val="003365A3"/>
    <w:rsid w:val="003367B4"/>
    <w:rsid w:val="0033684E"/>
    <w:rsid w:val="0033690F"/>
    <w:rsid w:val="003369CF"/>
    <w:rsid w:val="00336B34"/>
    <w:rsid w:val="00336BEE"/>
    <w:rsid w:val="00336C31"/>
    <w:rsid w:val="00336CA3"/>
    <w:rsid w:val="00336E1E"/>
    <w:rsid w:val="00336EA0"/>
    <w:rsid w:val="00336EC0"/>
    <w:rsid w:val="00336EDA"/>
    <w:rsid w:val="00336FA2"/>
    <w:rsid w:val="0033704D"/>
    <w:rsid w:val="003371D0"/>
    <w:rsid w:val="00337310"/>
    <w:rsid w:val="003373E3"/>
    <w:rsid w:val="00337432"/>
    <w:rsid w:val="003376D6"/>
    <w:rsid w:val="00337762"/>
    <w:rsid w:val="0033782B"/>
    <w:rsid w:val="00337882"/>
    <w:rsid w:val="003379DB"/>
    <w:rsid w:val="00337A2B"/>
    <w:rsid w:val="00337B05"/>
    <w:rsid w:val="00337C4F"/>
    <w:rsid w:val="00337C9E"/>
    <w:rsid w:val="00337CAD"/>
    <w:rsid w:val="00337CBF"/>
    <w:rsid w:val="00337CD2"/>
    <w:rsid w:val="00337E6D"/>
    <w:rsid w:val="00337E8A"/>
    <w:rsid w:val="00337F31"/>
    <w:rsid w:val="0034017C"/>
    <w:rsid w:val="00340184"/>
    <w:rsid w:val="003402D2"/>
    <w:rsid w:val="003402E2"/>
    <w:rsid w:val="00340304"/>
    <w:rsid w:val="003403FE"/>
    <w:rsid w:val="0034047C"/>
    <w:rsid w:val="003405EB"/>
    <w:rsid w:val="00340616"/>
    <w:rsid w:val="00340745"/>
    <w:rsid w:val="0034074F"/>
    <w:rsid w:val="00340886"/>
    <w:rsid w:val="00340900"/>
    <w:rsid w:val="00340985"/>
    <w:rsid w:val="00340BFD"/>
    <w:rsid w:val="00340C50"/>
    <w:rsid w:val="00340E29"/>
    <w:rsid w:val="00340E4A"/>
    <w:rsid w:val="00340E4E"/>
    <w:rsid w:val="00340F4A"/>
    <w:rsid w:val="00341236"/>
    <w:rsid w:val="00341304"/>
    <w:rsid w:val="00341387"/>
    <w:rsid w:val="00341391"/>
    <w:rsid w:val="003413A0"/>
    <w:rsid w:val="00341648"/>
    <w:rsid w:val="003416AE"/>
    <w:rsid w:val="0034181E"/>
    <w:rsid w:val="00341839"/>
    <w:rsid w:val="0034184B"/>
    <w:rsid w:val="00341893"/>
    <w:rsid w:val="003418DA"/>
    <w:rsid w:val="00341B2E"/>
    <w:rsid w:val="00341B34"/>
    <w:rsid w:val="00341B4A"/>
    <w:rsid w:val="00341D4B"/>
    <w:rsid w:val="00341D5A"/>
    <w:rsid w:val="00341D9F"/>
    <w:rsid w:val="00341ECD"/>
    <w:rsid w:val="00341FB5"/>
    <w:rsid w:val="0034208C"/>
    <w:rsid w:val="003420B5"/>
    <w:rsid w:val="00342151"/>
    <w:rsid w:val="0034221D"/>
    <w:rsid w:val="0034222F"/>
    <w:rsid w:val="003422CC"/>
    <w:rsid w:val="00342444"/>
    <w:rsid w:val="003424A6"/>
    <w:rsid w:val="00342739"/>
    <w:rsid w:val="0034275C"/>
    <w:rsid w:val="0034277D"/>
    <w:rsid w:val="003429CB"/>
    <w:rsid w:val="00342B35"/>
    <w:rsid w:val="00342C21"/>
    <w:rsid w:val="00342F2F"/>
    <w:rsid w:val="00342F65"/>
    <w:rsid w:val="00342FC6"/>
    <w:rsid w:val="0034301D"/>
    <w:rsid w:val="00343161"/>
    <w:rsid w:val="00343172"/>
    <w:rsid w:val="00343192"/>
    <w:rsid w:val="003431BF"/>
    <w:rsid w:val="00343230"/>
    <w:rsid w:val="0034324C"/>
    <w:rsid w:val="00343335"/>
    <w:rsid w:val="003433F7"/>
    <w:rsid w:val="00343410"/>
    <w:rsid w:val="00343441"/>
    <w:rsid w:val="003434CB"/>
    <w:rsid w:val="00343510"/>
    <w:rsid w:val="00343689"/>
    <w:rsid w:val="00343772"/>
    <w:rsid w:val="00343AEF"/>
    <w:rsid w:val="00343B19"/>
    <w:rsid w:val="00343B56"/>
    <w:rsid w:val="00343B60"/>
    <w:rsid w:val="00343B82"/>
    <w:rsid w:val="00343C89"/>
    <w:rsid w:val="00343C9B"/>
    <w:rsid w:val="00343C9C"/>
    <w:rsid w:val="00343D3B"/>
    <w:rsid w:val="00343E59"/>
    <w:rsid w:val="00343F80"/>
    <w:rsid w:val="00343FE7"/>
    <w:rsid w:val="0034400D"/>
    <w:rsid w:val="0034410F"/>
    <w:rsid w:val="00344120"/>
    <w:rsid w:val="00344179"/>
    <w:rsid w:val="00344191"/>
    <w:rsid w:val="0034424C"/>
    <w:rsid w:val="003442BB"/>
    <w:rsid w:val="003442DE"/>
    <w:rsid w:val="003443D4"/>
    <w:rsid w:val="00344535"/>
    <w:rsid w:val="00344565"/>
    <w:rsid w:val="00344636"/>
    <w:rsid w:val="003446C9"/>
    <w:rsid w:val="00344719"/>
    <w:rsid w:val="0034476A"/>
    <w:rsid w:val="00344A34"/>
    <w:rsid w:val="00344CCF"/>
    <w:rsid w:val="00344D03"/>
    <w:rsid w:val="00344E40"/>
    <w:rsid w:val="00344FF4"/>
    <w:rsid w:val="00345050"/>
    <w:rsid w:val="00345125"/>
    <w:rsid w:val="00345145"/>
    <w:rsid w:val="003451C1"/>
    <w:rsid w:val="00345292"/>
    <w:rsid w:val="00345370"/>
    <w:rsid w:val="00345375"/>
    <w:rsid w:val="0034537B"/>
    <w:rsid w:val="0034539D"/>
    <w:rsid w:val="003455BC"/>
    <w:rsid w:val="00345622"/>
    <w:rsid w:val="00345673"/>
    <w:rsid w:val="00345695"/>
    <w:rsid w:val="003456E1"/>
    <w:rsid w:val="00345809"/>
    <w:rsid w:val="003458CA"/>
    <w:rsid w:val="003458E6"/>
    <w:rsid w:val="003459FA"/>
    <w:rsid w:val="00345A23"/>
    <w:rsid w:val="00345A4D"/>
    <w:rsid w:val="00345ABA"/>
    <w:rsid w:val="00345C7E"/>
    <w:rsid w:val="00345E48"/>
    <w:rsid w:val="00345E67"/>
    <w:rsid w:val="00345E86"/>
    <w:rsid w:val="0034615F"/>
    <w:rsid w:val="003461B8"/>
    <w:rsid w:val="003461D6"/>
    <w:rsid w:val="00346290"/>
    <w:rsid w:val="0034629A"/>
    <w:rsid w:val="00346547"/>
    <w:rsid w:val="0034666A"/>
    <w:rsid w:val="00346703"/>
    <w:rsid w:val="0034674B"/>
    <w:rsid w:val="0034685E"/>
    <w:rsid w:val="00346940"/>
    <w:rsid w:val="0034698D"/>
    <w:rsid w:val="00346A21"/>
    <w:rsid w:val="00346AC7"/>
    <w:rsid w:val="00346C4F"/>
    <w:rsid w:val="00346C5E"/>
    <w:rsid w:val="00346CA8"/>
    <w:rsid w:val="00346E1F"/>
    <w:rsid w:val="00346ECE"/>
    <w:rsid w:val="00346EFC"/>
    <w:rsid w:val="003471A5"/>
    <w:rsid w:val="00347409"/>
    <w:rsid w:val="00347493"/>
    <w:rsid w:val="003474C5"/>
    <w:rsid w:val="003475BB"/>
    <w:rsid w:val="003475BE"/>
    <w:rsid w:val="00347601"/>
    <w:rsid w:val="00347633"/>
    <w:rsid w:val="0034763D"/>
    <w:rsid w:val="00347646"/>
    <w:rsid w:val="00347760"/>
    <w:rsid w:val="0034786E"/>
    <w:rsid w:val="003479FC"/>
    <w:rsid w:val="00347A92"/>
    <w:rsid w:val="00347C17"/>
    <w:rsid w:val="00347DA1"/>
    <w:rsid w:val="00347EAD"/>
    <w:rsid w:val="00347EB1"/>
    <w:rsid w:val="0035006C"/>
    <w:rsid w:val="00350270"/>
    <w:rsid w:val="0035039D"/>
    <w:rsid w:val="003503DA"/>
    <w:rsid w:val="003503DF"/>
    <w:rsid w:val="00350448"/>
    <w:rsid w:val="003505B7"/>
    <w:rsid w:val="00350691"/>
    <w:rsid w:val="00350774"/>
    <w:rsid w:val="003508D6"/>
    <w:rsid w:val="00350943"/>
    <w:rsid w:val="003509FE"/>
    <w:rsid w:val="00350B11"/>
    <w:rsid w:val="00350DEA"/>
    <w:rsid w:val="00350E6E"/>
    <w:rsid w:val="00350FDB"/>
    <w:rsid w:val="00350FF8"/>
    <w:rsid w:val="0035108C"/>
    <w:rsid w:val="00351169"/>
    <w:rsid w:val="003511C6"/>
    <w:rsid w:val="00351276"/>
    <w:rsid w:val="00351330"/>
    <w:rsid w:val="003514AF"/>
    <w:rsid w:val="00351588"/>
    <w:rsid w:val="00351685"/>
    <w:rsid w:val="00351786"/>
    <w:rsid w:val="00351954"/>
    <w:rsid w:val="00351ABC"/>
    <w:rsid w:val="00351C26"/>
    <w:rsid w:val="00351E1E"/>
    <w:rsid w:val="00351E94"/>
    <w:rsid w:val="00351F0C"/>
    <w:rsid w:val="00351F49"/>
    <w:rsid w:val="00352128"/>
    <w:rsid w:val="00352250"/>
    <w:rsid w:val="003522B4"/>
    <w:rsid w:val="003522FC"/>
    <w:rsid w:val="00352618"/>
    <w:rsid w:val="00352624"/>
    <w:rsid w:val="003527CC"/>
    <w:rsid w:val="003527E6"/>
    <w:rsid w:val="00352900"/>
    <w:rsid w:val="003529D4"/>
    <w:rsid w:val="00352A62"/>
    <w:rsid w:val="00352C7D"/>
    <w:rsid w:val="00352E47"/>
    <w:rsid w:val="00352E4C"/>
    <w:rsid w:val="00352E8F"/>
    <w:rsid w:val="003530B2"/>
    <w:rsid w:val="00353114"/>
    <w:rsid w:val="003531B0"/>
    <w:rsid w:val="00353278"/>
    <w:rsid w:val="00353341"/>
    <w:rsid w:val="0035334F"/>
    <w:rsid w:val="00353508"/>
    <w:rsid w:val="003535EC"/>
    <w:rsid w:val="0035363E"/>
    <w:rsid w:val="00353705"/>
    <w:rsid w:val="00353733"/>
    <w:rsid w:val="0035377F"/>
    <w:rsid w:val="0035379B"/>
    <w:rsid w:val="003537D3"/>
    <w:rsid w:val="00353959"/>
    <w:rsid w:val="00353A52"/>
    <w:rsid w:val="00353BBE"/>
    <w:rsid w:val="00353DE5"/>
    <w:rsid w:val="00353DED"/>
    <w:rsid w:val="00353E6E"/>
    <w:rsid w:val="00353EC0"/>
    <w:rsid w:val="003541FA"/>
    <w:rsid w:val="00354298"/>
    <w:rsid w:val="00354343"/>
    <w:rsid w:val="003543D2"/>
    <w:rsid w:val="0035461F"/>
    <w:rsid w:val="0035475F"/>
    <w:rsid w:val="003548AD"/>
    <w:rsid w:val="00354A30"/>
    <w:rsid w:val="00354A3E"/>
    <w:rsid w:val="00354A82"/>
    <w:rsid w:val="00354AE0"/>
    <w:rsid w:val="00354D31"/>
    <w:rsid w:val="00354D7F"/>
    <w:rsid w:val="00354DFA"/>
    <w:rsid w:val="00354E8F"/>
    <w:rsid w:val="00354F47"/>
    <w:rsid w:val="003550C1"/>
    <w:rsid w:val="00355274"/>
    <w:rsid w:val="003552B4"/>
    <w:rsid w:val="00355350"/>
    <w:rsid w:val="003553F3"/>
    <w:rsid w:val="0035547C"/>
    <w:rsid w:val="003554E1"/>
    <w:rsid w:val="0035555B"/>
    <w:rsid w:val="00355676"/>
    <w:rsid w:val="003558E1"/>
    <w:rsid w:val="0035591D"/>
    <w:rsid w:val="00355976"/>
    <w:rsid w:val="00355A2D"/>
    <w:rsid w:val="00355A93"/>
    <w:rsid w:val="00355C45"/>
    <w:rsid w:val="00355C76"/>
    <w:rsid w:val="00355D92"/>
    <w:rsid w:val="00355E90"/>
    <w:rsid w:val="00355F1B"/>
    <w:rsid w:val="00356021"/>
    <w:rsid w:val="00356142"/>
    <w:rsid w:val="00356233"/>
    <w:rsid w:val="00356257"/>
    <w:rsid w:val="00356358"/>
    <w:rsid w:val="003565C8"/>
    <w:rsid w:val="0035662C"/>
    <w:rsid w:val="00356742"/>
    <w:rsid w:val="00356767"/>
    <w:rsid w:val="0035676F"/>
    <w:rsid w:val="00356938"/>
    <w:rsid w:val="00356973"/>
    <w:rsid w:val="00356A31"/>
    <w:rsid w:val="00356ABE"/>
    <w:rsid w:val="00356C19"/>
    <w:rsid w:val="00356CB1"/>
    <w:rsid w:val="00356D12"/>
    <w:rsid w:val="00356E85"/>
    <w:rsid w:val="003570F4"/>
    <w:rsid w:val="00357149"/>
    <w:rsid w:val="00357387"/>
    <w:rsid w:val="00357444"/>
    <w:rsid w:val="00357591"/>
    <w:rsid w:val="003575C2"/>
    <w:rsid w:val="003576E5"/>
    <w:rsid w:val="00357761"/>
    <w:rsid w:val="00357B98"/>
    <w:rsid w:val="00357BA8"/>
    <w:rsid w:val="00357D7F"/>
    <w:rsid w:val="00357E13"/>
    <w:rsid w:val="00357E21"/>
    <w:rsid w:val="00357E2A"/>
    <w:rsid w:val="00357FB4"/>
    <w:rsid w:val="003600A7"/>
    <w:rsid w:val="0036016E"/>
    <w:rsid w:val="003604DD"/>
    <w:rsid w:val="0036057D"/>
    <w:rsid w:val="003605C1"/>
    <w:rsid w:val="00360738"/>
    <w:rsid w:val="0036075E"/>
    <w:rsid w:val="00360774"/>
    <w:rsid w:val="00360799"/>
    <w:rsid w:val="00360833"/>
    <w:rsid w:val="00360B4D"/>
    <w:rsid w:val="00360D06"/>
    <w:rsid w:val="00360E0F"/>
    <w:rsid w:val="00360E32"/>
    <w:rsid w:val="00360E7D"/>
    <w:rsid w:val="00360F9E"/>
    <w:rsid w:val="00361148"/>
    <w:rsid w:val="00361414"/>
    <w:rsid w:val="0036149F"/>
    <w:rsid w:val="003614CC"/>
    <w:rsid w:val="003615A2"/>
    <w:rsid w:val="0036169F"/>
    <w:rsid w:val="0036179A"/>
    <w:rsid w:val="003617D2"/>
    <w:rsid w:val="00361D03"/>
    <w:rsid w:val="00361D79"/>
    <w:rsid w:val="00361E0C"/>
    <w:rsid w:val="00361F15"/>
    <w:rsid w:val="00361FD9"/>
    <w:rsid w:val="00362000"/>
    <w:rsid w:val="0036205B"/>
    <w:rsid w:val="00362239"/>
    <w:rsid w:val="003623E9"/>
    <w:rsid w:val="00362493"/>
    <w:rsid w:val="00362529"/>
    <w:rsid w:val="0036253C"/>
    <w:rsid w:val="003625E4"/>
    <w:rsid w:val="00362623"/>
    <w:rsid w:val="003626D6"/>
    <w:rsid w:val="003626E9"/>
    <w:rsid w:val="0036276C"/>
    <w:rsid w:val="0036286F"/>
    <w:rsid w:val="0036294F"/>
    <w:rsid w:val="00362A0E"/>
    <w:rsid w:val="00362A8C"/>
    <w:rsid w:val="00362A9E"/>
    <w:rsid w:val="00362B67"/>
    <w:rsid w:val="00362B6C"/>
    <w:rsid w:val="00362B80"/>
    <w:rsid w:val="00362CC3"/>
    <w:rsid w:val="00362E02"/>
    <w:rsid w:val="00362E1D"/>
    <w:rsid w:val="00362ECF"/>
    <w:rsid w:val="00362EFF"/>
    <w:rsid w:val="00362F50"/>
    <w:rsid w:val="00362FED"/>
    <w:rsid w:val="003630C9"/>
    <w:rsid w:val="003630EF"/>
    <w:rsid w:val="0036322E"/>
    <w:rsid w:val="00363240"/>
    <w:rsid w:val="00363273"/>
    <w:rsid w:val="00363347"/>
    <w:rsid w:val="003633D7"/>
    <w:rsid w:val="003633FC"/>
    <w:rsid w:val="003634D7"/>
    <w:rsid w:val="00363642"/>
    <w:rsid w:val="00363643"/>
    <w:rsid w:val="003636F6"/>
    <w:rsid w:val="00363806"/>
    <w:rsid w:val="00363808"/>
    <w:rsid w:val="0036385D"/>
    <w:rsid w:val="00363A4C"/>
    <w:rsid w:val="00363ACB"/>
    <w:rsid w:val="00363B71"/>
    <w:rsid w:val="00363D34"/>
    <w:rsid w:val="00363E85"/>
    <w:rsid w:val="00363EA2"/>
    <w:rsid w:val="00363EB9"/>
    <w:rsid w:val="00364135"/>
    <w:rsid w:val="00364161"/>
    <w:rsid w:val="003641E4"/>
    <w:rsid w:val="00364208"/>
    <w:rsid w:val="00364304"/>
    <w:rsid w:val="0036441B"/>
    <w:rsid w:val="003645A5"/>
    <w:rsid w:val="003645C4"/>
    <w:rsid w:val="00364635"/>
    <w:rsid w:val="00364675"/>
    <w:rsid w:val="003646A4"/>
    <w:rsid w:val="00364792"/>
    <w:rsid w:val="003649D4"/>
    <w:rsid w:val="00364A0B"/>
    <w:rsid w:val="00364A9C"/>
    <w:rsid w:val="00364C40"/>
    <w:rsid w:val="00364CB1"/>
    <w:rsid w:val="00364CF8"/>
    <w:rsid w:val="00364F07"/>
    <w:rsid w:val="00365143"/>
    <w:rsid w:val="003651C3"/>
    <w:rsid w:val="00365277"/>
    <w:rsid w:val="00365344"/>
    <w:rsid w:val="0036540F"/>
    <w:rsid w:val="00365421"/>
    <w:rsid w:val="003654E6"/>
    <w:rsid w:val="003656AD"/>
    <w:rsid w:val="00365862"/>
    <w:rsid w:val="00365982"/>
    <w:rsid w:val="00365A82"/>
    <w:rsid w:val="00365AFC"/>
    <w:rsid w:val="00365B1B"/>
    <w:rsid w:val="00365C5F"/>
    <w:rsid w:val="00365DC7"/>
    <w:rsid w:val="00365DFB"/>
    <w:rsid w:val="00365E03"/>
    <w:rsid w:val="00365FF1"/>
    <w:rsid w:val="00366835"/>
    <w:rsid w:val="00366885"/>
    <w:rsid w:val="003669AD"/>
    <w:rsid w:val="00366A56"/>
    <w:rsid w:val="00366B84"/>
    <w:rsid w:val="00366CBA"/>
    <w:rsid w:val="00366CD0"/>
    <w:rsid w:val="00366CEC"/>
    <w:rsid w:val="00366D8E"/>
    <w:rsid w:val="00366DD7"/>
    <w:rsid w:val="00366ED9"/>
    <w:rsid w:val="00366FE2"/>
    <w:rsid w:val="0036706A"/>
    <w:rsid w:val="00367076"/>
    <w:rsid w:val="00367131"/>
    <w:rsid w:val="0036714A"/>
    <w:rsid w:val="00367181"/>
    <w:rsid w:val="003672BE"/>
    <w:rsid w:val="0036736A"/>
    <w:rsid w:val="0036744E"/>
    <w:rsid w:val="00367686"/>
    <w:rsid w:val="0036769C"/>
    <w:rsid w:val="0036773C"/>
    <w:rsid w:val="003677F8"/>
    <w:rsid w:val="0036782A"/>
    <w:rsid w:val="00367840"/>
    <w:rsid w:val="003678A9"/>
    <w:rsid w:val="003678FE"/>
    <w:rsid w:val="00367997"/>
    <w:rsid w:val="00367ADD"/>
    <w:rsid w:val="00367AF6"/>
    <w:rsid w:val="00367BB8"/>
    <w:rsid w:val="00367C8E"/>
    <w:rsid w:val="00367C9B"/>
    <w:rsid w:val="00367DB9"/>
    <w:rsid w:val="00367F27"/>
    <w:rsid w:val="0037004F"/>
    <w:rsid w:val="00370111"/>
    <w:rsid w:val="00370114"/>
    <w:rsid w:val="0037019B"/>
    <w:rsid w:val="0037028F"/>
    <w:rsid w:val="00370379"/>
    <w:rsid w:val="00370397"/>
    <w:rsid w:val="00370495"/>
    <w:rsid w:val="003704D9"/>
    <w:rsid w:val="003705CB"/>
    <w:rsid w:val="003707B8"/>
    <w:rsid w:val="003707C4"/>
    <w:rsid w:val="00370A74"/>
    <w:rsid w:val="00370A79"/>
    <w:rsid w:val="00370A7B"/>
    <w:rsid w:val="00370C49"/>
    <w:rsid w:val="00370CAE"/>
    <w:rsid w:val="00370CB9"/>
    <w:rsid w:val="00370DD6"/>
    <w:rsid w:val="00370DFC"/>
    <w:rsid w:val="00370EC9"/>
    <w:rsid w:val="00371070"/>
    <w:rsid w:val="003710B7"/>
    <w:rsid w:val="0037110E"/>
    <w:rsid w:val="003713A1"/>
    <w:rsid w:val="003714CF"/>
    <w:rsid w:val="0037180B"/>
    <w:rsid w:val="0037180D"/>
    <w:rsid w:val="00371A16"/>
    <w:rsid w:val="00371A9C"/>
    <w:rsid w:val="00371C47"/>
    <w:rsid w:val="00371D95"/>
    <w:rsid w:val="00371F4B"/>
    <w:rsid w:val="00371F80"/>
    <w:rsid w:val="00371F8D"/>
    <w:rsid w:val="00371FE2"/>
    <w:rsid w:val="00372159"/>
    <w:rsid w:val="003721FE"/>
    <w:rsid w:val="00372219"/>
    <w:rsid w:val="003722C9"/>
    <w:rsid w:val="003722DC"/>
    <w:rsid w:val="00372560"/>
    <w:rsid w:val="003725F2"/>
    <w:rsid w:val="003726A3"/>
    <w:rsid w:val="003726AE"/>
    <w:rsid w:val="00372852"/>
    <w:rsid w:val="00372964"/>
    <w:rsid w:val="003729BA"/>
    <w:rsid w:val="003729E4"/>
    <w:rsid w:val="00372AC0"/>
    <w:rsid w:val="00372ADB"/>
    <w:rsid w:val="00372B31"/>
    <w:rsid w:val="00372B5E"/>
    <w:rsid w:val="00372DC3"/>
    <w:rsid w:val="00372E0C"/>
    <w:rsid w:val="00372EB3"/>
    <w:rsid w:val="00372EED"/>
    <w:rsid w:val="003730B7"/>
    <w:rsid w:val="0037332B"/>
    <w:rsid w:val="0037335F"/>
    <w:rsid w:val="003734D7"/>
    <w:rsid w:val="003734FC"/>
    <w:rsid w:val="00373523"/>
    <w:rsid w:val="0037353D"/>
    <w:rsid w:val="00373580"/>
    <w:rsid w:val="003735AC"/>
    <w:rsid w:val="003735D4"/>
    <w:rsid w:val="00373716"/>
    <w:rsid w:val="0037373D"/>
    <w:rsid w:val="003737EA"/>
    <w:rsid w:val="00373867"/>
    <w:rsid w:val="00373A16"/>
    <w:rsid w:val="00373C0E"/>
    <w:rsid w:val="0037414E"/>
    <w:rsid w:val="0037416F"/>
    <w:rsid w:val="0037419C"/>
    <w:rsid w:val="00374472"/>
    <w:rsid w:val="003745C1"/>
    <w:rsid w:val="003745D9"/>
    <w:rsid w:val="00374615"/>
    <w:rsid w:val="00374631"/>
    <w:rsid w:val="00374639"/>
    <w:rsid w:val="003748F6"/>
    <w:rsid w:val="00374A6B"/>
    <w:rsid w:val="00374A73"/>
    <w:rsid w:val="00374A8F"/>
    <w:rsid w:val="00374A90"/>
    <w:rsid w:val="00374AB1"/>
    <w:rsid w:val="00374D2A"/>
    <w:rsid w:val="00374E47"/>
    <w:rsid w:val="00374EAC"/>
    <w:rsid w:val="00374ECF"/>
    <w:rsid w:val="003750A1"/>
    <w:rsid w:val="00375163"/>
    <w:rsid w:val="00375186"/>
    <w:rsid w:val="00375228"/>
    <w:rsid w:val="00375279"/>
    <w:rsid w:val="003752D2"/>
    <w:rsid w:val="003753C7"/>
    <w:rsid w:val="003754C2"/>
    <w:rsid w:val="003755E1"/>
    <w:rsid w:val="00375619"/>
    <w:rsid w:val="00375745"/>
    <w:rsid w:val="0037578C"/>
    <w:rsid w:val="0037595D"/>
    <w:rsid w:val="00375975"/>
    <w:rsid w:val="0037599C"/>
    <w:rsid w:val="00375BEB"/>
    <w:rsid w:val="00375BFF"/>
    <w:rsid w:val="00375E31"/>
    <w:rsid w:val="00375FBB"/>
    <w:rsid w:val="003760B8"/>
    <w:rsid w:val="0037625D"/>
    <w:rsid w:val="0037632D"/>
    <w:rsid w:val="003763A5"/>
    <w:rsid w:val="00376599"/>
    <w:rsid w:val="003765C8"/>
    <w:rsid w:val="0037665E"/>
    <w:rsid w:val="003767FF"/>
    <w:rsid w:val="0037682C"/>
    <w:rsid w:val="0037694B"/>
    <w:rsid w:val="0037697C"/>
    <w:rsid w:val="00376A40"/>
    <w:rsid w:val="00376B28"/>
    <w:rsid w:val="00376BA6"/>
    <w:rsid w:val="00376BAB"/>
    <w:rsid w:val="00376C6D"/>
    <w:rsid w:val="00376C85"/>
    <w:rsid w:val="00376D7B"/>
    <w:rsid w:val="00376E07"/>
    <w:rsid w:val="00376FBF"/>
    <w:rsid w:val="00377197"/>
    <w:rsid w:val="00377350"/>
    <w:rsid w:val="0037751A"/>
    <w:rsid w:val="003775EB"/>
    <w:rsid w:val="00377640"/>
    <w:rsid w:val="00377809"/>
    <w:rsid w:val="00377A0B"/>
    <w:rsid w:val="00377A18"/>
    <w:rsid w:val="00377C5B"/>
    <w:rsid w:val="00377D91"/>
    <w:rsid w:val="00377E30"/>
    <w:rsid w:val="00377FEB"/>
    <w:rsid w:val="00380072"/>
    <w:rsid w:val="00380265"/>
    <w:rsid w:val="00380448"/>
    <w:rsid w:val="003804D1"/>
    <w:rsid w:val="00380575"/>
    <w:rsid w:val="003805F9"/>
    <w:rsid w:val="0038062E"/>
    <w:rsid w:val="00380692"/>
    <w:rsid w:val="00380776"/>
    <w:rsid w:val="003808C6"/>
    <w:rsid w:val="003809B2"/>
    <w:rsid w:val="00380A8D"/>
    <w:rsid w:val="00380AAB"/>
    <w:rsid w:val="00380AE3"/>
    <w:rsid w:val="00380BB3"/>
    <w:rsid w:val="00380BEA"/>
    <w:rsid w:val="00380C23"/>
    <w:rsid w:val="00380D76"/>
    <w:rsid w:val="00380D95"/>
    <w:rsid w:val="00380DDD"/>
    <w:rsid w:val="00380DF5"/>
    <w:rsid w:val="00380E12"/>
    <w:rsid w:val="00380FA6"/>
    <w:rsid w:val="00380FBD"/>
    <w:rsid w:val="003811DB"/>
    <w:rsid w:val="0038120F"/>
    <w:rsid w:val="00381269"/>
    <w:rsid w:val="0038132A"/>
    <w:rsid w:val="0038139B"/>
    <w:rsid w:val="003816B5"/>
    <w:rsid w:val="0038172A"/>
    <w:rsid w:val="00381812"/>
    <w:rsid w:val="00381992"/>
    <w:rsid w:val="00381B75"/>
    <w:rsid w:val="00381BC4"/>
    <w:rsid w:val="00381D1D"/>
    <w:rsid w:val="00381DA7"/>
    <w:rsid w:val="00381DB2"/>
    <w:rsid w:val="00381E0E"/>
    <w:rsid w:val="00381ECB"/>
    <w:rsid w:val="003820E4"/>
    <w:rsid w:val="00382125"/>
    <w:rsid w:val="0038212A"/>
    <w:rsid w:val="003822E6"/>
    <w:rsid w:val="00382352"/>
    <w:rsid w:val="0038276C"/>
    <w:rsid w:val="00382859"/>
    <w:rsid w:val="0038295F"/>
    <w:rsid w:val="00382B10"/>
    <w:rsid w:val="00382BB5"/>
    <w:rsid w:val="00382DA9"/>
    <w:rsid w:val="00382DE6"/>
    <w:rsid w:val="00382F8B"/>
    <w:rsid w:val="00383027"/>
    <w:rsid w:val="00383088"/>
    <w:rsid w:val="003830F3"/>
    <w:rsid w:val="00383211"/>
    <w:rsid w:val="00383358"/>
    <w:rsid w:val="00383402"/>
    <w:rsid w:val="00383468"/>
    <w:rsid w:val="00383564"/>
    <w:rsid w:val="0038375D"/>
    <w:rsid w:val="00383782"/>
    <w:rsid w:val="00383816"/>
    <w:rsid w:val="0038392C"/>
    <w:rsid w:val="00383957"/>
    <w:rsid w:val="0038396C"/>
    <w:rsid w:val="00383A18"/>
    <w:rsid w:val="00383A81"/>
    <w:rsid w:val="00383BB1"/>
    <w:rsid w:val="00383BFA"/>
    <w:rsid w:val="00383E08"/>
    <w:rsid w:val="00383F6A"/>
    <w:rsid w:val="0038406C"/>
    <w:rsid w:val="003842AD"/>
    <w:rsid w:val="003842C4"/>
    <w:rsid w:val="003846A3"/>
    <w:rsid w:val="00384BC1"/>
    <w:rsid w:val="00384D6B"/>
    <w:rsid w:val="003850A9"/>
    <w:rsid w:val="003853B0"/>
    <w:rsid w:val="003853DC"/>
    <w:rsid w:val="0038542A"/>
    <w:rsid w:val="00385441"/>
    <w:rsid w:val="00385447"/>
    <w:rsid w:val="003854BF"/>
    <w:rsid w:val="0038561E"/>
    <w:rsid w:val="0038563B"/>
    <w:rsid w:val="00385782"/>
    <w:rsid w:val="003859C4"/>
    <w:rsid w:val="003859E6"/>
    <w:rsid w:val="00385B0B"/>
    <w:rsid w:val="00385BD1"/>
    <w:rsid w:val="00385C46"/>
    <w:rsid w:val="00385DD2"/>
    <w:rsid w:val="00386008"/>
    <w:rsid w:val="00386056"/>
    <w:rsid w:val="00386064"/>
    <w:rsid w:val="003860D2"/>
    <w:rsid w:val="003860FB"/>
    <w:rsid w:val="0038610D"/>
    <w:rsid w:val="00386334"/>
    <w:rsid w:val="00386455"/>
    <w:rsid w:val="003865B6"/>
    <w:rsid w:val="003865D7"/>
    <w:rsid w:val="003865DC"/>
    <w:rsid w:val="003865F9"/>
    <w:rsid w:val="00386628"/>
    <w:rsid w:val="003866DB"/>
    <w:rsid w:val="003866F1"/>
    <w:rsid w:val="0038670D"/>
    <w:rsid w:val="0038678B"/>
    <w:rsid w:val="00386828"/>
    <w:rsid w:val="0038686B"/>
    <w:rsid w:val="003869AD"/>
    <w:rsid w:val="00386AC6"/>
    <w:rsid w:val="00386B0D"/>
    <w:rsid w:val="00386C17"/>
    <w:rsid w:val="00386C1B"/>
    <w:rsid w:val="00386D52"/>
    <w:rsid w:val="00386D9A"/>
    <w:rsid w:val="00387096"/>
    <w:rsid w:val="00387132"/>
    <w:rsid w:val="0038715C"/>
    <w:rsid w:val="0038721B"/>
    <w:rsid w:val="0038727D"/>
    <w:rsid w:val="003874F7"/>
    <w:rsid w:val="00387598"/>
    <w:rsid w:val="0038759E"/>
    <w:rsid w:val="003877F5"/>
    <w:rsid w:val="00387A0C"/>
    <w:rsid w:val="00387AEC"/>
    <w:rsid w:val="00387B26"/>
    <w:rsid w:val="00387CE7"/>
    <w:rsid w:val="00387F61"/>
    <w:rsid w:val="00390030"/>
    <w:rsid w:val="00390160"/>
    <w:rsid w:val="003901D6"/>
    <w:rsid w:val="00390202"/>
    <w:rsid w:val="0039069A"/>
    <w:rsid w:val="003906C0"/>
    <w:rsid w:val="003907CA"/>
    <w:rsid w:val="00390899"/>
    <w:rsid w:val="003909FB"/>
    <w:rsid w:val="00390CAA"/>
    <w:rsid w:val="00390D08"/>
    <w:rsid w:val="00390DC6"/>
    <w:rsid w:val="00390E16"/>
    <w:rsid w:val="00390E3C"/>
    <w:rsid w:val="00390F9A"/>
    <w:rsid w:val="0039110B"/>
    <w:rsid w:val="0039113B"/>
    <w:rsid w:val="0039133C"/>
    <w:rsid w:val="003914A8"/>
    <w:rsid w:val="003914DD"/>
    <w:rsid w:val="0039165D"/>
    <w:rsid w:val="0039173E"/>
    <w:rsid w:val="00391765"/>
    <w:rsid w:val="00391770"/>
    <w:rsid w:val="003918A3"/>
    <w:rsid w:val="003918C8"/>
    <w:rsid w:val="003918F4"/>
    <w:rsid w:val="003918FE"/>
    <w:rsid w:val="00391929"/>
    <w:rsid w:val="003919C4"/>
    <w:rsid w:val="00391A02"/>
    <w:rsid w:val="00391ABC"/>
    <w:rsid w:val="00391B25"/>
    <w:rsid w:val="00391B8B"/>
    <w:rsid w:val="00391C7C"/>
    <w:rsid w:val="00391C98"/>
    <w:rsid w:val="00391CB2"/>
    <w:rsid w:val="00391D46"/>
    <w:rsid w:val="00391DDA"/>
    <w:rsid w:val="00391E10"/>
    <w:rsid w:val="00392098"/>
    <w:rsid w:val="00392105"/>
    <w:rsid w:val="00392196"/>
    <w:rsid w:val="0039229C"/>
    <w:rsid w:val="003922B3"/>
    <w:rsid w:val="00392396"/>
    <w:rsid w:val="003924C2"/>
    <w:rsid w:val="00392558"/>
    <w:rsid w:val="00392697"/>
    <w:rsid w:val="003927F1"/>
    <w:rsid w:val="00392813"/>
    <w:rsid w:val="0039282C"/>
    <w:rsid w:val="003929B2"/>
    <w:rsid w:val="00392BFA"/>
    <w:rsid w:val="00392CF8"/>
    <w:rsid w:val="00392E98"/>
    <w:rsid w:val="00392F48"/>
    <w:rsid w:val="00392FDB"/>
    <w:rsid w:val="00393309"/>
    <w:rsid w:val="00393383"/>
    <w:rsid w:val="003933B8"/>
    <w:rsid w:val="0039355A"/>
    <w:rsid w:val="0039373C"/>
    <w:rsid w:val="00393779"/>
    <w:rsid w:val="003937BF"/>
    <w:rsid w:val="00393837"/>
    <w:rsid w:val="003938BF"/>
    <w:rsid w:val="00393900"/>
    <w:rsid w:val="00393A0D"/>
    <w:rsid w:val="00393AA0"/>
    <w:rsid w:val="00393C34"/>
    <w:rsid w:val="00393CB7"/>
    <w:rsid w:val="00393EC2"/>
    <w:rsid w:val="00393EEE"/>
    <w:rsid w:val="003943F3"/>
    <w:rsid w:val="00394481"/>
    <w:rsid w:val="00394524"/>
    <w:rsid w:val="00394531"/>
    <w:rsid w:val="003946EF"/>
    <w:rsid w:val="0039470B"/>
    <w:rsid w:val="003947F6"/>
    <w:rsid w:val="00394829"/>
    <w:rsid w:val="0039484E"/>
    <w:rsid w:val="0039492F"/>
    <w:rsid w:val="00394961"/>
    <w:rsid w:val="00394ABE"/>
    <w:rsid w:val="00394AE0"/>
    <w:rsid w:val="00394C47"/>
    <w:rsid w:val="00394CA4"/>
    <w:rsid w:val="00394D39"/>
    <w:rsid w:val="00394D67"/>
    <w:rsid w:val="00394EC8"/>
    <w:rsid w:val="00394EFF"/>
    <w:rsid w:val="0039503C"/>
    <w:rsid w:val="00395042"/>
    <w:rsid w:val="00395066"/>
    <w:rsid w:val="003950A6"/>
    <w:rsid w:val="003950EA"/>
    <w:rsid w:val="0039542F"/>
    <w:rsid w:val="003954FA"/>
    <w:rsid w:val="003955D6"/>
    <w:rsid w:val="00395811"/>
    <w:rsid w:val="00395883"/>
    <w:rsid w:val="003958A5"/>
    <w:rsid w:val="003958DE"/>
    <w:rsid w:val="00395AA3"/>
    <w:rsid w:val="00395CE6"/>
    <w:rsid w:val="00395E15"/>
    <w:rsid w:val="00395FEA"/>
    <w:rsid w:val="00395FEE"/>
    <w:rsid w:val="00396027"/>
    <w:rsid w:val="00396080"/>
    <w:rsid w:val="0039619A"/>
    <w:rsid w:val="0039622D"/>
    <w:rsid w:val="00396441"/>
    <w:rsid w:val="00396482"/>
    <w:rsid w:val="003964E2"/>
    <w:rsid w:val="0039656C"/>
    <w:rsid w:val="003965FA"/>
    <w:rsid w:val="00396821"/>
    <w:rsid w:val="00396947"/>
    <w:rsid w:val="00396A29"/>
    <w:rsid w:val="00396B40"/>
    <w:rsid w:val="00396BCC"/>
    <w:rsid w:val="00396C55"/>
    <w:rsid w:val="00396C90"/>
    <w:rsid w:val="00396E92"/>
    <w:rsid w:val="00396EBC"/>
    <w:rsid w:val="00396F5C"/>
    <w:rsid w:val="003970AC"/>
    <w:rsid w:val="00397174"/>
    <w:rsid w:val="00397207"/>
    <w:rsid w:val="00397263"/>
    <w:rsid w:val="0039726F"/>
    <w:rsid w:val="003973C8"/>
    <w:rsid w:val="00397452"/>
    <w:rsid w:val="00397486"/>
    <w:rsid w:val="0039749A"/>
    <w:rsid w:val="003974D9"/>
    <w:rsid w:val="003974E8"/>
    <w:rsid w:val="003974EA"/>
    <w:rsid w:val="00397700"/>
    <w:rsid w:val="00397740"/>
    <w:rsid w:val="0039784A"/>
    <w:rsid w:val="00397856"/>
    <w:rsid w:val="00397940"/>
    <w:rsid w:val="00397979"/>
    <w:rsid w:val="00397A6A"/>
    <w:rsid w:val="00397A89"/>
    <w:rsid w:val="00397B76"/>
    <w:rsid w:val="00397B8B"/>
    <w:rsid w:val="00397C65"/>
    <w:rsid w:val="00397CC2"/>
    <w:rsid w:val="00397D06"/>
    <w:rsid w:val="00397D61"/>
    <w:rsid w:val="00397E1B"/>
    <w:rsid w:val="00397E41"/>
    <w:rsid w:val="00397EDF"/>
    <w:rsid w:val="00397EEF"/>
    <w:rsid w:val="0039BCAA"/>
    <w:rsid w:val="003A006D"/>
    <w:rsid w:val="003A01D2"/>
    <w:rsid w:val="003A020F"/>
    <w:rsid w:val="003A023D"/>
    <w:rsid w:val="003A0254"/>
    <w:rsid w:val="003A0358"/>
    <w:rsid w:val="003A046E"/>
    <w:rsid w:val="003A054D"/>
    <w:rsid w:val="003A0568"/>
    <w:rsid w:val="003A0683"/>
    <w:rsid w:val="003A06DD"/>
    <w:rsid w:val="003A06E3"/>
    <w:rsid w:val="003A07A1"/>
    <w:rsid w:val="003A07C5"/>
    <w:rsid w:val="003A08C4"/>
    <w:rsid w:val="003A08DF"/>
    <w:rsid w:val="003A0969"/>
    <w:rsid w:val="003A0C1B"/>
    <w:rsid w:val="003A0C7E"/>
    <w:rsid w:val="003A0D11"/>
    <w:rsid w:val="003A0D3B"/>
    <w:rsid w:val="003A0E15"/>
    <w:rsid w:val="003A0E44"/>
    <w:rsid w:val="003A0F4C"/>
    <w:rsid w:val="003A1056"/>
    <w:rsid w:val="003A10C9"/>
    <w:rsid w:val="003A110C"/>
    <w:rsid w:val="003A1256"/>
    <w:rsid w:val="003A12EA"/>
    <w:rsid w:val="003A13FD"/>
    <w:rsid w:val="003A142A"/>
    <w:rsid w:val="003A143F"/>
    <w:rsid w:val="003A145D"/>
    <w:rsid w:val="003A1754"/>
    <w:rsid w:val="003A1758"/>
    <w:rsid w:val="003A1827"/>
    <w:rsid w:val="003A1B39"/>
    <w:rsid w:val="003A1B5E"/>
    <w:rsid w:val="003A1BB5"/>
    <w:rsid w:val="003A1DEF"/>
    <w:rsid w:val="003A1E48"/>
    <w:rsid w:val="003A1FBA"/>
    <w:rsid w:val="003A2129"/>
    <w:rsid w:val="003A214D"/>
    <w:rsid w:val="003A2244"/>
    <w:rsid w:val="003A22DE"/>
    <w:rsid w:val="003A23AB"/>
    <w:rsid w:val="003A23D3"/>
    <w:rsid w:val="003A247E"/>
    <w:rsid w:val="003A24A5"/>
    <w:rsid w:val="003A2525"/>
    <w:rsid w:val="003A2541"/>
    <w:rsid w:val="003A25F9"/>
    <w:rsid w:val="003A261D"/>
    <w:rsid w:val="003A2836"/>
    <w:rsid w:val="003A2918"/>
    <w:rsid w:val="003A2989"/>
    <w:rsid w:val="003A2ABC"/>
    <w:rsid w:val="003A2B53"/>
    <w:rsid w:val="003A2BBF"/>
    <w:rsid w:val="003A2C1D"/>
    <w:rsid w:val="003A2D71"/>
    <w:rsid w:val="003A2DCF"/>
    <w:rsid w:val="003A2F3D"/>
    <w:rsid w:val="003A2F4A"/>
    <w:rsid w:val="003A3048"/>
    <w:rsid w:val="003A310D"/>
    <w:rsid w:val="003A3197"/>
    <w:rsid w:val="003A32C3"/>
    <w:rsid w:val="003A337D"/>
    <w:rsid w:val="003A3388"/>
    <w:rsid w:val="003A34D3"/>
    <w:rsid w:val="003A366C"/>
    <w:rsid w:val="003A368C"/>
    <w:rsid w:val="003A3762"/>
    <w:rsid w:val="003A37A6"/>
    <w:rsid w:val="003A3924"/>
    <w:rsid w:val="003A39D0"/>
    <w:rsid w:val="003A3A24"/>
    <w:rsid w:val="003A3AA3"/>
    <w:rsid w:val="003A3AFC"/>
    <w:rsid w:val="003A3C0F"/>
    <w:rsid w:val="003A3EFF"/>
    <w:rsid w:val="003A4103"/>
    <w:rsid w:val="003A4246"/>
    <w:rsid w:val="003A42C8"/>
    <w:rsid w:val="003A42CE"/>
    <w:rsid w:val="003A44C4"/>
    <w:rsid w:val="003A44F2"/>
    <w:rsid w:val="003A44F7"/>
    <w:rsid w:val="003A46F4"/>
    <w:rsid w:val="003A4871"/>
    <w:rsid w:val="003A48F5"/>
    <w:rsid w:val="003A49C0"/>
    <w:rsid w:val="003A4B71"/>
    <w:rsid w:val="003A4D91"/>
    <w:rsid w:val="003A4E25"/>
    <w:rsid w:val="003A4F15"/>
    <w:rsid w:val="003A4F9F"/>
    <w:rsid w:val="003A4FBF"/>
    <w:rsid w:val="003A5045"/>
    <w:rsid w:val="003A5073"/>
    <w:rsid w:val="003A514C"/>
    <w:rsid w:val="003A524C"/>
    <w:rsid w:val="003A52C4"/>
    <w:rsid w:val="003A5309"/>
    <w:rsid w:val="003A530E"/>
    <w:rsid w:val="003A5312"/>
    <w:rsid w:val="003A53C3"/>
    <w:rsid w:val="003A5451"/>
    <w:rsid w:val="003A5459"/>
    <w:rsid w:val="003A5609"/>
    <w:rsid w:val="003A5805"/>
    <w:rsid w:val="003A58E8"/>
    <w:rsid w:val="003A59BB"/>
    <w:rsid w:val="003A5A7D"/>
    <w:rsid w:val="003A5B27"/>
    <w:rsid w:val="003A5B48"/>
    <w:rsid w:val="003A5B91"/>
    <w:rsid w:val="003A5C2D"/>
    <w:rsid w:val="003A5C71"/>
    <w:rsid w:val="003A5D42"/>
    <w:rsid w:val="003A5DD4"/>
    <w:rsid w:val="003A5E2C"/>
    <w:rsid w:val="003A6010"/>
    <w:rsid w:val="003A6019"/>
    <w:rsid w:val="003A613B"/>
    <w:rsid w:val="003A6183"/>
    <w:rsid w:val="003A6269"/>
    <w:rsid w:val="003A65A5"/>
    <w:rsid w:val="003A65F9"/>
    <w:rsid w:val="003A6695"/>
    <w:rsid w:val="003A66A5"/>
    <w:rsid w:val="003A6850"/>
    <w:rsid w:val="003A698F"/>
    <w:rsid w:val="003A6A29"/>
    <w:rsid w:val="003A6A87"/>
    <w:rsid w:val="003A6B40"/>
    <w:rsid w:val="003A6BE6"/>
    <w:rsid w:val="003A6CE4"/>
    <w:rsid w:val="003A6FF9"/>
    <w:rsid w:val="003A7100"/>
    <w:rsid w:val="003A72C0"/>
    <w:rsid w:val="003A7474"/>
    <w:rsid w:val="003A7662"/>
    <w:rsid w:val="003A76D0"/>
    <w:rsid w:val="003A774B"/>
    <w:rsid w:val="003A778E"/>
    <w:rsid w:val="003A7A7E"/>
    <w:rsid w:val="003A7B38"/>
    <w:rsid w:val="003A7B4E"/>
    <w:rsid w:val="003A7C3A"/>
    <w:rsid w:val="003A7C41"/>
    <w:rsid w:val="003A7C56"/>
    <w:rsid w:val="003A7D17"/>
    <w:rsid w:val="003A7DBE"/>
    <w:rsid w:val="003A7E5C"/>
    <w:rsid w:val="003A7F56"/>
    <w:rsid w:val="003B00BC"/>
    <w:rsid w:val="003B012A"/>
    <w:rsid w:val="003B030C"/>
    <w:rsid w:val="003B056D"/>
    <w:rsid w:val="003B0816"/>
    <w:rsid w:val="003B088B"/>
    <w:rsid w:val="003B08D6"/>
    <w:rsid w:val="003B090F"/>
    <w:rsid w:val="003B09C9"/>
    <w:rsid w:val="003B0A45"/>
    <w:rsid w:val="003B0A61"/>
    <w:rsid w:val="003B0CC3"/>
    <w:rsid w:val="003B0D2D"/>
    <w:rsid w:val="003B0E14"/>
    <w:rsid w:val="003B0E43"/>
    <w:rsid w:val="003B0F94"/>
    <w:rsid w:val="003B0FB8"/>
    <w:rsid w:val="003B10AD"/>
    <w:rsid w:val="003B132C"/>
    <w:rsid w:val="003B1336"/>
    <w:rsid w:val="003B142F"/>
    <w:rsid w:val="003B1456"/>
    <w:rsid w:val="003B1542"/>
    <w:rsid w:val="003B15AC"/>
    <w:rsid w:val="003B15BC"/>
    <w:rsid w:val="003B174A"/>
    <w:rsid w:val="003B174E"/>
    <w:rsid w:val="003B184C"/>
    <w:rsid w:val="003B1855"/>
    <w:rsid w:val="003B18F7"/>
    <w:rsid w:val="003B1917"/>
    <w:rsid w:val="003B193F"/>
    <w:rsid w:val="003B19E8"/>
    <w:rsid w:val="003B1B49"/>
    <w:rsid w:val="003B1C52"/>
    <w:rsid w:val="003B1CB1"/>
    <w:rsid w:val="003B1D72"/>
    <w:rsid w:val="003B1DC9"/>
    <w:rsid w:val="003B20D6"/>
    <w:rsid w:val="003B22B8"/>
    <w:rsid w:val="003B241A"/>
    <w:rsid w:val="003B257D"/>
    <w:rsid w:val="003B261A"/>
    <w:rsid w:val="003B2874"/>
    <w:rsid w:val="003B2900"/>
    <w:rsid w:val="003B2AA2"/>
    <w:rsid w:val="003B2BC3"/>
    <w:rsid w:val="003B2D23"/>
    <w:rsid w:val="003B2E43"/>
    <w:rsid w:val="003B2E64"/>
    <w:rsid w:val="003B2EF4"/>
    <w:rsid w:val="003B2F24"/>
    <w:rsid w:val="003B2F3E"/>
    <w:rsid w:val="003B3053"/>
    <w:rsid w:val="003B3214"/>
    <w:rsid w:val="003B332B"/>
    <w:rsid w:val="003B34BF"/>
    <w:rsid w:val="003B36A8"/>
    <w:rsid w:val="003B3784"/>
    <w:rsid w:val="003B398A"/>
    <w:rsid w:val="003B3B3B"/>
    <w:rsid w:val="003B3E55"/>
    <w:rsid w:val="003B3F5A"/>
    <w:rsid w:val="003B4013"/>
    <w:rsid w:val="003B412C"/>
    <w:rsid w:val="003B4137"/>
    <w:rsid w:val="003B4142"/>
    <w:rsid w:val="003B4173"/>
    <w:rsid w:val="003B41F6"/>
    <w:rsid w:val="003B4377"/>
    <w:rsid w:val="003B464E"/>
    <w:rsid w:val="003B46E8"/>
    <w:rsid w:val="003B48FE"/>
    <w:rsid w:val="003B4C74"/>
    <w:rsid w:val="003B4D32"/>
    <w:rsid w:val="003B4D34"/>
    <w:rsid w:val="003B4EC1"/>
    <w:rsid w:val="003B4F21"/>
    <w:rsid w:val="003B4F4E"/>
    <w:rsid w:val="003B4FDD"/>
    <w:rsid w:val="003B50A3"/>
    <w:rsid w:val="003B5721"/>
    <w:rsid w:val="003B591D"/>
    <w:rsid w:val="003B59A8"/>
    <w:rsid w:val="003B5A47"/>
    <w:rsid w:val="003B5C88"/>
    <w:rsid w:val="003B5CD7"/>
    <w:rsid w:val="003B5E1D"/>
    <w:rsid w:val="003B5F22"/>
    <w:rsid w:val="003B6006"/>
    <w:rsid w:val="003B6072"/>
    <w:rsid w:val="003B6184"/>
    <w:rsid w:val="003B6280"/>
    <w:rsid w:val="003B62CB"/>
    <w:rsid w:val="003B62DC"/>
    <w:rsid w:val="003B63F7"/>
    <w:rsid w:val="003B6439"/>
    <w:rsid w:val="003B6478"/>
    <w:rsid w:val="003B6753"/>
    <w:rsid w:val="003B67EF"/>
    <w:rsid w:val="003B6841"/>
    <w:rsid w:val="003B6867"/>
    <w:rsid w:val="003B68DD"/>
    <w:rsid w:val="003B694A"/>
    <w:rsid w:val="003B6AC4"/>
    <w:rsid w:val="003B6C4B"/>
    <w:rsid w:val="003B6CD9"/>
    <w:rsid w:val="003B6FB8"/>
    <w:rsid w:val="003B7040"/>
    <w:rsid w:val="003B70C2"/>
    <w:rsid w:val="003B70F7"/>
    <w:rsid w:val="003B72EC"/>
    <w:rsid w:val="003B742C"/>
    <w:rsid w:val="003B7568"/>
    <w:rsid w:val="003B75DE"/>
    <w:rsid w:val="003B760C"/>
    <w:rsid w:val="003B7611"/>
    <w:rsid w:val="003B76C7"/>
    <w:rsid w:val="003B781E"/>
    <w:rsid w:val="003B78A8"/>
    <w:rsid w:val="003B7A33"/>
    <w:rsid w:val="003B7AA2"/>
    <w:rsid w:val="003B7AED"/>
    <w:rsid w:val="003B7BE9"/>
    <w:rsid w:val="003B7C87"/>
    <w:rsid w:val="003B7CEB"/>
    <w:rsid w:val="003B7DCE"/>
    <w:rsid w:val="003B7DFF"/>
    <w:rsid w:val="003B7F8D"/>
    <w:rsid w:val="003B7FCA"/>
    <w:rsid w:val="003C0002"/>
    <w:rsid w:val="003C00D2"/>
    <w:rsid w:val="003C02CE"/>
    <w:rsid w:val="003C0355"/>
    <w:rsid w:val="003C03B5"/>
    <w:rsid w:val="003C0490"/>
    <w:rsid w:val="003C04A9"/>
    <w:rsid w:val="003C073E"/>
    <w:rsid w:val="003C0805"/>
    <w:rsid w:val="003C0838"/>
    <w:rsid w:val="003C08D9"/>
    <w:rsid w:val="003C098A"/>
    <w:rsid w:val="003C09D2"/>
    <w:rsid w:val="003C0A0A"/>
    <w:rsid w:val="003C0AA4"/>
    <w:rsid w:val="003C0ABD"/>
    <w:rsid w:val="003C0B69"/>
    <w:rsid w:val="003C0C83"/>
    <w:rsid w:val="003C0DE2"/>
    <w:rsid w:val="003C0EC4"/>
    <w:rsid w:val="003C0EEC"/>
    <w:rsid w:val="003C1066"/>
    <w:rsid w:val="003C115E"/>
    <w:rsid w:val="003C12F6"/>
    <w:rsid w:val="003C1391"/>
    <w:rsid w:val="003C13A7"/>
    <w:rsid w:val="003C1580"/>
    <w:rsid w:val="003C15A8"/>
    <w:rsid w:val="003C15ED"/>
    <w:rsid w:val="003C1688"/>
    <w:rsid w:val="003C1704"/>
    <w:rsid w:val="003C17AA"/>
    <w:rsid w:val="003C19E7"/>
    <w:rsid w:val="003C1B43"/>
    <w:rsid w:val="003C1B60"/>
    <w:rsid w:val="003C1DC8"/>
    <w:rsid w:val="003C1EC8"/>
    <w:rsid w:val="003C1F9B"/>
    <w:rsid w:val="003C2080"/>
    <w:rsid w:val="003C20C1"/>
    <w:rsid w:val="003C21F4"/>
    <w:rsid w:val="003C226C"/>
    <w:rsid w:val="003C232B"/>
    <w:rsid w:val="003C24A6"/>
    <w:rsid w:val="003C24AB"/>
    <w:rsid w:val="003C24DE"/>
    <w:rsid w:val="003C2549"/>
    <w:rsid w:val="003C28B6"/>
    <w:rsid w:val="003C292E"/>
    <w:rsid w:val="003C2A03"/>
    <w:rsid w:val="003C2A3F"/>
    <w:rsid w:val="003C2BDC"/>
    <w:rsid w:val="003C2C59"/>
    <w:rsid w:val="003C2CA7"/>
    <w:rsid w:val="003C2E4D"/>
    <w:rsid w:val="003C30CC"/>
    <w:rsid w:val="003C3140"/>
    <w:rsid w:val="003C323F"/>
    <w:rsid w:val="003C32EB"/>
    <w:rsid w:val="003C3565"/>
    <w:rsid w:val="003C35E6"/>
    <w:rsid w:val="003C3665"/>
    <w:rsid w:val="003C3778"/>
    <w:rsid w:val="003C381C"/>
    <w:rsid w:val="003C38D4"/>
    <w:rsid w:val="003C396D"/>
    <w:rsid w:val="003C3A11"/>
    <w:rsid w:val="003C3A79"/>
    <w:rsid w:val="003C3B05"/>
    <w:rsid w:val="003C3C68"/>
    <w:rsid w:val="003C40B7"/>
    <w:rsid w:val="003C40D4"/>
    <w:rsid w:val="003C4171"/>
    <w:rsid w:val="003C4295"/>
    <w:rsid w:val="003C4378"/>
    <w:rsid w:val="003C44DF"/>
    <w:rsid w:val="003C45E7"/>
    <w:rsid w:val="003C46C1"/>
    <w:rsid w:val="003C46EC"/>
    <w:rsid w:val="003C470E"/>
    <w:rsid w:val="003C47AF"/>
    <w:rsid w:val="003C4986"/>
    <w:rsid w:val="003C4A7E"/>
    <w:rsid w:val="003C4CE3"/>
    <w:rsid w:val="003C4F49"/>
    <w:rsid w:val="003C5047"/>
    <w:rsid w:val="003C5105"/>
    <w:rsid w:val="003C5218"/>
    <w:rsid w:val="003C527F"/>
    <w:rsid w:val="003C53DF"/>
    <w:rsid w:val="003C55ED"/>
    <w:rsid w:val="003C58BC"/>
    <w:rsid w:val="003C5AB8"/>
    <w:rsid w:val="003C5AD1"/>
    <w:rsid w:val="003C5AED"/>
    <w:rsid w:val="003C5B7B"/>
    <w:rsid w:val="003C5B87"/>
    <w:rsid w:val="003C5C22"/>
    <w:rsid w:val="003C5D3D"/>
    <w:rsid w:val="003C5F3D"/>
    <w:rsid w:val="003C60BD"/>
    <w:rsid w:val="003C6175"/>
    <w:rsid w:val="003C61B9"/>
    <w:rsid w:val="003C61FB"/>
    <w:rsid w:val="003C623B"/>
    <w:rsid w:val="003C6438"/>
    <w:rsid w:val="003C6448"/>
    <w:rsid w:val="003C650F"/>
    <w:rsid w:val="003C66A2"/>
    <w:rsid w:val="003C6729"/>
    <w:rsid w:val="003C675E"/>
    <w:rsid w:val="003C678B"/>
    <w:rsid w:val="003C67C9"/>
    <w:rsid w:val="003C67E6"/>
    <w:rsid w:val="003C67F2"/>
    <w:rsid w:val="003C690C"/>
    <w:rsid w:val="003C69B3"/>
    <w:rsid w:val="003C6A0C"/>
    <w:rsid w:val="003C6AD2"/>
    <w:rsid w:val="003C6ADD"/>
    <w:rsid w:val="003C6BB1"/>
    <w:rsid w:val="003C6BF3"/>
    <w:rsid w:val="003C6C08"/>
    <w:rsid w:val="003C70BC"/>
    <w:rsid w:val="003C70D3"/>
    <w:rsid w:val="003C7188"/>
    <w:rsid w:val="003C72C0"/>
    <w:rsid w:val="003C72F3"/>
    <w:rsid w:val="003C738E"/>
    <w:rsid w:val="003C73C4"/>
    <w:rsid w:val="003C74E4"/>
    <w:rsid w:val="003C757C"/>
    <w:rsid w:val="003C75AD"/>
    <w:rsid w:val="003C75E6"/>
    <w:rsid w:val="003C765F"/>
    <w:rsid w:val="003C7779"/>
    <w:rsid w:val="003C778E"/>
    <w:rsid w:val="003C7866"/>
    <w:rsid w:val="003C787F"/>
    <w:rsid w:val="003C78BA"/>
    <w:rsid w:val="003C7967"/>
    <w:rsid w:val="003C79DB"/>
    <w:rsid w:val="003C7A53"/>
    <w:rsid w:val="003C7B49"/>
    <w:rsid w:val="003C7D18"/>
    <w:rsid w:val="003C7FE1"/>
    <w:rsid w:val="003D0102"/>
    <w:rsid w:val="003D01D2"/>
    <w:rsid w:val="003D0230"/>
    <w:rsid w:val="003D024A"/>
    <w:rsid w:val="003D0260"/>
    <w:rsid w:val="003D028D"/>
    <w:rsid w:val="003D02C4"/>
    <w:rsid w:val="003D039F"/>
    <w:rsid w:val="003D0484"/>
    <w:rsid w:val="003D051D"/>
    <w:rsid w:val="003D0520"/>
    <w:rsid w:val="003D05BC"/>
    <w:rsid w:val="003D0624"/>
    <w:rsid w:val="003D06B9"/>
    <w:rsid w:val="003D0746"/>
    <w:rsid w:val="003D087D"/>
    <w:rsid w:val="003D0947"/>
    <w:rsid w:val="003D0956"/>
    <w:rsid w:val="003D0B46"/>
    <w:rsid w:val="003D0C4C"/>
    <w:rsid w:val="003D0DCC"/>
    <w:rsid w:val="003D0E1C"/>
    <w:rsid w:val="003D0E26"/>
    <w:rsid w:val="003D0ED3"/>
    <w:rsid w:val="003D100E"/>
    <w:rsid w:val="003D104E"/>
    <w:rsid w:val="003D10BC"/>
    <w:rsid w:val="003D10E9"/>
    <w:rsid w:val="003D1229"/>
    <w:rsid w:val="003D143E"/>
    <w:rsid w:val="003D14C0"/>
    <w:rsid w:val="003D15F0"/>
    <w:rsid w:val="003D162A"/>
    <w:rsid w:val="003D1741"/>
    <w:rsid w:val="003D1A1C"/>
    <w:rsid w:val="003D1A5A"/>
    <w:rsid w:val="003D1CE7"/>
    <w:rsid w:val="003D1D37"/>
    <w:rsid w:val="003D1E8D"/>
    <w:rsid w:val="003D1FB7"/>
    <w:rsid w:val="003D211D"/>
    <w:rsid w:val="003D21DD"/>
    <w:rsid w:val="003D22B1"/>
    <w:rsid w:val="003D2304"/>
    <w:rsid w:val="003D242C"/>
    <w:rsid w:val="003D2549"/>
    <w:rsid w:val="003D254C"/>
    <w:rsid w:val="003D259F"/>
    <w:rsid w:val="003D2625"/>
    <w:rsid w:val="003D263F"/>
    <w:rsid w:val="003D2657"/>
    <w:rsid w:val="003D2668"/>
    <w:rsid w:val="003D279F"/>
    <w:rsid w:val="003D288D"/>
    <w:rsid w:val="003D2918"/>
    <w:rsid w:val="003D29A3"/>
    <w:rsid w:val="003D2A51"/>
    <w:rsid w:val="003D2AE0"/>
    <w:rsid w:val="003D2B0A"/>
    <w:rsid w:val="003D2B6B"/>
    <w:rsid w:val="003D2B8B"/>
    <w:rsid w:val="003D2D98"/>
    <w:rsid w:val="003D2E43"/>
    <w:rsid w:val="003D2F24"/>
    <w:rsid w:val="003D3038"/>
    <w:rsid w:val="003D30BF"/>
    <w:rsid w:val="003D3147"/>
    <w:rsid w:val="003D3182"/>
    <w:rsid w:val="003D333B"/>
    <w:rsid w:val="003D339A"/>
    <w:rsid w:val="003D33E7"/>
    <w:rsid w:val="003D3576"/>
    <w:rsid w:val="003D3597"/>
    <w:rsid w:val="003D359F"/>
    <w:rsid w:val="003D3620"/>
    <w:rsid w:val="003D3668"/>
    <w:rsid w:val="003D378B"/>
    <w:rsid w:val="003D37C3"/>
    <w:rsid w:val="003D3838"/>
    <w:rsid w:val="003D38EF"/>
    <w:rsid w:val="003D38F1"/>
    <w:rsid w:val="003D3A92"/>
    <w:rsid w:val="003D3D38"/>
    <w:rsid w:val="003D3DF2"/>
    <w:rsid w:val="003D3FC2"/>
    <w:rsid w:val="003D40AA"/>
    <w:rsid w:val="003D40BB"/>
    <w:rsid w:val="003D4217"/>
    <w:rsid w:val="003D4318"/>
    <w:rsid w:val="003D43C0"/>
    <w:rsid w:val="003D4513"/>
    <w:rsid w:val="003D459E"/>
    <w:rsid w:val="003D45B7"/>
    <w:rsid w:val="003D45D7"/>
    <w:rsid w:val="003D4604"/>
    <w:rsid w:val="003D4646"/>
    <w:rsid w:val="003D4744"/>
    <w:rsid w:val="003D47C6"/>
    <w:rsid w:val="003D47D6"/>
    <w:rsid w:val="003D4896"/>
    <w:rsid w:val="003D4913"/>
    <w:rsid w:val="003D4972"/>
    <w:rsid w:val="003D4D15"/>
    <w:rsid w:val="003D4D18"/>
    <w:rsid w:val="003D4D95"/>
    <w:rsid w:val="003D4E01"/>
    <w:rsid w:val="003D4E2D"/>
    <w:rsid w:val="003D50B3"/>
    <w:rsid w:val="003D50ED"/>
    <w:rsid w:val="003D51D6"/>
    <w:rsid w:val="003D51F3"/>
    <w:rsid w:val="003D5286"/>
    <w:rsid w:val="003D5676"/>
    <w:rsid w:val="003D570B"/>
    <w:rsid w:val="003D5728"/>
    <w:rsid w:val="003D5781"/>
    <w:rsid w:val="003D578D"/>
    <w:rsid w:val="003D584D"/>
    <w:rsid w:val="003D584E"/>
    <w:rsid w:val="003D586D"/>
    <w:rsid w:val="003D5909"/>
    <w:rsid w:val="003D593C"/>
    <w:rsid w:val="003D5B11"/>
    <w:rsid w:val="003D5B55"/>
    <w:rsid w:val="003D5B61"/>
    <w:rsid w:val="003D5B7A"/>
    <w:rsid w:val="003D5B80"/>
    <w:rsid w:val="003D5C6E"/>
    <w:rsid w:val="003D5C77"/>
    <w:rsid w:val="003D5CAF"/>
    <w:rsid w:val="003D5F51"/>
    <w:rsid w:val="003D6039"/>
    <w:rsid w:val="003D6077"/>
    <w:rsid w:val="003D60B8"/>
    <w:rsid w:val="003D61E2"/>
    <w:rsid w:val="003D631E"/>
    <w:rsid w:val="003D6337"/>
    <w:rsid w:val="003D63A7"/>
    <w:rsid w:val="003D63E4"/>
    <w:rsid w:val="003D65FF"/>
    <w:rsid w:val="003D662B"/>
    <w:rsid w:val="003D66CA"/>
    <w:rsid w:val="003D673C"/>
    <w:rsid w:val="003D6AE0"/>
    <w:rsid w:val="003D6CD9"/>
    <w:rsid w:val="003D6D56"/>
    <w:rsid w:val="003D6DEB"/>
    <w:rsid w:val="003D6EDA"/>
    <w:rsid w:val="003D6FA1"/>
    <w:rsid w:val="003D70DD"/>
    <w:rsid w:val="003D72B3"/>
    <w:rsid w:val="003D72F2"/>
    <w:rsid w:val="003D733A"/>
    <w:rsid w:val="003D73DE"/>
    <w:rsid w:val="003D73F5"/>
    <w:rsid w:val="003D7438"/>
    <w:rsid w:val="003D7467"/>
    <w:rsid w:val="003D748F"/>
    <w:rsid w:val="003D760A"/>
    <w:rsid w:val="003D7B1F"/>
    <w:rsid w:val="003D7CBB"/>
    <w:rsid w:val="003D7ED1"/>
    <w:rsid w:val="003E00E5"/>
    <w:rsid w:val="003E0160"/>
    <w:rsid w:val="003E0283"/>
    <w:rsid w:val="003E03A8"/>
    <w:rsid w:val="003E0670"/>
    <w:rsid w:val="003E07D2"/>
    <w:rsid w:val="003E08BF"/>
    <w:rsid w:val="003E0945"/>
    <w:rsid w:val="003E0B42"/>
    <w:rsid w:val="003E0C79"/>
    <w:rsid w:val="003E0DC3"/>
    <w:rsid w:val="003E0DE1"/>
    <w:rsid w:val="003E0E29"/>
    <w:rsid w:val="003E1056"/>
    <w:rsid w:val="003E123B"/>
    <w:rsid w:val="003E155F"/>
    <w:rsid w:val="003E15B5"/>
    <w:rsid w:val="003E16CF"/>
    <w:rsid w:val="003E191A"/>
    <w:rsid w:val="003E1A25"/>
    <w:rsid w:val="003E1B10"/>
    <w:rsid w:val="003E1D04"/>
    <w:rsid w:val="003E1D16"/>
    <w:rsid w:val="003E1D40"/>
    <w:rsid w:val="003E1F90"/>
    <w:rsid w:val="003E2224"/>
    <w:rsid w:val="003E223C"/>
    <w:rsid w:val="003E2292"/>
    <w:rsid w:val="003E22A8"/>
    <w:rsid w:val="003E22E0"/>
    <w:rsid w:val="003E231F"/>
    <w:rsid w:val="003E235A"/>
    <w:rsid w:val="003E23E9"/>
    <w:rsid w:val="003E247A"/>
    <w:rsid w:val="003E24D6"/>
    <w:rsid w:val="003E27E6"/>
    <w:rsid w:val="003E28E4"/>
    <w:rsid w:val="003E2912"/>
    <w:rsid w:val="003E2A0F"/>
    <w:rsid w:val="003E2BEC"/>
    <w:rsid w:val="003E2C46"/>
    <w:rsid w:val="003E32CF"/>
    <w:rsid w:val="003E34F0"/>
    <w:rsid w:val="003E362B"/>
    <w:rsid w:val="003E36AD"/>
    <w:rsid w:val="003E381B"/>
    <w:rsid w:val="003E38AB"/>
    <w:rsid w:val="003E393F"/>
    <w:rsid w:val="003E39C3"/>
    <w:rsid w:val="003E3AC0"/>
    <w:rsid w:val="003E3D1C"/>
    <w:rsid w:val="003E3D8E"/>
    <w:rsid w:val="003E3E7F"/>
    <w:rsid w:val="003E40B5"/>
    <w:rsid w:val="003E4251"/>
    <w:rsid w:val="003E4273"/>
    <w:rsid w:val="003E4425"/>
    <w:rsid w:val="003E4474"/>
    <w:rsid w:val="003E449E"/>
    <w:rsid w:val="003E44A0"/>
    <w:rsid w:val="003E45A3"/>
    <w:rsid w:val="003E45AF"/>
    <w:rsid w:val="003E486E"/>
    <w:rsid w:val="003E4887"/>
    <w:rsid w:val="003E48C7"/>
    <w:rsid w:val="003E4C0D"/>
    <w:rsid w:val="003E4D21"/>
    <w:rsid w:val="003E4D3D"/>
    <w:rsid w:val="003E4DEA"/>
    <w:rsid w:val="003E5077"/>
    <w:rsid w:val="003E5127"/>
    <w:rsid w:val="003E532E"/>
    <w:rsid w:val="003E5482"/>
    <w:rsid w:val="003E55EE"/>
    <w:rsid w:val="003E56ED"/>
    <w:rsid w:val="003E57CC"/>
    <w:rsid w:val="003E5952"/>
    <w:rsid w:val="003E5AAF"/>
    <w:rsid w:val="003E5AC0"/>
    <w:rsid w:val="003E5B1B"/>
    <w:rsid w:val="003E5B36"/>
    <w:rsid w:val="003E5BB6"/>
    <w:rsid w:val="003E5BF3"/>
    <w:rsid w:val="003E5CE4"/>
    <w:rsid w:val="003E5DF1"/>
    <w:rsid w:val="003E5E1A"/>
    <w:rsid w:val="003E5E43"/>
    <w:rsid w:val="003E5E92"/>
    <w:rsid w:val="003E5F55"/>
    <w:rsid w:val="003E6044"/>
    <w:rsid w:val="003E60AF"/>
    <w:rsid w:val="003E61A4"/>
    <w:rsid w:val="003E6260"/>
    <w:rsid w:val="003E639D"/>
    <w:rsid w:val="003E655B"/>
    <w:rsid w:val="003E663E"/>
    <w:rsid w:val="003E67B7"/>
    <w:rsid w:val="003E6958"/>
    <w:rsid w:val="003E6982"/>
    <w:rsid w:val="003E6A28"/>
    <w:rsid w:val="003E6AAE"/>
    <w:rsid w:val="003E6C72"/>
    <w:rsid w:val="003E6D42"/>
    <w:rsid w:val="003E6D6D"/>
    <w:rsid w:val="003E6F64"/>
    <w:rsid w:val="003E702D"/>
    <w:rsid w:val="003E70CC"/>
    <w:rsid w:val="003E740F"/>
    <w:rsid w:val="003E7420"/>
    <w:rsid w:val="003E755A"/>
    <w:rsid w:val="003E75BF"/>
    <w:rsid w:val="003E7621"/>
    <w:rsid w:val="003E76A9"/>
    <w:rsid w:val="003E773E"/>
    <w:rsid w:val="003E78AE"/>
    <w:rsid w:val="003E7A57"/>
    <w:rsid w:val="003E7C3D"/>
    <w:rsid w:val="003E7DED"/>
    <w:rsid w:val="003E7E03"/>
    <w:rsid w:val="003F000F"/>
    <w:rsid w:val="003F002E"/>
    <w:rsid w:val="003F00C7"/>
    <w:rsid w:val="003F0284"/>
    <w:rsid w:val="003F029A"/>
    <w:rsid w:val="003F041C"/>
    <w:rsid w:val="003F0772"/>
    <w:rsid w:val="003F07CC"/>
    <w:rsid w:val="003F0ACC"/>
    <w:rsid w:val="003F0B78"/>
    <w:rsid w:val="003F0D87"/>
    <w:rsid w:val="003F111C"/>
    <w:rsid w:val="003F1145"/>
    <w:rsid w:val="003F1322"/>
    <w:rsid w:val="003F140A"/>
    <w:rsid w:val="003F149C"/>
    <w:rsid w:val="003F15D7"/>
    <w:rsid w:val="003F170D"/>
    <w:rsid w:val="003F1886"/>
    <w:rsid w:val="003F18DE"/>
    <w:rsid w:val="003F19D8"/>
    <w:rsid w:val="003F19EF"/>
    <w:rsid w:val="003F1A22"/>
    <w:rsid w:val="003F1A88"/>
    <w:rsid w:val="003F1D23"/>
    <w:rsid w:val="003F1E9E"/>
    <w:rsid w:val="003F1FDA"/>
    <w:rsid w:val="003F2150"/>
    <w:rsid w:val="003F2164"/>
    <w:rsid w:val="003F2249"/>
    <w:rsid w:val="003F250B"/>
    <w:rsid w:val="003F261D"/>
    <w:rsid w:val="003F2645"/>
    <w:rsid w:val="003F2809"/>
    <w:rsid w:val="003F2813"/>
    <w:rsid w:val="003F283C"/>
    <w:rsid w:val="003F288C"/>
    <w:rsid w:val="003F2906"/>
    <w:rsid w:val="003F2A5D"/>
    <w:rsid w:val="003F2ABB"/>
    <w:rsid w:val="003F2B46"/>
    <w:rsid w:val="003F2BB1"/>
    <w:rsid w:val="003F2D33"/>
    <w:rsid w:val="003F2F37"/>
    <w:rsid w:val="003F2F8D"/>
    <w:rsid w:val="003F306A"/>
    <w:rsid w:val="003F3226"/>
    <w:rsid w:val="003F32E7"/>
    <w:rsid w:val="003F342A"/>
    <w:rsid w:val="003F3493"/>
    <w:rsid w:val="003F3778"/>
    <w:rsid w:val="003F37BE"/>
    <w:rsid w:val="003F37D2"/>
    <w:rsid w:val="003F39ED"/>
    <w:rsid w:val="003F3A20"/>
    <w:rsid w:val="003F3BA8"/>
    <w:rsid w:val="003F3C1C"/>
    <w:rsid w:val="003F3C2A"/>
    <w:rsid w:val="003F3C5D"/>
    <w:rsid w:val="003F3C69"/>
    <w:rsid w:val="003F3CB5"/>
    <w:rsid w:val="003F3CD0"/>
    <w:rsid w:val="003F3CFD"/>
    <w:rsid w:val="003F3D5E"/>
    <w:rsid w:val="003F3EAE"/>
    <w:rsid w:val="003F3F40"/>
    <w:rsid w:val="003F40CF"/>
    <w:rsid w:val="003F41D9"/>
    <w:rsid w:val="003F4271"/>
    <w:rsid w:val="003F429C"/>
    <w:rsid w:val="003F4403"/>
    <w:rsid w:val="003F44D4"/>
    <w:rsid w:val="003F45F5"/>
    <w:rsid w:val="003F4604"/>
    <w:rsid w:val="003F46BE"/>
    <w:rsid w:val="003F498C"/>
    <w:rsid w:val="003F49AA"/>
    <w:rsid w:val="003F49C3"/>
    <w:rsid w:val="003F49D7"/>
    <w:rsid w:val="003F4B18"/>
    <w:rsid w:val="003F4BC6"/>
    <w:rsid w:val="003F4CC8"/>
    <w:rsid w:val="003F4E95"/>
    <w:rsid w:val="003F5070"/>
    <w:rsid w:val="003F508C"/>
    <w:rsid w:val="003F50B1"/>
    <w:rsid w:val="003F51C6"/>
    <w:rsid w:val="003F5378"/>
    <w:rsid w:val="003F5567"/>
    <w:rsid w:val="003F56EF"/>
    <w:rsid w:val="003F58F4"/>
    <w:rsid w:val="003F597C"/>
    <w:rsid w:val="003F5FDE"/>
    <w:rsid w:val="003F609C"/>
    <w:rsid w:val="003F6435"/>
    <w:rsid w:val="003F6436"/>
    <w:rsid w:val="003F67D4"/>
    <w:rsid w:val="003F687E"/>
    <w:rsid w:val="003F68F8"/>
    <w:rsid w:val="003F697E"/>
    <w:rsid w:val="003F69CF"/>
    <w:rsid w:val="003F6B25"/>
    <w:rsid w:val="003F6BF7"/>
    <w:rsid w:val="003F6D52"/>
    <w:rsid w:val="003F6D6A"/>
    <w:rsid w:val="003F6DA3"/>
    <w:rsid w:val="003F6E68"/>
    <w:rsid w:val="003F6EE7"/>
    <w:rsid w:val="003F71A8"/>
    <w:rsid w:val="003F71CA"/>
    <w:rsid w:val="003F74D2"/>
    <w:rsid w:val="003F74FE"/>
    <w:rsid w:val="003F780E"/>
    <w:rsid w:val="003F78D8"/>
    <w:rsid w:val="003F78D9"/>
    <w:rsid w:val="003F7924"/>
    <w:rsid w:val="003F795E"/>
    <w:rsid w:val="003F7A31"/>
    <w:rsid w:val="003F7A8D"/>
    <w:rsid w:val="003F7B65"/>
    <w:rsid w:val="003F7B87"/>
    <w:rsid w:val="003F7CC8"/>
    <w:rsid w:val="003F7D04"/>
    <w:rsid w:val="003F7F5E"/>
    <w:rsid w:val="003F7F9E"/>
    <w:rsid w:val="003F7FD0"/>
    <w:rsid w:val="004002C7"/>
    <w:rsid w:val="004002EF"/>
    <w:rsid w:val="004003C0"/>
    <w:rsid w:val="00400408"/>
    <w:rsid w:val="0040043B"/>
    <w:rsid w:val="00400520"/>
    <w:rsid w:val="00400549"/>
    <w:rsid w:val="0040058F"/>
    <w:rsid w:val="00400683"/>
    <w:rsid w:val="00400698"/>
    <w:rsid w:val="0040080C"/>
    <w:rsid w:val="00400B21"/>
    <w:rsid w:val="00400B3D"/>
    <w:rsid w:val="00400B62"/>
    <w:rsid w:val="00400C2D"/>
    <w:rsid w:val="00400C3D"/>
    <w:rsid w:val="00400C94"/>
    <w:rsid w:val="00400D8B"/>
    <w:rsid w:val="00400DBD"/>
    <w:rsid w:val="00400DFB"/>
    <w:rsid w:val="00400E2D"/>
    <w:rsid w:val="00400F18"/>
    <w:rsid w:val="00400FEE"/>
    <w:rsid w:val="0040102F"/>
    <w:rsid w:val="004014D7"/>
    <w:rsid w:val="00401518"/>
    <w:rsid w:val="00401602"/>
    <w:rsid w:val="00401669"/>
    <w:rsid w:val="00401836"/>
    <w:rsid w:val="0040190C"/>
    <w:rsid w:val="0040193B"/>
    <w:rsid w:val="00401A7A"/>
    <w:rsid w:val="00401AD1"/>
    <w:rsid w:val="00401B17"/>
    <w:rsid w:val="00401B7F"/>
    <w:rsid w:val="00401B81"/>
    <w:rsid w:val="00401BD5"/>
    <w:rsid w:val="00401D15"/>
    <w:rsid w:val="00401DC1"/>
    <w:rsid w:val="00401E7F"/>
    <w:rsid w:val="00402077"/>
    <w:rsid w:val="004021F9"/>
    <w:rsid w:val="004022FF"/>
    <w:rsid w:val="00402392"/>
    <w:rsid w:val="004023FE"/>
    <w:rsid w:val="00402430"/>
    <w:rsid w:val="00402439"/>
    <w:rsid w:val="004025CB"/>
    <w:rsid w:val="004025FF"/>
    <w:rsid w:val="004027A4"/>
    <w:rsid w:val="004027F9"/>
    <w:rsid w:val="004028E5"/>
    <w:rsid w:val="00402D55"/>
    <w:rsid w:val="00402ECF"/>
    <w:rsid w:val="00402F69"/>
    <w:rsid w:val="00403094"/>
    <w:rsid w:val="004031BE"/>
    <w:rsid w:val="00403259"/>
    <w:rsid w:val="004033B4"/>
    <w:rsid w:val="004033D9"/>
    <w:rsid w:val="00403467"/>
    <w:rsid w:val="00403490"/>
    <w:rsid w:val="004034E7"/>
    <w:rsid w:val="00403617"/>
    <w:rsid w:val="0040368D"/>
    <w:rsid w:val="00403757"/>
    <w:rsid w:val="0040377B"/>
    <w:rsid w:val="00403780"/>
    <w:rsid w:val="004038F6"/>
    <w:rsid w:val="00403ACD"/>
    <w:rsid w:val="00403B42"/>
    <w:rsid w:val="00403B8F"/>
    <w:rsid w:val="00403C84"/>
    <w:rsid w:val="00403CC1"/>
    <w:rsid w:val="00403E51"/>
    <w:rsid w:val="00403E56"/>
    <w:rsid w:val="00403F92"/>
    <w:rsid w:val="004040EB"/>
    <w:rsid w:val="00404157"/>
    <w:rsid w:val="0040463E"/>
    <w:rsid w:val="004046A9"/>
    <w:rsid w:val="0040474C"/>
    <w:rsid w:val="004047C6"/>
    <w:rsid w:val="00404802"/>
    <w:rsid w:val="004048F1"/>
    <w:rsid w:val="004049D1"/>
    <w:rsid w:val="00404A40"/>
    <w:rsid w:val="00404B79"/>
    <w:rsid w:val="00404CDD"/>
    <w:rsid w:val="00404DD9"/>
    <w:rsid w:val="00404E11"/>
    <w:rsid w:val="00404E4F"/>
    <w:rsid w:val="00404F01"/>
    <w:rsid w:val="00404FA4"/>
    <w:rsid w:val="00405128"/>
    <w:rsid w:val="00405293"/>
    <w:rsid w:val="004052FC"/>
    <w:rsid w:val="0040532B"/>
    <w:rsid w:val="00405573"/>
    <w:rsid w:val="00405699"/>
    <w:rsid w:val="00405705"/>
    <w:rsid w:val="0040597E"/>
    <w:rsid w:val="004059F6"/>
    <w:rsid w:val="00405A92"/>
    <w:rsid w:val="00405B56"/>
    <w:rsid w:val="00405B8D"/>
    <w:rsid w:val="00405BA0"/>
    <w:rsid w:val="00405D62"/>
    <w:rsid w:val="00405EB3"/>
    <w:rsid w:val="00405F32"/>
    <w:rsid w:val="00405F78"/>
    <w:rsid w:val="00405FF6"/>
    <w:rsid w:val="0040600B"/>
    <w:rsid w:val="004060B2"/>
    <w:rsid w:val="00406321"/>
    <w:rsid w:val="00406404"/>
    <w:rsid w:val="0040642C"/>
    <w:rsid w:val="004064B7"/>
    <w:rsid w:val="004064EA"/>
    <w:rsid w:val="00406559"/>
    <w:rsid w:val="004066B7"/>
    <w:rsid w:val="0040679D"/>
    <w:rsid w:val="004067C8"/>
    <w:rsid w:val="00406823"/>
    <w:rsid w:val="00406B6D"/>
    <w:rsid w:val="00406F09"/>
    <w:rsid w:val="00406F33"/>
    <w:rsid w:val="0040708A"/>
    <w:rsid w:val="004071AF"/>
    <w:rsid w:val="004071B8"/>
    <w:rsid w:val="00407386"/>
    <w:rsid w:val="00407450"/>
    <w:rsid w:val="00407451"/>
    <w:rsid w:val="0040752D"/>
    <w:rsid w:val="00407577"/>
    <w:rsid w:val="004075A3"/>
    <w:rsid w:val="004077ED"/>
    <w:rsid w:val="00407840"/>
    <w:rsid w:val="00407B10"/>
    <w:rsid w:val="00407BBA"/>
    <w:rsid w:val="00407C00"/>
    <w:rsid w:val="00407D25"/>
    <w:rsid w:val="00407E02"/>
    <w:rsid w:val="0041001D"/>
    <w:rsid w:val="00410073"/>
    <w:rsid w:val="0041009F"/>
    <w:rsid w:val="00410205"/>
    <w:rsid w:val="004102BF"/>
    <w:rsid w:val="0041038E"/>
    <w:rsid w:val="004105B9"/>
    <w:rsid w:val="00410660"/>
    <w:rsid w:val="00410724"/>
    <w:rsid w:val="0041077B"/>
    <w:rsid w:val="004107A0"/>
    <w:rsid w:val="004108A3"/>
    <w:rsid w:val="0041099D"/>
    <w:rsid w:val="00410A87"/>
    <w:rsid w:val="00410AAA"/>
    <w:rsid w:val="00410AFD"/>
    <w:rsid w:val="00410D23"/>
    <w:rsid w:val="004110FB"/>
    <w:rsid w:val="004111CB"/>
    <w:rsid w:val="00411327"/>
    <w:rsid w:val="0041162C"/>
    <w:rsid w:val="0041163F"/>
    <w:rsid w:val="004116B7"/>
    <w:rsid w:val="00411739"/>
    <w:rsid w:val="004117CC"/>
    <w:rsid w:val="004118B7"/>
    <w:rsid w:val="00411A07"/>
    <w:rsid w:val="00411A23"/>
    <w:rsid w:val="00411A5D"/>
    <w:rsid w:val="00411E2F"/>
    <w:rsid w:val="00411F15"/>
    <w:rsid w:val="00411F24"/>
    <w:rsid w:val="00411F99"/>
    <w:rsid w:val="004120E0"/>
    <w:rsid w:val="0041217D"/>
    <w:rsid w:val="00412214"/>
    <w:rsid w:val="00412346"/>
    <w:rsid w:val="0041242B"/>
    <w:rsid w:val="004124A6"/>
    <w:rsid w:val="004124B4"/>
    <w:rsid w:val="004124E0"/>
    <w:rsid w:val="0041286F"/>
    <w:rsid w:val="00412903"/>
    <w:rsid w:val="004129E1"/>
    <w:rsid w:val="00412B03"/>
    <w:rsid w:val="00412B63"/>
    <w:rsid w:val="00412BD9"/>
    <w:rsid w:val="00412CF3"/>
    <w:rsid w:val="00412ECD"/>
    <w:rsid w:val="00412FF3"/>
    <w:rsid w:val="00413029"/>
    <w:rsid w:val="00413042"/>
    <w:rsid w:val="0041309C"/>
    <w:rsid w:val="004131BD"/>
    <w:rsid w:val="00413229"/>
    <w:rsid w:val="004132B7"/>
    <w:rsid w:val="004132F3"/>
    <w:rsid w:val="004133A7"/>
    <w:rsid w:val="00413472"/>
    <w:rsid w:val="004134AC"/>
    <w:rsid w:val="0041363D"/>
    <w:rsid w:val="00413660"/>
    <w:rsid w:val="0041373F"/>
    <w:rsid w:val="0041377B"/>
    <w:rsid w:val="004139F2"/>
    <w:rsid w:val="00413C25"/>
    <w:rsid w:val="00413C64"/>
    <w:rsid w:val="00413EBA"/>
    <w:rsid w:val="0041435C"/>
    <w:rsid w:val="004143AC"/>
    <w:rsid w:val="0041442F"/>
    <w:rsid w:val="00414536"/>
    <w:rsid w:val="00414572"/>
    <w:rsid w:val="00414618"/>
    <w:rsid w:val="00414779"/>
    <w:rsid w:val="004147D3"/>
    <w:rsid w:val="0041484F"/>
    <w:rsid w:val="004148A2"/>
    <w:rsid w:val="004148E7"/>
    <w:rsid w:val="00414B04"/>
    <w:rsid w:val="00414CAF"/>
    <w:rsid w:val="00414E95"/>
    <w:rsid w:val="00414F2C"/>
    <w:rsid w:val="004150C4"/>
    <w:rsid w:val="004150F2"/>
    <w:rsid w:val="00415119"/>
    <w:rsid w:val="00415150"/>
    <w:rsid w:val="0041517C"/>
    <w:rsid w:val="004151A8"/>
    <w:rsid w:val="004151AD"/>
    <w:rsid w:val="004153B3"/>
    <w:rsid w:val="004155A3"/>
    <w:rsid w:val="004155AD"/>
    <w:rsid w:val="00415709"/>
    <w:rsid w:val="00415725"/>
    <w:rsid w:val="004158A9"/>
    <w:rsid w:val="00415925"/>
    <w:rsid w:val="00415930"/>
    <w:rsid w:val="004159F8"/>
    <w:rsid w:val="00415AD9"/>
    <w:rsid w:val="00415CD1"/>
    <w:rsid w:val="00415D9F"/>
    <w:rsid w:val="00415EDA"/>
    <w:rsid w:val="00416051"/>
    <w:rsid w:val="00416234"/>
    <w:rsid w:val="004164C8"/>
    <w:rsid w:val="00416519"/>
    <w:rsid w:val="004166E5"/>
    <w:rsid w:val="004168D2"/>
    <w:rsid w:val="00416917"/>
    <w:rsid w:val="00416977"/>
    <w:rsid w:val="00416994"/>
    <w:rsid w:val="00416B53"/>
    <w:rsid w:val="00416C87"/>
    <w:rsid w:val="00416D9E"/>
    <w:rsid w:val="00416FA0"/>
    <w:rsid w:val="00417045"/>
    <w:rsid w:val="00417185"/>
    <w:rsid w:val="00417190"/>
    <w:rsid w:val="004171EF"/>
    <w:rsid w:val="00417254"/>
    <w:rsid w:val="0041725C"/>
    <w:rsid w:val="00417391"/>
    <w:rsid w:val="004174E3"/>
    <w:rsid w:val="004175D8"/>
    <w:rsid w:val="0041761D"/>
    <w:rsid w:val="00417636"/>
    <w:rsid w:val="00417712"/>
    <w:rsid w:val="004177BD"/>
    <w:rsid w:val="0041784F"/>
    <w:rsid w:val="0041791F"/>
    <w:rsid w:val="004179B1"/>
    <w:rsid w:val="00417A8E"/>
    <w:rsid w:val="00417C7A"/>
    <w:rsid w:val="00417D46"/>
    <w:rsid w:val="00417EB9"/>
    <w:rsid w:val="004200AA"/>
    <w:rsid w:val="00420106"/>
    <w:rsid w:val="00420135"/>
    <w:rsid w:val="00420299"/>
    <w:rsid w:val="004202E7"/>
    <w:rsid w:val="0042084A"/>
    <w:rsid w:val="004208CE"/>
    <w:rsid w:val="0042093B"/>
    <w:rsid w:val="004209B9"/>
    <w:rsid w:val="00420A90"/>
    <w:rsid w:val="00420AA8"/>
    <w:rsid w:val="00420BE7"/>
    <w:rsid w:val="00420D0C"/>
    <w:rsid w:val="00420E65"/>
    <w:rsid w:val="00420F30"/>
    <w:rsid w:val="0042109D"/>
    <w:rsid w:val="0042111D"/>
    <w:rsid w:val="00421316"/>
    <w:rsid w:val="00421346"/>
    <w:rsid w:val="00421544"/>
    <w:rsid w:val="00421769"/>
    <w:rsid w:val="00421828"/>
    <w:rsid w:val="0042182D"/>
    <w:rsid w:val="0042184B"/>
    <w:rsid w:val="0042198A"/>
    <w:rsid w:val="004219ED"/>
    <w:rsid w:val="00421A01"/>
    <w:rsid w:val="00421AD6"/>
    <w:rsid w:val="00421BA7"/>
    <w:rsid w:val="00421C00"/>
    <w:rsid w:val="00421E62"/>
    <w:rsid w:val="00421F5E"/>
    <w:rsid w:val="004220B5"/>
    <w:rsid w:val="004220C8"/>
    <w:rsid w:val="004220D3"/>
    <w:rsid w:val="004222DC"/>
    <w:rsid w:val="004222DD"/>
    <w:rsid w:val="00422373"/>
    <w:rsid w:val="00422544"/>
    <w:rsid w:val="00422558"/>
    <w:rsid w:val="00422705"/>
    <w:rsid w:val="0042270F"/>
    <w:rsid w:val="00422726"/>
    <w:rsid w:val="0042273C"/>
    <w:rsid w:val="004228BB"/>
    <w:rsid w:val="00422908"/>
    <w:rsid w:val="00422922"/>
    <w:rsid w:val="00422929"/>
    <w:rsid w:val="00422934"/>
    <w:rsid w:val="00422B0B"/>
    <w:rsid w:val="00422B8C"/>
    <w:rsid w:val="00422C80"/>
    <w:rsid w:val="00422D6E"/>
    <w:rsid w:val="00422DB8"/>
    <w:rsid w:val="00422E48"/>
    <w:rsid w:val="00422F05"/>
    <w:rsid w:val="00422F28"/>
    <w:rsid w:val="00422F6D"/>
    <w:rsid w:val="004230CF"/>
    <w:rsid w:val="004231F9"/>
    <w:rsid w:val="004232F3"/>
    <w:rsid w:val="0042332A"/>
    <w:rsid w:val="0042338D"/>
    <w:rsid w:val="0042348E"/>
    <w:rsid w:val="004235E0"/>
    <w:rsid w:val="004235E1"/>
    <w:rsid w:val="00423641"/>
    <w:rsid w:val="0042365A"/>
    <w:rsid w:val="00423942"/>
    <w:rsid w:val="00423A5E"/>
    <w:rsid w:val="00423B0D"/>
    <w:rsid w:val="00423C54"/>
    <w:rsid w:val="00423CC1"/>
    <w:rsid w:val="00423D64"/>
    <w:rsid w:val="00423F39"/>
    <w:rsid w:val="0042441A"/>
    <w:rsid w:val="004244B5"/>
    <w:rsid w:val="0042451E"/>
    <w:rsid w:val="00424534"/>
    <w:rsid w:val="00424593"/>
    <w:rsid w:val="0042468A"/>
    <w:rsid w:val="00424887"/>
    <w:rsid w:val="00424ABC"/>
    <w:rsid w:val="00424ACE"/>
    <w:rsid w:val="00424B42"/>
    <w:rsid w:val="00424BAF"/>
    <w:rsid w:val="00424C15"/>
    <w:rsid w:val="00424D84"/>
    <w:rsid w:val="00424FF3"/>
    <w:rsid w:val="00425059"/>
    <w:rsid w:val="00425088"/>
    <w:rsid w:val="0042512B"/>
    <w:rsid w:val="00425244"/>
    <w:rsid w:val="0042528C"/>
    <w:rsid w:val="004254B3"/>
    <w:rsid w:val="0042554B"/>
    <w:rsid w:val="0042554F"/>
    <w:rsid w:val="00425688"/>
    <w:rsid w:val="00425893"/>
    <w:rsid w:val="004258EC"/>
    <w:rsid w:val="004259BC"/>
    <w:rsid w:val="00425AC4"/>
    <w:rsid w:val="00425D54"/>
    <w:rsid w:val="00425D9F"/>
    <w:rsid w:val="00425DE2"/>
    <w:rsid w:val="00425EB3"/>
    <w:rsid w:val="00425FF7"/>
    <w:rsid w:val="00426276"/>
    <w:rsid w:val="00426670"/>
    <w:rsid w:val="0042670C"/>
    <w:rsid w:val="00426730"/>
    <w:rsid w:val="00426736"/>
    <w:rsid w:val="00426855"/>
    <w:rsid w:val="0042688A"/>
    <w:rsid w:val="004269BF"/>
    <w:rsid w:val="00426A1F"/>
    <w:rsid w:val="00426A72"/>
    <w:rsid w:val="00426A85"/>
    <w:rsid w:val="00426AE5"/>
    <w:rsid w:val="00426AE7"/>
    <w:rsid w:val="00426B3A"/>
    <w:rsid w:val="00426B71"/>
    <w:rsid w:val="00426C17"/>
    <w:rsid w:val="00426E4D"/>
    <w:rsid w:val="00426EE4"/>
    <w:rsid w:val="00426FC4"/>
    <w:rsid w:val="0042701B"/>
    <w:rsid w:val="0042702B"/>
    <w:rsid w:val="004271FD"/>
    <w:rsid w:val="004272DB"/>
    <w:rsid w:val="0042745C"/>
    <w:rsid w:val="00427541"/>
    <w:rsid w:val="004275CE"/>
    <w:rsid w:val="0042761F"/>
    <w:rsid w:val="0042764E"/>
    <w:rsid w:val="00427746"/>
    <w:rsid w:val="0042774F"/>
    <w:rsid w:val="004277A8"/>
    <w:rsid w:val="00427828"/>
    <w:rsid w:val="0042785B"/>
    <w:rsid w:val="00427903"/>
    <w:rsid w:val="00427A56"/>
    <w:rsid w:val="00427B1A"/>
    <w:rsid w:val="00427D7B"/>
    <w:rsid w:val="00427DDD"/>
    <w:rsid w:val="00427F62"/>
    <w:rsid w:val="0043012C"/>
    <w:rsid w:val="004301CB"/>
    <w:rsid w:val="00430242"/>
    <w:rsid w:val="004303DF"/>
    <w:rsid w:val="00430405"/>
    <w:rsid w:val="004304D6"/>
    <w:rsid w:val="00430647"/>
    <w:rsid w:val="004306D7"/>
    <w:rsid w:val="00430718"/>
    <w:rsid w:val="00430788"/>
    <w:rsid w:val="0043085F"/>
    <w:rsid w:val="0043094B"/>
    <w:rsid w:val="004309EB"/>
    <w:rsid w:val="00430AC9"/>
    <w:rsid w:val="00430B08"/>
    <w:rsid w:val="00430C42"/>
    <w:rsid w:val="00430C50"/>
    <w:rsid w:val="00430CD1"/>
    <w:rsid w:val="00430D5A"/>
    <w:rsid w:val="00430D9E"/>
    <w:rsid w:val="00430ED8"/>
    <w:rsid w:val="00430F29"/>
    <w:rsid w:val="00430FAA"/>
    <w:rsid w:val="00431001"/>
    <w:rsid w:val="0043104D"/>
    <w:rsid w:val="0043112F"/>
    <w:rsid w:val="00431241"/>
    <w:rsid w:val="0043129A"/>
    <w:rsid w:val="004312A3"/>
    <w:rsid w:val="00431461"/>
    <w:rsid w:val="004314DE"/>
    <w:rsid w:val="0043158F"/>
    <w:rsid w:val="00431621"/>
    <w:rsid w:val="00431690"/>
    <w:rsid w:val="00431785"/>
    <w:rsid w:val="0043196C"/>
    <w:rsid w:val="004319C4"/>
    <w:rsid w:val="00431A68"/>
    <w:rsid w:val="00431AEA"/>
    <w:rsid w:val="00431B92"/>
    <w:rsid w:val="00431BAE"/>
    <w:rsid w:val="00431BC5"/>
    <w:rsid w:val="00431C24"/>
    <w:rsid w:val="00431E7E"/>
    <w:rsid w:val="00431EFD"/>
    <w:rsid w:val="004320D8"/>
    <w:rsid w:val="0043217F"/>
    <w:rsid w:val="004321E3"/>
    <w:rsid w:val="00432295"/>
    <w:rsid w:val="004323B9"/>
    <w:rsid w:val="004323CB"/>
    <w:rsid w:val="004323D2"/>
    <w:rsid w:val="0043245E"/>
    <w:rsid w:val="00432479"/>
    <w:rsid w:val="0043273C"/>
    <w:rsid w:val="00432759"/>
    <w:rsid w:val="004329B3"/>
    <w:rsid w:val="00432B02"/>
    <w:rsid w:val="00432B10"/>
    <w:rsid w:val="00432C2B"/>
    <w:rsid w:val="00432CFF"/>
    <w:rsid w:val="00432E16"/>
    <w:rsid w:val="00432E7D"/>
    <w:rsid w:val="00433023"/>
    <w:rsid w:val="00433066"/>
    <w:rsid w:val="00433085"/>
    <w:rsid w:val="004330B1"/>
    <w:rsid w:val="0043325B"/>
    <w:rsid w:val="00433433"/>
    <w:rsid w:val="0043346D"/>
    <w:rsid w:val="00433491"/>
    <w:rsid w:val="0043352A"/>
    <w:rsid w:val="004335FA"/>
    <w:rsid w:val="004336EB"/>
    <w:rsid w:val="00433876"/>
    <w:rsid w:val="004338B3"/>
    <w:rsid w:val="00433A59"/>
    <w:rsid w:val="00433AD6"/>
    <w:rsid w:val="00433B07"/>
    <w:rsid w:val="00433C8E"/>
    <w:rsid w:val="00433D51"/>
    <w:rsid w:val="00433D9C"/>
    <w:rsid w:val="00433E70"/>
    <w:rsid w:val="00433E8B"/>
    <w:rsid w:val="00433E90"/>
    <w:rsid w:val="00433F80"/>
    <w:rsid w:val="00434062"/>
    <w:rsid w:val="004340C4"/>
    <w:rsid w:val="004340D1"/>
    <w:rsid w:val="004341E1"/>
    <w:rsid w:val="00434324"/>
    <w:rsid w:val="0043433A"/>
    <w:rsid w:val="0043439D"/>
    <w:rsid w:val="0043446D"/>
    <w:rsid w:val="004344CA"/>
    <w:rsid w:val="00434531"/>
    <w:rsid w:val="00434533"/>
    <w:rsid w:val="004345B5"/>
    <w:rsid w:val="00434883"/>
    <w:rsid w:val="004348DF"/>
    <w:rsid w:val="004348E4"/>
    <w:rsid w:val="00434A18"/>
    <w:rsid w:val="00434BD9"/>
    <w:rsid w:val="00434DF2"/>
    <w:rsid w:val="00434E99"/>
    <w:rsid w:val="00434F68"/>
    <w:rsid w:val="00434FA0"/>
    <w:rsid w:val="004350DA"/>
    <w:rsid w:val="004350FD"/>
    <w:rsid w:val="0043510A"/>
    <w:rsid w:val="00435309"/>
    <w:rsid w:val="0043549F"/>
    <w:rsid w:val="004354A4"/>
    <w:rsid w:val="004355E9"/>
    <w:rsid w:val="00435619"/>
    <w:rsid w:val="004356A2"/>
    <w:rsid w:val="0043575F"/>
    <w:rsid w:val="0043586E"/>
    <w:rsid w:val="004358B1"/>
    <w:rsid w:val="00435975"/>
    <w:rsid w:val="00435AAB"/>
    <w:rsid w:val="00435AF2"/>
    <w:rsid w:val="00435C49"/>
    <w:rsid w:val="00435C4D"/>
    <w:rsid w:val="00435C6E"/>
    <w:rsid w:val="00435F5E"/>
    <w:rsid w:val="00435FBF"/>
    <w:rsid w:val="004360D0"/>
    <w:rsid w:val="00436133"/>
    <w:rsid w:val="00436150"/>
    <w:rsid w:val="004362A0"/>
    <w:rsid w:val="004363F4"/>
    <w:rsid w:val="00436460"/>
    <w:rsid w:val="0043648A"/>
    <w:rsid w:val="00436691"/>
    <w:rsid w:val="004366BD"/>
    <w:rsid w:val="0043671C"/>
    <w:rsid w:val="004367C6"/>
    <w:rsid w:val="004368C6"/>
    <w:rsid w:val="00436A66"/>
    <w:rsid w:val="00436A81"/>
    <w:rsid w:val="00436B90"/>
    <w:rsid w:val="00436BF5"/>
    <w:rsid w:val="00436C70"/>
    <w:rsid w:val="00436F4A"/>
    <w:rsid w:val="00436F89"/>
    <w:rsid w:val="00436F9A"/>
    <w:rsid w:val="00436FB2"/>
    <w:rsid w:val="00437064"/>
    <w:rsid w:val="0043732F"/>
    <w:rsid w:val="004374AE"/>
    <w:rsid w:val="004375BD"/>
    <w:rsid w:val="00437607"/>
    <w:rsid w:val="00437632"/>
    <w:rsid w:val="00437719"/>
    <w:rsid w:val="004377F4"/>
    <w:rsid w:val="004378BB"/>
    <w:rsid w:val="00437928"/>
    <w:rsid w:val="00437A08"/>
    <w:rsid w:val="00437BE1"/>
    <w:rsid w:val="00437C9E"/>
    <w:rsid w:val="00437D92"/>
    <w:rsid w:val="00437DAD"/>
    <w:rsid w:val="00437E4B"/>
    <w:rsid w:val="00437FEC"/>
    <w:rsid w:val="0044001D"/>
    <w:rsid w:val="004401E0"/>
    <w:rsid w:val="004402EF"/>
    <w:rsid w:val="0044030E"/>
    <w:rsid w:val="0044036B"/>
    <w:rsid w:val="0044037C"/>
    <w:rsid w:val="00440387"/>
    <w:rsid w:val="004403E4"/>
    <w:rsid w:val="0044048B"/>
    <w:rsid w:val="004404D3"/>
    <w:rsid w:val="00440611"/>
    <w:rsid w:val="00440681"/>
    <w:rsid w:val="004406C0"/>
    <w:rsid w:val="00440709"/>
    <w:rsid w:val="00440967"/>
    <w:rsid w:val="0044096A"/>
    <w:rsid w:val="00440B0E"/>
    <w:rsid w:val="00440B5E"/>
    <w:rsid w:val="00440C11"/>
    <w:rsid w:val="00440D9B"/>
    <w:rsid w:val="00440E2A"/>
    <w:rsid w:val="00440E41"/>
    <w:rsid w:val="00440F80"/>
    <w:rsid w:val="00441077"/>
    <w:rsid w:val="004410F5"/>
    <w:rsid w:val="004413EE"/>
    <w:rsid w:val="0044152E"/>
    <w:rsid w:val="0044163C"/>
    <w:rsid w:val="004419EA"/>
    <w:rsid w:val="00441A53"/>
    <w:rsid w:val="00441B6D"/>
    <w:rsid w:val="0044215D"/>
    <w:rsid w:val="0044227A"/>
    <w:rsid w:val="0044240A"/>
    <w:rsid w:val="00442602"/>
    <w:rsid w:val="0044264B"/>
    <w:rsid w:val="004426EC"/>
    <w:rsid w:val="00442815"/>
    <w:rsid w:val="0044281B"/>
    <w:rsid w:val="004428F2"/>
    <w:rsid w:val="00442B5D"/>
    <w:rsid w:val="00442B7B"/>
    <w:rsid w:val="00442BEA"/>
    <w:rsid w:val="00442E68"/>
    <w:rsid w:val="00442F47"/>
    <w:rsid w:val="00442F5F"/>
    <w:rsid w:val="00442F6B"/>
    <w:rsid w:val="00443062"/>
    <w:rsid w:val="004433BC"/>
    <w:rsid w:val="00443422"/>
    <w:rsid w:val="00443469"/>
    <w:rsid w:val="0044363B"/>
    <w:rsid w:val="00443985"/>
    <w:rsid w:val="00443B28"/>
    <w:rsid w:val="00443B4B"/>
    <w:rsid w:val="00443C1F"/>
    <w:rsid w:val="00443C30"/>
    <w:rsid w:val="00443E73"/>
    <w:rsid w:val="00443F54"/>
    <w:rsid w:val="00444093"/>
    <w:rsid w:val="004440AA"/>
    <w:rsid w:val="004440B9"/>
    <w:rsid w:val="00444158"/>
    <w:rsid w:val="0044416A"/>
    <w:rsid w:val="004441FD"/>
    <w:rsid w:val="0044420D"/>
    <w:rsid w:val="00444241"/>
    <w:rsid w:val="004442AB"/>
    <w:rsid w:val="004444F8"/>
    <w:rsid w:val="00444506"/>
    <w:rsid w:val="00444542"/>
    <w:rsid w:val="004445B2"/>
    <w:rsid w:val="00444653"/>
    <w:rsid w:val="00444682"/>
    <w:rsid w:val="00444696"/>
    <w:rsid w:val="00444757"/>
    <w:rsid w:val="0044499A"/>
    <w:rsid w:val="00444B39"/>
    <w:rsid w:val="00444BCB"/>
    <w:rsid w:val="00444CEF"/>
    <w:rsid w:val="00444DF3"/>
    <w:rsid w:val="00444E80"/>
    <w:rsid w:val="00444FEC"/>
    <w:rsid w:val="00445088"/>
    <w:rsid w:val="00445429"/>
    <w:rsid w:val="004454FD"/>
    <w:rsid w:val="004455E9"/>
    <w:rsid w:val="00445698"/>
    <w:rsid w:val="00445722"/>
    <w:rsid w:val="00445753"/>
    <w:rsid w:val="004457BB"/>
    <w:rsid w:val="0044593F"/>
    <w:rsid w:val="0044596B"/>
    <w:rsid w:val="00445B61"/>
    <w:rsid w:val="00445C4A"/>
    <w:rsid w:val="00445E80"/>
    <w:rsid w:val="00445ECC"/>
    <w:rsid w:val="00445FC2"/>
    <w:rsid w:val="00446068"/>
    <w:rsid w:val="00446090"/>
    <w:rsid w:val="00446348"/>
    <w:rsid w:val="004465D0"/>
    <w:rsid w:val="00446620"/>
    <w:rsid w:val="00446685"/>
    <w:rsid w:val="00446935"/>
    <w:rsid w:val="00446A51"/>
    <w:rsid w:val="00446BFB"/>
    <w:rsid w:val="00446C08"/>
    <w:rsid w:val="00446C21"/>
    <w:rsid w:val="00446D93"/>
    <w:rsid w:val="00446E00"/>
    <w:rsid w:val="00446ECD"/>
    <w:rsid w:val="00446EEA"/>
    <w:rsid w:val="00447013"/>
    <w:rsid w:val="00447272"/>
    <w:rsid w:val="00447358"/>
    <w:rsid w:val="00447407"/>
    <w:rsid w:val="0044740B"/>
    <w:rsid w:val="00447429"/>
    <w:rsid w:val="004474A2"/>
    <w:rsid w:val="00447544"/>
    <w:rsid w:val="004476EF"/>
    <w:rsid w:val="00447771"/>
    <w:rsid w:val="004477C5"/>
    <w:rsid w:val="00447919"/>
    <w:rsid w:val="00447D91"/>
    <w:rsid w:val="00447E2C"/>
    <w:rsid w:val="00447E2F"/>
    <w:rsid w:val="00447F11"/>
    <w:rsid w:val="00447F38"/>
    <w:rsid w:val="004501A2"/>
    <w:rsid w:val="004501CC"/>
    <w:rsid w:val="00450492"/>
    <w:rsid w:val="00450554"/>
    <w:rsid w:val="004505B8"/>
    <w:rsid w:val="004505C0"/>
    <w:rsid w:val="0045095F"/>
    <w:rsid w:val="00450A63"/>
    <w:rsid w:val="00450BAB"/>
    <w:rsid w:val="00450C0E"/>
    <w:rsid w:val="00450E22"/>
    <w:rsid w:val="0045107C"/>
    <w:rsid w:val="004511AA"/>
    <w:rsid w:val="00451224"/>
    <w:rsid w:val="0045134F"/>
    <w:rsid w:val="004513F7"/>
    <w:rsid w:val="00451466"/>
    <w:rsid w:val="0045148C"/>
    <w:rsid w:val="00451599"/>
    <w:rsid w:val="004517E7"/>
    <w:rsid w:val="004517FD"/>
    <w:rsid w:val="00451839"/>
    <w:rsid w:val="0045188E"/>
    <w:rsid w:val="004518B8"/>
    <w:rsid w:val="00451B1E"/>
    <w:rsid w:val="00451B9E"/>
    <w:rsid w:val="00451BBD"/>
    <w:rsid w:val="00451C3A"/>
    <w:rsid w:val="00451C73"/>
    <w:rsid w:val="00451DE3"/>
    <w:rsid w:val="00452081"/>
    <w:rsid w:val="004521A7"/>
    <w:rsid w:val="004521EC"/>
    <w:rsid w:val="00452265"/>
    <w:rsid w:val="00452315"/>
    <w:rsid w:val="0045233F"/>
    <w:rsid w:val="004523BE"/>
    <w:rsid w:val="00452400"/>
    <w:rsid w:val="00452422"/>
    <w:rsid w:val="00452463"/>
    <w:rsid w:val="0045258C"/>
    <w:rsid w:val="004525B8"/>
    <w:rsid w:val="00452674"/>
    <w:rsid w:val="0045272C"/>
    <w:rsid w:val="004527D6"/>
    <w:rsid w:val="00452AFD"/>
    <w:rsid w:val="00452B56"/>
    <w:rsid w:val="00452BB7"/>
    <w:rsid w:val="00452DB5"/>
    <w:rsid w:val="00452E0C"/>
    <w:rsid w:val="0045303D"/>
    <w:rsid w:val="0045324E"/>
    <w:rsid w:val="00453274"/>
    <w:rsid w:val="00453307"/>
    <w:rsid w:val="0045333E"/>
    <w:rsid w:val="00453424"/>
    <w:rsid w:val="0045347C"/>
    <w:rsid w:val="004534A1"/>
    <w:rsid w:val="00453552"/>
    <w:rsid w:val="004536A2"/>
    <w:rsid w:val="00453724"/>
    <w:rsid w:val="004537C9"/>
    <w:rsid w:val="00453846"/>
    <w:rsid w:val="0045386F"/>
    <w:rsid w:val="0045394E"/>
    <w:rsid w:val="00453A9B"/>
    <w:rsid w:val="00453AB0"/>
    <w:rsid w:val="00453BE7"/>
    <w:rsid w:val="00453C2B"/>
    <w:rsid w:val="00453D3F"/>
    <w:rsid w:val="00453D44"/>
    <w:rsid w:val="00453DF6"/>
    <w:rsid w:val="00453F2D"/>
    <w:rsid w:val="00454038"/>
    <w:rsid w:val="004540F7"/>
    <w:rsid w:val="00454242"/>
    <w:rsid w:val="00454756"/>
    <w:rsid w:val="00454867"/>
    <w:rsid w:val="00454928"/>
    <w:rsid w:val="004549AF"/>
    <w:rsid w:val="004549F7"/>
    <w:rsid w:val="00454ABE"/>
    <w:rsid w:val="00454ACE"/>
    <w:rsid w:val="00454B2D"/>
    <w:rsid w:val="00454E3B"/>
    <w:rsid w:val="004550CF"/>
    <w:rsid w:val="004551F6"/>
    <w:rsid w:val="00455221"/>
    <w:rsid w:val="004553B9"/>
    <w:rsid w:val="00455488"/>
    <w:rsid w:val="0045554A"/>
    <w:rsid w:val="004555ED"/>
    <w:rsid w:val="004556B4"/>
    <w:rsid w:val="00455814"/>
    <w:rsid w:val="00455AA8"/>
    <w:rsid w:val="00455B59"/>
    <w:rsid w:val="00455BC2"/>
    <w:rsid w:val="00455F47"/>
    <w:rsid w:val="00456007"/>
    <w:rsid w:val="004560D9"/>
    <w:rsid w:val="00456230"/>
    <w:rsid w:val="0045629A"/>
    <w:rsid w:val="00456341"/>
    <w:rsid w:val="004563DF"/>
    <w:rsid w:val="004563F9"/>
    <w:rsid w:val="0045643F"/>
    <w:rsid w:val="004565C1"/>
    <w:rsid w:val="004565D6"/>
    <w:rsid w:val="00456616"/>
    <w:rsid w:val="00456626"/>
    <w:rsid w:val="0045663A"/>
    <w:rsid w:val="0045675A"/>
    <w:rsid w:val="00456A02"/>
    <w:rsid w:val="00456A3D"/>
    <w:rsid w:val="00456A68"/>
    <w:rsid w:val="00456B63"/>
    <w:rsid w:val="00456C4D"/>
    <w:rsid w:val="00456CD8"/>
    <w:rsid w:val="00456D69"/>
    <w:rsid w:val="00456D92"/>
    <w:rsid w:val="00456DA4"/>
    <w:rsid w:val="00456DC7"/>
    <w:rsid w:val="00456F13"/>
    <w:rsid w:val="0045707F"/>
    <w:rsid w:val="0045726D"/>
    <w:rsid w:val="004573AE"/>
    <w:rsid w:val="004577D5"/>
    <w:rsid w:val="004578DA"/>
    <w:rsid w:val="00457A67"/>
    <w:rsid w:val="00457BEE"/>
    <w:rsid w:val="00457C76"/>
    <w:rsid w:val="00457CC4"/>
    <w:rsid w:val="00457D60"/>
    <w:rsid w:val="00457DFB"/>
    <w:rsid w:val="004600F2"/>
    <w:rsid w:val="00460358"/>
    <w:rsid w:val="004604F2"/>
    <w:rsid w:val="004606EA"/>
    <w:rsid w:val="004606EC"/>
    <w:rsid w:val="00460885"/>
    <w:rsid w:val="004608C0"/>
    <w:rsid w:val="00460912"/>
    <w:rsid w:val="00460A94"/>
    <w:rsid w:val="00460B00"/>
    <w:rsid w:val="00460D00"/>
    <w:rsid w:val="00460D6E"/>
    <w:rsid w:val="00460E28"/>
    <w:rsid w:val="00460E41"/>
    <w:rsid w:val="00460FAE"/>
    <w:rsid w:val="0046111F"/>
    <w:rsid w:val="0046118D"/>
    <w:rsid w:val="004611A7"/>
    <w:rsid w:val="004612DC"/>
    <w:rsid w:val="00461327"/>
    <w:rsid w:val="0046136D"/>
    <w:rsid w:val="0046137F"/>
    <w:rsid w:val="00461478"/>
    <w:rsid w:val="00461570"/>
    <w:rsid w:val="004616F4"/>
    <w:rsid w:val="00461774"/>
    <w:rsid w:val="004617F5"/>
    <w:rsid w:val="00461B0F"/>
    <w:rsid w:val="00461BEF"/>
    <w:rsid w:val="00461D46"/>
    <w:rsid w:val="00461E53"/>
    <w:rsid w:val="0046205E"/>
    <w:rsid w:val="004621C2"/>
    <w:rsid w:val="00462252"/>
    <w:rsid w:val="0046229B"/>
    <w:rsid w:val="004622BA"/>
    <w:rsid w:val="004622D7"/>
    <w:rsid w:val="0046236D"/>
    <w:rsid w:val="004624B6"/>
    <w:rsid w:val="00462525"/>
    <w:rsid w:val="004625BE"/>
    <w:rsid w:val="0046281C"/>
    <w:rsid w:val="00462882"/>
    <w:rsid w:val="0046298F"/>
    <w:rsid w:val="00462E39"/>
    <w:rsid w:val="00462E40"/>
    <w:rsid w:val="00462F97"/>
    <w:rsid w:val="004630C7"/>
    <w:rsid w:val="0046316D"/>
    <w:rsid w:val="004633FF"/>
    <w:rsid w:val="0046345F"/>
    <w:rsid w:val="0046362D"/>
    <w:rsid w:val="00463639"/>
    <w:rsid w:val="0046384F"/>
    <w:rsid w:val="004638AB"/>
    <w:rsid w:val="004638AF"/>
    <w:rsid w:val="004639FC"/>
    <w:rsid w:val="00463A93"/>
    <w:rsid w:val="00463AB2"/>
    <w:rsid w:val="00463C4F"/>
    <w:rsid w:val="00463D23"/>
    <w:rsid w:val="00463DB0"/>
    <w:rsid w:val="00463E73"/>
    <w:rsid w:val="00463EDF"/>
    <w:rsid w:val="00463EE0"/>
    <w:rsid w:val="00463FA8"/>
    <w:rsid w:val="0046412B"/>
    <w:rsid w:val="00464130"/>
    <w:rsid w:val="00464225"/>
    <w:rsid w:val="00464255"/>
    <w:rsid w:val="00464390"/>
    <w:rsid w:val="004644F1"/>
    <w:rsid w:val="004645D2"/>
    <w:rsid w:val="0046460D"/>
    <w:rsid w:val="00464916"/>
    <w:rsid w:val="004649DA"/>
    <w:rsid w:val="00464A1A"/>
    <w:rsid w:val="00464A29"/>
    <w:rsid w:val="00464CD0"/>
    <w:rsid w:val="00464E0E"/>
    <w:rsid w:val="00464F67"/>
    <w:rsid w:val="004650C5"/>
    <w:rsid w:val="004651ED"/>
    <w:rsid w:val="0046523C"/>
    <w:rsid w:val="00465246"/>
    <w:rsid w:val="004655F8"/>
    <w:rsid w:val="0046574F"/>
    <w:rsid w:val="0046583F"/>
    <w:rsid w:val="00465894"/>
    <w:rsid w:val="0046591B"/>
    <w:rsid w:val="00465945"/>
    <w:rsid w:val="00465A55"/>
    <w:rsid w:val="00465A70"/>
    <w:rsid w:val="00465AC5"/>
    <w:rsid w:val="00465AEF"/>
    <w:rsid w:val="00465B19"/>
    <w:rsid w:val="00465B3C"/>
    <w:rsid w:val="00465BF8"/>
    <w:rsid w:val="00465C36"/>
    <w:rsid w:val="00465D95"/>
    <w:rsid w:val="00465E0B"/>
    <w:rsid w:val="00465E45"/>
    <w:rsid w:val="00465E47"/>
    <w:rsid w:val="00465E85"/>
    <w:rsid w:val="00465F84"/>
    <w:rsid w:val="00465FCC"/>
    <w:rsid w:val="00466081"/>
    <w:rsid w:val="0046608F"/>
    <w:rsid w:val="004660AC"/>
    <w:rsid w:val="004660AD"/>
    <w:rsid w:val="004660B3"/>
    <w:rsid w:val="004661A6"/>
    <w:rsid w:val="00466377"/>
    <w:rsid w:val="004663EC"/>
    <w:rsid w:val="0046641F"/>
    <w:rsid w:val="00466881"/>
    <w:rsid w:val="00466BAD"/>
    <w:rsid w:val="00466CB2"/>
    <w:rsid w:val="00466D94"/>
    <w:rsid w:val="00466DBB"/>
    <w:rsid w:val="00467089"/>
    <w:rsid w:val="004672B9"/>
    <w:rsid w:val="004672E4"/>
    <w:rsid w:val="00467327"/>
    <w:rsid w:val="00467344"/>
    <w:rsid w:val="00467471"/>
    <w:rsid w:val="004674F1"/>
    <w:rsid w:val="00467539"/>
    <w:rsid w:val="00467582"/>
    <w:rsid w:val="00467638"/>
    <w:rsid w:val="004676A8"/>
    <w:rsid w:val="0046771C"/>
    <w:rsid w:val="004677B8"/>
    <w:rsid w:val="00467A52"/>
    <w:rsid w:val="00467BB6"/>
    <w:rsid w:val="00467C42"/>
    <w:rsid w:val="00467DAF"/>
    <w:rsid w:val="00467FC7"/>
    <w:rsid w:val="00468D1A"/>
    <w:rsid w:val="0047007E"/>
    <w:rsid w:val="00470088"/>
    <w:rsid w:val="004700EB"/>
    <w:rsid w:val="00470264"/>
    <w:rsid w:val="0047027F"/>
    <w:rsid w:val="00470675"/>
    <w:rsid w:val="0047069B"/>
    <w:rsid w:val="00470707"/>
    <w:rsid w:val="004709DC"/>
    <w:rsid w:val="00470A7C"/>
    <w:rsid w:val="00470AE8"/>
    <w:rsid w:val="00470BFA"/>
    <w:rsid w:val="00470C8C"/>
    <w:rsid w:val="00470FE5"/>
    <w:rsid w:val="00471078"/>
    <w:rsid w:val="004710FC"/>
    <w:rsid w:val="00471211"/>
    <w:rsid w:val="00471246"/>
    <w:rsid w:val="004713FE"/>
    <w:rsid w:val="004716CC"/>
    <w:rsid w:val="00471940"/>
    <w:rsid w:val="004719D9"/>
    <w:rsid w:val="00471A43"/>
    <w:rsid w:val="00471A78"/>
    <w:rsid w:val="00471ABF"/>
    <w:rsid w:val="00471B56"/>
    <w:rsid w:val="00471BD5"/>
    <w:rsid w:val="00471D4E"/>
    <w:rsid w:val="00471E99"/>
    <w:rsid w:val="00471EAB"/>
    <w:rsid w:val="00471FA1"/>
    <w:rsid w:val="0047228D"/>
    <w:rsid w:val="004723AA"/>
    <w:rsid w:val="004725E9"/>
    <w:rsid w:val="0047265C"/>
    <w:rsid w:val="00472679"/>
    <w:rsid w:val="00472840"/>
    <w:rsid w:val="00472869"/>
    <w:rsid w:val="00472972"/>
    <w:rsid w:val="00472A33"/>
    <w:rsid w:val="00472A67"/>
    <w:rsid w:val="00472B48"/>
    <w:rsid w:val="00472C04"/>
    <w:rsid w:val="00472CA7"/>
    <w:rsid w:val="00472D76"/>
    <w:rsid w:val="00472F26"/>
    <w:rsid w:val="00473040"/>
    <w:rsid w:val="00473172"/>
    <w:rsid w:val="004731FE"/>
    <w:rsid w:val="00473205"/>
    <w:rsid w:val="00473257"/>
    <w:rsid w:val="0047329A"/>
    <w:rsid w:val="004732AA"/>
    <w:rsid w:val="004732DA"/>
    <w:rsid w:val="00473319"/>
    <w:rsid w:val="00473358"/>
    <w:rsid w:val="004733FB"/>
    <w:rsid w:val="004734BF"/>
    <w:rsid w:val="0047355C"/>
    <w:rsid w:val="0047363A"/>
    <w:rsid w:val="0047385A"/>
    <w:rsid w:val="00473A2E"/>
    <w:rsid w:val="00473B9B"/>
    <w:rsid w:val="00473C50"/>
    <w:rsid w:val="00473CC2"/>
    <w:rsid w:val="00473F3C"/>
    <w:rsid w:val="00474002"/>
    <w:rsid w:val="00474076"/>
    <w:rsid w:val="004740D3"/>
    <w:rsid w:val="004742E8"/>
    <w:rsid w:val="00474580"/>
    <w:rsid w:val="004745A5"/>
    <w:rsid w:val="004745C6"/>
    <w:rsid w:val="00474942"/>
    <w:rsid w:val="00474A2C"/>
    <w:rsid w:val="00474CA8"/>
    <w:rsid w:val="00474D75"/>
    <w:rsid w:val="00474EFF"/>
    <w:rsid w:val="004750FC"/>
    <w:rsid w:val="0047511F"/>
    <w:rsid w:val="0047561F"/>
    <w:rsid w:val="0047576D"/>
    <w:rsid w:val="004758CC"/>
    <w:rsid w:val="00475BB7"/>
    <w:rsid w:val="00475C76"/>
    <w:rsid w:val="00475E48"/>
    <w:rsid w:val="00475E56"/>
    <w:rsid w:val="00475EB1"/>
    <w:rsid w:val="00475F94"/>
    <w:rsid w:val="004760B6"/>
    <w:rsid w:val="004763AA"/>
    <w:rsid w:val="004764D0"/>
    <w:rsid w:val="0047663E"/>
    <w:rsid w:val="00476655"/>
    <w:rsid w:val="0047668B"/>
    <w:rsid w:val="004767EF"/>
    <w:rsid w:val="00476802"/>
    <w:rsid w:val="00476850"/>
    <w:rsid w:val="00476851"/>
    <w:rsid w:val="00476AED"/>
    <w:rsid w:val="00476D39"/>
    <w:rsid w:val="00476DAC"/>
    <w:rsid w:val="00476EB1"/>
    <w:rsid w:val="00476F46"/>
    <w:rsid w:val="00476FA4"/>
    <w:rsid w:val="00476FB6"/>
    <w:rsid w:val="004770E9"/>
    <w:rsid w:val="0047711A"/>
    <w:rsid w:val="00477147"/>
    <w:rsid w:val="00477243"/>
    <w:rsid w:val="004774B7"/>
    <w:rsid w:val="004774D9"/>
    <w:rsid w:val="00477686"/>
    <w:rsid w:val="00477742"/>
    <w:rsid w:val="0047774D"/>
    <w:rsid w:val="0047779C"/>
    <w:rsid w:val="00477862"/>
    <w:rsid w:val="004778D0"/>
    <w:rsid w:val="004778FF"/>
    <w:rsid w:val="00477940"/>
    <w:rsid w:val="0047795B"/>
    <w:rsid w:val="00477A8C"/>
    <w:rsid w:val="00477AF3"/>
    <w:rsid w:val="00477B59"/>
    <w:rsid w:val="00477C31"/>
    <w:rsid w:val="00477D07"/>
    <w:rsid w:val="00477D78"/>
    <w:rsid w:val="00477D95"/>
    <w:rsid w:val="00477DAF"/>
    <w:rsid w:val="00477EB2"/>
    <w:rsid w:val="00477EB3"/>
    <w:rsid w:val="0047CF8B"/>
    <w:rsid w:val="00480061"/>
    <w:rsid w:val="004800E9"/>
    <w:rsid w:val="00480119"/>
    <w:rsid w:val="004801CF"/>
    <w:rsid w:val="004802B3"/>
    <w:rsid w:val="004802C3"/>
    <w:rsid w:val="004804EF"/>
    <w:rsid w:val="00480503"/>
    <w:rsid w:val="00480557"/>
    <w:rsid w:val="00480572"/>
    <w:rsid w:val="00480693"/>
    <w:rsid w:val="004807C5"/>
    <w:rsid w:val="004807EB"/>
    <w:rsid w:val="0048098F"/>
    <w:rsid w:val="004809BB"/>
    <w:rsid w:val="00480F75"/>
    <w:rsid w:val="00480FBC"/>
    <w:rsid w:val="00481048"/>
    <w:rsid w:val="004810A3"/>
    <w:rsid w:val="0048115E"/>
    <w:rsid w:val="00481376"/>
    <w:rsid w:val="004813A2"/>
    <w:rsid w:val="004813A3"/>
    <w:rsid w:val="0048152A"/>
    <w:rsid w:val="004817F6"/>
    <w:rsid w:val="00481ADB"/>
    <w:rsid w:val="00481B6F"/>
    <w:rsid w:val="00481C13"/>
    <w:rsid w:val="00481CE5"/>
    <w:rsid w:val="00481DAB"/>
    <w:rsid w:val="00481DEB"/>
    <w:rsid w:val="00481DF0"/>
    <w:rsid w:val="00481E89"/>
    <w:rsid w:val="00481ED6"/>
    <w:rsid w:val="00481FF3"/>
    <w:rsid w:val="004820F0"/>
    <w:rsid w:val="004823E3"/>
    <w:rsid w:val="004824DB"/>
    <w:rsid w:val="004825A7"/>
    <w:rsid w:val="004826BC"/>
    <w:rsid w:val="004828D3"/>
    <w:rsid w:val="00482981"/>
    <w:rsid w:val="00482985"/>
    <w:rsid w:val="00482A4F"/>
    <w:rsid w:val="00482B57"/>
    <w:rsid w:val="00482BA5"/>
    <w:rsid w:val="00482C4B"/>
    <w:rsid w:val="00482CC0"/>
    <w:rsid w:val="00482DE7"/>
    <w:rsid w:val="00482E71"/>
    <w:rsid w:val="00482F62"/>
    <w:rsid w:val="004831B3"/>
    <w:rsid w:val="004831C3"/>
    <w:rsid w:val="0048328E"/>
    <w:rsid w:val="0048331C"/>
    <w:rsid w:val="0048335D"/>
    <w:rsid w:val="004834FC"/>
    <w:rsid w:val="004835E6"/>
    <w:rsid w:val="004837AD"/>
    <w:rsid w:val="0048382A"/>
    <w:rsid w:val="00483875"/>
    <w:rsid w:val="00483894"/>
    <w:rsid w:val="0048394D"/>
    <w:rsid w:val="004839F5"/>
    <w:rsid w:val="00483B81"/>
    <w:rsid w:val="00483CB1"/>
    <w:rsid w:val="00483CD0"/>
    <w:rsid w:val="00483CE6"/>
    <w:rsid w:val="00483D7E"/>
    <w:rsid w:val="00483E10"/>
    <w:rsid w:val="00483E26"/>
    <w:rsid w:val="00483FD6"/>
    <w:rsid w:val="0048403E"/>
    <w:rsid w:val="0048407F"/>
    <w:rsid w:val="004840CB"/>
    <w:rsid w:val="00484157"/>
    <w:rsid w:val="00484306"/>
    <w:rsid w:val="00484314"/>
    <w:rsid w:val="004843EC"/>
    <w:rsid w:val="004845BC"/>
    <w:rsid w:val="004846DD"/>
    <w:rsid w:val="00484707"/>
    <w:rsid w:val="004848C3"/>
    <w:rsid w:val="004848CB"/>
    <w:rsid w:val="004848F3"/>
    <w:rsid w:val="00484998"/>
    <w:rsid w:val="00484BC3"/>
    <w:rsid w:val="00484D07"/>
    <w:rsid w:val="00484DBE"/>
    <w:rsid w:val="00484F15"/>
    <w:rsid w:val="0048518D"/>
    <w:rsid w:val="00485243"/>
    <w:rsid w:val="0048526F"/>
    <w:rsid w:val="00485295"/>
    <w:rsid w:val="004852C2"/>
    <w:rsid w:val="0048533C"/>
    <w:rsid w:val="00485363"/>
    <w:rsid w:val="004854A8"/>
    <w:rsid w:val="00485564"/>
    <w:rsid w:val="00485619"/>
    <w:rsid w:val="004858E2"/>
    <w:rsid w:val="004859F2"/>
    <w:rsid w:val="00485A84"/>
    <w:rsid w:val="00485A91"/>
    <w:rsid w:val="00485D1A"/>
    <w:rsid w:val="00485DEA"/>
    <w:rsid w:val="00485FF8"/>
    <w:rsid w:val="0048600D"/>
    <w:rsid w:val="0048606C"/>
    <w:rsid w:val="0048626A"/>
    <w:rsid w:val="004862D9"/>
    <w:rsid w:val="0048636A"/>
    <w:rsid w:val="0048637B"/>
    <w:rsid w:val="004864A0"/>
    <w:rsid w:val="004864A5"/>
    <w:rsid w:val="004864AB"/>
    <w:rsid w:val="0048655D"/>
    <w:rsid w:val="0048658E"/>
    <w:rsid w:val="004865DC"/>
    <w:rsid w:val="00486838"/>
    <w:rsid w:val="00486844"/>
    <w:rsid w:val="00486886"/>
    <w:rsid w:val="00486987"/>
    <w:rsid w:val="00486A2D"/>
    <w:rsid w:val="00486BC0"/>
    <w:rsid w:val="00486C0E"/>
    <w:rsid w:val="00486C84"/>
    <w:rsid w:val="00486DD2"/>
    <w:rsid w:val="00486DDD"/>
    <w:rsid w:val="00486FBF"/>
    <w:rsid w:val="00487120"/>
    <w:rsid w:val="004871F0"/>
    <w:rsid w:val="0048721D"/>
    <w:rsid w:val="00487235"/>
    <w:rsid w:val="00487451"/>
    <w:rsid w:val="004874AD"/>
    <w:rsid w:val="004875D7"/>
    <w:rsid w:val="004875D9"/>
    <w:rsid w:val="0048768E"/>
    <w:rsid w:val="004876FF"/>
    <w:rsid w:val="00487805"/>
    <w:rsid w:val="00487890"/>
    <w:rsid w:val="004878BB"/>
    <w:rsid w:val="004878CA"/>
    <w:rsid w:val="00487A16"/>
    <w:rsid w:val="00487A53"/>
    <w:rsid w:val="00487B0B"/>
    <w:rsid w:val="00487C8D"/>
    <w:rsid w:val="00487D4D"/>
    <w:rsid w:val="00487EEA"/>
    <w:rsid w:val="00490084"/>
    <w:rsid w:val="0049022B"/>
    <w:rsid w:val="00490297"/>
    <w:rsid w:val="0049042A"/>
    <w:rsid w:val="00490516"/>
    <w:rsid w:val="0049056F"/>
    <w:rsid w:val="004906B7"/>
    <w:rsid w:val="00490766"/>
    <w:rsid w:val="00490A2E"/>
    <w:rsid w:val="00490C13"/>
    <w:rsid w:val="00490C2E"/>
    <w:rsid w:val="00490CB1"/>
    <w:rsid w:val="00490E67"/>
    <w:rsid w:val="004910E1"/>
    <w:rsid w:val="00491167"/>
    <w:rsid w:val="004912A6"/>
    <w:rsid w:val="0049149E"/>
    <w:rsid w:val="004914E3"/>
    <w:rsid w:val="004915B5"/>
    <w:rsid w:val="00491686"/>
    <w:rsid w:val="004917B5"/>
    <w:rsid w:val="004918D8"/>
    <w:rsid w:val="00491A03"/>
    <w:rsid w:val="00491A32"/>
    <w:rsid w:val="00491C21"/>
    <w:rsid w:val="00491D6C"/>
    <w:rsid w:val="00491E41"/>
    <w:rsid w:val="00491FAA"/>
    <w:rsid w:val="00492031"/>
    <w:rsid w:val="0049205D"/>
    <w:rsid w:val="00492096"/>
    <w:rsid w:val="00492272"/>
    <w:rsid w:val="004923EF"/>
    <w:rsid w:val="004925F4"/>
    <w:rsid w:val="00492699"/>
    <w:rsid w:val="00492721"/>
    <w:rsid w:val="00492771"/>
    <w:rsid w:val="00492808"/>
    <w:rsid w:val="00492844"/>
    <w:rsid w:val="00492968"/>
    <w:rsid w:val="00492979"/>
    <w:rsid w:val="00492A99"/>
    <w:rsid w:val="00492AB3"/>
    <w:rsid w:val="00492AF6"/>
    <w:rsid w:val="00492B65"/>
    <w:rsid w:val="00492C5E"/>
    <w:rsid w:val="00492CA3"/>
    <w:rsid w:val="00492CDB"/>
    <w:rsid w:val="00492F40"/>
    <w:rsid w:val="00493040"/>
    <w:rsid w:val="004931CA"/>
    <w:rsid w:val="004932B2"/>
    <w:rsid w:val="0049330D"/>
    <w:rsid w:val="00493340"/>
    <w:rsid w:val="00493418"/>
    <w:rsid w:val="00493472"/>
    <w:rsid w:val="0049359C"/>
    <w:rsid w:val="004935AC"/>
    <w:rsid w:val="00493605"/>
    <w:rsid w:val="004936A7"/>
    <w:rsid w:val="004937E4"/>
    <w:rsid w:val="004938EE"/>
    <w:rsid w:val="00493A3D"/>
    <w:rsid w:val="00493B2A"/>
    <w:rsid w:val="00493C87"/>
    <w:rsid w:val="00493D19"/>
    <w:rsid w:val="00493D47"/>
    <w:rsid w:val="00493D55"/>
    <w:rsid w:val="00493DB3"/>
    <w:rsid w:val="00493EE8"/>
    <w:rsid w:val="00494034"/>
    <w:rsid w:val="004940E7"/>
    <w:rsid w:val="0049418F"/>
    <w:rsid w:val="004941F4"/>
    <w:rsid w:val="004942D8"/>
    <w:rsid w:val="004945E7"/>
    <w:rsid w:val="00494680"/>
    <w:rsid w:val="00494744"/>
    <w:rsid w:val="0049475F"/>
    <w:rsid w:val="004947EB"/>
    <w:rsid w:val="004947FD"/>
    <w:rsid w:val="0049492E"/>
    <w:rsid w:val="00494A28"/>
    <w:rsid w:val="00494B85"/>
    <w:rsid w:val="00494BAB"/>
    <w:rsid w:val="00494C00"/>
    <w:rsid w:val="00494D00"/>
    <w:rsid w:val="00494E42"/>
    <w:rsid w:val="00494FC3"/>
    <w:rsid w:val="0049503B"/>
    <w:rsid w:val="00495366"/>
    <w:rsid w:val="0049538A"/>
    <w:rsid w:val="004953BF"/>
    <w:rsid w:val="0049542C"/>
    <w:rsid w:val="004954ED"/>
    <w:rsid w:val="004956A6"/>
    <w:rsid w:val="004956C6"/>
    <w:rsid w:val="00495749"/>
    <w:rsid w:val="004959A5"/>
    <w:rsid w:val="00495A36"/>
    <w:rsid w:val="00495AD1"/>
    <w:rsid w:val="00495B8D"/>
    <w:rsid w:val="00495E77"/>
    <w:rsid w:val="00495E81"/>
    <w:rsid w:val="00495F80"/>
    <w:rsid w:val="00496149"/>
    <w:rsid w:val="0049618A"/>
    <w:rsid w:val="004961F4"/>
    <w:rsid w:val="0049638D"/>
    <w:rsid w:val="00496421"/>
    <w:rsid w:val="004966A3"/>
    <w:rsid w:val="00496777"/>
    <w:rsid w:val="0049690B"/>
    <w:rsid w:val="00496936"/>
    <w:rsid w:val="00496949"/>
    <w:rsid w:val="00496974"/>
    <w:rsid w:val="00496981"/>
    <w:rsid w:val="00496998"/>
    <w:rsid w:val="004969E6"/>
    <w:rsid w:val="004969FA"/>
    <w:rsid w:val="00496B7D"/>
    <w:rsid w:val="00496D08"/>
    <w:rsid w:val="00496E96"/>
    <w:rsid w:val="00496F2F"/>
    <w:rsid w:val="00496F55"/>
    <w:rsid w:val="00497160"/>
    <w:rsid w:val="00497262"/>
    <w:rsid w:val="0049731C"/>
    <w:rsid w:val="00497388"/>
    <w:rsid w:val="004973E6"/>
    <w:rsid w:val="00497414"/>
    <w:rsid w:val="00497538"/>
    <w:rsid w:val="00497563"/>
    <w:rsid w:val="0049769F"/>
    <w:rsid w:val="0049775D"/>
    <w:rsid w:val="00497782"/>
    <w:rsid w:val="00497835"/>
    <w:rsid w:val="0049795E"/>
    <w:rsid w:val="00497962"/>
    <w:rsid w:val="004979EC"/>
    <w:rsid w:val="004979EF"/>
    <w:rsid w:val="00497A84"/>
    <w:rsid w:val="00497A8D"/>
    <w:rsid w:val="00497B6D"/>
    <w:rsid w:val="00497B74"/>
    <w:rsid w:val="00497C6C"/>
    <w:rsid w:val="00497D98"/>
    <w:rsid w:val="00497E78"/>
    <w:rsid w:val="00497F07"/>
    <w:rsid w:val="00497F8A"/>
    <w:rsid w:val="004A010F"/>
    <w:rsid w:val="004A011C"/>
    <w:rsid w:val="004A01F3"/>
    <w:rsid w:val="004A02D2"/>
    <w:rsid w:val="004A05B5"/>
    <w:rsid w:val="004A05E5"/>
    <w:rsid w:val="004A06A6"/>
    <w:rsid w:val="004A06F8"/>
    <w:rsid w:val="004A081C"/>
    <w:rsid w:val="004A08A1"/>
    <w:rsid w:val="004A0967"/>
    <w:rsid w:val="004A0A61"/>
    <w:rsid w:val="004A0B21"/>
    <w:rsid w:val="004A0D11"/>
    <w:rsid w:val="004A0D28"/>
    <w:rsid w:val="004A0D7C"/>
    <w:rsid w:val="004A0E21"/>
    <w:rsid w:val="004A0E2A"/>
    <w:rsid w:val="004A0F36"/>
    <w:rsid w:val="004A0F48"/>
    <w:rsid w:val="004A1072"/>
    <w:rsid w:val="004A10D0"/>
    <w:rsid w:val="004A11B1"/>
    <w:rsid w:val="004A1343"/>
    <w:rsid w:val="004A134C"/>
    <w:rsid w:val="004A1409"/>
    <w:rsid w:val="004A155C"/>
    <w:rsid w:val="004A172A"/>
    <w:rsid w:val="004A1777"/>
    <w:rsid w:val="004A1819"/>
    <w:rsid w:val="004A184A"/>
    <w:rsid w:val="004A19ED"/>
    <w:rsid w:val="004A1B7D"/>
    <w:rsid w:val="004A1D2F"/>
    <w:rsid w:val="004A1DAB"/>
    <w:rsid w:val="004A1E1B"/>
    <w:rsid w:val="004A1F0B"/>
    <w:rsid w:val="004A1FC1"/>
    <w:rsid w:val="004A201C"/>
    <w:rsid w:val="004A208B"/>
    <w:rsid w:val="004A20A5"/>
    <w:rsid w:val="004A20BF"/>
    <w:rsid w:val="004A20F3"/>
    <w:rsid w:val="004A2185"/>
    <w:rsid w:val="004A21A5"/>
    <w:rsid w:val="004A21F4"/>
    <w:rsid w:val="004A222F"/>
    <w:rsid w:val="004A2230"/>
    <w:rsid w:val="004A244F"/>
    <w:rsid w:val="004A24AC"/>
    <w:rsid w:val="004A24FF"/>
    <w:rsid w:val="004A2591"/>
    <w:rsid w:val="004A25D0"/>
    <w:rsid w:val="004A2697"/>
    <w:rsid w:val="004A2779"/>
    <w:rsid w:val="004A2850"/>
    <w:rsid w:val="004A291D"/>
    <w:rsid w:val="004A2A50"/>
    <w:rsid w:val="004A2C03"/>
    <w:rsid w:val="004A2CF4"/>
    <w:rsid w:val="004A2DAD"/>
    <w:rsid w:val="004A2DD0"/>
    <w:rsid w:val="004A2E96"/>
    <w:rsid w:val="004A2F41"/>
    <w:rsid w:val="004A2FA2"/>
    <w:rsid w:val="004A301B"/>
    <w:rsid w:val="004A31FD"/>
    <w:rsid w:val="004A332D"/>
    <w:rsid w:val="004A3378"/>
    <w:rsid w:val="004A3426"/>
    <w:rsid w:val="004A343B"/>
    <w:rsid w:val="004A366D"/>
    <w:rsid w:val="004A384B"/>
    <w:rsid w:val="004A38AB"/>
    <w:rsid w:val="004A392D"/>
    <w:rsid w:val="004A3949"/>
    <w:rsid w:val="004A39A9"/>
    <w:rsid w:val="004A3A1C"/>
    <w:rsid w:val="004A3A37"/>
    <w:rsid w:val="004A3A4E"/>
    <w:rsid w:val="004A3C14"/>
    <w:rsid w:val="004A3CBD"/>
    <w:rsid w:val="004A3D22"/>
    <w:rsid w:val="004A3DCD"/>
    <w:rsid w:val="004A3EAC"/>
    <w:rsid w:val="004A3EF1"/>
    <w:rsid w:val="004A3F5E"/>
    <w:rsid w:val="004A3FBA"/>
    <w:rsid w:val="004A41FB"/>
    <w:rsid w:val="004A42B7"/>
    <w:rsid w:val="004A42FD"/>
    <w:rsid w:val="004A4563"/>
    <w:rsid w:val="004A47EC"/>
    <w:rsid w:val="004A4801"/>
    <w:rsid w:val="004A48FD"/>
    <w:rsid w:val="004A4BD8"/>
    <w:rsid w:val="004A4BE2"/>
    <w:rsid w:val="004A4C7F"/>
    <w:rsid w:val="004A4E9A"/>
    <w:rsid w:val="004A4FCE"/>
    <w:rsid w:val="004A4FE7"/>
    <w:rsid w:val="004A5170"/>
    <w:rsid w:val="004A5449"/>
    <w:rsid w:val="004A5524"/>
    <w:rsid w:val="004A5529"/>
    <w:rsid w:val="004A56FF"/>
    <w:rsid w:val="004A57C3"/>
    <w:rsid w:val="004A596B"/>
    <w:rsid w:val="004A5C05"/>
    <w:rsid w:val="004A5CDD"/>
    <w:rsid w:val="004A5CFF"/>
    <w:rsid w:val="004A5D44"/>
    <w:rsid w:val="004A5E09"/>
    <w:rsid w:val="004A5E39"/>
    <w:rsid w:val="004A5EA4"/>
    <w:rsid w:val="004A5F4F"/>
    <w:rsid w:val="004A6098"/>
    <w:rsid w:val="004A60FE"/>
    <w:rsid w:val="004A6188"/>
    <w:rsid w:val="004A6192"/>
    <w:rsid w:val="004A61CB"/>
    <w:rsid w:val="004A623F"/>
    <w:rsid w:val="004A62B7"/>
    <w:rsid w:val="004A6326"/>
    <w:rsid w:val="004A6398"/>
    <w:rsid w:val="004A63BC"/>
    <w:rsid w:val="004A65D6"/>
    <w:rsid w:val="004A66B9"/>
    <w:rsid w:val="004A672D"/>
    <w:rsid w:val="004A67BF"/>
    <w:rsid w:val="004A68A8"/>
    <w:rsid w:val="004A69F9"/>
    <w:rsid w:val="004A6A93"/>
    <w:rsid w:val="004A6D50"/>
    <w:rsid w:val="004A6DA6"/>
    <w:rsid w:val="004A6DD4"/>
    <w:rsid w:val="004A6E08"/>
    <w:rsid w:val="004A6E32"/>
    <w:rsid w:val="004A6EA9"/>
    <w:rsid w:val="004A6FC7"/>
    <w:rsid w:val="004A7125"/>
    <w:rsid w:val="004A715E"/>
    <w:rsid w:val="004A71F3"/>
    <w:rsid w:val="004A71FF"/>
    <w:rsid w:val="004A7231"/>
    <w:rsid w:val="004A7241"/>
    <w:rsid w:val="004A730B"/>
    <w:rsid w:val="004A73ED"/>
    <w:rsid w:val="004A7647"/>
    <w:rsid w:val="004A7838"/>
    <w:rsid w:val="004A7979"/>
    <w:rsid w:val="004A7A71"/>
    <w:rsid w:val="004A7AA6"/>
    <w:rsid w:val="004A7BBA"/>
    <w:rsid w:val="004A7C86"/>
    <w:rsid w:val="004A7CF3"/>
    <w:rsid w:val="004A7D6A"/>
    <w:rsid w:val="004A7D7A"/>
    <w:rsid w:val="004A7DF2"/>
    <w:rsid w:val="004B0039"/>
    <w:rsid w:val="004B019F"/>
    <w:rsid w:val="004B01D4"/>
    <w:rsid w:val="004B0203"/>
    <w:rsid w:val="004B0241"/>
    <w:rsid w:val="004B05F2"/>
    <w:rsid w:val="004B06D7"/>
    <w:rsid w:val="004B08B7"/>
    <w:rsid w:val="004B08CA"/>
    <w:rsid w:val="004B0925"/>
    <w:rsid w:val="004B09A9"/>
    <w:rsid w:val="004B0A5F"/>
    <w:rsid w:val="004B0BCF"/>
    <w:rsid w:val="004B0BE7"/>
    <w:rsid w:val="004B0C67"/>
    <w:rsid w:val="004B0C80"/>
    <w:rsid w:val="004B0CF4"/>
    <w:rsid w:val="004B0D90"/>
    <w:rsid w:val="004B0DB0"/>
    <w:rsid w:val="004B0EE6"/>
    <w:rsid w:val="004B0F5C"/>
    <w:rsid w:val="004B0F8B"/>
    <w:rsid w:val="004B104E"/>
    <w:rsid w:val="004B1293"/>
    <w:rsid w:val="004B12B1"/>
    <w:rsid w:val="004B1369"/>
    <w:rsid w:val="004B14C6"/>
    <w:rsid w:val="004B18F9"/>
    <w:rsid w:val="004B1A95"/>
    <w:rsid w:val="004B1B20"/>
    <w:rsid w:val="004B1CCB"/>
    <w:rsid w:val="004B1D4A"/>
    <w:rsid w:val="004B1D4F"/>
    <w:rsid w:val="004B1E34"/>
    <w:rsid w:val="004B1F11"/>
    <w:rsid w:val="004B1F24"/>
    <w:rsid w:val="004B208F"/>
    <w:rsid w:val="004B210C"/>
    <w:rsid w:val="004B22B6"/>
    <w:rsid w:val="004B22E3"/>
    <w:rsid w:val="004B23D4"/>
    <w:rsid w:val="004B25D5"/>
    <w:rsid w:val="004B2773"/>
    <w:rsid w:val="004B27F8"/>
    <w:rsid w:val="004B29A8"/>
    <w:rsid w:val="004B2C25"/>
    <w:rsid w:val="004B2CD2"/>
    <w:rsid w:val="004B2D96"/>
    <w:rsid w:val="004B2DB2"/>
    <w:rsid w:val="004B2DFC"/>
    <w:rsid w:val="004B2E55"/>
    <w:rsid w:val="004B2E68"/>
    <w:rsid w:val="004B302B"/>
    <w:rsid w:val="004B3162"/>
    <w:rsid w:val="004B3217"/>
    <w:rsid w:val="004B326E"/>
    <w:rsid w:val="004B334A"/>
    <w:rsid w:val="004B33A4"/>
    <w:rsid w:val="004B348F"/>
    <w:rsid w:val="004B34F9"/>
    <w:rsid w:val="004B350C"/>
    <w:rsid w:val="004B37C9"/>
    <w:rsid w:val="004B38A0"/>
    <w:rsid w:val="004B3A33"/>
    <w:rsid w:val="004B3A4C"/>
    <w:rsid w:val="004B3CEC"/>
    <w:rsid w:val="004B3D8B"/>
    <w:rsid w:val="004B3E99"/>
    <w:rsid w:val="004B40CF"/>
    <w:rsid w:val="004B4154"/>
    <w:rsid w:val="004B41C6"/>
    <w:rsid w:val="004B41D6"/>
    <w:rsid w:val="004B423B"/>
    <w:rsid w:val="004B4442"/>
    <w:rsid w:val="004B451A"/>
    <w:rsid w:val="004B45BB"/>
    <w:rsid w:val="004B4772"/>
    <w:rsid w:val="004B4DBC"/>
    <w:rsid w:val="004B4F0B"/>
    <w:rsid w:val="004B4FBA"/>
    <w:rsid w:val="004B50FB"/>
    <w:rsid w:val="004B5528"/>
    <w:rsid w:val="004B572C"/>
    <w:rsid w:val="004B591F"/>
    <w:rsid w:val="004B5A7B"/>
    <w:rsid w:val="004B5B08"/>
    <w:rsid w:val="004B5CB5"/>
    <w:rsid w:val="004B5D39"/>
    <w:rsid w:val="004B5D58"/>
    <w:rsid w:val="004B5D63"/>
    <w:rsid w:val="004B5E86"/>
    <w:rsid w:val="004B5FCB"/>
    <w:rsid w:val="004B6002"/>
    <w:rsid w:val="004B617C"/>
    <w:rsid w:val="004B6545"/>
    <w:rsid w:val="004B6633"/>
    <w:rsid w:val="004B6666"/>
    <w:rsid w:val="004B6A74"/>
    <w:rsid w:val="004B6A9F"/>
    <w:rsid w:val="004B6B01"/>
    <w:rsid w:val="004B6BA4"/>
    <w:rsid w:val="004B6BB2"/>
    <w:rsid w:val="004B6CB4"/>
    <w:rsid w:val="004B6EE4"/>
    <w:rsid w:val="004B6FCE"/>
    <w:rsid w:val="004B706C"/>
    <w:rsid w:val="004B7091"/>
    <w:rsid w:val="004B71FF"/>
    <w:rsid w:val="004B737D"/>
    <w:rsid w:val="004B73A5"/>
    <w:rsid w:val="004B7590"/>
    <w:rsid w:val="004B7631"/>
    <w:rsid w:val="004B781E"/>
    <w:rsid w:val="004B783E"/>
    <w:rsid w:val="004B78DB"/>
    <w:rsid w:val="004B7B79"/>
    <w:rsid w:val="004B7B98"/>
    <w:rsid w:val="004B7C7C"/>
    <w:rsid w:val="004B7CCF"/>
    <w:rsid w:val="004B7E03"/>
    <w:rsid w:val="004B7F7E"/>
    <w:rsid w:val="004C0152"/>
    <w:rsid w:val="004C0177"/>
    <w:rsid w:val="004C01C9"/>
    <w:rsid w:val="004C020B"/>
    <w:rsid w:val="004C0264"/>
    <w:rsid w:val="004C02D5"/>
    <w:rsid w:val="004C03B9"/>
    <w:rsid w:val="004C03C8"/>
    <w:rsid w:val="004C050A"/>
    <w:rsid w:val="004C0512"/>
    <w:rsid w:val="004C054F"/>
    <w:rsid w:val="004C05CF"/>
    <w:rsid w:val="004C05D9"/>
    <w:rsid w:val="004C0A91"/>
    <w:rsid w:val="004C0AE6"/>
    <w:rsid w:val="004C0BC8"/>
    <w:rsid w:val="004C0CAE"/>
    <w:rsid w:val="004C0CF7"/>
    <w:rsid w:val="004C0D5A"/>
    <w:rsid w:val="004C100C"/>
    <w:rsid w:val="004C10DA"/>
    <w:rsid w:val="004C10DD"/>
    <w:rsid w:val="004C1391"/>
    <w:rsid w:val="004C13B0"/>
    <w:rsid w:val="004C147C"/>
    <w:rsid w:val="004C14B6"/>
    <w:rsid w:val="004C15DB"/>
    <w:rsid w:val="004C1650"/>
    <w:rsid w:val="004C1701"/>
    <w:rsid w:val="004C17D7"/>
    <w:rsid w:val="004C1810"/>
    <w:rsid w:val="004C198C"/>
    <w:rsid w:val="004C1C33"/>
    <w:rsid w:val="004C1DB1"/>
    <w:rsid w:val="004C1DE4"/>
    <w:rsid w:val="004C1EBC"/>
    <w:rsid w:val="004C1F41"/>
    <w:rsid w:val="004C1F67"/>
    <w:rsid w:val="004C203C"/>
    <w:rsid w:val="004C2046"/>
    <w:rsid w:val="004C20B5"/>
    <w:rsid w:val="004C2103"/>
    <w:rsid w:val="004C215B"/>
    <w:rsid w:val="004C2257"/>
    <w:rsid w:val="004C228A"/>
    <w:rsid w:val="004C235F"/>
    <w:rsid w:val="004C2507"/>
    <w:rsid w:val="004C2746"/>
    <w:rsid w:val="004C284E"/>
    <w:rsid w:val="004C28ED"/>
    <w:rsid w:val="004C2961"/>
    <w:rsid w:val="004C2A9D"/>
    <w:rsid w:val="004C2BE6"/>
    <w:rsid w:val="004C2E67"/>
    <w:rsid w:val="004C2FC1"/>
    <w:rsid w:val="004C3015"/>
    <w:rsid w:val="004C3175"/>
    <w:rsid w:val="004C3178"/>
    <w:rsid w:val="004C32A7"/>
    <w:rsid w:val="004C32AC"/>
    <w:rsid w:val="004C34ED"/>
    <w:rsid w:val="004C364F"/>
    <w:rsid w:val="004C36D4"/>
    <w:rsid w:val="004C3800"/>
    <w:rsid w:val="004C3964"/>
    <w:rsid w:val="004C398E"/>
    <w:rsid w:val="004C3B83"/>
    <w:rsid w:val="004C3C11"/>
    <w:rsid w:val="004C3C24"/>
    <w:rsid w:val="004C3CD6"/>
    <w:rsid w:val="004C3CD9"/>
    <w:rsid w:val="004C3DCF"/>
    <w:rsid w:val="004C3DF3"/>
    <w:rsid w:val="004C3F2E"/>
    <w:rsid w:val="004C3FE9"/>
    <w:rsid w:val="004C4009"/>
    <w:rsid w:val="004C402C"/>
    <w:rsid w:val="004C40C4"/>
    <w:rsid w:val="004C4106"/>
    <w:rsid w:val="004C413C"/>
    <w:rsid w:val="004C436E"/>
    <w:rsid w:val="004C4398"/>
    <w:rsid w:val="004C43A9"/>
    <w:rsid w:val="004C449D"/>
    <w:rsid w:val="004C44E8"/>
    <w:rsid w:val="004C4525"/>
    <w:rsid w:val="004C452D"/>
    <w:rsid w:val="004C45BA"/>
    <w:rsid w:val="004C4613"/>
    <w:rsid w:val="004C4674"/>
    <w:rsid w:val="004C481A"/>
    <w:rsid w:val="004C48F9"/>
    <w:rsid w:val="004C48FD"/>
    <w:rsid w:val="004C49BF"/>
    <w:rsid w:val="004C4A3D"/>
    <w:rsid w:val="004C4A4E"/>
    <w:rsid w:val="004C4D0E"/>
    <w:rsid w:val="004C5032"/>
    <w:rsid w:val="004C50FD"/>
    <w:rsid w:val="004C512B"/>
    <w:rsid w:val="004C5164"/>
    <w:rsid w:val="004C52E1"/>
    <w:rsid w:val="004C5317"/>
    <w:rsid w:val="004C5468"/>
    <w:rsid w:val="004C55CB"/>
    <w:rsid w:val="004C5664"/>
    <w:rsid w:val="004C56C4"/>
    <w:rsid w:val="004C56D1"/>
    <w:rsid w:val="004C5951"/>
    <w:rsid w:val="004C5AAC"/>
    <w:rsid w:val="004C5B43"/>
    <w:rsid w:val="004C5B9F"/>
    <w:rsid w:val="004C5BF7"/>
    <w:rsid w:val="004C5EE4"/>
    <w:rsid w:val="004C5FD1"/>
    <w:rsid w:val="004C62CD"/>
    <w:rsid w:val="004C6317"/>
    <w:rsid w:val="004C63F4"/>
    <w:rsid w:val="004C641D"/>
    <w:rsid w:val="004C6449"/>
    <w:rsid w:val="004C64AD"/>
    <w:rsid w:val="004C6ADD"/>
    <w:rsid w:val="004C6B4B"/>
    <w:rsid w:val="004C6C53"/>
    <w:rsid w:val="004C6DE0"/>
    <w:rsid w:val="004C7062"/>
    <w:rsid w:val="004C7110"/>
    <w:rsid w:val="004C71E7"/>
    <w:rsid w:val="004C730E"/>
    <w:rsid w:val="004C751F"/>
    <w:rsid w:val="004C762F"/>
    <w:rsid w:val="004C7691"/>
    <w:rsid w:val="004C7698"/>
    <w:rsid w:val="004C7841"/>
    <w:rsid w:val="004C784D"/>
    <w:rsid w:val="004C78C9"/>
    <w:rsid w:val="004C79C0"/>
    <w:rsid w:val="004C7A68"/>
    <w:rsid w:val="004C7AC4"/>
    <w:rsid w:val="004C7BD4"/>
    <w:rsid w:val="004C7C8F"/>
    <w:rsid w:val="004C7D2B"/>
    <w:rsid w:val="004C7D42"/>
    <w:rsid w:val="004C7F43"/>
    <w:rsid w:val="004C7F55"/>
    <w:rsid w:val="004D0017"/>
    <w:rsid w:val="004D00B0"/>
    <w:rsid w:val="004D0169"/>
    <w:rsid w:val="004D03D3"/>
    <w:rsid w:val="004D0441"/>
    <w:rsid w:val="004D04B1"/>
    <w:rsid w:val="004D05BB"/>
    <w:rsid w:val="004D06A8"/>
    <w:rsid w:val="004D06DE"/>
    <w:rsid w:val="004D07C8"/>
    <w:rsid w:val="004D08CF"/>
    <w:rsid w:val="004D0983"/>
    <w:rsid w:val="004D09B0"/>
    <w:rsid w:val="004D0B5C"/>
    <w:rsid w:val="004D0BF1"/>
    <w:rsid w:val="004D0C22"/>
    <w:rsid w:val="004D0C54"/>
    <w:rsid w:val="004D0D8C"/>
    <w:rsid w:val="004D0F0A"/>
    <w:rsid w:val="004D0FC4"/>
    <w:rsid w:val="004D1201"/>
    <w:rsid w:val="004D1351"/>
    <w:rsid w:val="004D1359"/>
    <w:rsid w:val="004D14F8"/>
    <w:rsid w:val="004D1524"/>
    <w:rsid w:val="004D15BC"/>
    <w:rsid w:val="004D17AD"/>
    <w:rsid w:val="004D1A5D"/>
    <w:rsid w:val="004D1A83"/>
    <w:rsid w:val="004D1BD3"/>
    <w:rsid w:val="004D1CB0"/>
    <w:rsid w:val="004D1E17"/>
    <w:rsid w:val="004D1E78"/>
    <w:rsid w:val="004D2002"/>
    <w:rsid w:val="004D2007"/>
    <w:rsid w:val="004D202A"/>
    <w:rsid w:val="004D2037"/>
    <w:rsid w:val="004D2345"/>
    <w:rsid w:val="004D2393"/>
    <w:rsid w:val="004D249E"/>
    <w:rsid w:val="004D250B"/>
    <w:rsid w:val="004D2804"/>
    <w:rsid w:val="004D2998"/>
    <w:rsid w:val="004D2AD5"/>
    <w:rsid w:val="004D2B13"/>
    <w:rsid w:val="004D2B4E"/>
    <w:rsid w:val="004D2C51"/>
    <w:rsid w:val="004D2C8C"/>
    <w:rsid w:val="004D2D5A"/>
    <w:rsid w:val="004D2F6B"/>
    <w:rsid w:val="004D302A"/>
    <w:rsid w:val="004D30FB"/>
    <w:rsid w:val="004D3202"/>
    <w:rsid w:val="004D3241"/>
    <w:rsid w:val="004D3261"/>
    <w:rsid w:val="004D32C6"/>
    <w:rsid w:val="004D330E"/>
    <w:rsid w:val="004D33DF"/>
    <w:rsid w:val="004D3462"/>
    <w:rsid w:val="004D34B2"/>
    <w:rsid w:val="004D3905"/>
    <w:rsid w:val="004D3943"/>
    <w:rsid w:val="004D394C"/>
    <w:rsid w:val="004D3A4B"/>
    <w:rsid w:val="004D3C61"/>
    <w:rsid w:val="004D3C6F"/>
    <w:rsid w:val="004D3C76"/>
    <w:rsid w:val="004D3D02"/>
    <w:rsid w:val="004D3D46"/>
    <w:rsid w:val="004D3DBD"/>
    <w:rsid w:val="004D3DD3"/>
    <w:rsid w:val="004D3E32"/>
    <w:rsid w:val="004D3E7C"/>
    <w:rsid w:val="004D40BC"/>
    <w:rsid w:val="004D42BA"/>
    <w:rsid w:val="004D44C2"/>
    <w:rsid w:val="004D4566"/>
    <w:rsid w:val="004D4711"/>
    <w:rsid w:val="004D48F9"/>
    <w:rsid w:val="004D4932"/>
    <w:rsid w:val="004D499C"/>
    <w:rsid w:val="004D4B28"/>
    <w:rsid w:val="004D4B70"/>
    <w:rsid w:val="004D4BD1"/>
    <w:rsid w:val="004D4BFC"/>
    <w:rsid w:val="004D4C42"/>
    <w:rsid w:val="004D4D08"/>
    <w:rsid w:val="004D4D2A"/>
    <w:rsid w:val="004D4DF0"/>
    <w:rsid w:val="004D4E5D"/>
    <w:rsid w:val="004D4EB7"/>
    <w:rsid w:val="004D4F24"/>
    <w:rsid w:val="004D5020"/>
    <w:rsid w:val="004D523C"/>
    <w:rsid w:val="004D523F"/>
    <w:rsid w:val="004D5304"/>
    <w:rsid w:val="004D531E"/>
    <w:rsid w:val="004D5393"/>
    <w:rsid w:val="004D5424"/>
    <w:rsid w:val="004D5456"/>
    <w:rsid w:val="004D570B"/>
    <w:rsid w:val="004D5789"/>
    <w:rsid w:val="004D59C2"/>
    <w:rsid w:val="004D5A27"/>
    <w:rsid w:val="004D5B8D"/>
    <w:rsid w:val="004D5D03"/>
    <w:rsid w:val="004D5F1E"/>
    <w:rsid w:val="004D5F47"/>
    <w:rsid w:val="004D5FCD"/>
    <w:rsid w:val="004D6176"/>
    <w:rsid w:val="004D6308"/>
    <w:rsid w:val="004D638E"/>
    <w:rsid w:val="004D6462"/>
    <w:rsid w:val="004D66DA"/>
    <w:rsid w:val="004D66F0"/>
    <w:rsid w:val="004D67CF"/>
    <w:rsid w:val="004D684B"/>
    <w:rsid w:val="004D6AA8"/>
    <w:rsid w:val="004D6BA5"/>
    <w:rsid w:val="004D6D78"/>
    <w:rsid w:val="004D6E0A"/>
    <w:rsid w:val="004D6E62"/>
    <w:rsid w:val="004D7049"/>
    <w:rsid w:val="004D707A"/>
    <w:rsid w:val="004D716C"/>
    <w:rsid w:val="004D71BF"/>
    <w:rsid w:val="004D71F1"/>
    <w:rsid w:val="004D7357"/>
    <w:rsid w:val="004D735C"/>
    <w:rsid w:val="004D7378"/>
    <w:rsid w:val="004D73F9"/>
    <w:rsid w:val="004D74E8"/>
    <w:rsid w:val="004D75C3"/>
    <w:rsid w:val="004D7606"/>
    <w:rsid w:val="004D7719"/>
    <w:rsid w:val="004D7AED"/>
    <w:rsid w:val="004D7B54"/>
    <w:rsid w:val="004D7BFA"/>
    <w:rsid w:val="004D7C0F"/>
    <w:rsid w:val="004D7C90"/>
    <w:rsid w:val="004D7D00"/>
    <w:rsid w:val="004D7D72"/>
    <w:rsid w:val="004D7D84"/>
    <w:rsid w:val="004D7DDF"/>
    <w:rsid w:val="004D7E1D"/>
    <w:rsid w:val="004D7E8B"/>
    <w:rsid w:val="004D7EA1"/>
    <w:rsid w:val="004D7F08"/>
    <w:rsid w:val="004E010E"/>
    <w:rsid w:val="004E03DB"/>
    <w:rsid w:val="004E05E6"/>
    <w:rsid w:val="004E06FC"/>
    <w:rsid w:val="004E072F"/>
    <w:rsid w:val="004E0829"/>
    <w:rsid w:val="004E08EB"/>
    <w:rsid w:val="004E09BC"/>
    <w:rsid w:val="004E0AAA"/>
    <w:rsid w:val="004E0B08"/>
    <w:rsid w:val="004E0B7B"/>
    <w:rsid w:val="004E0BBE"/>
    <w:rsid w:val="004E0BF5"/>
    <w:rsid w:val="004E0C0D"/>
    <w:rsid w:val="004E0CD0"/>
    <w:rsid w:val="004E0E09"/>
    <w:rsid w:val="004E0E18"/>
    <w:rsid w:val="004E10BA"/>
    <w:rsid w:val="004E1225"/>
    <w:rsid w:val="004E1242"/>
    <w:rsid w:val="004E13DA"/>
    <w:rsid w:val="004E13E1"/>
    <w:rsid w:val="004E145F"/>
    <w:rsid w:val="004E14C2"/>
    <w:rsid w:val="004E14E2"/>
    <w:rsid w:val="004E156F"/>
    <w:rsid w:val="004E17AD"/>
    <w:rsid w:val="004E18B1"/>
    <w:rsid w:val="004E18E7"/>
    <w:rsid w:val="004E18ED"/>
    <w:rsid w:val="004E18FA"/>
    <w:rsid w:val="004E191C"/>
    <w:rsid w:val="004E1B9C"/>
    <w:rsid w:val="004E1BA8"/>
    <w:rsid w:val="004E1C15"/>
    <w:rsid w:val="004E1DD0"/>
    <w:rsid w:val="004E1EFB"/>
    <w:rsid w:val="004E1FD1"/>
    <w:rsid w:val="004E2144"/>
    <w:rsid w:val="004E231D"/>
    <w:rsid w:val="004E236D"/>
    <w:rsid w:val="004E2385"/>
    <w:rsid w:val="004E24CB"/>
    <w:rsid w:val="004E26F9"/>
    <w:rsid w:val="004E282A"/>
    <w:rsid w:val="004E286E"/>
    <w:rsid w:val="004E2913"/>
    <w:rsid w:val="004E2966"/>
    <w:rsid w:val="004E2AF8"/>
    <w:rsid w:val="004E2BEE"/>
    <w:rsid w:val="004E2CCC"/>
    <w:rsid w:val="004E2E3C"/>
    <w:rsid w:val="004E2EDA"/>
    <w:rsid w:val="004E2F50"/>
    <w:rsid w:val="004E2FDD"/>
    <w:rsid w:val="004E30B9"/>
    <w:rsid w:val="004E31D7"/>
    <w:rsid w:val="004E321E"/>
    <w:rsid w:val="004E3347"/>
    <w:rsid w:val="004E3434"/>
    <w:rsid w:val="004E3453"/>
    <w:rsid w:val="004E34CF"/>
    <w:rsid w:val="004E35F7"/>
    <w:rsid w:val="004E3728"/>
    <w:rsid w:val="004E387A"/>
    <w:rsid w:val="004E3949"/>
    <w:rsid w:val="004E398B"/>
    <w:rsid w:val="004E398C"/>
    <w:rsid w:val="004E39AF"/>
    <w:rsid w:val="004E3A99"/>
    <w:rsid w:val="004E3AAF"/>
    <w:rsid w:val="004E3B65"/>
    <w:rsid w:val="004E3C47"/>
    <w:rsid w:val="004E3CD5"/>
    <w:rsid w:val="004E3E5C"/>
    <w:rsid w:val="004E3EAA"/>
    <w:rsid w:val="004E3F64"/>
    <w:rsid w:val="004E4053"/>
    <w:rsid w:val="004E4082"/>
    <w:rsid w:val="004E419B"/>
    <w:rsid w:val="004E41FB"/>
    <w:rsid w:val="004E42D9"/>
    <w:rsid w:val="004E4311"/>
    <w:rsid w:val="004E45BF"/>
    <w:rsid w:val="004E46D3"/>
    <w:rsid w:val="004E49FD"/>
    <w:rsid w:val="004E4A96"/>
    <w:rsid w:val="004E4C5F"/>
    <w:rsid w:val="004E4EE5"/>
    <w:rsid w:val="004E4FC4"/>
    <w:rsid w:val="004E5004"/>
    <w:rsid w:val="004E5107"/>
    <w:rsid w:val="004E5166"/>
    <w:rsid w:val="004E5306"/>
    <w:rsid w:val="004E5375"/>
    <w:rsid w:val="004E567C"/>
    <w:rsid w:val="004E57F9"/>
    <w:rsid w:val="004E5A57"/>
    <w:rsid w:val="004E5A7A"/>
    <w:rsid w:val="004E5B2A"/>
    <w:rsid w:val="004E5B78"/>
    <w:rsid w:val="004E5D6D"/>
    <w:rsid w:val="004E5DE2"/>
    <w:rsid w:val="004E5DEB"/>
    <w:rsid w:val="004E5E6C"/>
    <w:rsid w:val="004E5F83"/>
    <w:rsid w:val="004E5FE8"/>
    <w:rsid w:val="004E60AD"/>
    <w:rsid w:val="004E6196"/>
    <w:rsid w:val="004E627F"/>
    <w:rsid w:val="004E62AA"/>
    <w:rsid w:val="004E6395"/>
    <w:rsid w:val="004E646F"/>
    <w:rsid w:val="004E648F"/>
    <w:rsid w:val="004E6555"/>
    <w:rsid w:val="004E66D2"/>
    <w:rsid w:val="004E67BB"/>
    <w:rsid w:val="004E6B6E"/>
    <w:rsid w:val="004E6C07"/>
    <w:rsid w:val="004E6C11"/>
    <w:rsid w:val="004E6CF5"/>
    <w:rsid w:val="004E6D56"/>
    <w:rsid w:val="004E6DAB"/>
    <w:rsid w:val="004E6E64"/>
    <w:rsid w:val="004E6E65"/>
    <w:rsid w:val="004E6EB1"/>
    <w:rsid w:val="004E6FFE"/>
    <w:rsid w:val="004E7034"/>
    <w:rsid w:val="004E703B"/>
    <w:rsid w:val="004E7050"/>
    <w:rsid w:val="004E707F"/>
    <w:rsid w:val="004E7137"/>
    <w:rsid w:val="004E7149"/>
    <w:rsid w:val="004E7470"/>
    <w:rsid w:val="004E749A"/>
    <w:rsid w:val="004E74D4"/>
    <w:rsid w:val="004E74F2"/>
    <w:rsid w:val="004E75BB"/>
    <w:rsid w:val="004E7661"/>
    <w:rsid w:val="004E7717"/>
    <w:rsid w:val="004E7962"/>
    <w:rsid w:val="004E7A47"/>
    <w:rsid w:val="004E7EE6"/>
    <w:rsid w:val="004E7FED"/>
    <w:rsid w:val="004E7FFC"/>
    <w:rsid w:val="004F0157"/>
    <w:rsid w:val="004F0185"/>
    <w:rsid w:val="004F01A8"/>
    <w:rsid w:val="004F0259"/>
    <w:rsid w:val="004F0324"/>
    <w:rsid w:val="004F048C"/>
    <w:rsid w:val="004F055E"/>
    <w:rsid w:val="004F05DF"/>
    <w:rsid w:val="004F0638"/>
    <w:rsid w:val="004F07D9"/>
    <w:rsid w:val="004F08AA"/>
    <w:rsid w:val="004F08E5"/>
    <w:rsid w:val="004F0A47"/>
    <w:rsid w:val="004F0BD4"/>
    <w:rsid w:val="004F0FCD"/>
    <w:rsid w:val="004F0FE2"/>
    <w:rsid w:val="004F1010"/>
    <w:rsid w:val="004F1053"/>
    <w:rsid w:val="004F13F3"/>
    <w:rsid w:val="004F1419"/>
    <w:rsid w:val="004F1474"/>
    <w:rsid w:val="004F148F"/>
    <w:rsid w:val="004F15D0"/>
    <w:rsid w:val="004F17BE"/>
    <w:rsid w:val="004F187A"/>
    <w:rsid w:val="004F18B9"/>
    <w:rsid w:val="004F1920"/>
    <w:rsid w:val="004F1985"/>
    <w:rsid w:val="004F19EF"/>
    <w:rsid w:val="004F1A64"/>
    <w:rsid w:val="004F1B63"/>
    <w:rsid w:val="004F1BE7"/>
    <w:rsid w:val="004F1CC3"/>
    <w:rsid w:val="004F1D41"/>
    <w:rsid w:val="004F1D6D"/>
    <w:rsid w:val="004F20CE"/>
    <w:rsid w:val="004F21C6"/>
    <w:rsid w:val="004F2533"/>
    <w:rsid w:val="004F2538"/>
    <w:rsid w:val="004F256B"/>
    <w:rsid w:val="004F25E1"/>
    <w:rsid w:val="004F2608"/>
    <w:rsid w:val="004F2623"/>
    <w:rsid w:val="004F2631"/>
    <w:rsid w:val="004F27DB"/>
    <w:rsid w:val="004F27F2"/>
    <w:rsid w:val="004F27FF"/>
    <w:rsid w:val="004F29AD"/>
    <w:rsid w:val="004F29F8"/>
    <w:rsid w:val="004F2A1D"/>
    <w:rsid w:val="004F2A26"/>
    <w:rsid w:val="004F2A65"/>
    <w:rsid w:val="004F2CB9"/>
    <w:rsid w:val="004F2DDB"/>
    <w:rsid w:val="004F2F5D"/>
    <w:rsid w:val="004F2F62"/>
    <w:rsid w:val="004F2FD2"/>
    <w:rsid w:val="004F34BD"/>
    <w:rsid w:val="004F37A5"/>
    <w:rsid w:val="004F38ED"/>
    <w:rsid w:val="004F3979"/>
    <w:rsid w:val="004F3B20"/>
    <w:rsid w:val="004F3C01"/>
    <w:rsid w:val="004F3C7A"/>
    <w:rsid w:val="004F3C8E"/>
    <w:rsid w:val="004F3EF8"/>
    <w:rsid w:val="004F41DB"/>
    <w:rsid w:val="004F4367"/>
    <w:rsid w:val="004F43AF"/>
    <w:rsid w:val="004F43C2"/>
    <w:rsid w:val="004F43D1"/>
    <w:rsid w:val="004F43F8"/>
    <w:rsid w:val="004F4559"/>
    <w:rsid w:val="004F45AC"/>
    <w:rsid w:val="004F46AB"/>
    <w:rsid w:val="004F46B4"/>
    <w:rsid w:val="004F46BC"/>
    <w:rsid w:val="004F46F9"/>
    <w:rsid w:val="004F4701"/>
    <w:rsid w:val="004F4AA4"/>
    <w:rsid w:val="004F4AC6"/>
    <w:rsid w:val="004F4ADB"/>
    <w:rsid w:val="004F4AE5"/>
    <w:rsid w:val="004F4C6E"/>
    <w:rsid w:val="004F4D8F"/>
    <w:rsid w:val="004F4EA1"/>
    <w:rsid w:val="004F4F99"/>
    <w:rsid w:val="004F4FE1"/>
    <w:rsid w:val="004F4FFE"/>
    <w:rsid w:val="004F506B"/>
    <w:rsid w:val="004F5210"/>
    <w:rsid w:val="004F5232"/>
    <w:rsid w:val="004F531E"/>
    <w:rsid w:val="004F53E0"/>
    <w:rsid w:val="004F5448"/>
    <w:rsid w:val="004F5452"/>
    <w:rsid w:val="004F54DD"/>
    <w:rsid w:val="004F5622"/>
    <w:rsid w:val="004F581C"/>
    <w:rsid w:val="004F58A7"/>
    <w:rsid w:val="004F5B16"/>
    <w:rsid w:val="004F5B2B"/>
    <w:rsid w:val="004F5B4C"/>
    <w:rsid w:val="004F5BEA"/>
    <w:rsid w:val="004F5C43"/>
    <w:rsid w:val="004F5E67"/>
    <w:rsid w:val="004F60CC"/>
    <w:rsid w:val="004F6168"/>
    <w:rsid w:val="004F6173"/>
    <w:rsid w:val="004F6196"/>
    <w:rsid w:val="004F6379"/>
    <w:rsid w:val="004F6482"/>
    <w:rsid w:val="004F6501"/>
    <w:rsid w:val="004F6504"/>
    <w:rsid w:val="004F6586"/>
    <w:rsid w:val="004F65B0"/>
    <w:rsid w:val="004F66DB"/>
    <w:rsid w:val="004F66F9"/>
    <w:rsid w:val="004F67DF"/>
    <w:rsid w:val="004F68ED"/>
    <w:rsid w:val="004F6CC6"/>
    <w:rsid w:val="004F6D59"/>
    <w:rsid w:val="004F6DB8"/>
    <w:rsid w:val="004F6DC8"/>
    <w:rsid w:val="004F6F1F"/>
    <w:rsid w:val="004F6F64"/>
    <w:rsid w:val="004F6F8B"/>
    <w:rsid w:val="004F6FB4"/>
    <w:rsid w:val="004F7159"/>
    <w:rsid w:val="004F7472"/>
    <w:rsid w:val="004F76BB"/>
    <w:rsid w:val="004F76C8"/>
    <w:rsid w:val="004F77FF"/>
    <w:rsid w:val="004F7930"/>
    <w:rsid w:val="004F7A62"/>
    <w:rsid w:val="004F7AE0"/>
    <w:rsid w:val="004F7C95"/>
    <w:rsid w:val="004F7D67"/>
    <w:rsid w:val="004F7D9B"/>
    <w:rsid w:val="004F7F5E"/>
    <w:rsid w:val="0050001F"/>
    <w:rsid w:val="005005E5"/>
    <w:rsid w:val="005006EA"/>
    <w:rsid w:val="00500B41"/>
    <w:rsid w:val="00500C79"/>
    <w:rsid w:val="00500F27"/>
    <w:rsid w:val="005010C2"/>
    <w:rsid w:val="005013A7"/>
    <w:rsid w:val="00501419"/>
    <w:rsid w:val="0050166F"/>
    <w:rsid w:val="00501917"/>
    <w:rsid w:val="00501C92"/>
    <w:rsid w:val="00501D11"/>
    <w:rsid w:val="00501D15"/>
    <w:rsid w:val="00501E23"/>
    <w:rsid w:val="00501ED3"/>
    <w:rsid w:val="00501FB4"/>
    <w:rsid w:val="00501FF1"/>
    <w:rsid w:val="005021C7"/>
    <w:rsid w:val="00502250"/>
    <w:rsid w:val="0050236E"/>
    <w:rsid w:val="00502444"/>
    <w:rsid w:val="00502492"/>
    <w:rsid w:val="00502614"/>
    <w:rsid w:val="0050265D"/>
    <w:rsid w:val="00502910"/>
    <w:rsid w:val="0050294F"/>
    <w:rsid w:val="00502976"/>
    <w:rsid w:val="00502ACE"/>
    <w:rsid w:val="00502D04"/>
    <w:rsid w:val="00502DE1"/>
    <w:rsid w:val="00502F3D"/>
    <w:rsid w:val="0050305E"/>
    <w:rsid w:val="005030CC"/>
    <w:rsid w:val="00503123"/>
    <w:rsid w:val="00503127"/>
    <w:rsid w:val="005031D9"/>
    <w:rsid w:val="00503224"/>
    <w:rsid w:val="00503281"/>
    <w:rsid w:val="00503291"/>
    <w:rsid w:val="00503321"/>
    <w:rsid w:val="00503476"/>
    <w:rsid w:val="005034A3"/>
    <w:rsid w:val="00503523"/>
    <w:rsid w:val="005035B1"/>
    <w:rsid w:val="0050363C"/>
    <w:rsid w:val="00503659"/>
    <w:rsid w:val="00503CC6"/>
    <w:rsid w:val="00503D0B"/>
    <w:rsid w:val="00503E91"/>
    <w:rsid w:val="00503EB7"/>
    <w:rsid w:val="00503F87"/>
    <w:rsid w:val="005041B9"/>
    <w:rsid w:val="00504320"/>
    <w:rsid w:val="0050437B"/>
    <w:rsid w:val="0050441E"/>
    <w:rsid w:val="00504425"/>
    <w:rsid w:val="0050467C"/>
    <w:rsid w:val="00504699"/>
    <w:rsid w:val="0050492B"/>
    <w:rsid w:val="00504B99"/>
    <w:rsid w:val="00504BC1"/>
    <w:rsid w:val="00504C41"/>
    <w:rsid w:val="00504CC9"/>
    <w:rsid w:val="00504E09"/>
    <w:rsid w:val="00504EF6"/>
    <w:rsid w:val="00504F1C"/>
    <w:rsid w:val="0050521E"/>
    <w:rsid w:val="00505282"/>
    <w:rsid w:val="0050535E"/>
    <w:rsid w:val="005054BF"/>
    <w:rsid w:val="005054EC"/>
    <w:rsid w:val="0050550F"/>
    <w:rsid w:val="005055FF"/>
    <w:rsid w:val="00505733"/>
    <w:rsid w:val="0050575D"/>
    <w:rsid w:val="00505788"/>
    <w:rsid w:val="0050592C"/>
    <w:rsid w:val="00505B40"/>
    <w:rsid w:val="00505B86"/>
    <w:rsid w:val="00505B89"/>
    <w:rsid w:val="00505C79"/>
    <w:rsid w:val="00505E1F"/>
    <w:rsid w:val="00505FCB"/>
    <w:rsid w:val="00506094"/>
    <w:rsid w:val="005062D7"/>
    <w:rsid w:val="00506326"/>
    <w:rsid w:val="0050634B"/>
    <w:rsid w:val="005064A7"/>
    <w:rsid w:val="005064EA"/>
    <w:rsid w:val="00506723"/>
    <w:rsid w:val="005067A5"/>
    <w:rsid w:val="0050689C"/>
    <w:rsid w:val="00506A27"/>
    <w:rsid w:val="00506B4B"/>
    <w:rsid w:val="00506B97"/>
    <w:rsid w:val="00506B98"/>
    <w:rsid w:val="00506C2B"/>
    <w:rsid w:val="00506D66"/>
    <w:rsid w:val="00506DB7"/>
    <w:rsid w:val="00506EE2"/>
    <w:rsid w:val="005070F5"/>
    <w:rsid w:val="00507224"/>
    <w:rsid w:val="00507270"/>
    <w:rsid w:val="0050729F"/>
    <w:rsid w:val="005072BF"/>
    <w:rsid w:val="00507360"/>
    <w:rsid w:val="00507668"/>
    <w:rsid w:val="005076C6"/>
    <w:rsid w:val="005076FE"/>
    <w:rsid w:val="005077DD"/>
    <w:rsid w:val="005078D2"/>
    <w:rsid w:val="005079EC"/>
    <w:rsid w:val="00507A7C"/>
    <w:rsid w:val="00507CA5"/>
    <w:rsid w:val="00507D90"/>
    <w:rsid w:val="00507DB7"/>
    <w:rsid w:val="00507E10"/>
    <w:rsid w:val="00507E90"/>
    <w:rsid w:val="0051017E"/>
    <w:rsid w:val="00510185"/>
    <w:rsid w:val="0051038C"/>
    <w:rsid w:val="0051079A"/>
    <w:rsid w:val="00510830"/>
    <w:rsid w:val="00510875"/>
    <w:rsid w:val="0051088B"/>
    <w:rsid w:val="005109B1"/>
    <w:rsid w:val="00510A29"/>
    <w:rsid w:val="00510B3A"/>
    <w:rsid w:val="00510B71"/>
    <w:rsid w:val="00510B86"/>
    <w:rsid w:val="00510BE9"/>
    <w:rsid w:val="00510DA7"/>
    <w:rsid w:val="00510DAC"/>
    <w:rsid w:val="00510E6F"/>
    <w:rsid w:val="00510ED9"/>
    <w:rsid w:val="00510EDC"/>
    <w:rsid w:val="0051119A"/>
    <w:rsid w:val="005111C1"/>
    <w:rsid w:val="005111EB"/>
    <w:rsid w:val="00511256"/>
    <w:rsid w:val="00511394"/>
    <w:rsid w:val="0051157C"/>
    <w:rsid w:val="00511869"/>
    <w:rsid w:val="00511B71"/>
    <w:rsid w:val="00511B76"/>
    <w:rsid w:val="00511BAA"/>
    <w:rsid w:val="00511C18"/>
    <w:rsid w:val="00511D54"/>
    <w:rsid w:val="00511D5B"/>
    <w:rsid w:val="00511E43"/>
    <w:rsid w:val="00511F55"/>
    <w:rsid w:val="00511FA8"/>
    <w:rsid w:val="00511FB5"/>
    <w:rsid w:val="005120EE"/>
    <w:rsid w:val="005125A9"/>
    <w:rsid w:val="00512657"/>
    <w:rsid w:val="00512666"/>
    <w:rsid w:val="00512964"/>
    <w:rsid w:val="00512A23"/>
    <w:rsid w:val="00512BD6"/>
    <w:rsid w:val="00512C4B"/>
    <w:rsid w:val="00512D76"/>
    <w:rsid w:val="00512D9A"/>
    <w:rsid w:val="00512DC1"/>
    <w:rsid w:val="00512F05"/>
    <w:rsid w:val="00512FF4"/>
    <w:rsid w:val="0051300C"/>
    <w:rsid w:val="00513020"/>
    <w:rsid w:val="00513256"/>
    <w:rsid w:val="0051330E"/>
    <w:rsid w:val="00513335"/>
    <w:rsid w:val="00513372"/>
    <w:rsid w:val="005133B0"/>
    <w:rsid w:val="00513543"/>
    <w:rsid w:val="005135B0"/>
    <w:rsid w:val="00513602"/>
    <w:rsid w:val="00513622"/>
    <w:rsid w:val="005136FB"/>
    <w:rsid w:val="0051374A"/>
    <w:rsid w:val="0051375C"/>
    <w:rsid w:val="005137B7"/>
    <w:rsid w:val="005139E1"/>
    <w:rsid w:val="00513A01"/>
    <w:rsid w:val="00513A45"/>
    <w:rsid w:val="00513ABF"/>
    <w:rsid w:val="00513AD8"/>
    <w:rsid w:val="00513CDE"/>
    <w:rsid w:val="00513EC4"/>
    <w:rsid w:val="00513F48"/>
    <w:rsid w:val="00514061"/>
    <w:rsid w:val="00514077"/>
    <w:rsid w:val="00514225"/>
    <w:rsid w:val="0051424A"/>
    <w:rsid w:val="005142B0"/>
    <w:rsid w:val="00514448"/>
    <w:rsid w:val="005144C6"/>
    <w:rsid w:val="005145AE"/>
    <w:rsid w:val="00514609"/>
    <w:rsid w:val="00514802"/>
    <w:rsid w:val="00514896"/>
    <w:rsid w:val="005148F8"/>
    <w:rsid w:val="00514B1F"/>
    <w:rsid w:val="00514BA4"/>
    <w:rsid w:val="00514C4D"/>
    <w:rsid w:val="00514EA2"/>
    <w:rsid w:val="00514F13"/>
    <w:rsid w:val="00514F5F"/>
    <w:rsid w:val="00514F75"/>
    <w:rsid w:val="005150F1"/>
    <w:rsid w:val="00515158"/>
    <w:rsid w:val="005151D4"/>
    <w:rsid w:val="00515256"/>
    <w:rsid w:val="00515290"/>
    <w:rsid w:val="0051544F"/>
    <w:rsid w:val="005154E9"/>
    <w:rsid w:val="005157B9"/>
    <w:rsid w:val="005158B2"/>
    <w:rsid w:val="00515A93"/>
    <w:rsid w:val="00515BAA"/>
    <w:rsid w:val="00515E1C"/>
    <w:rsid w:val="00515E6B"/>
    <w:rsid w:val="00515EA0"/>
    <w:rsid w:val="00515EC0"/>
    <w:rsid w:val="00515FDB"/>
    <w:rsid w:val="0051621E"/>
    <w:rsid w:val="005164B5"/>
    <w:rsid w:val="00516544"/>
    <w:rsid w:val="00516561"/>
    <w:rsid w:val="0051656D"/>
    <w:rsid w:val="00516594"/>
    <w:rsid w:val="00516668"/>
    <w:rsid w:val="005166F1"/>
    <w:rsid w:val="005167C6"/>
    <w:rsid w:val="00516B04"/>
    <w:rsid w:val="00516BBC"/>
    <w:rsid w:val="00516DF7"/>
    <w:rsid w:val="00516E4A"/>
    <w:rsid w:val="00516FE7"/>
    <w:rsid w:val="00517208"/>
    <w:rsid w:val="005172A7"/>
    <w:rsid w:val="005172E8"/>
    <w:rsid w:val="00517408"/>
    <w:rsid w:val="00517762"/>
    <w:rsid w:val="005178CE"/>
    <w:rsid w:val="005179DC"/>
    <w:rsid w:val="00517A5E"/>
    <w:rsid w:val="00517A7D"/>
    <w:rsid w:val="00517AF6"/>
    <w:rsid w:val="00517BA5"/>
    <w:rsid w:val="00517BBD"/>
    <w:rsid w:val="00517BF5"/>
    <w:rsid w:val="00517CBA"/>
    <w:rsid w:val="00517D41"/>
    <w:rsid w:val="00517DCB"/>
    <w:rsid w:val="005201BE"/>
    <w:rsid w:val="00520438"/>
    <w:rsid w:val="00520453"/>
    <w:rsid w:val="00520477"/>
    <w:rsid w:val="0052059B"/>
    <w:rsid w:val="005209E5"/>
    <w:rsid w:val="00520ACB"/>
    <w:rsid w:val="00520B0E"/>
    <w:rsid w:val="00520C65"/>
    <w:rsid w:val="00520CB4"/>
    <w:rsid w:val="00520CBA"/>
    <w:rsid w:val="00520ED1"/>
    <w:rsid w:val="00520F03"/>
    <w:rsid w:val="00520FF2"/>
    <w:rsid w:val="0052112D"/>
    <w:rsid w:val="0052122F"/>
    <w:rsid w:val="005212FB"/>
    <w:rsid w:val="00521331"/>
    <w:rsid w:val="005213EB"/>
    <w:rsid w:val="00521457"/>
    <w:rsid w:val="0052168E"/>
    <w:rsid w:val="005216C6"/>
    <w:rsid w:val="00521944"/>
    <w:rsid w:val="0052198E"/>
    <w:rsid w:val="00521AA7"/>
    <w:rsid w:val="00521B0F"/>
    <w:rsid w:val="00521B95"/>
    <w:rsid w:val="00521C1F"/>
    <w:rsid w:val="00521C22"/>
    <w:rsid w:val="00522182"/>
    <w:rsid w:val="005222AC"/>
    <w:rsid w:val="00522346"/>
    <w:rsid w:val="005224A3"/>
    <w:rsid w:val="0052252C"/>
    <w:rsid w:val="00522568"/>
    <w:rsid w:val="005225F6"/>
    <w:rsid w:val="005229E7"/>
    <w:rsid w:val="00522AD5"/>
    <w:rsid w:val="00522B8C"/>
    <w:rsid w:val="00522BA5"/>
    <w:rsid w:val="00522C7C"/>
    <w:rsid w:val="00522F10"/>
    <w:rsid w:val="00522F4D"/>
    <w:rsid w:val="00523040"/>
    <w:rsid w:val="005232F1"/>
    <w:rsid w:val="00523330"/>
    <w:rsid w:val="00523397"/>
    <w:rsid w:val="0052346E"/>
    <w:rsid w:val="00523544"/>
    <w:rsid w:val="0052378E"/>
    <w:rsid w:val="00523877"/>
    <w:rsid w:val="005239DE"/>
    <w:rsid w:val="00523B3E"/>
    <w:rsid w:val="00523C65"/>
    <w:rsid w:val="00523C9B"/>
    <w:rsid w:val="00523CDB"/>
    <w:rsid w:val="00523D86"/>
    <w:rsid w:val="00524190"/>
    <w:rsid w:val="00524196"/>
    <w:rsid w:val="005241D2"/>
    <w:rsid w:val="005241E0"/>
    <w:rsid w:val="005245AF"/>
    <w:rsid w:val="0052461F"/>
    <w:rsid w:val="0052465D"/>
    <w:rsid w:val="005246A5"/>
    <w:rsid w:val="0052478F"/>
    <w:rsid w:val="00524799"/>
    <w:rsid w:val="0052479B"/>
    <w:rsid w:val="00524843"/>
    <w:rsid w:val="0052488E"/>
    <w:rsid w:val="00524A48"/>
    <w:rsid w:val="00524A60"/>
    <w:rsid w:val="00524AA2"/>
    <w:rsid w:val="00524BCB"/>
    <w:rsid w:val="00524C1E"/>
    <w:rsid w:val="00524C34"/>
    <w:rsid w:val="00524E2E"/>
    <w:rsid w:val="00524E41"/>
    <w:rsid w:val="00524E84"/>
    <w:rsid w:val="00524F66"/>
    <w:rsid w:val="00524F73"/>
    <w:rsid w:val="00524FC5"/>
    <w:rsid w:val="00524FE6"/>
    <w:rsid w:val="00525042"/>
    <w:rsid w:val="005250BC"/>
    <w:rsid w:val="005251E5"/>
    <w:rsid w:val="005254B1"/>
    <w:rsid w:val="005255CA"/>
    <w:rsid w:val="00525683"/>
    <w:rsid w:val="0052576B"/>
    <w:rsid w:val="0052599C"/>
    <w:rsid w:val="005259E1"/>
    <w:rsid w:val="00525B27"/>
    <w:rsid w:val="00525B92"/>
    <w:rsid w:val="00525C15"/>
    <w:rsid w:val="00525C4E"/>
    <w:rsid w:val="00525E06"/>
    <w:rsid w:val="00525FC8"/>
    <w:rsid w:val="00525FDD"/>
    <w:rsid w:val="00526377"/>
    <w:rsid w:val="00526467"/>
    <w:rsid w:val="00526584"/>
    <w:rsid w:val="00526602"/>
    <w:rsid w:val="005267B8"/>
    <w:rsid w:val="0052685E"/>
    <w:rsid w:val="005269D9"/>
    <w:rsid w:val="005269DD"/>
    <w:rsid w:val="00526B73"/>
    <w:rsid w:val="00526D3C"/>
    <w:rsid w:val="00526E52"/>
    <w:rsid w:val="00527021"/>
    <w:rsid w:val="005271A8"/>
    <w:rsid w:val="00527230"/>
    <w:rsid w:val="0052742A"/>
    <w:rsid w:val="00527434"/>
    <w:rsid w:val="005274B9"/>
    <w:rsid w:val="00527519"/>
    <w:rsid w:val="0052757C"/>
    <w:rsid w:val="0052774A"/>
    <w:rsid w:val="005277CE"/>
    <w:rsid w:val="00527812"/>
    <w:rsid w:val="00527B0D"/>
    <w:rsid w:val="00527E20"/>
    <w:rsid w:val="00527E5A"/>
    <w:rsid w:val="00527F83"/>
    <w:rsid w:val="00530003"/>
    <w:rsid w:val="0053019E"/>
    <w:rsid w:val="00530353"/>
    <w:rsid w:val="00530644"/>
    <w:rsid w:val="005307EC"/>
    <w:rsid w:val="0053084C"/>
    <w:rsid w:val="00530871"/>
    <w:rsid w:val="00530979"/>
    <w:rsid w:val="00530B33"/>
    <w:rsid w:val="00530BA4"/>
    <w:rsid w:val="00530C14"/>
    <w:rsid w:val="00530C43"/>
    <w:rsid w:val="00530E66"/>
    <w:rsid w:val="00531012"/>
    <w:rsid w:val="005311EC"/>
    <w:rsid w:val="0053129C"/>
    <w:rsid w:val="0053130E"/>
    <w:rsid w:val="0053136D"/>
    <w:rsid w:val="00531391"/>
    <w:rsid w:val="005313DA"/>
    <w:rsid w:val="0053140E"/>
    <w:rsid w:val="005314DC"/>
    <w:rsid w:val="0053150E"/>
    <w:rsid w:val="00531565"/>
    <w:rsid w:val="0053169C"/>
    <w:rsid w:val="005317D6"/>
    <w:rsid w:val="005317FC"/>
    <w:rsid w:val="0053183D"/>
    <w:rsid w:val="00531887"/>
    <w:rsid w:val="00531999"/>
    <w:rsid w:val="005319D7"/>
    <w:rsid w:val="00531BC9"/>
    <w:rsid w:val="00531C11"/>
    <w:rsid w:val="00531C91"/>
    <w:rsid w:val="00531C94"/>
    <w:rsid w:val="00531DEE"/>
    <w:rsid w:val="00531E21"/>
    <w:rsid w:val="00531F40"/>
    <w:rsid w:val="0053204B"/>
    <w:rsid w:val="0053237D"/>
    <w:rsid w:val="005325A1"/>
    <w:rsid w:val="00532693"/>
    <w:rsid w:val="005326AD"/>
    <w:rsid w:val="00532728"/>
    <w:rsid w:val="0053278C"/>
    <w:rsid w:val="005329F1"/>
    <w:rsid w:val="00532A9F"/>
    <w:rsid w:val="00532AC0"/>
    <w:rsid w:val="00532C39"/>
    <w:rsid w:val="00532D92"/>
    <w:rsid w:val="00532E3C"/>
    <w:rsid w:val="00532F77"/>
    <w:rsid w:val="00533102"/>
    <w:rsid w:val="0053356B"/>
    <w:rsid w:val="005336F3"/>
    <w:rsid w:val="005337BF"/>
    <w:rsid w:val="00533825"/>
    <w:rsid w:val="005338F4"/>
    <w:rsid w:val="00533911"/>
    <w:rsid w:val="00533985"/>
    <w:rsid w:val="00533A37"/>
    <w:rsid w:val="00533A97"/>
    <w:rsid w:val="00533AE5"/>
    <w:rsid w:val="00533B3C"/>
    <w:rsid w:val="00533C8E"/>
    <w:rsid w:val="00533CF6"/>
    <w:rsid w:val="00533F34"/>
    <w:rsid w:val="00534022"/>
    <w:rsid w:val="005340BB"/>
    <w:rsid w:val="00534181"/>
    <w:rsid w:val="0053432E"/>
    <w:rsid w:val="0053435E"/>
    <w:rsid w:val="005344A8"/>
    <w:rsid w:val="0053450F"/>
    <w:rsid w:val="005345D9"/>
    <w:rsid w:val="0053482D"/>
    <w:rsid w:val="00534831"/>
    <w:rsid w:val="00534851"/>
    <w:rsid w:val="00534880"/>
    <w:rsid w:val="00534A36"/>
    <w:rsid w:val="00534A4A"/>
    <w:rsid w:val="00534A9E"/>
    <w:rsid w:val="00534B1E"/>
    <w:rsid w:val="00534DE2"/>
    <w:rsid w:val="00534F1D"/>
    <w:rsid w:val="00534F32"/>
    <w:rsid w:val="00534F80"/>
    <w:rsid w:val="00535178"/>
    <w:rsid w:val="00535383"/>
    <w:rsid w:val="00535443"/>
    <w:rsid w:val="00535485"/>
    <w:rsid w:val="00535562"/>
    <w:rsid w:val="00535576"/>
    <w:rsid w:val="005356B5"/>
    <w:rsid w:val="00535904"/>
    <w:rsid w:val="00535A21"/>
    <w:rsid w:val="00535C00"/>
    <w:rsid w:val="00535CF0"/>
    <w:rsid w:val="00535D2E"/>
    <w:rsid w:val="00535D6C"/>
    <w:rsid w:val="00535D86"/>
    <w:rsid w:val="00535DBD"/>
    <w:rsid w:val="00535E7F"/>
    <w:rsid w:val="00535F42"/>
    <w:rsid w:val="00535F59"/>
    <w:rsid w:val="00536015"/>
    <w:rsid w:val="00536017"/>
    <w:rsid w:val="0053602C"/>
    <w:rsid w:val="0053620C"/>
    <w:rsid w:val="00536256"/>
    <w:rsid w:val="005362FA"/>
    <w:rsid w:val="005363EB"/>
    <w:rsid w:val="005364FD"/>
    <w:rsid w:val="00536585"/>
    <w:rsid w:val="0053661A"/>
    <w:rsid w:val="00536672"/>
    <w:rsid w:val="00536783"/>
    <w:rsid w:val="0053688A"/>
    <w:rsid w:val="005368D2"/>
    <w:rsid w:val="00536A7C"/>
    <w:rsid w:val="00536B49"/>
    <w:rsid w:val="00536B86"/>
    <w:rsid w:val="00536C96"/>
    <w:rsid w:val="00536D19"/>
    <w:rsid w:val="00536D5B"/>
    <w:rsid w:val="00536E8A"/>
    <w:rsid w:val="00536F08"/>
    <w:rsid w:val="005370A8"/>
    <w:rsid w:val="005370DD"/>
    <w:rsid w:val="0053723C"/>
    <w:rsid w:val="0053725C"/>
    <w:rsid w:val="005372BF"/>
    <w:rsid w:val="005372E0"/>
    <w:rsid w:val="00537436"/>
    <w:rsid w:val="00537513"/>
    <w:rsid w:val="00537542"/>
    <w:rsid w:val="00537559"/>
    <w:rsid w:val="00537579"/>
    <w:rsid w:val="00537592"/>
    <w:rsid w:val="00537624"/>
    <w:rsid w:val="00537651"/>
    <w:rsid w:val="005376AD"/>
    <w:rsid w:val="005376B3"/>
    <w:rsid w:val="00537827"/>
    <w:rsid w:val="005378A3"/>
    <w:rsid w:val="00537906"/>
    <w:rsid w:val="00537909"/>
    <w:rsid w:val="00537927"/>
    <w:rsid w:val="005379C3"/>
    <w:rsid w:val="005379CE"/>
    <w:rsid w:val="00537A80"/>
    <w:rsid w:val="00537AD5"/>
    <w:rsid w:val="00537C47"/>
    <w:rsid w:val="00537C57"/>
    <w:rsid w:val="00537CB2"/>
    <w:rsid w:val="00537CBE"/>
    <w:rsid w:val="00537D46"/>
    <w:rsid w:val="00537D67"/>
    <w:rsid w:val="00537D74"/>
    <w:rsid w:val="00537EF3"/>
    <w:rsid w:val="00540171"/>
    <w:rsid w:val="00540193"/>
    <w:rsid w:val="005401D8"/>
    <w:rsid w:val="005403A6"/>
    <w:rsid w:val="005403C6"/>
    <w:rsid w:val="00540455"/>
    <w:rsid w:val="0054047D"/>
    <w:rsid w:val="0054057C"/>
    <w:rsid w:val="005405C2"/>
    <w:rsid w:val="00540614"/>
    <w:rsid w:val="005406A0"/>
    <w:rsid w:val="005406A9"/>
    <w:rsid w:val="00540724"/>
    <w:rsid w:val="0054077D"/>
    <w:rsid w:val="005407A0"/>
    <w:rsid w:val="005407BA"/>
    <w:rsid w:val="005407BE"/>
    <w:rsid w:val="0054091F"/>
    <w:rsid w:val="00540928"/>
    <w:rsid w:val="0054092D"/>
    <w:rsid w:val="00540A20"/>
    <w:rsid w:val="00540A4F"/>
    <w:rsid w:val="00540A62"/>
    <w:rsid w:val="00540AE8"/>
    <w:rsid w:val="00540E45"/>
    <w:rsid w:val="00540E64"/>
    <w:rsid w:val="00540F35"/>
    <w:rsid w:val="00540FB9"/>
    <w:rsid w:val="0054102F"/>
    <w:rsid w:val="0054119D"/>
    <w:rsid w:val="0054125D"/>
    <w:rsid w:val="00541276"/>
    <w:rsid w:val="00541288"/>
    <w:rsid w:val="005412ED"/>
    <w:rsid w:val="0054130D"/>
    <w:rsid w:val="00541387"/>
    <w:rsid w:val="005413BF"/>
    <w:rsid w:val="005414D1"/>
    <w:rsid w:val="00541624"/>
    <w:rsid w:val="0054165B"/>
    <w:rsid w:val="005417BA"/>
    <w:rsid w:val="00541898"/>
    <w:rsid w:val="005418E8"/>
    <w:rsid w:val="00541ACA"/>
    <w:rsid w:val="00541CC8"/>
    <w:rsid w:val="00541DE6"/>
    <w:rsid w:val="00541E33"/>
    <w:rsid w:val="00542059"/>
    <w:rsid w:val="005420D0"/>
    <w:rsid w:val="00542170"/>
    <w:rsid w:val="0054222D"/>
    <w:rsid w:val="0054233F"/>
    <w:rsid w:val="005423D5"/>
    <w:rsid w:val="005423D6"/>
    <w:rsid w:val="0054241A"/>
    <w:rsid w:val="00542467"/>
    <w:rsid w:val="00542488"/>
    <w:rsid w:val="00542501"/>
    <w:rsid w:val="00542639"/>
    <w:rsid w:val="00542851"/>
    <w:rsid w:val="00542892"/>
    <w:rsid w:val="005428B3"/>
    <w:rsid w:val="00542919"/>
    <w:rsid w:val="00542966"/>
    <w:rsid w:val="005429C4"/>
    <w:rsid w:val="005429F4"/>
    <w:rsid w:val="00542AA0"/>
    <w:rsid w:val="00542CD5"/>
    <w:rsid w:val="00542D0A"/>
    <w:rsid w:val="00542E7A"/>
    <w:rsid w:val="00543032"/>
    <w:rsid w:val="0054316A"/>
    <w:rsid w:val="005431AF"/>
    <w:rsid w:val="0054327F"/>
    <w:rsid w:val="005433A1"/>
    <w:rsid w:val="005434A4"/>
    <w:rsid w:val="00543531"/>
    <w:rsid w:val="0054354E"/>
    <w:rsid w:val="00543647"/>
    <w:rsid w:val="005437AC"/>
    <w:rsid w:val="005437CD"/>
    <w:rsid w:val="0054381D"/>
    <w:rsid w:val="00543937"/>
    <w:rsid w:val="005439AE"/>
    <w:rsid w:val="00543A1D"/>
    <w:rsid w:val="00543A5D"/>
    <w:rsid w:val="00543DEF"/>
    <w:rsid w:val="00544110"/>
    <w:rsid w:val="00544162"/>
    <w:rsid w:val="0054418A"/>
    <w:rsid w:val="0054440A"/>
    <w:rsid w:val="0054452F"/>
    <w:rsid w:val="00544A64"/>
    <w:rsid w:val="00544B36"/>
    <w:rsid w:val="00544C41"/>
    <w:rsid w:val="00544C70"/>
    <w:rsid w:val="00544C9C"/>
    <w:rsid w:val="00544D1B"/>
    <w:rsid w:val="00544D42"/>
    <w:rsid w:val="00544D4B"/>
    <w:rsid w:val="00544D58"/>
    <w:rsid w:val="00544DB9"/>
    <w:rsid w:val="00544E19"/>
    <w:rsid w:val="00544E46"/>
    <w:rsid w:val="00544E5B"/>
    <w:rsid w:val="00544EE2"/>
    <w:rsid w:val="005450D7"/>
    <w:rsid w:val="00545132"/>
    <w:rsid w:val="005452F1"/>
    <w:rsid w:val="00545342"/>
    <w:rsid w:val="00545366"/>
    <w:rsid w:val="005453D9"/>
    <w:rsid w:val="00545429"/>
    <w:rsid w:val="00545538"/>
    <w:rsid w:val="00545565"/>
    <w:rsid w:val="00545641"/>
    <w:rsid w:val="0054566E"/>
    <w:rsid w:val="00545890"/>
    <w:rsid w:val="00545B34"/>
    <w:rsid w:val="00545BEC"/>
    <w:rsid w:val="00545CEE"/>
    <w:rsid w:val="00545D98"/>
    <w:rsid w:val="00545E25"/>
    <w:rsid w:val="00545E29"/>
    <w:rsid w:val="00545E6B"/>
    <w:rsid w:val="00545FB7"/>
    <w:rsid w:val="00546020"/>
    <w:rsid w:val="0054609D"/>
    <w:rsid w:val="005461A0"/>
    <w:rsid w:val="00546242"/>
    <w:rsid w:val="005463BD"/>
    <w:rsid w:val="00546433"/>
    <w:rsid w:val="00546536"/>
    <w:rsid w:val="0054669B"/>
    <w:rsid w:val="00546841"/>
    <w:rsid w:val="00546849"/>
    <w:rsid w:val="005468CB"/>
    <w:rsid w:val="00546927"/>
    <w:rsid w:val="0054694B"/>
    <w:rsid w:val="00546A15"/>
    <w:rsid w:val="00546ABF"/>
    <w:rsid w:val="00546CFB"/>
    <w:rsid w:val="00546DE8"/>
    <w:rsid w:val="00547097"/>
    <w:rsid w:val="00547433"/>
    <w:rsid w:val="00547506"/>
    <w:rsid w:val="005475DD"/>
    <w:rsid w:val="005477F9"/>
    <w:rsid w:val="00547931"/>
    <w:rsid w:val="0054797F"/>
    <w:rsid w:val="00547A1D"/>
    <w:rsid w:val="00547A5E"/>
    <w:rsid w:val="00547AFE"/>
    <w:rsid w:val="00547C01"/>
    <w:rsid w:val="00547C12"/>
    <w:rsid w:val="00547C4E"/>
    <w:rsid w:val="00547CE6"/>
    <w:rsid w:val="00547F5E"/>
    <w:rsid w:val="005502D6"/>
    <w:rsid w:val="005503B6"/>
    <w:rsid w:val="00550426"/>
    <w:rsid w:val="0055065A"/>
    <w:rsid w:val="00550821"/>
    <w:rsid w:val="0055099F"/>
    <w:rsid w:val="00550C00"/>
    <w:rsid w:val="00550DD3"/>
    <w:rsid w:val="00550E78"/>
    <w:rsid w:val="00551023"/>
    <w:rsid w:val="00551094"/>
    <w:rsid w:val="0055125A"/>
    <w:rsid w:val="0055129D"/>
    <w:rsid w:val="005513A9"/>
    <w:rsid w:val="00551412"/>
    <w:rsid w:val="00551415"/>
    <w:rsid w:val="00551489"/>
    <w:rsid w:val="005514A6"/>
    <w:rsid w:val="005515D8"/>
    <w:rsid w:val="00551731"/>
    <w:rsid w:val="00551737"/>
    <w:rsid w:val="00551A5A"/>
    <w:rsid w:val="00551ABA"/>
    <w:rsid w:val="00551BD5"/>
    <w:rsid w:val="00551C1C"/>
    <w:rsid w:val="00551E11"/>
    <w:rsid w:val="00551EB7"/>
    <w:rsid w:val="00551F97"/>
    <w:rsid w:val="00551FE6"/>
    <w:rsid w:val="0055203E"/>
    <w:rsid w:val="0055210C"/>
    <w:rsid w:val="00552310"/>
    <w:rsid w:val="0055234C"/>
    <w:rsid w:val="0055236E"/>
    <w:rsid w:val="005523B2"/>
    <w:rsid w:val="00552428"/>
    <w:rsid w:val="005528BE"/>
    <w:rsid w:val="005528DF"/>
    <w:rsid w:val="00552917"/>
    <w:rsid w:val="005529CB"/>
    <w:rsid w:val="00552AD8"/>
    <w:rsid w:val="00552FEB"/>
    <w:rsid w:val="0055315A"/>
    <w:rsid w:val="0055328B"/>
    <w:rsid w:val="00553610"/>
    <w:rsid w:val="0055364E"/>
    <w:rsid w:val="00553702"/>
    <w:rsid w:val="00553793"/>
    <w:rsid w:val="0055381A"/>
    <w:rsid w:val="00553985"/>
    <w:rsid w:val="00553AE0"/>
    <w:rsid w:val="00553BEF"/>
    <w:rsid w:val="00553CC1"/>
    <w:rsid w:val="00553E6B"/>
    <w:rsid w:val="005540EF"/>
    <w:rsid w:val="00554133"/>
    <w:rsid w:val="005544A5"/>
    <w:rsid w:val="005547B9"/>
    <w:rsid w:val="005548FF"/>
    <w:rsid w:val="00554944"/>
    <w:rsid w:val="0055494E"/>
    <w:rsid w:val="00554AA3"/>
    <w:rsid w:val="00554BE4"/>
    <w:rsid w:val="00554DE9"/>
    <w:rsid w:val="00554F30"/>
    <w:rsid w:val="00554F44"/>
    <w:rsid w:val="00554FFF"/>
    <w:rsid w:val="0055510F"/>
    <w:rsid w:val="0055511C"/>
    <w:rsid w:val="0055519F"/>
    <w:rsid w:val="00555204"/>
    <w:rsid w:val="00555302"/>
    <w:rsid w:val="00555479"/>
    <w:rsid w:val="00555609"/>
    <w:rsid w:val="00555688"/>
    <w:rsid w:val="005557EC"/>
    <w:rsid w:val="005557FF"/>
    <w:rsid w:val="00555858"/>
    <w:rsid w:val="005558B2"/>
    <w:rsid w:val="00555A4E"/>
    <w:rsid w:val="00555C5C"/>
    <w:rsid w:val="00555DD8"/>
    <w:rsid w:val="00556031"/>
    <w:rsid w:val="0055615C"/>
    <w:rsid w:val="00556290"/>
    <w:rsid w:val="005562B9"/>
    <w:rsid w:val="005564FD"/>
    <w:rsid w:val="005565B1"/>
    <w:rsid w:val="005566D5"/>
    <w:rsid w:val="0055671B"/>
    <w:rsid w:val="00556791"/>
    <w:rsid w:val="005567A9"/>
    <w:rsid w:val="00556853"/>
    <w:rsid w:val="00556957"/>
    <w:rsid w:val="00556983"/>
    <w:rsid w:val="00556AB8"/>
    <w:rsid w:val="00556ACC"/>
    <w:rsid w:val="00556B6F"/>
    <w:rsid w:val="00556BAA"/>
    <w:rsid w:val="00556FBE"/>
    <w:rsid w:val="00557182"/>
    <w:rsid w:val="005571AB"/>
    <w:rsid w:val="005571C7"/>
    <w:rsid w:val="0055720B"/>
    <w:rsid w:val="00557264"/>
    <w:rsid w:val="00557333"/>
    <w:rsid w:val="00557442"/>
    <w:rsid w:val="00557460"/>
    <w:rsid w:val="005574F8"/>
    <w:rsid w:val="005576D5"/>
    <w:rsid w:val="00557703"/>
    <w:rsid w:val="00557806"/>
    <w:rsid w:val="0055791A"/>
    <w:rsid w:val="0055795F"/>
    <w:rsid w:val="00557B3B"/>
    <w:rsid w:val="00557B70"/>
    <w:rsid w:val="00557E68"/>
    <w:rsid w:val="00557EA9"/>
    <w:rsid w:val="00557F2D"/>
    <w:rsid w:val="00557FCA"/>
    <w:rsid w:val="005600D8"/>
    <w:rsid w:val="0056015E"/>
    <w:rsid w:val="005601C8"/>
    <w:rsid w:val="005601DB"/>
    <w:rsid w:val="00560287"/>
    <w:rsid w:val="00560368"/>
    <w:rsid w:val="00560439"/>
    <w:rsid w:val="0056045B"/>
    <w:rsid w:val="00560498"/>
    <w:rsid w:val="005604DC"/>
    <w:rsid w:val="00560565"/>
    <w:rsid w:val="00560642"/>
    <w:rsid w:val="005607BA"/>
    <w:rsid w:val="005608D1"/>
    <w:rsid w:val="00560920"/>
    <w:rsid w:val="00560A25"/>
    <w:rsid w:val="00560B1D"/>
    <w:rsid w:val="00560B1F"/>
    <w:rsid w:val="00560B24"/>
    <w:rsid w:val="00560BE2"/>
    <w:rsid w:val="00560C5E"/>
    <w:rsid w:val="00560D79"/>
    <w:rsid w:val="00560E5F"/>
    <w:rsid w:val="00560EF8"/>
    <w:rsid w:val="00561025"/>
    <w:rsid w:val="0056108F"/>
    <w:rsid w:val="00561200"/>
    <w:rsid w:val="0056122A"/>
    <w:rsid w:val="00561267"/>
    <w:rsid w:val="005612C9"/>
    <w:rsid w:val="0056143D"/>
    <w:rsid w:val="005614AF"/>
    <w:rsid w:val="005614DE"/>
    <w:rsid w:val="0056155B"/>
    <w:rsid w:val="0056158A"/>
    <w:rsid w:val="005615A1"/>
    <w:rsid w:val="005616EC"/>
    <w:rsid w:val="0056170B"/>
    <w:rsid w:val="00561788"/>
    <w:rsid w:val="00561857"/>
    <w:rsid w:val="005619AE"/>
    <w:rsid w:val="005619D5"/>
    <w:rsid w:val="00561A96"/>
    <w:rsid w:val="00561AA2"/>
    <w:rsid w:val="00561BE5"/>
    <w:rsid w:val="00561C04"/>
    <w:rsid w:val="00561CBC"/>
    <w:rsid w:val="00561EED"/>
    <w:rsid w:val="00561FFC"/>
    <w:rsid w:val="005620BF"/>
    <w:rsid w:val="0056223B"/>
    <w:rsid w:val="005623D0"/>
    <w:rsid w:val="005624BB"/>
    <w:rsid w:val="005625A8"/>
    <w:rsid w:val="005626EA"/>
    <w:rsid w:val="00562850"/>
    <w:rsid w:val="005629E5"/>
    <w:rsid w:val="00562DAE"/>
    <w:rsid w:val="00562E7A"/>
    <w:rsid w:val="00562F96"/>
    <w:rsid w:val="00563021"/>
    <w:rsid w:val="00563052"/>
    <w:rsid w:val="0056333C"/>
    <w:rsid w:val="0056335F"/>
    <w:rsid w:val="005634D4"/>
    <w:rsid w:val="005634E4"/>
    <w:rsid w:val="005635B5"/>
    <w:rsid w:val="00563640"/>
    <w:rsid w:val="00563745"/>
    <w:rsid w:val="00563899"/>
    <w:rsid w:val="00563990"/>
    <w:rsid w:val="00563991"/>
    <w:rsid w:val="00563A45"/>
    <w:rsid w:val="00563A5F"/>
    <w:rsid w:val="00563C7B"/>
    <w:rsid w:val="00563D31"/>
    <w:rsid w:val="00563DC4"/>
    <w:rsid w:val="00563DD5"/>
    <w:rsid w:val="00563E27"/>
    <w:rsid w:val="00563F10"/>
    <w:rsid w:val="0056420A"/>
    <w:rsid w:val="00564232"/>
    <w:rsid w:val="005642A4"/>
    <w:rsid w:val="005642E5"/>
    <w:rsid w:val="005644D8"/>
    <w:rsid w:val="00564651"/>
    <w:rsid w:val="00564695"/>
    <w:rsid w:val="00564708"/>
    <w:rsid w:val="00564749"/>
    <w:rsid w:val="00564842"/>
    <w:rsid w:val="00564AED"/>
    <w:rsid w:val="00564B6E"/>
    <w:rsid w:val="00564B82"/>
    <w:rsid w:val="00564CC4"/>
    <w:rsid w:val="00564F55"/>
    <w:rsid w:val="00564F75"/>
    <w:rsid w:val="00565207"/>
    <w:rsid w:val="005652A8"/>
    <w:rsid w:val="00565461"/>
    <w:rsid w:val="005654D6"/>
    <w:rsid w:val="005655DA"/>
    <w:rsid w:val="005657C2"/>
    <w:rsid w:val="0056588C"/>
    <w:rsid w:val="00565C82"/>
    <w:rsid w:val="00565C9C"/>
    <w:rsid w:val="00565DA1"/>
    <w:rsid w:val="00565DE8"/>
    <w:rsid w:val="00565F9E"/>
    <w:rsid w:val="00566032"/>
    <w:rsid w:val="0056605E"/>
    <w:rsid w:val="0056607E"/>
    <w:rsid w:val="0056615A"/>
    <w:rsid w:val="005661F3"/>
    <w:rsid w:val="005662B5"/>
    <w:rsid w:val="00566464"/>
    <w:rsid w:val="00566492"/>
    <w:rsid w:val="005664FF"/>
    <w:rsid w:val="005665BB"/>
    <w:rsid w:val="00566737"/>
    <w:rsid w:val="00566793"/>
    <w:rsid w:val="00566835"/>
    <w:rsid w:val="0056684D"/>
    <w:rsid w:val="00566940"/>
    <w:rsid w:val="00566B2B"/>
    <w:rsid w:val="00566BA9"/>
    <w:rsid w:val="00566BF5"/>
    <w:rsid w:val="00566D44"/>
    <w:rsid w:val="00566FC8"/>
    <w:rsid w:val="00567043"/>
    <w:rsid w:val="005672D6"/>
    <w:rsid w:val="005673FD"/>
    <w:rsid w:val="00567411"/>
    <w:rsid w:val="005674A6"/>
    <w:rsid w:val="005675F8"/>
    <w:rsid w:val="00567771"/>
    <w:rsid w:val="0056777B"/>
    <w:rsid w:val="0056798C"/>
    <w:rsid w:val="00567B30"/>
    <w:rsid w:val="00567B77"/>
    <w:rsid w:val="00567DAE"/>
    <w:rsid w:val="00567FB4"/>
    <w:rsid w:val="0057000C"/>
    <w:rsid w:val="00570144"/>
    <w:rsid w:val="00570193"/>
    <w:rsid w:val="005701FC"/>
    <w:rsid w:val="005703EC"/>
    <w:rsid w:val="00570521"/>
    <w:rsid w:val="0057056D"/>
    <w:rsid w:val="0057057A"/>
    <w:rsid w:val="00570602"/>
    <w:rsid w:val="00570624"/>
    <w:rsid w:val="00570637"/>
    <w:rsid w:val="0057067B"/>
    <w:rsid w:val="0057072D"/>
    <w:rsid w:val="00570773"/>
    <w:rsid w:val="00570925"/>
    <w:rsid w:val="00570948"/>
    <w:rsid w:val="00570961"/>
    <w:rsid w:val="00570B5A"/>
    <w:rsid w:val="00570B7C"/>
    <w:rsid w:val="00570C4C"/>
    <w:rsid w:val="00570EE0"/>
    <w:rsid w:val="00570F9B"/>
    <w:rsid w:val="005715CF"/>
    <w:rsid w:val="00571640"/>
    <w:rsid w:val="005717B4"/>
    <w:rsid w:val="005717DB"/>
    <w:rsid w:val="00571838"/>
    <w:rsid w:val="00571954"/>
    <w:rsid w:val="005719FC"/>
    <w:rsid w:val="00571A22"/>
    <w:rsid w:val="00571A31"/>
    <w:rsid w:val="00571E8A"/>
    <w:rsid w:val="00571EED"/>
    <w:rsid w:val="00572127"/>
    <w:rsid w:val="0057213A"/>
    <w:rsid w:val="005722BF"/>
    <w:rsid w:val="005725F6"/>
    <w:rsid w:val="005726FB"/>
    <w:rsid w:val="00572714"/>
    <w:rsid w:val="005727FB"/>
    <w:rsid w:val="005729CE"/>
    <w:rsid w:val="00572B26"/>
    <w:rsid w:val="00572B59"/>
    <w:rsid w:val="00572DAB"/>
    <w:rsid w:val="00572E4D"/>
    <w:rsid w:val="00572E57"/>
    <w:rsid w:val="0057302C"/>
    <w:rsid w:val="0057314D"/>
    <w:rsid w:val="005731B8"/>
    <w:rsid w:val="0057338C"/>
    <w:rsid w:val="005735D4"/>
    <w:rsid w:val="00573640"/>
    <w:rsid w:val="00573764"/>
    <w:rsid w:val="0057385C"/>
    <w:rsid w:val="00573975"/>
    <w:rsid w:val="00573988"/>
    <w:rsid w:val="005739AB"/>
    <w:rsid w:val="00573B6F"/>
    <w:rsid w:val="00573E2F"/>
    <w:rsid w:val="00573ECA"/>
    <w:rsid w:val="00573F42"/>
    <w:rsid w:val="00573F87"/>
    <w:rsid w:val="00573FDA"/>
    <w:rsid w:val="00574009"/>
    <w:rsid w:val="0057403B"/>
    <w:rsid w:val="005740D6"/>
    <w:rsid w:val="005740E1"/>
    <w:rsid w:val="00574185"/>
    <w:rsid w:val="005741AD"/>
    <w:rsid w:val="0057420E"/>
    <w:rsid w:val="00574221"/>
    <w:rsid w:val="00574232"/>
    <w:rsid w:val="005742A0"/>
    <w:rsid w:val="00574333"/>
    <w:rsid w:val="00574372"/>
    <w:rsid w:val="0057439A"/>
    <w:rsid w:val="005743CC"/>
    <w:rsid w:val="00574480"/>
    <w:rsid w:val="005747FB"/>
    <w:rsid w:val="005748BF"/>
    <w:rsid w:val="00574BE9"/>
    <w:rsid w:val="00574C19"/>
    <w:rsid w:val="00574C8E"/>
    <w:rsid w:val="00574CF0"/>
    <w:rsid w:val="00574DE9"/>
    <w:rsid w:val="00574E1A"/>
    <w:rsid w:val="00574E4D"/>
    <w:rsid w:val="00574E9D"/>
    <w:rsid w:val="00574EDE"/>
    <w:rsid w:val="00575209"/>
    <w:rsid w:val="00575271"/>
    <w:rsid w:val="00575392"/>
    <w:rsid w:val="00575417"/>
    <w:rsid w:val="00575425"/>
    <w:rsid w:val="005754B7"/>
    <w:rsid w:val="005754E4"/>
    <w:rsid w:val="00575595"/>
    <w:rsid w:val="00575704"/>
    <w:rsid w:val="00575718"/>
    <w:rsid w:val="00575853"/>
    <w:rsid w:val="005758DA"/>
    <w:rsid w:val="00575907"/>
    <w:rsid w:val="0057591F"/>
    <w:rsid w:val="00575933"/>
    <w:rsid w:val="00575B0A"/>
    <w:rsid w:val="00575BA5"/>
    <w:rsid w:val="00575CA8"/>
    <w:rsid w:val="00575CA9"/>
    <w:rsid w:val="00575D41"/>
    <w:rsid w:val="00575D96"/>
    <w:rsid w:val="00575F7E"/>
    <w:rsid w:val="00575FFC"/>
    <w:rsid w:val="005760D2"/>
    <w:rsid w:val="005762AC"/>
    <w:rsid w:val="00576315"/>
    <w:rsid w:val="0057664E"/>
    <w:rsid w:val="0057664F"/>
    <w:rsid w:val="0057672B"/>
    <w:rsid w:val="0057687B"/>
    <w:rsid w:val="005768DF"/>
    <w:rsid w:val="00576937"/>
    <w:rsid w:val="005769B6"/>
    <w:rsid w:val="00576B58"/>
    <w:rsid w:val="00576D21"/>
    <w:rsid w:val="00576DDE"/>
    <w:rsid w:val="00576F7B"/>
    <w:rsid w:val="00577034"/>
    <w:rsid w:val="005770E2"/>
    <w:rsid w:val="005772AF"/>
    <w:rsid w:val="0057733F"/>
    <w:rsid w:val="005773FE"/>
    <w:rsid w:val="00577527"/>
    <w:rsid w:val="00577609"/>
    <w:rsid w:val="0057760D"/>
    <w:rsid w:val="0057784F"/>
    <w:rsid w:val="005778A3"/>
    <w:rsid w:val="005778D7"/>
    <w:rsid w:val="0057792B"/>
    <w:rsid w:val="00577A08"/>
    <w:rsid w:val="00577A81"/>
    <w:rsid w:val="00577A90"/>
    <w:rsid w:val="00577DAC"/>
    <w:rsid w:val="00577E93"/>
    <w:rsid w:val="00577EA4"/>
    <w:rsid w:val="00577ECD"/>
    <w:rsid w:val="00577ED5"/>
    <w:rsid w:val="00577F09"/>
    <w:rsid w:val="00580007"/>
    <w:rsid w:val="00580138"/>
    <w:rsid w:val="00580196"/>
    <w:rsid w:val="00580427"/>
    <w:rsid w:val="0058059F"/>
    <w:rsid w:val="00580717"/>
    <w:rsid w:val="00580B28"/>
    <w:rsid w:val="00580C9B"/>
    <w:rsid w:val="00580DAA"/>
    <w:rsid w:val="00580F04"/>
    <w:rsid w:val="00580F80"/>
    <w:rsid w:val="00580F93"/>
    <w:rsid w:val="00581108"/>
    <w:rsid w:val="00581220"/>
    <w:rsid w:val="005812A5"/>
    <w:rsid w:val="00581388"/>
    <w:rsid w:val="005813A8"/>
    <w:rsid w:val="0058145A"/>
    <w:rsid w:val="005815B0"/>
    <w:rsid w:val="00581635"/>
    <w:rsid w:val="00581651"/>
    <w:rsid w:val="005818B3"/>
    <w:rsid w:val="00581936"/>
    <w:rsid w:val="005819AE"/>
    <w:rsid w:val="005819EC"/>
    <w:rsid w:val="00581A87"/>
    <w:rsid w:val="00581B2C"/>
    <w:rsid w:val="00581C5F"/>
    <w:rsid w:val="00581CB1"/>
    <w:rsid w:val="00581D27"/>
    <w:rsid w:val="0058213E"/>
    <w:rsid w:val="0058246D"/>
    <w:rsid w:val="00582481"/>
    <w:rsid w:val="005824F5"/>
    <w:rsid w:val="005827E9"/>
    <w:rsid w:val="0058285E"/>
    <w:rsid w:val="00582956"/>
    <w:rsid w:val="0058299F"/>
    <w:rsid w:val="00582B26"/>
    <w:rsid w:val="00582BD2"/>
    <w:rsid w:val="00582BE5"/>
    <w:rsid w:val="00582D38"/>
    <w:rsid w:val="00582D96"/>
    <w:rsid w:val="00582F0D"/>
    <w:rsid w:val="00582FC5"/>
    <w:rsid w:val="00583018"/>
    <w:rsid w:val="0058307B"/>
    <w:rsid w:val="005831F2"/>
    <w:rsid w:val="005832F4"/>
    <w:rsid w:val="0058356D"/>
    <w:rsid w:val="00583595"/>
    <w:rsid w:val="0058362B"/>
    <w:rsid w:val="00583716"/>
    <w:rsid w:val="005837F3"/>
    <w:rsid w:val="005838DC"/>
    <w:rsid w:val="00583990"/>
    <w:rsid w:val="00583A76"/>
    <w:rsid w:val="00583AEC"/>
    <w:rsid w:val="00583B2B"/>
    <w:rsid w:val="00583BBB"/>
    <w:rsid w:val="00583BFD"/>
    <w:rsid w:val="00583CD8"/>
    <w:rsid w:val="00583CE7"/>
    <w:rsid w:val="00583E03"/>
    <w:rsid w:val="005840BA"/>
    <w:rsid w:val="005840F1"/>
    <w:rsid w:val="00584183"/>
    <w:rsid w:val="00584242"/>
    <w:rsid w:val="00584281"/>
    <w:rsid w:val="005842D7"/>
    <w:rsid w:val="005842EF"/>
    <w:rsid w:val="00584354"/>
    <w:rsid w:val="00584373"/>
    <w:rsid w:val="00584376"/>
    <w:rsid w:val="005844C2"/>
    <w:rsid w:val="00584615"/>
    <w:rsid w:val="00584641"/>
    <w:rsid w:val="0058477F"/>
    <w:rsid w:val="00584982"/>
    <w:rsid w:val="00584B6C"/>
    <w:rsid w:val="00584B8B"/>
    <w:rsid w:val="00584C86"/>
    <w:rsid w:val="00584D5E"/>
    <w:rsid w:val="00584DEB"/>
    <w:rsid w:val="00584F0D"/>
    <w:rsid w:val="00585097"/>
    <w:rsid w:val="005850DB"/>
    <w:rsid w:val="0058519C"/>
    <w:rsid w:val="00585245"/>
    <w:rsid w:val="0058536C"/>
    <w:rsid w:val="005854D3"/>
    <w:rsid w:val="005855D5"/>
    <w:rsid w:val="00585619"/>
    <w:rsid w:val="0058568A"/>
    <w:rsid w:val="005858DA"/>
    <w:rsid w:val="0058599D"/>
    <w:rsid w:val="00585A6A"/>
    <w:rsid w:val="00585A9B"/>
    <w:rsid w:val="00585B55"/>
    <w:rsid w:val="00585B84"/>
    <w:rsid w:val="00585BA2"/>
    <w:rsid w:val="00585E40"/>
    <w:rsid w:val="00585E43"/>
    <w:rsid w:val="00585E68"/>
    <w:rsid w:val="00585EDA"/>
    <w:rsid w:val="00585FD2"/>
    <w:rsid w:val="00585FF8"/>
    <w:rsid w:val="00586067"/>
    <w:rsid w:val="00586189"/>
    <w:rsid w:val="005862A3"/>
    <w:rsid w:val="005863AC"/>
    <w:rsid w:val="005863D8"/>
    <w:rsid w:val="005864E7"/>
    <w:rsid w:val="00586620"/>
    <w:rsid w:val="0058662F"/>
    <w:rsid w:val="00586634"/>
    <w:rsid w:val="00586786"/>
    <w:rsid w:val="005867E9"/>
    <w:rsid w:val="0058686A"/>
    <w:rsid w:val="005868D3"/>
    <w:rsid w:val="00586ABB"/>
    <w:rsid w:val="00586D29"/>
    <w:rsid w:val="00586E31"/>
    <w:rsid w:val="00586E56"/>
    <w:rsid w:val="00586EF3"/>
    <w:rsid w:val="00586FF3"/>
    <w:rsid w:val="00587095"/>
    <w:rsid w:val="005870D7"/>
    <w:rsid w:val="0058713B"/>
    <w:rsid w:val="0058716B"/>
    <w:rsid w:val="005871F7"/>
    <w:rsid w:val="00587203"/>
    <w:rsid w:val="00587468"/>
    <w:rsid w:val="0058748E"/>
    <w:rsid w:val="005875D0"/>
    <w:rsid w:val="00587800"/>
    <w:rsid w:val="0058785E"/>
    <w:rsid w:val="00587957"/>
    <w:rsid w:val="00587A53"/>
    <w:rsid w:val="00587A63"/>
    <w:rsid w:val="00587A75"/>
    <w:rsid w:val="00587B10"/>
    <w:rsid w:val="00587B55"/>
    <w:rsid w:val="00587C6B"/>
    <w:rsid w:val="00587C7A"/>
    <w:rsid w:val="00587D55"/>
    <w:rsid w:val="00587E47"/>
    <w:rsid w:val="00587F62"/>
    <w:rsid w:val="005901E6"/>
    <w:rsid w:val="0059028D"/>
    <w:rsid w:val="005902FA"/>
    <w:rsid w:val="00590780"/>
    <w:rsid w:val="00590782"/>
    <w:rsid w:val="00590A66"/>
    <w:rsid w:val="00590AAC"/>
    <w:rsid w:val="00590B4C"/>
    <w:rsid w:val="00590B74"/>
    <w:rsid w:val="00590CFF"/>
    <w:rsid w:val="00590EA6"/>
    <w:rsid w:val="00590EC4"/>
    <w:rsid w:val="00590EE1"/>
    <w:rsid w:val="00590EEA"/>
    <w:rsid w:val="00590F05"/>
    <w:rsid w:val="00591074"/>
    <w:rsid w:val="005910C4"/>
    <w:rsid w:val="005910F4"/>
    <w:rsid w:val="005911BE"/>
    <w:rsid w:val="00591411"/>
    <w:rsid w:val="005914BC"/>
    <w:rsid w:val="005915B4"/>
    <w:rsid w:val="00591706"/>
    <w:rsid w:val="00591775"/>
    <w:rsid w:val="00591879"/>
    <w:rsid w:val="005919AF"/>
    <w:rsid w:val="00591B87"/>
    <w:rsid w:val="00591C8E"/>
    <w:rsid w:val="00591CB8"/>
    <w:rsid w:val="00591D29"/>
    <w:rsid w:val="00591E0A"/>
    <w:rsid w:val="00592089"/>
    <w:rsid w:val="005920DA"/>
    <w:rsid w:val="0059219D"/>
    <w:rsid w:val="0059227A"/>
    <w:rsid w:val="005923AE"/>
    <w:rsid w:val="005923DF"/>
    <w:rsid w:val="00592520"/>
    <w:rsid w:val="0059258F"/>
    <w:rsid w:val="005925F6"/>
    <w:rsid w:val="00592620"/>
    <w:rsid w:val="005927B8"/>
    <w:rsid w:val="005929ED"/>
    <w:rsid w:val="00592B78"/>
    <w:rsid w:val="00592CC2"/>
    <w:rsid w:val="00592E5B"/>
    <w:rsid w:val="00592EB5"/>
    <w:rsid w:val="00592F0A"/>
    <w:rsid w:val="00592F21"/>
    <w:rsid w:val="00592FAB"/>
    <w:rsid w:val="00592FE1"/>
    <w:rsid w:val="00593159"/>
    <w:rsid w:val="0059316E"/>
    <w:rsid w:val="00593174"/>
    <w:rsid w:val="00593251"/>
    <w:rsid w:val="005932D2"/>
    <w:rsid w:val="005934E7"/>
    <w:rsid w:val="005935EC"/>
    <w:rsid w:val="00593615"/>
    <w:rsid w:val="00593779"/>
    <w:rsid w:val="00593954"/>
    <w:rsid w:val="0059396D"/>
    <w:rsid w:val="00593A38"/>
    <w:rsid w:val="00593BE3"/>
    <w:rsid w:val="00593E0A"/>
    <w:rsid w:val="00593E2A"/>
    <w:rsid w:val="00593F3D"/>
    <w:rsid w:val="00594032"/>
    <w:rsid w:val="00594043"/>
    <w:rsid w:val="0059412E"/>
    <w:rsid w:val="005943F8"/>
    <w:rsid w:val="005944A9"/>
    <w:rsid w:val="00594651"/>
    <w:rsid w:val="0059472F"/>
    <w:rsid w:val="0059477B"/>
    <w:rsid w:val="00594793"/>
    <w:rsid w:val="00594A91"/>
    <w:rsid w:val="00594C00"/>
    <w:rsid w:val="00594C36"/>
    <w:rsid w:val="00594DAB"/>
    <w:rsid w:val="00594E26"/>
    <w:rsid w:val="00594ECF"/>
    <w:rsid w:val="00595288"/>
    <w:rsid w:val="005953A8"/>
    <w:rsid w:val="0059550E"/>
    <w:rsid w:val="00595529"/>
    <w:rsid w:val="00595576"/>
    <w:rsid w:val="00595AFE"/>
    <w:rsid w:val="00595D42"/>
    <w:rsid w:val="00595D73"/>
    <w:rsid w:val="00595E11"/>
    <w:rsid w:val="00595E73"/>
    <w:rsid w:val="00595EA3"/>
    <w:rsid w:val="00595F2A"/>
    <w:rsid w:val="00595F78"/>
    <w:rsid w:val="00595FCA"/>
    <w:rsid w:val="00596084"/>
    <w:rsid w:val="00596103"/>
    <w:rsid w:val="005961AF"/>
    <w:rsid w:val="0059625F"/>
    <w:rsid w:val="005962BC"/>
    <w:rsid w:val="005963A2"/>
    <w:rsid w:val="005963AB"/>
    <w:rsid w:val="005963B5"/>
    <w:rsid w:val="00596572"/>
    <w:rsid w:val="00596627"/>
    <w:rsid w:val="005967BC"/>
    <w:rsid w:val="0059689F"/>
    <w:rsid w:val="005968D8"/>
    <w:rsid w:val="00596991"/>
    <w:rsid w:val="00596A3D"/>
    <w:rsid w:val="00596ABB"/>
    <w:rsid w:val="00596B5C"/>
    <w:rsid w:val="00596DF5"/>
    <w:rsid w:val="00596E8D"/>
    <w:rsid w:val="00596FDF"/>
    <w:rsid w:val="00596FFA"/>
    <w:rsid w:val="0059710E"/>
    <w:rsid w:val="00597190"/>
    <w:rsid w:val="005971F7"/>
    <w:rsid w:val="005973C2"/>
    <w:rsid w:val="00597403"/>
    <w:rsid w:val="0059744E"/>
    <w:rsid w:val="005974B5"/>
    <w:rsid w:val="005974E0"/>
    <w:rsid w:val="005974FD"/>
    <w:rsid w:val="00597502"/>
    <w:rsid w:val="00597545"/>
    <w:rsid w:val="00597AAE"/>
    <w:rsid w:val="00597B0D"/>
    <w:rsid w:val="00597B31"/>
    <w:rsid w:val="00597BD7"/>
    <w:rsid w:val="00597C13"/>
    <w:rsid w:val="00597F3B"/>
    <w:rsid w:val="00597FFD"/>
    <w:rsid w:val="005A012A"/>
    <w:rsid w:val="005A034D"/>
    <w:rsid w:val="005A0522"/>
    <w:rsid w:val="005A053C"/>
    <w:rsid w:val="005A061D"/>
    <w:rsid w:val="005A068A"/>
    <w:rsid w:val="005A07D6"/>
    <w:rsid w:val="005A07E4"/>
    <w:rsid w:val="005A0A07"/>
    <w:rsid w:val="005A0AEB"/>
    <w:rsid w:val="005A0B3F"/>
    <w:rsid w:val="005A0BC1"/>
    <w:rsid w:val="005A0CC6"/>
    <w:rsid w:val="005A0D51"/>
    <w:rsid w:val="005A0DB2"/>
    <w:rsid w:val="005A0DE4"/>
    <w:rsid w:val="005A0E6D"/>
    <w:rsid w:val="005A0F85"/>
    <w:rsid w:val="005A1042"/>
    <w:rsid w:val="005A1086"/>
    <w:rsid w:val="005A114E"/>
    <w:rsid w:val="005A125C"/>
    <w:rsid w:val="005A12D7"/>
    <w:rsid w:val="005A12F1"/>
    <w:rsid w:val="005A1334"/>
    <w:rsid w:val="005A15FF"/>
    <w:rsid w:val="005A1603"/>
    <w:rsid w:val="005A16D9"/>
    <w:rsid w:val="005A177B"/>
    <w:rsid w:val="005A1814"/>
    <w:rsid w:val="005A1923"/>
    <w:rsid w:val="005A197F"/>
    <w:rsid w:val="005A1B3E"/>
    <w:rsid w:val="005A1B97"/>
    <w:rsid w:val="005A1F5B"/>
    <w:rsid w:val="005A202E"/>
    <w:rsid w:val="005A21F8"/>
    <w:rsid w:val="005A226D"/>
    <w:rsid w:val="005A23CB"/>
    <w:rsid w:val="005A2659"/>
    <w:rsid w:val="005A2702"/>
    <w:rsid w:val="005A275D"/>
    <w:rsid w:val="005A29F8"/>
    <w:rsid w:val="005A2A50"/>
    <w:rsid w:val="005A2B7D"/>
    <w:rsid w:val="005A2B88"/>
    <w:rsid w:val="005A2BAB"/>
    <w:rsid w:val="005A2E06"/>
    <w:rsid w:val="005A2E7E"/>
    <w:rsid w:val="005A2EB7"/>
    <w:rsid w:val="005A3027"/>
    <w:rsid w:val="005A3219"/>
    <w:rsid w:val="005A3256"/>
    <w:rsid w:val="005A3287"/>
    <w:rsid w:val="005A3289"/>
    <w:rsid w:val="005A36FE"/>
    <w:rsid w:val="005A3824"/>
    <w:rsid w:val="005A38F0"/>
    <w:rsid w:val="005A3AD0"/>
    <w:rsid w:val="005A3AFA"/>
    <w:rsid w:val="005A3C57"/>
    <w:rsid w:val="005A3CF5"/>
    <w:rsid w:val="005A3D25"/>
    <w:rsid w:val="005A3D3C"/>
    <w:rsid w:val="005A3D4E"/>
    <w:rsid w:val="005A3DE8"/>
    <w:rsid w:val="005A406A"/>
    <w:rsid w:val="005A410A"/>
    <w:rsid w:val="005A42C2"/>
    <w:rsid w:val="005A4364"/>
    <w:rsid w:val="005A4418"/>
    <w:rsid w:val="005A454F"/>
    <w:rsid w:val="005A459D"/>
    <w:rsid w:val="005A45A1"/>
    <w:rsid w:val="005A45C4"/>
    <w:rsid w:val="005A488E"/>
    <w:rsid w:val="005A4C03"/>
    <w:rsid w:val="005A4C65"/>
    <w:rsid w:val="005A4CC4"/>
    <w:rsid w:val="005A4DB8"/>
    <w:rsid w:val="005A4DD0"/>
    <w:rsid w:val="005A4E15"/>
    <w:rsid w:val="005A4E56"/>
    <w:rsid w:val="005A503A"/>
    <w:rsid w:val="005A519D"/>
    <w:rsid w:val="005A51AC"/>
    <w:rsid w:val="005A5291"/>
    <w:rsid w:val="005A530F"/>
    <w:rsid w:val="005A5381"/>
    <w:rsid w:val="005A53F6"/>
    <w:rsid w:val="005A5451"/>
    <w:rsid w:val="005A569E"/>
    <w:rsid w:val="005A5718"/>
    <w:rsid w:val="005A57DE"/>
    <w:rsid w:val="005A5A30"/>
    <w:rsid w:val="005A5BDE"/>
    <w:rsid w:val="005A5CFF"/>
    <w:rsid w:val="005A5D04"/>
    <w:rsid w:val="005A5F82"/>
    <w:rsid w:val="005A5FB3"/>
    <w:rsid w:val="005A6053"/>
    <w:rsid w:val="005A62A2"/>
    <w:rsid w:val="005A63D4"/>
    <w:rsid w:val="005A6470"/>
    <w:rsid w:val="005A6475"/>
    <w:rsid w:val="005A6595"/>
    <w:rsid w:val="005A65DE"/>
    <w:rsid w:val="005A669A"/>
    <w:rsid w:val="005A66DC"/>
    <w:rsid w:val="005A683D"/>
    <w:rsid w:val="005A6852"/>
    <w:rsid w:val="005A6858"/>
    <w:rsid w:val="005A694C"/>
    <w:rsid w:val="005A6B28"/>
    <w:rsid w:val="005A6B85"/>
    <w:rsid w:val="005A6BE0"/>
    <w:rsid w:val="005A6D30"/>
    <w:rsid w:val="005A6E21"/>
    <w:rsid w:val="005A6E61"/>
    <w:rsid w:val="005A6FB5"/>
    <w:rsid w:val="005A7054"/>
    <w:rsid w:val="005A7158"/>
    <w:rsid w:val="005A719B"/>
    <w:rsid w:val="005A71A4"/>
    <w:rsid w:val="005A71B1"/>
    <w:rsid w:val="005A7231"/>
    <w:rsid w:val="005A7420"/>
    <w:rsid w:val="005A746E"/>
    <w:rsid w:val="005A75E4"/>
    <w:rsid w:val="005A77D8"/>
    <w:rsid w:val="005A781C"/>
    <w:rsid w:val="005A7858"/>
    <w:rsid w:val="005A78E5"/>
    <w:rsid w:val="005A7B55"/>
    <w:rsid w:val="005A7BBB"/>
    <w:rsid w:val="005A7C7E"/>
    <w:rsid w:val="005A7D40"/>
    <w:rsid w:val="005A7DEA"/>
    <w:rsid w:val="005A7EEA"/>
    <w:rsid w:val="005A7F38"/>
    <w:rsid w:val="005A7F8C"/>
    <w:rsid w:val="005B001F"/>
    <w:rsid w:val="005B00D4"/>
    <w:rsid w:val="005B0169"/>
    <w:rsid w:val="005B02B0"/>
    <w:rsid w:val="005B0395"/>
    <w:rsid w:val="005B06B8"/>
    <w:rsid w:val="005B077C"/>
    <w:rsid w:val="005B0830"/>
    <w:rsid w:val="005B084B"/>
    <w:rsid w:val="005B0903"/>
    <w:rsid w:val="005B0B26"/>
    <w:rsid w:val="005B0BD4"/>
    <w:rsid w:val="005B0BEF"/>
    <w:rsid w:val="005B0D34"/>
    <w:rsid w:val="005B0E5A"/>
    <w:rsid w:val="005B0F02"/>
    <w:rsid w:val="005B101B"/>
    <w:rsid w:val="005B1042"/>
    <w:rsid w:val="005B1090"/>
    <w:rsid w:val="005B1453"/>
    <w:rsid w:val="005B1587"/>
    <w:rsid w:val="005B165A"/>
    <w:rsid w:val="005B1829"/>
    <w:rsid w:val="005B1874"/>
    <w:rsid w:val="005B1A12"/>
    <w:rsid w:val="005B1A86"/>
    <w:rsid w:val="005B1B00"/>
    <w:rsid w:val="005B1C54"/>
    <w:rsid w:val="005B1CEE"/>
    <w:rsid w:val="005B1D6A"/>
    <w:rsid w:val="005B1D8E"/>
    <w:rsid w:val="005B1DBC"/>
    <w:rsid w:val="005B1DCB"/>
    <w:rsid w:val="005B1E2D"/>
    <w:rsid w:val="005B2037"/>
    <w:rsid w:val="005B203F"/>
    <w:rsid w:val="005B207C"/>
    <w:rsid w:val="005B2100"/>
    <w:rsid w:val="005B217A"/>
    <w:rsid w:val="005B2243"/>
    <w:rsid w:val="005B241A"/>
    <w:rsid w:val="005B245A"/>
    <w:rsid w:val="005B2579"/>
    <w:rsid w:val="005B25BF"/>
    <w:rsid w:val="005B26D5"/>
    <w:rsid w:val="005B2758"/>
    <w:rsid w:val="005B27F1"/>
    <w:rsid w:val="005B2881"/>
    <w:rsid w:val="005B28CC"/>
    <w:rsid w:val="005B2A98"/>
    <w:rsid w:val="005B2C11"/>
    <w:rsid w:val="005B2C8E"/>
    <w:rsid w:val="005B2CDE"/>
    <w:rsid w:val="005B2D50"/>
    <w:rsid w:val="005B2FE5"/>
    <w:rsid w:val="005B3013"/>
    <w:rsid w:val="005B309C"/>
    <w:rsid w:val="005B30B8"/>
    <w:rsid w:val="005B3172"/>
    <w:rsid w:val="005B34B1"/>
    <w:rsid w:val="005B34F3"/>
    <w:rsid w:val="005B3597"/>
    <w:rsid w:val="005B36CF"/>
    <w:rsid w:val="005B36F8"/>
    <w:rsid w:val="005B3763"/>
    <w:rsid w:val="005B3780"/>
    <w:rsid w:val="005B37DA"/>
    <w:rsid w:val="005B39EE"/>
    <w:rsid w:val="005B3A63"/>
    <w:rsid w:val="005B3AF5"/>
    <w:rsid w:val="005B3B42"/>
    <w:rsid w:val="005B3C10"/>
    <w:rsid w:val="005B3D56"/>
    <w:rsid w:val="005B3DCD"/>
    <w:rsid w:val="005B3E5D"/>
    <w:rsid w:val="005B3FB6"/>
    <w:rsid w:val="005B4011"/>
    <w:rsid w:val="005B44AE"/>
    <w:rsid w:val="005B44EE"/>
    <w:rsid w:val="005B44F5"/>
    <w:rsid w:val="005B4532"/>
    <w:rsid w:val="005B455D"/>
    <w:rsid w:val="005B459F"/>
    <w:rsid w:val="005B4678"/>
    <w:rsid w:val="005B48A4"/>
    <w:rsid w:val="005B48AA"/>
    <w:rsid w:val="005B49DC"/>
    <w:rsid w:val="005B4A29"/>
    <w:rsid w:val="005B4BFB"/>
    <w:rsid w:val="005B4C18"/>
    <w:rsid w:val="005B4DD4"/>
    <w:rsid w:val="005B4E3D"/>
    <w:rsid w:val="005B50A3"/>
    <w:rsid w:val="005B5105"/>
    <w:rsid w:val="005B511F"/>
    <w:rsid w:val="005B51EA"/>
    <w:rsid w:val="005B5274"/>
    <w:rsid w:val="005B52B3"/>
    <w:rsid w:val="005B5315"/>
    <w:rsid w:val="005B532B"/>
    <w:rsid w:val="005B5350"/>
    <w:rsid w:val="005B53F3"/>
    <w:rsid w:val="005B5730"/>
    <w:rsid w:val="005B57BD"/>
    <w:rsid w:val="005B580D"/>
    <w:rsid w:val="005B58CD"/>
    <w:rsid w:val="005B5971"/>
    <w:rsid w:val="005B59C0"/>
    <w:rsid w:val="005B5B3E"/>
    <w:rsid w:val="005B5B84"/>
    <w:rsid w:val="005B5DF0"/>
    <w:rsid w:val="005B5DF4"/>
    <w:rsid w:val="005B5E67"/>
    <w:rsid w:val="005B5FD6"/>
    <w:rsid w:val="005B60AE"/>
    <w:rsid w:val="005B60EB"/>
    <w:rsid w:val="005B6128"/>
    <w:rsid w:val="005B6145"/>
    <w:rsid w:val="005B63FC"/>
    <w:rsid w:val="005B6498"/>
    <w:rsid w:val="005B6540"/>
    <w:rsid w:val="005B662C"/>
    <w:rsid w:val="005B6666"/>
    <w:rsid w:val="005B671E"/>
    <w:rsid w:val="005B67AF"/>
    <w:rsid w:val="005B67E6"/>
    <w:rsid w:val="005B68AA"/>
    <w:rsid w:val="005B68D5"/>
    <w:rsid w:val="005B6903"/>
    <w:rsid w:val="005B69AF"/>
    <w:rsid w:val="005B69D5"/>
    <w:rsid w:val="005B6C53"/>
    <w:rsid w:val="005B7036"/>
    <w:rsid w:val="005B7108"/>
    <w:rsid w:val="005B717F"/>
    <w:rsid w:val="005B71B3"/>
    <w:rsid w:val="005B71E1"/>
    <w:rsid w:val="005B72D5"/>
    <w:rsid w:val="005B7423"/>
    <w:rsid w:val="005B762C"/>
    <w:rsid w:val="005B77F3"/>
    <w:rsid w:val="005B781E"/>
    <w:rsid w:val="005B7989"/>
    <w:rsid w:val="005B7A32"/>
    <w:rsid w:val="005B7B97"/>
    <w:rsid w:val="005B7CA2"/>
    <w:rsid w:val="005B7D3E"/>
    <w:rsid w:val="005B7E05"/>
    <w:rsid w:val="005B7E3B"/>
    <w:rsid w:val="005B7F0B"/>
    <w:rsid w:val="005B7F5B"/>
    <w:rsid w:val="005C0186"/>
    <w:rsid w:val="005C0315"/>
    <w:rsid w:val="005C031D"/>
    <w:rsid w:val="005C0328"/>
    <w:rsid w:val="005C03B2"/>
    <w:rsid w:val="005C0484"/>
    <w:rsid w:val="005C0528"/>
    <w:rsid w:val="005C06B7"/>
    <w:rsid w:val="005C0748"/>
    <w:rsid w:val="005C07C9"/>
    <w:rsid w:val="005C0875"/>
    <w:rsid w:val="005C0876"/>
    <w:rsid w:val="005C09C6"/>
    <w:rsid w:val="005C0AEF"/>
    <w:rsid w:val="005C0E41"/>
    <w:rsid w:val="005C0E43"/>
    <w:rsid w:val="005C0E74"/>
    <w:rsid w:val="005C0F00"/>
    <w:rsid w:val="005C1055"/>
    <w:rsid w:val="005C11DA"/>
    <w:rsid w:val="005C14F3"/>
    <w:rsid w:val="005C16F5"/>
    <w:rsid w:val="005C1705"/>
    <w:rsid w:val="005C176E"/>
    <w:rsid w:val="005C179C"/>
    <w:rsid w:val="005C17A4"/>
    <w:rsid w:val="005C17CF"/>
    <w:rsid w:val="005C1BF3"/>
    <w:rsid w:val="005C1C0B"/>
    <w:rsid w:val="005C1E29"/>
    <w:rsid w:val="005C1E67"/>
    <w:rsid w:val="005C1F91"/>
    <w:rsid w:val="005C1FA4"/>
    <w:rsid w:val="005C21B9"/>
    <w:rsid w:val="005C2403"/>
    <w:rsid w:val="005C251F"/>
    <w:rsid w:val="005C29E8"/>
    <w:rsid w:val="005C2A36"/>
    <w:rsid w:val="005C2AE2"/>
    <w:rsid w:val="005C2BCC"/>
    <w:rsid w:val="005C2CE3"/>
    <w:rsid w:val="005C2D13"/>
    <w:rsid w:val="005C2E1B"/>
    <w:rsid w:val="005C2F93"/>
    <w:rsid w:val="005C2FFF"/>
    <w:rsid w:val="005C3005"/>
    <w:rsid w:val="005C307C"/>
    <w:rsid w:val="005C3144"/>
    <w:rsid w:val="005C3236"/>
    <w:rsid w:val="005C332C"/>
    <w:rsid w:val="005C391B"/>
    <w:rsid w:val="005C396B"/>
    <w:rsid w:val="005C39FE"/>
    <w:rsid w:val="005C3C54"/>
    <w:rsid w:val="005C3C8C"/>
    <w:rsid w:val="005C3C9D"/>
    <w:rsid w:val="005C3CF7"/>
    <w:rsid w:val="005C3D41"/>
    <w:rsid w:val="005C3E93"/>
    <w:rsid w:val="005C3E9C"/>
    <w:rsid w:val="005C3FC8"/>
    <w:rsid w:val="005C4166"/>
    <w:rsid w:val="005C42D3"/>
    <w:rsid w:val="005C42E5"/>
    <w:rsid w:val="005C44AA"/>
    <w:rsid w:val="005C4509"/>
    <w:rsid w:val="005C4674"/>
    <w:rsid w:val="005C46D8"/>
    <w:rsid w:val="005C46F9"/>
    <w:rsid w:val="005C4859"/>
    <w:rsid w:val="005C48FB"/>
    <w:rsid w:val="005C4B00"/>
    <w:rsid w:val="005C4BD6"/>
    <w:rsid w:val="005C4C28"/>
    <w:rsid w:val="005C4C49"/>
    <w:rsid w:val="005C4D9E"/>
    <w:rsid w:val="005C4E26"/>
    <w:rsid w:val="005C4E57"/>
    <w:rsid w:val="005C4F15"/>
    <w:rsid w:val="005C4F38"/>
    <w:rsid w:val="005C514D"/>
    <w:rsid w:val="005C52E1"/>
    <w:rsid w:val="005C536C"/>
    <w:rsid w:val="005C537A"/>
    <w:rsid w:val="005C5382"/>
    <w:rsid w:val="005C544B"/>
    <w:rsid w:val="005C5503"/>
    <w:rsid w:val="005C557C"/>
    <w:rsid w:val="005C55D3"/>
    <w:rsid w:val="005C569D"/>
    <w:rsid w:val="005C57FB"/>
    <w:rsid w:val="005C581A"/>
    <w:rsid w:val="005C5981"/>
    <w:rsid w:val="005C5CA0"/>
    <w:rsid w:val="005C5D2A"/>
    <w:rsid w:val="005C5D2E"/>
    <w:rsid w:val="005C5DCB"/>
    <w:rsid w:val="005C5F8B"/>
    <w:rsid w:val="005C6045"/>
    <w:rsid w:val="005C6195"/>
    <w:rsid w:val="005C62CF"/>
    <w:rsid w:val="005C6327"/>
    <w:rsid w:val="005C671E"/>
    <w:rsid w:val="005C6745"/>
    <w:rsid w:val="005C67AA"/>
    <w:rsid w:val="005C6930"/>
    <w:rsid w:val="005C69F0"/>
    <w:rsid w:val="005C6AA5"/>
    <w:rsid w:val="005C6B88"/>
    <w:rsid w:val="005C6C20"/>
    <w:rsid w:val="005C6C95"/>
    <w:rsid w:val="005C6CC0"/>
    <w:rsid w:val="005C6D5E"/>
    <w:rsid w:val="005C6DC9"/>
    <w:rsid w:val="005C6E35"/>
    <w:rsid w:val="005C6E61"/>
    <w:rsid w:val="005C6E83"/>
    <w:rsid w:val="005C6F72"/>
    <w:rsid w:val="005C71C2"/>
    <w:rsid w:val="005C7392"/>
    <w:rsid w:val="005C73D2"/>
    <w:rsid w:val="005C7460"/>
    <w:rsid w:val="005C74BF"/>
    <w:rsid w:val="005C7574"/>
    <w:rsid w:val="005C7676"/>
    <w:rsid w:val="005C76E7"/>
    <w:rsid w:val="005C770A"/>
    <w:rsid w:val="005C770E"/>
    <w:rsid w:val="005C772D"/>
    <w:rsid w:val="005C792B"/>
    <w:rsid w:val="005C79D2"/>
    <w:rsid w:val="005C7A57"/>
    <w:rsid w:val="005C7B51"/>
    <w:rsid w:val="005C7C26"/>
    <w:rsid w:val="005C7CB4"/>
    <w:rsid w:val="005C7DC4"/>
    <w:rsid w:val="005C7E96"/>
    <w:rsid w:val="005C7EB5"/>
    <w:rsid w:val="005C7EE4"/>
    <w:rsid w:val="005C7FFB"/>
    <w:rsid w:val="005D022F"/>
    <w:rsid w:val="005D0243"/>
    <w:rsid w:val="005D028C"/>
    <w:rsid w:val="005D02C7"/>
    <w:rsid w:val="005D02D2"/>
    <w:rsid w:val="005D0360"/>
    <w:rsid w:val="005D03EB"/>
    <w:rsid w:val="005D05AE"/>
    <w:rsid w:val="005D073E"/>
    <w:rsid w:val="005D082D"/>
    <w:rsid w:val="005D0B8E"/>
    <w:rsid w:val="005D0C5A"/>
    <w:rsid w:val="005D0D8E"/>
    <w:rsid w:val="005D0E30"/>
    <w:rsid w:val="005D0F2A"/>
    <w:rsid w:val="005D0F6C"/>
    <w:rsid w:val="005D10EA"/>
    <w:rsid w:val="005D121E"/>
    <w:rsid w:val="005D14AE"/>
    <w:rsid w:val="005D1617"/>
    <w:rsid w:val="005D161B"/>
    <w:rsid w:val="005D16DE"/>
    <w:rsid w:val="005D1860"/>
    <w:rsid w:val="005D187C"/>
    <w:rsid w:val="005D18E2"/>
    <w:rsid w:val="005D1971"/>
    <w:rsid w:val="005D19EA"/>
    <w:rsid w:val="005D1E49"/>
    <w:rsid w:val="005D1E8A"/>
    <w:rsid w:val="005D1EE8"/>
    <w:rsid w:val="005D1F61"/>
    <w:rsid w:val="005D1FE4"/>
    <w:rsid w:val="005D201B"/>
    <w:rsid w:val="005D21AC"/>
    <w:rsid w:val="005D21DF"/>
    <w:rsid w:val="005D22B4"/>
    <w:rsid w:val="005D22D2"/>
    <w:rsid w:val="005D23AE"/>
    <w:rsid w:val="005D23F4"/>
    <w:rsid w:val="005D264E"/>
    <w:rsid w:val="005D265B"/>
    <w:rsid w:val="005D26E2"/>
    <w:rsid w:val="005D2746"/>
    <w:rsid w:val="005D2748"/>
    <w:rsid w:val="005D2784"/>
    <w:rsid w:val="005D27D3"/>
    <w:rsid w:val="005D2B17"/>
    <w:rsid w:val="005D2BC4"/>
    <w:rsid w:val="005D2BEB"/>
    <w:rsid w:val="005D2D21"/>
    <w:rsid w:val="005D2F86"/>
    <w:rsid w:val="005D3003"/>
    <w:rsid w:val="005D30A0"/>
    <w:rsid w:val="005D3159"/>
    <w:rsid w:val="005D31ED"/>
    <w:rsid w:val="005D3316"/>
    <w:rsid w:val="005D3369"/>
    <w:rsid w:val="005D3449"/>
    <w:rsid w:val="005D3540"/>
    <w:rsid w:val="005D3555"/>
    <w:rsid w:val="005D3624"/>
    <w:rsid w:val="005D36D9"/>
    <w:rsid w:val="005D377A"/>
    <w:rsid w:val="005D3965"/>
    <w:rsid w:val="005D3B2F"/>
    <w:rsid w:val="005D3EB6"/>
    <w:rsid w:val="005D3EC3"/>
    <w:rsid w:val="005D3FD2"/>
    <w:rsid w:val="005D40CE"/>
    <w:rsid w:val="005D420E"/>
    <w:rsid w:val="005D4307"/>
    <w:rsid w:val="005D4330"/>
    <w:rsid w:val="005D44C2"/>
    <w:rsid w:val="005D4567"/>
    <w:rsid w:val="005D458B"/>
    <w:rsid w:val="005D464F"/>
    <w:rsid w:val="005D468A"/>
    <w:rsid w:val="005D46C2"/>
    <w:rsid w:val="005D46E2"/>
    <w:rsid w:val="005D4848"/>
    <w:rsid w:val="005D48C6"/>
    <w:rsid w:val="005D49C7"/>
    <w:rsid w:val="005D49E8"/>
    <w:rsid w:val="005D4AA5"/>
    <w:rsid w:val="005D4AD4"/>
    <w:rsid w:val="005D4AF3"/>
    <w:rsid w:val="005D4D40"/>
    <w:rsid w:val="005D4D4B"/>
    <w:rsid w:val="005D4E23"/>
    <w:rsid w:val="005D4EB3"/>
    <w:rsid w:val="005D4F03"/>
    <w:rsid w:val="005D4F47"/>
    <w:rsid w:val="005D50C4"/>
    <w:rsid w:val="005D527D"/>
    <w:rsid w:val="005D5316"/>
    <w:rsid w:val="005D53D1"/>
    <w:rsid w:val="005D53D9"/>
    <w:rsid w:val="005D54FE"/>
    <w:rsid w:val="005D5583"/>
    <w:rsid w:val="005D55A4"/>
    <w:rsid w:val="005D56F8"/>
    <w:rsid w:val="005D57F2"/>
    <w:rsid w:val="005D581A"/>
    <w:rsid w:val="005D5981"/>
    <w:rsid w:val="005D59C5"/>
    <w:rsid w:val="005D5A47"/>
    <w:rsid w:val="005D5CD6"/>
    <w:rsid w:val="005D5D6B"/>
    <w:rsid w:val="005D5EF8"/>
    <w:rsid w:val="005D5FE0"/>
    <w:rsid w:val="005D6009"/>
    <w:rsid w:val="005D60CA"/>
    <w:rsid w:val="005D60DF"/>
    <w:rsid w:val="005D61C6"/>
    <w:rsid w:val="005D6225"/>
    <w:rsid w:val="005D6256"/>
    <w:rsid w:val="005D645F"/>
    <w:rsid w:val="005D6582"/>
    <w:rsid w:val="005D66DB"/>
    <w:rsid w:val="005D6784"/>
    <w:rsid w:val="005D6889"/>
    <w:rsid w:val="005D69B0"/>
    <w:rsid w:val="005D6AE2"/>
    <w:rsid w:val="005D6BEE"/>
    <w:rsid w:val="005D6CB8"/>
    <w:rsid w:val="005D6D9B"/>
    <w:rsid w:val="005D70B8"/>
    <w:rsid w:val="005D71BC"/>
    <w:rsid w:val="005D71DE"/>
    <w:rsid w:val="005D72CE"/>
    <w:rsid w:val="005D7395"/>
    <w:rsid w:val="005D740C"/>
    <w:rsid w:val="005D7529"/>
    <w:rsid w:val="005D75D3"/>
    <w:rsid w:val="005D7608"/>
    <w:rsid w:val="005D760C"/>
    <w:rsid w:val="005D763C"/>
    <w:rsid w:val="005D769E"/>
    <w:rsid w:val="005D77C6"/>
    <w:rsid w:val="005D78B3"/>
    <w:rsid w:val="005D7B9C"/>
    <w:rsid w:val="005D7C73"/>
    <w:rsid w:val="005D7DA1"/>
    <w:rsid w:val="005D7F16"/>
    <w:rsid w:val="005D7F28"/>
    <w:rsid w:val="005D7F5A"/>
    <w:rsid w:val="005D7FF0"/>
    <w:rsid w:val="005E0019"/>
    <w:rsid w:val="005E01A4"/>
    <w:rsid w:val="005E0212"/>
    <w:rsid w:val="005E03AA"/>
    <w:rsid w:val="005E079D"/>
    <w:rsid w:val="005E0A8F"/>
    <w:rsid w:val="005E0ABC"/>
    <w:rsid w:val="005E0B71"/>
    <w:rsid w:val="005E0C50"/>
    <w:rsid w:val="005E0C59"/>
    <w:rsid w:val="005E0DA0"/>
    <w:rsid w:val="005E0E2A"/>
    <w:rsid w:val="005E0F11"/>
    <w:rsid w:val="005E0F90"/>
    <w:rsid w:val="005E126D"/>
    <w:rsid w:val="005E1358"/>
    <w:rsid w:val="005E14CC"/>
    <w:rsid w:val="005E1575"/>
    <w:rsid w:val="005E172B"/>
    <w:rsid w:val="005E176D"/>
    <w:rsid w:val="005E1826"/>
    <w:rsid w:val="005E18E1"/>
    <w:rsid w:val="005E198C"/>
    <w:rsid w:val="005E1A84"/>
    <w:rsid w:val="005E1C4A"/>
    <w:rsid w:val="005E1CA9"/>
    <w:rsid w:val="005E1E37"/>
    <w:rsid w:val="005E1ECB"/>
    <w:rsid w:val="005E1EFD"/>
    <w:rsid w:val="005E20ED"/>
    <w:rsid w:val="005E2126"/>
    <w:rsid w:val="005E2179"/>
    <w:rsid w:val="005E2209"/>
    <w:rsid w:val="005E2354"/>
    <w:rsid w:val="005E258E"/>
    <w:rsid w:val="005E26F5"/>
    <w:rsid w:val="005E28A0"/>
    <w:rsid w:val="005E2980"/>
    <w:rsid w:val="005E2B32"/>
    <w:rsid w:val="005E2C2F"/>
    <w:rsid w:val="005E2C9C"/>
    <w:rsid w:val="005E2E03"/>
    <w:rsid w:val="005E2E3B"/>
    <w:rsid w:val="005E2E50"/>
    <w:rsid w:val="005E2E78"/>
    <w:rsid w:val="005E330D"/>
    <w:rsid w:val="005E33CA"/>
    <w:rsid w:val="005E357A"/>
    <w:rsid w:val="005E35BB"/>
    <w:rsid w:val="005E35D6"/>
    <w:rsid w:val="005E3743"/>
    <w:rsid w:val="005E3757"/>
    <w:rsid w:val="005E377F"/>
    <w:rsid w:val="005E37F7"/>
    <w:rsid w:val="005E3A3A"/>
    <w:rsid w:val="005E3B7C"/>
    <w:rsid w:val="005E3DAA"/>
    <w:rsid w:val="005E3F1D"/>
    <w:rsid w:val="005E3FB4"/>
    <w:rsid w:val="005E4231"/>
    <w:rsid w:val="005E42B9"/>
    <w:rsid w:val="005E430E"/>
    <w:rsid w:val="005E4564"/>
    <w:rsid w:val="005E46D9"/>
    <w:rsid w:val="005E47E4"/>
    <w:rsid w:val="005E4834"/>
    <w:rsid w:val="005E4ABD"/>
    <w:rsid w:val="005E4AFE"/>
    <w:rsid w:val="005E4CD2"/>
    <w:rsid w:val="005E4D2E"/>
    <w:rsid w:val="005E4D7A"/>
    <w:rsid w:val="005E4DAD"/>
    <w:rsid w:val="005E4EAA"/>
    <w:rsid w:val="005E4F20"/>
    <w:rsid w:val="005E4F3F"/>
    <w:rsid w:val="005E52C2"/>
    <w:rsid w:val="005E5502"/>
    <w:rsid w:val="005E56CF"/>
    <w:rsid w:val="005E5729"/>
    <w:rsid w:val="005E575C"/>
    <w:rsid w:val="005E581A"/>
    <w:rsid w:val="005E5876"/>
    <w:rsid w:val="005E59F5"/>
    <w:rsid w:val="005E5A45"/>
    <w:rsid w:val="005E5B61"/>
    <w:rsid w:val="005E5C41"/>
    <w:rsid w:val="005E60A5"/>
    <w:rsid w:val="005E6217"/>
    <w:rsid w:val="005E624D"/>
    <w:rsid w:val="005E6297"/>
    <w:rsid w:val="005E6485"/>
    <w:rsid w:val="005E64B2"/>
    <w:rsid w:val="005E6507"/>
    <w:rsid w:val="005E6A08"/>
    <w:rsid w:val="005E6B3E"/>
    <w:rsid w:val="005E6B4B"/>
    <w:rsid w:val="005E6BB8"/>
    <w:rsid w:val="005E6C35"/>
    <w:rsid w:val="005E6D24"/>
    <w:rsid w:val="005E6F0C"/>
    <w:rsid w:val="005E700D"/>
    <w:rsid w:val="005E7129"/>
    <w:rsid w:val="005E7176"/>
    <w:rsid w:val="005E71E1"/>
    <w:rsid w:val="005E7220"/>
    <w:rsid w:val="005E729B"/>
    <w:rsid w:val="005E746E"/>
    <w:rsid w:val="005E76BF"/>
    <w:rsid w:val="005E7702"/>
    <w:rsid w:val="005E7930"/>
    <w:rsid w:val="005E794A"/>
    <w:rsid w:val="005E7993"/>
    <w:rsid w:val="005E7A4F"/>
    <w:rsid w:val="005E7A60"/>
    <w:rsid w:val="005E7AAB"/>
    <w:rsid w:val="005E7AD7"/>
    <w:rsid w:val="005E7BEA"/>
    <w:rsid w:val="005E7C74"/>
    <w:rsid w:val="005E7D58"/>
    <w:rsid w:val="005E7E5E"/>
    <w:rsid w:val="005E7E8E"/>
    <w:rsid w:val="005F0105"/>
    <w:rsid w:val="005F0161"/>
    <w:rsid w:val="005F017E"/>
    <w:rsid w:val="005F028E"/>
    <w:rsid w:val="005F039E"/>
    <w:rsid w:val="005F039F"/>
    <w:rsid w:val="005F044E"/>
    <w:rsid w:val="005F0454"/>
    <w:rsid w:val="005F0462"/>
    <w:rsid w:val="005F068A"/>
    <w:rsid w:val="005F0700"/>
    <w:rsid w:val="005F0AE3"/>
    <w:rsid w:val="005F0BAF"/>
    <w:rsid w:val="005F0BB1"/>
    <w:rsid w:val="005F0E1C"/>
    <w:rsid w:val="005F0E6B"/>
    <w:rsid w:val="005F0EFA"/>
    <w:rsid w:val="005F0F11"/>
    <w:rsid w:val="005F101E"/>
    <w:rsid w:val="005F1020"/>
    <w:rsid w:val="005F10C3"/>
    <w:rsid w:val="005F10F5"/>
    <w:rsid w:val="005F11C7"/>
    <w:rsid w:val="005F1227"/>
    <w:rsid w:val="005F12F1"/>
    <w:rsid w:val="005F13CD"/>
    <w:rsid w:val="005F165C"/>
    <w:rsid w:val="005F16EE"/>
    <w:rsid w:val="005F170A"/>
    <w:rsid w:val="005F1711"/>
    <w:rsid w:val="005F17F6"/>
    <w:rsid w:val="005F185B"/>
    <w:rsid w:val="005F1880"/>
    <w:rsid w:val="005F18A2"/>
    <w:rsid w:val="005F1ABF"/>
    <w:rsid w:val="005F1CDE"/>
    <w:rsid w:val="005F1DCA"/>
    <w:rsid w:val="005F1DF8"/>
    <w:rsid w:val="005F1FFE"/>
    <w:rsid w:val="005F2026"/>
    <w:rsid w:val="005F20A6"/>
    <w:rsid w:val="005F20FA"/>
    <w:rsid w:val="005F22CB"/>
    <w:rsid w:val="005F22D0"/>
    <w:rsid w:val="005F2390"/>
    <w:rsid w:val="005F2465"/>
    <w:rsid w:val="005F26D3"/>
    <w:rsid w:val="005F2828"/>
    <w:rsid w:val="005F28E2"/>
    <w:rsid w:val="005F28E7"/>
    <w:rsid w:val="005F2974"/>
    <w:rsid w:val="005F2990"/>
    <w:rsid w:val="005F2B03"/>
    <w:rsid w:val="005F2C1F"/>
    <w:rsid w:val="005F2D32"/>
    <w:rsid w:val="005F2EAE"/>
    <w:rsid w:val="005F312F"/>
    <w:rsid w:val="005F3149"/>
    <w:rsid w:val="005F31E2"/>
    <w:rsid w:val="005F324E"/>
    <w:rsid w:val="005F32AA"/>
    <w:rsid w:val="005F32E7"/>
    <w:rsid w:val="005F32F2"/>
    <w:rsid w:val="005F376D"/>
    <w:rsid w:val="005F3D88"/>
    <w:rsid w:val="005F4254"/>
    <w:rsid w:val="005F4353"/>
    <w:rsid w:val="005F440C"/>
    <w:rsid w:val="005F447A"/>
    <w:rsid w:val="005F454E"/>
    <w:rsid w:val="005F4573"/>
    <w:rsid w:val="005F4743"/>
    <w:rsid w:val="005F4847"/>
    <w:rsid w:val="005F48B0"/>
    <w:rsid w:val="005F498E"/>
    <w:rsid w:val="005F4A5E"/>
    <w:rsid w:val="005F4B4D"/>
    <w:rsid w:val="005F4B68"/>
    <w:rsid w:val="005F4BFA"/>
    <w:rsid w:val="005F4D31"/>
    <w:rsid w:val="005F4EED"/>
    <w:rsid w:val="005F5012"/>
    <w:rsid w:val="005F51BE"/>
    <w:rsid w:val="005F5249"/>
    <w:rsid w:val="005F535C"/>
    <w:rsid w:val="005F5388"/>
    <w:rsid w:val="005F54D8"/>
    <w:rsid w:val="005F561F"/>
    <w:rsid w:val="005F56F2"/>
    <w:rsid w:val="005F5865"/>
    <w:rsid w:val="005F58FF"/>
    <w:rsid w:val="005F5BCF"/>
    <w:rsid w:val="005F5CA9"/>
    <w:rsid w:val="005F5E93"/>
    <w:rsid w:val="005F6124"/>
    <w:rsid w:val="005F6340"/>
    <w:rsid w:val="005F6491"/>
    <w:rsid w:val="005F65FB"/>
    <w:rsid w:val="005F685C"/>
    <w:rsid w:val="005F6A0F"/>
    <w:rsid w:val="005F6A64"/>
    <w:rsid w:val="005F6AC6"/>
    <w:rsid w:val="005F6CAC"/>
    <w:rsid w:val="005F6E32"/>
    <w:rsid w:val="005F6F2D"/>
    <w:rsid w:val="005F7070"/>
    <w:rsid w:val="005F7512"/>
    <w:rsid w:val="005F755A"/>
    <w:rsid w:val="005F75B6"/>
    <w:rsid w:val="005F760B"/>
    <w:rsid w:val="005F7771"/>
    <w:rsid w:val="005F7810"/>
    <w:rsid w:val="005F78D7"/>
    <w:rsid w:val="005F78F6"/>
    <w:rsid w:val="005F7A3A"/>
    <w:rsid w:val="005F7A6C"/>
    <w:rsid w:val="005F7AA6"/>
    <w:rsid w:val="005F7CF2"/>
    <w:rsid w:val="005F7D97"/>
    <w:rsid w:val="005F7DBC"/>
    <w:rsid w:val="005F7DFB"/>
    <w:rsid w:val="005F7E8C"/>
    <w:rsid w:val="00600085"/>
    <w:rsid w:val="00600260"/>
    <w:rsid w:val="00600282"/>
    <w:rsid w:val="006003C7"/>
    <w:rsid w:val="006003D6"/>
    <w:rsid w:val="0060041A"/>
    <w:rsid w:val="006005C1"/>
    <w:rsid w:val="006006A1"/>
    <w:rsid w:val="006006D6"/>
    <w:rsid w:val="00600707"/>
    <w:rsid w:val="00600884"/>
    <w:rsid w:val="006008A9"/>
    <w:rsid w:val="0060091A"/>
    <w:rsid w:val="00600A5F"/>
    <w:rsid w:val="00600B06"/>
    <w:rsid w:val="00600B3A"/>
    <w:rsid w:val="00600BBA"/>
    <w:rsid w:val="00600BD2"/>
    <w:rsid w:val="00600C74"/>
    <w:rsid w:val="00600D3C"/>
    <w:rsid w:val="00600D84"/>
    <w:rsid w:val="00600E15"/>
    <w:rsid w:val="00600E8B"/>
    <w:rsid w:val="00600F1E"/>
    <w:rsid w:val="006011C9"/>
    <w:rsid w:val="0060123F"/>
    <w:rsid w:val="00601274"/>
    <w:rsid w:val="00601299"/>
    <w:rsid w:val="006013AF"/>
    <w:rsid w:val="006015CB"/>
    <w:rsid w:val="00601610"/>
    <w:rsid w:val="00601718"/>
    <w:rsid w:val="006019EF"/>
    <w:rsid w:val="00601B61"/>
    <w:rsid w:val="00601C82"/>
    <w:rsid w:val="00601D60"/>
    <w:rsid w:val="00601E13"/>
    <w:rsid w:val="00601E21"/>
    <w:rsid w:val="00601EBF"/>
    <w:rsid w:val="00601F6B"/>
    <w:rsid w:val="006020CA"/>
    <w:rsid w:val="00602340"/>
    <w:rsid w:val="006023B0"/>
    <w:rsid w:val="0060241C"/>
    <w:rsid w:val="006024D7"/>
    <w:rsid w:val="00602568"/>
    <w:rsid w:val="00602678"/>
    <w:rsid w:val="00602693"/>
    <w:rsid w:val="00602700"/>
    <w:rsid w:val="0060273C"/>
    <w:rsid w:val="00602846"/>
    <w:rsid w:val="00602900"/>
    <w:rsid w:val="0060291E"/>
    <w:rsid w:val="00602962"/>
    <w:rsid w:val="006029BE"/>
    <w:rsid w:val="00602B6C"/>
    <w:rsid w:val="00602D51"/>
    <w:rsid w:val="00602F96"/>
    <w:rsid w:val="006030DE"/>
    <w:rsid w:val="00603166"/>
    <w:rsid w:val="00603193"/>
    <w:rsid w:val="006031DF"/>
    <w:rsid w:val="006032B3"/>
    <w:rsid w:val="006034E9"/>
    <w:rsid w:val="00603507"/>
    <w:rsid w:val="006035D6"/>
    <w:rsid w:val="00603665"/>
    <w:rsid w:val="0060376E"/>
    <w:rsid w:val="00603901"/>
    <w:rsid w:val="00603AE4"/>
    <w:rsid w:val="00603B51"/>
    <w:rsid w:val="00603D20"/>
    <w:rsid w:val="00603DF9"/>
    <w:rsid w:val="00603E1A"/>
    <w:rsid w:val="00603E7A"/>
    <w:rsid w:val="00603E85"/>
    <w:rsid w:val="00603EB0"/>
    <w:rsid w:val="00603FB5"/>
    <w:rsid w:val="0060406B"/>
    <w:rsid w:val="00604077"/>
    <w:rsid w:val="006041ED"/>
    <w:rsid w:val="00604259"/>
    <w:rsid w:val="00604437"/>
    <w:rsid w:val="006044A0"/>
    <w:rsid w:val="0060488C"/>
    <w:rsid w:val="00604A04"/>
    <w:rsid w:val="00604CF3"/>
    <w:rsid w:val="00604E03"/>
    <w:rsid w:val="006050DC"/>
    <w:rsid w:val="00605235"/>
    <w:rsid w:val="006056E1"/>
    <w:rsid w:val="006057C8"/>
    <w:rsid w:val="006057F6"/>
    <w:rsid w:val="00605895"/>
    <w:rsid w:val="00605925"/>
    <w:rsid w:val="00605970"/>
    <w:rsid w:val="00605A49"/>
    <w:rsid w:val="00605A86"/>
    <w:rsid w:val="00605E02"/>
    <w:rsid w:val="00605F75"/>
    <w:rsid w:val="00606037"/>
    <w:rsid w:val="006060A5"/>
    <w:rsid w:val="0060611A"/>
    <w:rsid w:val="00606127"/>
    <w:rsid w:val="0060623E"/>
    <w:rsid w:val="00606299"/>
    <w:rsid w:val="006062E7"/>
    <w:rsid w:val="006063BD"/>
    <w:rsid w:val="006063CF"/>
    <w:rsid w:val="006065C5"/>
    <w:rsid w:val="00606A09"/>
    <w:rsid w:val="00606CE6"/>
    <w:rsid w:val="00606CF1"/>
    <w:rsid w:val="00606CF4"/>
    <w:rsid w:val="00607068"/>
    <w:rsid w:val="0060707C"/>
    <w:rsid w:val="006071F9"/>
    <w:rsid w:val="00607471"/>
    <w:rsid w:val="006076BA"/>
    <w:rsid w:val="006077AD"/>
    <w:rsid w:val="00607834"/>
    <w:rsid w:val="0060791F"/>
    <w:rsid w:val="00607AF3"/>
    <w:rsid w:val="00607DFE"/>
    <w:rsid w:val="00607F7F"/>
    <w:rsid w:val="00607FC6"/>
    <w:rsid w:val="006100F7"/>
    <w:rsid w:val="006101F2"/>
    <w:rsid w:val="00610212"/>
    <w:rsid w:val="0061021D"/>
    <w:rsid w:val="006102C5"/>
    <w:rsid w:val="00610360"/>
    <w:rsid w:val="0061042F"/>
    <w:rsid w:val="00610777"/>
    <w:rsid w:val="00610959"/>
    <w:rsid w:val="0061095A"/>
    <w:rsid w:val="00610994"/>
    <w:rsid w:val="00610B0B"/>
    <w:rsid w:val="00610BD1"/>
    <w:rsid w:val="00610C68"/>
    <w:rsid w:val="00610CDF"/>
    <w:rsid w:val="00610CF2"/>
    <w:rsid w:val="00610E84"/>
    <w:rsid w:val="00610FF4"/>
    <w:rsid w:val="00611093"/>
    <w:rsid w:val="0061115A"/>
    <w:rsid w:val="006111FD"/>
    <w:rsid w:val="00611246"/>
    <w:rsid w:val="00611256"/>
    <w:rsid w:val="006116A4"/>
    <w:rsid w:val="00611711"/>
    <w:rsid w:val="00611844"/>
    <w:rsid w:val="0061196C"/>
    <w:rsid w:val="006119B9"/>
    <w:rsid w:val="00611A7B"/>
    <w:rsid w:val="00611B55"/>
    <w:rsid w:val="00611B85"/>
    <w:rsid w:val="00611DD8"/>
    <w:rsid w:val="00611F0A"/>
    <w:rsid w:val="00612096"/>
    <w:rsid w:val="00612203"/>
    <w:rsid w:val="0061225A"/>
    <w:rsid w:val="00612292"/>
    <w:rsid w:val="006122A8"/>
    <w:rsid w:val="0061234F"/>
    <w:rsid w:val="006123CF"/>
    <w:rsid w:val="0061243D"/>
    <w:rsid w:val="006124FE"/>
    <w:rsid w:val="006126AF"/>
    <w:rsid w:val="00612774"/>
    <w:rsid w:val="006127AD"/>
    <w:rsid w:val="00612856"/>
    <w:rsid w:val="00612935"/>
    <w:rsid w:val="00612AD7"/>
    <w:rsid w:val="00612BBD"/>
    <w:rsid w:val="00612F1C"/>
    <w:rsid w:val="00612FFC"/>
    <w:rsid w:val="0061302A"/>
    <w:rsid w:val="0061304D"/>
    <w:rsid w:val="0061319A"/>
    <w:rsid w:val="0061323C"/>
    <w:rsid w:val="00613242"/>
    <w:rsid w:val="006134AD"/>
    <w:rsid w:val="006134B1"/>
    <w:rsid w:val="006138A9"/>
    <w:rsid w:val="00613A1D"/>
    <w:rsid w:val="00613D8D"/>
    <w:rsid w:val="00613EC9"/>
    <w:rsid w:val="00613F1C"/>
    <w:rsid w:val="00614102"/>
    <w:rsid w:val="0061411B"/>
    <w:rsid w:val="006141DA"/>
    <w:rsid w:val="00614216"/>
    <w:rsid w:val="00614283"/>
    <w:rsid w:val="00614307"/>
    <w:rsid w:val="0061433F"/>
    <w:rsid w:val="00614495"/>
    <w:rsid w:val="00614585"/>
    <w:rsid w:val="006146B4"/>
    <w:rsid w:val="006147E7"/>
    <w:rsid w:val="00614930"/>
    <w:rsid w:val="00614978"/>
    <w:rsid w:val="00614AA9"/>
    <w:rsid w:val="00614B27"/>
    <w:rsid w:val="00614B38"/>
    <w:rsid w:val="00614C6A"/>
    <w:rsid w:val="00614CC7"/>
    <w:rsid w:val="00614CD7"/>
    <w:rsid w:val="00614D2F"/>
    <w:rsid w:val="00614EAE"/>
    <w:rsid w:val="00614EF7"/>
    <w:rsid w:val="00614F87"/>
    <w:rsid w:val="00614FB9"/>
    <w:rsid w:val="00614FF9"/>
    <w:rsid w:val="0061518B"/>
    <w:rsid w:val="006152C1"/>
    <w:rsid w:val="00615601"/>
    <w:rsid w:val="006156FB"/>
    <w:rsid w:val="006157E1"/>
    <w:rsid w:val="006159A2"/>
    <w:rsid w:val="00615B06"/>
    <w:rsid w:val="00615B11"/>
    <w:rsid w:val="00615B6D"/>
    <w:rsid w:val="00615C75"/>
    <w:rsid w:val="00615CFC"/>
    <w:rsid w:val="00616097"/>
    <w:rsid w:val="00616231"/>
    <w:rsid w:val="0061626F"/>
    <w:rsid w:val="006162F8"/>
    <w:rsid w:val="00616476"/>
    <w:rsid w:val="00616535"/>
    <w:rsid w:val="0061654D"/>
    <w:rsid w:val="0061668B"/>
    <w:rsid w:val="006167E3"/>
    <w:rsid w:val="00616B12"/>
    <w:rsid w:val="00616B64"/>
    <w:rsid w:val="00616C4E"/>
    <w:rsid w:val="00616D86"/>
    <w:rsid w:val="00616EA3"/>
    <w:rsid w:val="00616EE0"/>
    <w:rsid w:val="00617459"/>
    <w:rsid w:val="00617461"/>
    <w:rsid w:val="006174DD"/>
    <w:rsid w:val="00617523"/>
    <w:rsid w:val="00617746"/>
    <w:rsid w:val="0061780C"/>
    <w:rsid w:val="0061799A"/>
    <w:rsid w:val="00617A1E"/>
    <w:rsid w:val="00617A46"/>
    <w:rsid w:val="00617B01"/>
    <w:rsid w:val="00617B1F"/>
    <w:rsid w:val="00617C46"/>
    <w:rsid w:val="00617FC0"/>
    <w:rsid w:val="00617FEE"/>
    <w:rsid w:val="00620009"/>
    <w:rsid w:val="0062021B"/>
    <w:rsid w:val="0062024B"/>
    <w:rsid w:val="006202F8"/>
    <w:rsid w:val="006203CB"/>
    <w:rsid w:val="006203EC"/>
    <w:rsid w:val="0062046F"/>
    <w:rsid w:val="006204FA"/>
    <w:rsid w:val="00620752"/>
    <w:rsid w:val="00620846"/>
    <w:rsid w:val="0062087E"/>
    <w:rsid w:val="006208E2"/>
    <w:rsid w:val="00620AA6"/>
    <w:rsid w:val="00620B40"/>
    <w:rsid w:val="00620BA0"/>
    <w:rsid w:val="00620E74"/>
    <w:rsid w:val="00620ECE"/>
    <w:rsid w:val="00620F6F"/>
    <w:rsid w:val="00620FC1"/>
    <w:rsid w:val="0062104F"/>
    <w:rsid w:val="0062109C"/>
    <w:rsid w:val="006211CC"/>
    <w:rsid w:val="006211EF"/>
    <w:rsid w:val="0062121F"/>
    <w:rsid w:val="00621220"/>
    <w:rsid w:val="0062137C"/>
    <w:rsid w:val="0062158C"/>
    <w:rsid w:val="006215DF"/>
    <w:rsid w:val="00621739"/>
    <w:rsid w:val="00621832"/>
    <w:rsid w:val="006218C0"/>
    <w:rsid w:val="006219DB"/>
    <w:rsid w:val="006219F8"/>
    <w:rsid w:val="00621A80"/>
    <w:rsid w:val="00621B41"/>
    <w:rsid w:val="00621B59"/>
    <w:rsid w:val="00621C40"/>
    <w:rsid w:val="00621DDD"/>
    <w:rsid w:val="00621DDF"/>
    <w:rsid w:val="00621E24"/>
    <w:rsid w:val="00621E66"/>
    <w:rsid w:val="00621EAE"/>
    <w:rsid w:val="00621F41"/>
    <w:rsid w:val="00621FFF"/>
    <w:rsid w:val="006220D8"/>
    <w:rsid w:val="0062211B"/>
    <w:rsid w:val="0062220A"/>
    <w:rsid w:val="00622340"/>
    <w:rsid w:val="0062238E"/>
    <w:rsid w:val="006224CB"/>
    <w:rsid w:val="006226A0"/>
    <w:rsid w:val="0062274C"/>
    <w:rsid w:val="00622841"/>
    <w:rsid w:val="00622862"/>
    <w:rsid w:val="00622D61"/>
    <w:rsid w:val="00622D87"/>
    <w:rsid w:val="00622E12"/>
    <w:rsid w:val="00622EE2"/>
    <w:rsid w:val="00622F3C"/>
    <w:rsid w:val="0062326A"/>
    <w:rsid w:val="0062328A"/>
    <w:rsid w:val="006233DA"/>
    <w:rsid w:val="00623487"/>
    <w:rsid w:val="00623533"/>
    <w:rsid w:val="0062376C"/>
    <w:rsid w:val="006239AF"/>
    <w:rsid w:val="006239EF"/>
    <w:rsid w:val="00623A3F"/>
    <w:rsid w:val="00623B77"/>
    <w:rsid w:val="00623CC6"/>
    <w:rsid w:val="00623E1F"/>
    <w:rsid w:val="00623E57"/>
    <w:rsid w:val="00623E63"/>
    <w:rsid w:val="00623EAB"/>
    <w:rsid w:val="00623ED0"/>
    <w:rsid w:val="00623F88"/>
    <w:rsid w:val="00623FF0"/>
    <w:rsid w:val="00624139"/>
    <w:rsid w:val="00624188"/>
    <w:rsid w:val="00624350"/>
    <w:rsid w:val="0062451E"/>
    <w:rsid w:val="00624843"/>
    <w:rsid w:val="0062486B"/>
    <w:rsid w:val="00624AAE"/>
    <w:rsid w:val="00624B41"/>
    <w:rsid w:val="00624B48"/>
    <w:rsid w:val="00624C4C"/>
    <w:rsid w:val="00624CBA"/>
    <w:rsid w:val="006251D5"/>
    <w:rsid w:val="0062526A"/>
    <w:rsid w:val="006253D3"/>
    <w:rsid w:val="006253E6"/>
    <w:rsid w:val="00625403"/>
    <w:rsid w:val="0062565D"/>
    <w:rsid w:val="00625736"/>
    <w:rsid w:val="0062574E"/>
    <w:rsid w:val="00625855"/>
    <w:rsid w:val="00625943"/>
    <w:rsid w:val="00625A07"/>
    <w:rsid w:val="00625BC6"/>
    <w:rsid w:val="00625D59"/>
    <w:rsid w:val="00625DAB"/>
    <w:rsid w:val="00625DEC"/>
    <w:rsid w:val="00625E24"/>
    <w:rsid w:val="0062609C"/>
    <w:rsid w:val="006260CC"/>
    <w:rsid w:val="006260E0"/>
    <w:rsid w:val="006261C1"/>
    <w:rsid w:val="00626433"/>
    <w:rsid w:val="00626445"/>
    <w:rsid w:val="00626598"/>
    <w:rsid w:val="0062663E"/>
    <w:rsid w:val="0062667E"/>
    <w:rsid w:val="006267B3"/>
    <w:rsid w:val="00626868"/>
    <w:rsid w:val="006268F1"/>
    <w:rsid w:val="0062692B"/>
    <w:rsid w:val="0062693F"/>
    <w:rsid w:val="00626A26"/>
    <w:rsid w:val="00626A5A"/>
    <w:rsid w:val="00626BEB"/>
    <w:rsid w:val="00626C15"/>
    <w:rsid w:val="00626C70"/>
    <w:rsid w:val="00626C95"/>
    <w:rsid w:val="00626CCA"/>
    <w:rsid w:val="00626D40"/>
    <w:rsid w:val="00626DD9"/>
    <w:rsid w:val="00626E25"/>
    <w:rsid w:val="00626F68"/>
    <w:rsid w:val="00626F9C"/>
    <w:rsid w:val="00627099"/>
    <w:rsid w:val="006270AC"/>
    <w:rsid w:val="006271CA"/>
    <w:rsid w:val="006271DB"/>
    <w:rsid w:val="00627234"/>
    <w:rsid w:val="00627295"/>
    <w:rsid w:val="006272AD"/>
    <w:rsid w:val="00627533"/>
    <w:rsid w:val="0062763B"/>
    <w:rsid w:val="00627736"/>
    <w:rsid w:val="00627741"/>
    <w:rsid w:val="006278E9"/>
    <w:rsid w:val="006279D1"/>
    <w:rsid w:val="00627A09"/>
    <w:rsid w:val="00627A8D"/>
    <w:rsid w:val="00627C41"/>
    <w:rsid w:val="00627E1B"/>
    <w:rsid w:val="00627EE8"/>
    <w:rsid w:val="00630377"/>
    <w:rsid w:val="0063038C"/>
    <w:rsid w:val="00630469"/>
    <w:rsid w:val="00630477"/>
    <w:rsid w:val="006306E5"/>
    <w:rsid w:val="00630931"/>
    <w:rsid w:val="00630986"/>
    <w:rsid w:val="006309E4"/>
    <w:rsid w:val="00630A7A"/>
    <w:rsid w:val="00630C17"/>
    <w:rsid w:val="00630C8A"/>
    <w:rsid w:val="00630D09"/>
    <w:rsid w:val="00630E3B"/>
    <w:rsid w:val="00630E42"/>
    <w:rsid w:val="00630FD8"/>
    <w:rsid w:val="00631033"/>
    <w:rsid w:val="00631081"/>
    <w:rsid w:val="00631208"/>
    <w:rsid w:val="00631301"/>
    <w:rsid w:val="00631534"/>
    <w:rsid w:val="0063162E"/>
    <w:rsid w:val="00631777"/>
    <w:rsid w:val="006317E5"/>
    <w:rsid w:val="0063182D"/>
    <w:rsid w:val="00631ABF"/>
    <w:rsid w:val="00631AD0"/>
    <w:rsid w:val="00631B47"/>
    <w:rsid w:val="00631EDC"/>
    <w:rsid w:val="00632019"/>
    <w:rsid w:val="006321C4"/>
    <w:rsid w:val="0063235F"/>
    <w:rsid w:val="006328BC"/>
    <w:rsid w:val="00632979"/>
    <w:rsid w:val="006329EE"/>
    <w:rsid w:val="00632A0A"/>
    <w:rsid w:val="00632B2B"/>
    <w:rsid w:val="00632BBC"/>
    <w:rsid w:val="00632D4D"/>
    <w:rsid w:val="00632DE2"/>
    <w:rsid w:val="00632DFC"/>
    <w:rsid w:val="00632EDF"/>
    <w:rsid w:val="00632F12"/>
    <w:rsid w:val="00632F9F"/>
    <w:rsid w:val="0063304B"/>
    <w:rsid w:val="006330DD"/>
    <w:rsid w:val="0063324F"/>
    <w:rsid w:val="0063334F"/>
    <w:rsid w:val="0063352F"/>
    <w:rsid w:val="00633853"/>
    <w:rsid w:val="0063386B"/>
    <w:rsid w:val="00633884"/>
    <w:rsid w:val="0063396D"/>
    <w:rsid w:val="00633A0D"/>
    <w:rsid w:val="00633AF0"/>
    <w:rsid w:val="00633CB4"/>
    <w:rsid w:val="00633D6D"/>
    <w:rsid w:val="00633E24"/>
    <w:rsid w:val="00634090"/>
    <w:rsid w:val="006340CB"/>
    <w:rsid w:val="0063417D"/>
    <w:rsid w:val="00634248"/>
    <w:rsid w:val="006342E2"/>
    <w:rsid w:val="006343F3"/>
    <w:rsid w:val="00634459"/>
    <w:rsid w:val="006345FC"/>
    <w:rsid w:val="00634784"/>
    <w:rsid w:val="006348B8"/>
    <w:rsid w:val="0063493A"/>
    <w:rsid w:val="006349CE"/>
    <w:rsid w:val="00634A04"/>
    <w:rsid w:val="00634AA7"/>
    <w:rsid w:val="00634B80"/>
    <w:rsid w:val="00634B92"/>
    <w:rsid w:val="00634F5B"/>
    <w:rsid w:val="00635084"/>
    <w:rsid w:val="00635353"/>
    <w:rsid w:val="00635437"/>
    <w:rsid w:val="006354FB"/>
    <w:rsid w:val="0063558A"/>
    <w:rsid w:val="006355B6"/>
    <w:rsid w:val="0063560E"/>
    <w:rsid w:val="0063564B"/>
    <w:rsid w:val="00635732"/>
    <w:rsid w:val="006357A0"/>
    <w:rsid w:val="006357E4"/>
    <w:rsid w:val="00635891"/>
    <w:rsid w:val="00635976"/>
    <w:rsid w:val="00635D76"/>
    <w:rsid w:val="00635DBF"/>
    <w:rsid w:val="00635E39"/>
    <w:rsid w:val="00636224"/>
    <w:rsid w:val="00636281"/>
    <w:rsid w:val="00636363"/>
    <w:rsid w:val="006367F7"/>
    <w:rsid w:val="00636A40"/>
    <w:rsid w:val="00636A69"/>
    <w:rsid w:val="00636D28"/>
    <w:rsid w:val="0063700C"/>
    <w:rsid w:val="006370DC"/>
    <w:rsid w:val="006372D1"/>
    <w:rsid w:val="006373B2"/>
    <w:rsid w:val="00637434"/>
    <w:rsid w:val="00637573"/>
    <w:rsid w:val="006376D1"/>
    <w:rsid w:val="0063777D"/>
    <w:rsid w:val="0063795D"/>
    <w:rsid w:val="0063796A"/>
    <w:rsid w:val="0063798D"/>
    <w:rsid w:val="00637ABF"/>
    <w:rsid w:val="00637AE0"/>
    <w:rsid w:val="006400DC"/>
    <w:rsid w:val="00640100"/>
    <w:rsid w:val="006404BC"/>
    <w:rsid w:val="00640580"/>
    <w:rsid w:val="006407D7"/>
    <w:rsid w:val="0064084C"/>
    <w:rsid w:val="006408F6"/>
    <w:rsid w:val="0064090C"/>
    <w:rsid w:val="00640923"/>
    <w:rsid w:val="00640A45"/>
    <w:rsid w:val="00640BDD"/>
    <w:rsid w:val="00640C04"/>
    <w:rsid w:val="00640CFC"/>
    <w:rsid w:val="00640D48"/>
    <w:rsid w:val="00640D83"/>
    <w:rsid w:val="00640EED"/>
    <w:rsid w:val="00641055"/>
    <w:rsid w:val="006411DF"/>
    <w:rsid w:val="006414BD"/>
    <w:rsid w:val="00641566"/>
    <w:rsid w:val="006417D4"/>
    <w:rsid w:val="00641879"/>
    <w:rsid w:val="00641905"/>
    <w:rsid w:val="0064192E"/>
    <w:rsid w:val="00641989"/>
    <w:rsid w:val="00641B62"/>
    <w:rsid w:val="00641D6D"/>
    <w:rsid w:val="00641F31"/>
    <w:rsid w:val="00642085"/>
    <w:rsid w:val="006421C8"/>
    <w:rsid w:val="00642247"/>
    <w:rsid w:val="00642261"/>
    <w:rsid w:val="00642417"/>
    <w:rsid w:val="0064265D"/>
    <w:rsid w:val="0064270F"/>
    <w:rsid w:val="006427A3"/>
    <w:rsid w:val="006427D3"/>
    <w:rsid w:val="006427EE"/>
    <w:rsid w:val="006429AC"/>
    <w:rsid w:val="00642B12"/>
    <w:rsid w:val="00642B3C"/>
    <w:rsid w:val="00642C3E"/>
    <w:rsid w:val="00642C7A"/>
    <w:rsid w:val="00642C7D"/>
    <w:rsid w:val="00642D4B"/>
    <w:rsid w:val="00642E33"/>
    <w:rsid w:val="00642ED3"/>
    <w:rsid w:val="00642FC6"/>
    <w:rsid w:val="0064307D"/>
    <w:rsid w:val="006430E5"/>
    <w:rsid w:val="0064335C"/>
    <w:rsid w:val="006433E7"/>
    <w:rsid w:val="00643484"/>
    <w:rsid w:val="00643519"/>
    <w:rsid w:val="006435E4"/>
    <w:rsid w:val="006436D5"/>
    <w:rsid w:val="006437B7"/>
    <w:rsid w:val="006438AE"/>
    <w:rsid w:val="00643A9D"/>
    <w:rsid w:val="00643B39"/>
    <w:rsid w:val="00643B99"/>
    <w:rsid w:val="00643D34"/>
    <w:rsid w:val="00643E27"/>
    <w:rsid w:val="00643E5E"/>
    <w:rsid w:val="00643EB1"/>
    <w:rsid w:val="0064419D"/>
    <w:rsid w:val="006442DC"/>
    <w:rsid w:val="006443E3"/>
    <w:rsid w:val="0064455C"/>
    <w:rsid w:val="00644628"/>
    <w:rsid w:val="00644753"/>
    <w:rsid w:val="0064479A"/>
    <w:rsid w:val="00644A5B"/>
    <w:rsid w:val="00644B02"/>
    <w:rsid w:val="00644BB4"/>
    <w:rsid w:val="00644BFD"/>
    <w:rsid w:val="00644C30"/>
    <w:rsid w:val="00644C3A"/>
    <w:rsid w:val="00644D22"/>
    <w:rsid w:val="00644D97"/>
    <w:rsid w:val="00644E7E"/>
    <w:rsid w:val="00644F32"/>
    <w:rsid w:val="0064501A"/>
    <w:rsid w:val="00645299"/>
    <w:rsid w:val="006452BC"/>
    <w:rsid w:val="00645325"/>
    <w:rsid w:val="00645373"/>
    <w:rsid w:val="0064537F"/>
    <w:rsid w:val="0064539E"/>
    <w:rsid w:val="0064540E"/>
    <w:rsid w:val="006454F2"/>
    <w:rsid w:val="00645609"/>
    <w:rsid w:val="0064563D"/>
    <w:rsid w:val="00645798"/>
    <w:rsid w:val="006458B8"/>
    <w:rsid w:val="00645AF7"/>
    <w:rsid w:val="00645B6E"/>
    <w:rsid w:val="00645BEB"/>
    <w:rsid w:val="00645C63"/>
    <w:rsid w:val="00645CC3"/>
    <w:rsid w:val="00645D23"/>
    <w:rsid w:val="00645D7A"/>
    <w:rsid w:val="00645E8E"/>
    <w:rsid w:val="00645EA1"/>
    <w:rsid w:val="00645EB4"/>
    <w:rsid w:val="0064632A"/>
    <w:rsid w:val="00646337"/>
    <w:rsid w:val="0064634E"/>
    <w:rsid w:val="00646443"/>
    <w:rsid w:val="00646744"/>
    <w:rsid w:val="006467BF"/>
    <w:rsid w:val="00646954"/>
    <w:rsid w:val="00646B7F"/>
    <w:rsid w:val="00646BAF"/>
    <w:rsid w:val="00646BD6"/>
    <w:rsid w:val="00646BEC"/>
    <w:rsid w:val="00646C02"/>
    <w:rsid w:val="00646CE1"/>
    <w:rsid w:val="00646D46"/>
    <w:rsid w:val="00646DD7"/>
    <w:rsid w:val="00646FB0"/>
    <w:rsid w:val="006471A5"/>
    <w:rsid w:val="00647219"/>
    <w:rsid w:val="006472E8"/>
    <w:rsid w:val="0064733F"/>
    <w:rsid w:val="006473C2"/>
    <w:rsid w:val="00647505"/>
    <w:rsid w:val="00647526"/>
    <w:rsid w:val="00647648"/>
    <w:rsid w:val="006476A6"/>
    <w:rsid w:val="006476DF"/>
    <w:rsid w:val="00647765"/>
    <w:rsid w:val="0064778E"/>
    <w:rsid w:val="006477C8"/>
    <w:rsid w:val="006477DE"/>
    <w:rsid w:val="0064783D"/>
    <w:rsid w:val="006478B7"/>
    <w:rsid w:val="006479D5"/>
    <w:rsid w:val="00647A9C"/>
    <w:rsid w:val="00647AD2"/>
    <w:rsid w:val="00647BAF"/>
    <w:rsid w:val="00647E16"/>
    <w:rsid w:val="00647E8E"/>
    <w:rsid w:val="00647ED1"/>
    <w:rsid w:val="00647FAC"/>
    <w:rsid w:val="006501A7"/>
    <w:rsid w:val="006501D0"/>
    <w:rsid w:val="006502DE"/>
    <w:rsid w:val="006503AC"/>
    <w:rsid w:val="0065050A"/>
    <w:rsid w:val="006505D8"/>
    <w:rsid w:val="006507EA"/>
    <w:rsid w:val="00650806"/>
    <w:rsid w:val="00650AF3"/>
    <w:rsid w:val="00650D10"/>
    <w:rsid w:val="00650E3C"/>
    <w:rsid w:val="006512B3"/>
    <w:rsid w:val="006517A5"/>
    <w:rsid w:val="0065196E"/>
    <w:rsid w:val="00651B45"/>
    <w:rsid w:val="00651B6B"/>
    <w:rsid w:val="00651C1E"/>
    <w:rsid w:val="00652281"/>
    <w:rsid w:val="006522E8"/>
    <w:rsid w:val="0065231E"/>
    <w:rsid w:val="00652517"/>
    <w:rsid w:val="006526A7"/>
    <w:rsid w:val="006527A2"/>
    <w:rsid w:val="00652848"/>
    <w:rsid w:val="00652B07"/>
    <w:rsid w:val="00652B2B"/>
    <w:rsid w:val="00652B44"/>
    <w:rsid w:val="00652B53"/>
    <w:rsid w:val="00652BF2"/>
    <w:rsid w:val="00652C31"/>
    <w:rsid w:val="00652C96"/>
    <w:rsid w:val="00652D1C"/>
    <w:rsid w:val="00652DA4"/>
    <w:rsid w:val="00652E42"/>
    <w:rsid w:val="00652E4E"/>
    <w:rsid w:val="00652E60"/>
    <w:rsid w:val="00652F8A"/>
    <w:rsid w:val="00652F9C"/>
    <w:rsid w:val="00652FA0"/>
    <w:rsid w:val="0065346B"/>
    <w:rsid w:val="006534F2"/>
    <w:rsid w:val="006534F5"/>
    <w:rsid w:val="006535D0"/>
    <w:rsid w:val="00653629"/>
    <w:rsid w:val="00653676"/>
    <w:rsid w:val="006536BD"/>
    <w:rsid w:val="00653752"/>
    <w:rsid w:val="00653778"/>
    <w:rsid w:val="006538E0"/>
    <w:rsid w:val="0065395F"/>
    <w:rsid w:val="00653A1E"/>
    <w:rsid w:val="00653A8E"/>
    <w:rsid w:val="00653BF9"/>
    <w:rsid w:val="00653E1F"/>
    <w:rsid w:val="00653E35"/>
    <w:rsid w:val="00653E46"/>
    <w:rsid w:val="006540A4"/>
    <w:rsid w:val="006540B7"/>
    <w:rsid w:val="006542FB"/>
    <w:rsid w:val="0065441B"/>
    <w:rsid w:val="006544B0"/>
    <w:rsid w:val="00654523"/>
    <w:rsid w:val="00654625"/>
    <w:rsid w:val="006546F3"/>
    <w:rsid w:val="006547D8"/>
    <w:rsid w:val="00654832"/>
    <w:rsid w:val="0065495A"/>
    <w:rsid w:val="0065497E"/>
    <w:rsid w:val="00654A6D"/>
    <w:rsid w:val="00654BAC"/>
    <w:rsid w:val="00654C06"/>
    <w:rsid w:val="0065505B"/>
    <w:rsid w:val="006550FB"/>
    <w:rsid w:val="006551C9"/>
    <w:rsid w:val="00655325"/>
    <w:rsid w:val="00655361"/>
    <w:rsid w:val="0065537D"/>
    <w:rsid w:val="00655697"/>
    <w:rsid w:val="006556DB"/>
    <w:rsid w:val="006556FC"/>
    <w:rsid w:val="0065570E"/>
    <w:rsid w:val="006557E2"/>
    <w:rsid w:val="0065584F"/>
    <w:rsid w:val="00655A28"/>
    <w:rsid w:val="00655B3B"/>
    <w:rsid w:val="00655C12"/>
    <w:rsid w:val="00655D0D"/>
    <w:rsid w:val="00655D8E"/>
    <w:rsid w:val="00655F2E"/>
    <w:rsid w:val="0065621F"/>
    <w:rsid w:val="006562B1"/>
    <w:rsid w:val="00656465"/>
    <w:rsid w:val="00656536"/>
    <w:rsid w:val="006565A9"/>
    <w:rsid w:val="0065672D"/>
    <w:rsid w:val="00656971"/>
    <w:rsid w:val="0065699B"/>
    <w:rsid w:val="00656A87"/>
    <w:rsid w:val="00656EAA"/>
    <w:rsid w:val="0065701C"/>
    <w:rsid w:val="00657023"/>
    <w:rsid w:val="00657038"/>
    <w:rsid w:val="0065728A"/>
    <w:rsid w:val="00657461"/>
    <w:rsid w:val="006574CB"/>
    <w:rsid w:val="00657537"/>
    <w:rsid w:val="006575B3"/>
    <w:rsid w:val="00657698"/>
    <w:rsid w:val="0065772E"/>
    <w:rsid w:val="006577BE"/>
    <w:rsid w:val="006577D8"/>
    <w:rsid w:val="0065796C"/>
    <w:rsid w:val="0065799E"/>
    <w:rsid w:val="00657A2F"/>
    <w:rsid w:val="00657AF1"/>
    <w:rsid w:val="00657D01"/>
    <w:rsid w:val="00657D2E"/>
    <w:rsid w:val="00657DE1"/>
    <w:rsid w:val="00657E3A"/>
    <w:rsid w:val="00657F19"/>
    <w:rsid w:val="00657FD8"/>
    <w:rsid w:val="00660047"/>
    <w:rsid w:val="00660268"/>
    <w:rsid w:val="006603A8"/>
    <w:rsid w:val="006606BA"/>
    <w:rsid w:val="006606BB"/>
    <w:rsid w:val="00660861"/>
    <w:rsid w:val="00660A97"/>
    <w:rsid w:val="00660AFF"/>
    <w:rsid w:val="00660B7A"/>
    <w:rsid w:val="00660C11"/>
    <w:rsid w:val="00660C3C"/>
    <w:rsid w:val="00660C86"/>
    <w:rsid w:val="00660E4D"/>
    <w:rsid w:val="00660F45"/>
    <w:rsid w:val="006610A7"/>
    <w:rsid w:val="006610E8"/>
    <w:rsid w:val="00661511"/>
    <w:rsid w:val="0066153A"/>
    <w:rsid w:val="0066155F"/>
    <w:rsid w:val="0066162B"/>
    <w:rsid w:val="0066179D"/>
    <w:rsid w:val="00661869"/>
    <w:rsid w:val="00661878"/>
    <w:rsid w:val="00661B4A"/>
    <w:rsid w:val="00661BF7"/>
    <w:rsid w:val="00661D67"/>
    <w:rsid w:val="00661F2C"/>
    <w:rsid w:val="0066211C"/>
    <w:rsid w:val="006623BA"/>
    <w:rsid w:val="00662464"/>
    <w:rsid w:val="006624E3"/>
    <w:rsid w:val="0066258E"/>
    <w:rsid w:val="00662693"/>
    <w:rsid w:val="00662884"/>
    <w:rsid w:val="00662ACD"/>
    <w:rsid w:val="00662D33"/>
    <w:rsid w:val="00662D71"/>
    <w:rsid w:val="00662EE8"/>
    <w:rsid w:val="00662FFC"/>
    <w:rsid w:val="006630C2"/>
    <w:rsid w:val="006630EA"/>
    <w:rsid w:val="00663153"/>
    <w:rsid w:val="0066316C"/>
    <w:rsid w:val="00663192"/>
    <w:rsid w:val="0066320A"/>
    <w:rsid w:val="006632AC"/>
    <w:rsid w:val="006633F4"/>
    <w:rsid w:val="00663409"/>
    <w:rsid w:val="0066350A"/>
    <w:rsid w:val="00663519"/>
    <w:rsid w:val="00663529"/>
    <w:rsid w:val="00663533"/>
    <w:rsid w:val="00663563"/>
    <w:rsid w:val="006635B7"/>
    <w:rsid w:val="0066373E"/>
    <w:rsid w:val="00663838"/>
    <w:rsid w:val="00663898"/>
    <w:rsid w:val="00663960"/>
    <w:rsid w:val="006639AD"/>
    <w:rsid w:val="00663A32"/>
    <w:rsid w:val="00663B98"/>
    <w:rsid w:val="00663BC0"/>
    <w:rsid w:val="00663E12"/>
    <w:rsid w:val="00663F5D"/>
    <w:rsid w:val="00663FAE"/>
    <w:rsid w:val="006640AB"/>
    <w:rsid w:val="0066416C"/>
    <w:rsid w:val="00664207"/>
    <w:rsid w:val="00664244"/>
    <w:rsid w:val="00664348"/>
    <w:rsid w:val="00664402"/>
    <w:rsid w:val="0066442E"/>
    <w:rsid w:val="0066455A"/>
    <w:rsid w:val="0066459A"/>
    <w:rsid w:val="006646B3"/>
    <w:rsid w:val="006648DE"/>
    <w:rsid w:val="0066491E"/>
    <w:rsid w:val="00664C45"/>
    <w:rsid w:val="00664CB0"/>
    <w:rsid w:val="00664D13"/>
    <w:rsid w:val="00664D2D"/>
    <w:rsid w:val="00664D98"/>
    <w:rsid w:val="00664E1C"/>
    <w:rsid w:val="00664E9B"/>
    <w:rsid w:val="00664EED"/>
    <w:rsid w:val="00664FF8"/>
    <w:rsid w:val="00665160"/>
    <w:rsid w:val="0066530D"/>
    <w:rsid w:val="00665583"/>
    <w:rsid w:val="006655BC"/>
    <w:rsid w:val="00665681"/>
    <w:rsid w:val="006656A0"/>
    <w:rsid w:val="006656F2"/>
    <w:rsid w:val="00665863"/>
    <w:rsid w:val="0066591E"/>
    <w:rsid w:val="00665BF5"/>
    <w:rsid w:val="00665C0E"/>
    <w:rsid w:val="00665CB7"/>
    <w:rsid w:val="00665CE1"/>
    <w:rsid w:val="00665D2E"/>
    <w:rsid w:val="00665D47"/>
    <w:rsid w:val="00665E3D"/>
    <w:rsid w:val="00665F64"/>
    <w:rsid w:val="00665FD1"/>
    <w:rsid w:val="0066627E"/>
    <w:rsid w:val="00666368"/>
    <w:rsid w:val="00666456"/>
    <w:rsid w:val="0066657A"/>
    <w:rsid w:val="006666FF"/>
    <w:rsid w:val="00666788"/>
    <w:rsid w:val="006667F0"/>
    <w:rsid w:val="0066695D"/>
    <w:rsid w:val="00666B29"/>
    <w:rsid w:val="00666BFE"/>
    <w:rsid w:val="00666C07"/>
    <w:rsid w:val="00666D53"/>
    <w:rsid w:val="00666F49"/>
    <w:rsid w:val="0066708F"/>
    <w:rsid w:val="0066724A"/>
    <w:rsid w:val="0066731D"/>
    <w:rsid w:val="006674C3"/>
    <w:rsid w:val="0066762B"/>
    <w:rsid w:val="00667662"/>
    <w:rsid w:val="00667696"/>
    <w:rsid w:val="006677B4"/>
    <w:rsid w:val="006677C8"/>
    <w:rsid w:val="0066799F"/>
    <w:rsid w:val="00667A57"/>
    <w:rsid w:val="00667C4A"/>
    <w:rsid w:val="00667D01"/>
    <w:rsid w:val="00667E2C"/>
    <w:rsid w:val="00667F2C"/>
    <w:rsid w:val="00667F41"/>
    <w:rsid w:val="006700B4"/>
    <w:rsid w:val="006700CC"/>
    <w:rsid w:val="00670133"/>
    <w:rsid w:val="00670159"/>
    <w:rsid w:val="006701A9"/>
    <w:rsid w:val="006701CC"/>
    <w:rsid w:val="0067021D"/>
    <w:rsid w:val="00670256"/>
    <w:rsid w:val="00670276"/>
    <w:rsid w:val="006702AE"/>
    <w:rsid w:val="00670405"/>
    <w:rsid w:val="00670630"/>
    <w:rsid w:val="006709F2"/>
    <w:rsid w:val="00670BBB"/>
    <w:rsid w:val="00670C00"/>
    <w:rsid w:val="00670C25"/>
    <w:rsid w:val="00670E3E"/>
    <w:rsid w:val="00671060"/>
    <w:rsid w:val="00671339"/>
    <w:rsid w:val="0067139B"/>
    <w:rsid w:val="006714CE"/>
    <w:rsid w:val="00671562"/>
    <w:rsid w:val="006715AD"/>
    <w:rsid w:val="00671692"/>
    <w:rsid w:val="006716DC"/>
    <w:rsid w:val="006717E3"/>
    <w:rsid w:val="0067199A"/>
    <w:rsid w:val="00671B6D"/>
    <w:rsid w:val="00671BC4"/>
    <w:rsid w:val="00671C45"/>
    <w:rsid w:val="00671EAB"/>
    <w:rsid w:val="00671F1A"/>
    <w:rsid w:val="00671FB0"/>
    <w:rsid w:val="00671FDC"/>
    <w:rsid w:val="00671FF2"/>
    <w:rsid w:val="0067214F"/>
    <w:rsid w:val="006721D3"/>
    <w:rsid w:val="00672261"/>
    <w:rsid w:val="0067237D"/>
    <w:rsid w:val="00672444"/>
    <w:rsid w:val="006725E3"/>
    <w:rsid w:val="006725F1"/>
    <w:rsid w:val="00672792"/>
    <w:rsid w:val="006727F1"/>
    <w:rsid w:val="006729A6"/>
    <w:rsid w:val="00672A2B"/>
    <w:rsid w:val="00672A2F"/>
    <w:rsid w:val="00672A75"/>
    <w:rsid w:val="00672A8B"/>
    <w:rsid w:val="00672ABB"/>
    <w:rsid w:val="00672BDB"/>
    <w:rsid w:val="00672E2E"/>
    <w:rsid w:val="00672EC6"/>
    <w:rsid w:val="00672F64"/>
    <w:rsid w:val="00673023"/>
    <w:rsid w:val="00673211"/>
    <w:rsid w:val="00673291"/>
    <w:rsid w:val="0067332F"/>
    <w:rsid w:val="00673497"/>
    <w:rsid w:val="006734BC"/>
    <w:rsid w:val="006735C9"/>
    <w:rsid w:val="006735CF"/>
    <w:rsid w:val="006737AE"/>
    <w:rsid w:val="00673833"/>
    <w:rsid w:val="00673970"/>
    <w:rsid w:val="00673A31"/>
    <w:rsid w:val="00673A69"/>
    <w:rsid w:val="00673B57"/>
    <w:rsid w:val="00673C54"/>
    <w:rsid w:val="00673CF8"/>
    <w:rsid w:val="00673D51"/>
    <w:rsid w:val="00673DC0"/>
    <w:rsid w:val="00673E9D"/>
    <w:rsid w:val="00673FC7"/>
    <w:rsid w:val="00674192"/>
    <w:rsid w:val="006741BB"/>
    <w:rsid w:val="006741BD"/>
    <w:rsid w:val="006743C6"/>
    <w:rsid w:val="00674403"/>
    <w:rsid w:val="0067446C"/>
    <w:rsid w:val="0067468A"/>
    <w:rsid w:val="00674C27"/>
    <w:rsid w:val="00674E46"/>
    <w:rsid w:val="00674F2C"/>
    <w:rsid w:val="00675034"/>
    <w:rsid w:val="00675188"/>
    <w:rsid w:val="00675268"/>
    <w:rsid w:val="00675362"/>
    <w:rsid w:val="006753AB"/>
    <w:rsid w:val="006753C0"/>
    <w:rsid w:val="006754CA"/>
    <w:rsid w:val="006755F8"/>
    <w:rsid w:val="006756A0"/>
    <w:rsid w:val="00675798"/>
    <w:rsid w:val="00675CB6"/>
    <w:rsid w:val="00675CF4"/>
    <w:rsid w:val="00675D47"/>
    <w:rsid w:val="00675ED9"/>
    <w:rsid w:val="00676025"/>
    <w:rsid w:val="00676059"/>
    <w:rsid w:val="006760CB"/>
    <w:rsid w:val="00676229"/>
    <w:rsid w:val="00676334"/>
    <w:rsid w:val="0067642E"/>
    <w:rsid w:val="00676466"/>
    <w:rsid w:val="0067647A"/>
    <w:rsid w:val="006766FE"/>
    <w:rsid w:val="0067678A"/>
    <w:rsid w:val="00676841"/>
    <w:rsid w:val="006768FA"/>
    <w:rsid w:val="006769AB"/>
    <w:rsid w:val="00676AA4"/>
    <w:rsid w:val="00676C10"/>
    <w:rsid w:val="00676C9C"/>
    <w:rsid w:val="00676CB3"/>
    <w:rsid w:val="00676E7F"/>
    <w:rsid w:val="00676F4A"/>
    <w:rsid w:val="00676FD8"/>
    <w:rsid w:val="00677008"/>
    <w:rsid w:val="00677212"/>
    <w:rsid w:val="006772F0"/>
    <w:rsid w:val="00677334"/>
    <w:rsid w:val="00677480"/>
    <w:rsid w:val="0067755E"/>
    <w:rsid w:val="006777F4"/>
    <w:rsid w:val="00677897"/>
    <w:rsid w:val="006778B2"/>
    <w:rsid w:val="006778F0"/>
    <w:rsid w:val="006779C7"/>
    <w:rsid w:val="00677A06"/>
    <w:rsid w:val="00677B1E"/>
    <w:rsid w:val="00677B48"/>
    <w:rsid w:val="00677B9E"/>
    <w:rsid w:val="00677C78"/>
    <w:rsid w:val="00677C7A"/>
    <w:rsid w:val="00677CBD"/>
    <w:rsid w:val="00677D0A"/>
    <w:rsid w:val="00677D6C"/>
    <w:rsid w:val="00677E12"/>
    <w:rsid w:val="00677E31"/>
    <w:rsid w:val="006789DB"/>
    <w:rsid w:val="00680218"/>
    <w:rsid w:val="00680258"/>
    <w:rsid w:val="006802B3"/>
    <w:rsid w:val="0068035B"/>
    <w:rsid w:val="006803E3"/>
    <w:rsid w:val="0068046E"/>
    <w:rsid w:val="0068064C"/>
    <w:rsid w:val="0068094E"/>
    <w:rsid w:val="00680A1B"/>
    <w:rsid w:val="00680BA3"/>
    <w:rsid w:val="00680BEE"/>
    <w:rsid w:val="00680C7C"/>
    <w:rsid w:val="00680D19"/>
    <w:rsid w:val="00680D72"/>
    <w:rsid w:val="00680E4A"/>
    <w:rsid w:val="00680E70"/>
    <w:rsid w:val="00680F23"/>
    <w:rsid w:val="00681069"/>
    <w:rsid w:val="006810A8"/>
    <w:rsid w:val="0068111F"/>
    <w:rsid w:val="006811D9"/>
    <w:rsid w:val="006811E3"/>
    <w:rsid w:val="00681409"/>
    <w:rsid w:val="006814F6"/>
    <w:rsid w:val="00681513"/>
    <w:rsid w:val="0068163B"/>
    <w:rsid w:val="0068173A"/>
    <w:rsid w:val="00681843"/>
    <w:rsid w:val="0068195C"/>
    <w:rsid w:val="00681974"/>
    <w:rsid w:val="00681AFE"/>
    <w:rsid w:val="00681BDF"/>
    <w:rsid w:val="00681DEA"/>
    <w:rsid w:val="00681E2B"/>
    <w:rsid w:val="00681E86"/>
    <w:rsid w:val="00681FEF"/>
    <w:rsid w:val="00681FFF"/>
    <w:rsid w:val="00682057"/>
    <w:rsid w:val="0068206B"/>
    <w:rsid w:val="006821A1"/>
    <w:rsid w:val="006823F4"/>
    <w:rsid w:val="006824B0"/>
    <w:rsid w:val="00682530"/>
    <w:rsid w:val="0068255C"/>
    <w:rsid w:val="00682581"/>
    <w:rsid w:val="006825DB"/>
    <w:rsid w:val="00682629"/>
    <w:rsid w:val="0068268F"/>
    <w:rsid w:val="0068272C"/>
    <w:rsid w:val="0068291A"/>
    <w:rsid w:val="00682A32"/>
    <w:rsid w:val="00682AB4"/>
    <w:rsid w:val="00682B1F"/>
    <w:rsid w:val="00682B54"/>
    <w:rsid w:val="00682B81"/>
    <w:rsid w:val="0068305B"/>
    <w:rsid w:val="006830DE"/>
    <w:rsid w:val="00683184"/>
    <w:rsid w:val="006831C4"/>
    <w:rsid w:val="006833FA"/>
    <w:rsid w:val="0068351E"/>
    <w:rsid w:val="00683585"/>
    <w:rsid w:val="00683876"/>
    <w:rsid w:val="00683917"/>
    <w:rsid w:val="00683B3F"/>
    <w:rsid w:val="00683B8B"/>
    <w:rsid w:val="00683C72"/>
    <w:rsid w:val="00683D3E"/>
    <w:rsid w:val="00683DBB"/>
    <w:rsid w:val="00683F49"/>
    <w:rsid w:val="0068401B"/>
    <w:rsid w:val="00684095"/>
    <w:rsid w:val="00684199"/>
    <w:rsid w:val="006841AD"/>
    <w:rsid w:val="0068426A"/>
    <w:rsid w:val="00684272"/>
    <w:rsid w:val="006843C0"/>
    <w:rsid w:val="00684604"/>
    <w:rsid w:val="006848BB"/>
    <w:rsid w:val="00684939"/>
    <w:rsid w:val="00684945"/>
    <w:rsid w:val="00684988"/>
    <w:rsid w:val="00684A76"/>
    <w:rsid w:val="00684AB2"/>
    <w:rsid w:val="00684BEE"/>
    <w:rsid w:val="00684D0A"/>
    <w:rsid w:val="00684DBE"/>
    <w:rsid w:val="00684E63"/>
    <w:rsid w:val="006851BF"/>
    <w:rsid w:val="006854B5"/>
    <w:rsid w:val="006854C9"/>
    <w:rsid w:val="006855F2"/>
    <w:rsid w:val="00685632"/>
    <w:rsid w:val="006856D5"/>
    <w:rsid w:val="00685813"/>
    <w:rsid w:val="00685847"/>
    <w:rsid w:val="0068585E"/>
    <w:rsid w:val="006859E5"/>
    <w:rsid w:val="00685A08"/>
    <w:rsid w:val="00685A54"/>
    <w:rsid w:val="00685C64"/>
    <w:rsid w:val="00685CD2"/>
    <w:rsid w:val="00686152"/>
    <w:rsid w:val="0068642F"/>
    <w:rsid w:val="00686438"/>
    <w:rsid w:val="0068646D"/>
    <w:rsid w:val="0068647A"/>
    <w:rsid w:val="00686533"/>
    <w:rsid w:val="00686561"/>
    <w:rsid w:val="0068664A"/>
    <w:rsid w:val="006867C1"/>
    <w:rsid w:val="00686829"/>
    <w:rsid w:val="00686849"/>
    <w:rsid w:val="00686881"/>
    <w:rsid w:val="00686B94"/>
    <w:rsid w:val="00686CD7"/>
    <w:rsid w:val="00686E1A"/>
    <w:rsid w:val="00686F4F"/>
    <w:rsid w:val="0068711A"/>
    <w:rsid w:val="00687146"/>
    <w:rsid w:val="006871A3"/>
    <w:rsid w:val="00687215"/>
    <w:rsid w:val="006873C8"/>
    <w:rsid w:val="0068746F"/>
    <w:rsid w:val="00687488"/>
    <w:rsid w:val="0068749A"/>
    <w:rsid w:val="0068757F"/>
    <w:rsid w:val="006875FB"/>
    <w:rsid w:val="00687772"/>
    <w:rsid w:val="0068788A"/>
    <w:rsid w:val="00687954"/>
    <w:rsid w:val="00687B14"/>
    <w:rsid w:val="00687B34"/>
    <w:rsid w:val="00687BDB"/>
    <w:rsid w:val="00687E5D"/>
    <w:rsid w:val="00687F25"/>
    <w:rsid w:val="00687F73"/>
    <w:rsid w:val="00687F98"/>
    <w:rsid w:val="00690010"/>
    <w:rsid w:val="00690063"/>
    <w:rsid w:val="006900C2"/>
    <w:rsid w:val="00690476"/>
    <w:rsid w:val="0069048A"/>
    <w:rsid w:val="006904F4"/>
    <w:rsid w:val="0069060A"/>
    <w:rsid w:val="006909B8"/>
    <w:rsid w:val="00690BE0"/>
    <w:rsid w:val="00690CD4"/>
    <w:rsid w:val="00690D0B"/>
    <w:rsid w:val="00690D0C"/>
    <w:rsid w:val="00690D44"/>
    <w:rsid w:val="00690D81"/>
    <w:rsid w:val="00690E4F"/>
    <w:rsid w:val="00690E6B"/>
    <w:rsid w:val="00690FEC"/>
    <w:rsid w:val="00691145"/>
    <w:rsid w:val="00691192"/>
    <w:rsid w:val="006911D1"/>
    <w:rsid w:val="006911ED"/>
    <w:rsid w:val="006912E9"/>
    <w:rsid w:val="006914C4"/>
    <w:rsid w:val="006914EE"/>
    <w:rsid w:val="00691658"/>
    <w:rsid w:val="006916D0"/>
    <w:rsid w:val="006917EB"/>
    <w:rsid w:val="00691B6B"/>
    <w:rsid w:val="00691BD8"/>
    <w:rsid w:val="00691E05"/>
    <w:rsid w:val="00691E88"/>
    <w:rsid w:val="0069200D"/>
    <w:rsid w:val="0069216F"/>
    <w:rsid w:val="0069217E"/>
    <w:rsid w:val="006922C6"/>
    <w:rsid w:val="00692408"/>
    <w:rsid w:val="006924D2"/>
    <w:rsid w:val="0069255F"/>
    <w:rsid w:val="00692592"/>
    <w:rsid w:val="006925C4"/>
    <w:rsid w:val="00692680"/>
    <w:rsid w:val="0069282F"/>
    <w:rsid w:val="00692920"/>
    <w:rsid w:val="0069293D"/>
    <w:rsid w:val="006929A1"/>
    <w:rsid w:val="00692B11"/>
    <w:rsid w:val="00692C1C"/>
    <w:rsid w:val="00692D0C"/>
    <w:rsid w:val="00692DD7"/>
    <w:rsid w:val="00692E9C"/>
    <w:rsid w:val="00692EA6"/>
    <w:rsid w:val="006930F2"/>
    <w:rsid w:val="0069333C"/>
    <w:rsid w:val="00693347"/>
    <w:rsid w:val="006934D1"/>
    <w:rsid w:val="00693520"/>
    <w:rsid w:val="0069366B"/>
    <w:rsid w:val="0069374B"/>
    <w:rsid w:val="00693774"/>
    <w:rsid w:val="0069377F"/>
    <w:rsid w:val="00693898"/>
    <w:rsid w:val="006938F4"/>
    <w:rsid w:val="00693949"/>
    <w:rsid w:val="00693960"/>
    <w:rsid w:val="00693987"/>
    <w:rsid w:val="00693A45"/>
    <w:rsid w:val="00693A4C"/>
    <w:rsid w:val="00693B2A"/>
    <w:rsid w:val="00693B87"/>
    <w:rsid w:val="00693C00"/>
    <w:rsid w:val="00693D71"/>
    <w:rsid w:val="00693DEF"/>
    <w:rsid w:val="00693E7E"/>
    <w:rsid w:val="006940E6"/>
    <w:rsid w:val="006940EE"/>
    <w:rsid w:val="00694438"/>
    <w:rsid w:val="0069447A"/>
    <w:rsid w:val="0069451A"/>
    <w:rsid w:val="0069454C"/>
    <w:rsid w:val="0069457A"/>
    <w:rsid w:val="00694724"/>
    <w:rsid w:val="00694931"/>
    <w:rsid w:val="00694A0D"/>
    <w:rsid w:val="00694A5A"/>
    <w:rsid w:val="00694AC5"/>
    <w:rsid w:val="00694AEB"/>
    <w:rsid w:val="00694BB4"/>
    <w:rsid w:val="00694D2D"/>
    <w:rsid w:val="00694DFC"/>
    <w:rsid w:val="0069504F"/>
    <w:rsid w:val="006950AE"/>
    <w:rsid w:val="006950BB"/>
    <w:rsid w:val="006950CA"/>
    <w:rsid w:val="00695220"/>
    <w:rsid w:val="00695236"/>
    <w:rsid w:val="00695243"/>
    <w:rsid w:val="00695410"/>
    <w:rsid w:val="0069556C"/>
    <w:rsid w:val="00695742"/>
    <w:rsid w:val="00695876"/>
    <w:rsid w:val="006959BE"/>
    <w:rsid w:val="00695A19"/>
    <w:rsid w:val="00695A2C"/>
    <w:rsid w:val="00695A2D"/>
    <w:rsid w:val="00695AB7"/>
    <w:rsid w:val="00695AC8"/>
    <w:rsid w:val="00695B30"/>
    <w:rsid w:val="00695E39"/>
    <w:rsid w:val="00695E55"/>
    <w:rsid w:val="00695E7E"/>
    <w:rsid w:val="00695FEE"/>
    <w:rsid w:val="00695FF6"/>
    <w:rsid w:val="006961A7"/>
    <w:rsid w:val="00696200"/>
    <w:rsid w:val="00696323"/>
    <w:rsid w:val="00696351"/>
    <w:rsid w:val="0069635C"/>
    <w:rsid w:val="006963ED"/>
    <w:rsid w:val="006964B5"/>
    <w:rsid w:val="00696608"/>
    <w:rsid w:val="0069664B"/>
    <w:rsid w:val="00696673"/>
    <w:rsid w:val="006967F8"/>
    <w:rsid w:val="00696928"/>
    <w:rsid w:val="0069698E"/>
    <w:rsid w:val="006969CC"/>
    <w:rsid w:val="00696B0B"/>
    <w:rsid w:val="00696B1C"/>
    <w:rsid w:val="00696BD4"/>
    <w:rsid w:val="00696BEA"/>
    <w:rsid w:val="00696C6F"/>
    <w:rsid w:val="00696CC9"/>
    <w:rsid w:val="00696D5F"/>
    <w:rsid w:val="00696DAC"/>
    <w:rsid w:val="00696E3D"/>
    <w:rsid w:val="00696E5E"/>
    <w:rsid w:val="00696F09"/>
    <w:rsid w:val="00696FC8"/>
    <w:rsid w:val="00696FEE"/>
    <w:rsid w:val="00697046"/>
    <w:rsid w:val="00697070"/>
    <w:rsid w:val="006972D6"/>
    <w:rsid w:val="00697308"/>
    <w:rsid w:val="00697311"/>
    <w:rsid w:val="006973B1"/>
    <w:rsid w:val="00697490"/>
    <w:rsid w:val="0069750F"/>
    <w:rsid w:val="0069757A"/>
    <w:rsid w:val="0069758A"/>
    <w:rsid w:val="00697590"/>
    <w:rsid w:val="006979E8"/>
    <w:rsid w:val="00697AAC"/>
    <w:rsid w:val="00697B55"/>
    <w:rsid w:val="00697C40"/>
    <w:rsid w:val="00697C8F"/>
    <w:rsid w:val="00697D4B"/>
    <w:rsid w:val="00697F43"/>
    <w:rsid w:val="00697FFE"/>
    <w:rsid w:val="006A016A"/>
    <w:rsid w:val="006A028E"/>
    <w:rsid w:val="006A034A"/>
    <w:rsid w:val="006A0386"/>
    <w:rsid w:val="006A04D1"/>
    <w:rsid w:val="006A05B6"/>
    <w:rsid w:val="006A05CC"/>
    <w:rsid w:val="006A05E2"/>
    <w:rsid w:val="006A0615"/>
    <w:rsid w:val="006A062E"/>
    <w:rsid w:val="006A066F"/>
    <w:rsid w:val="006A070E"/>
    <w:rsid w:val="006A0724"/>
    <w:rsid w:val="006A0731"/>
    <w:rsid w:val="006A0755"/>
    <w:rsid w:val="006A0845"/>
    <w:rsid w:val="006A08D0"/>
    <w:rsid w:val="006A0B3F"/>
    <w:rsid w:val="006A0D1A"/>
    <w:rsid w:val="006A0E9F"/>
    <w:rsid w:val="006A0ECF"/>
    <w:rsid w:val="006A0EF3"/>
    <w:rsid w:val="006A1089"/>
    <w:rsid w:val="006A110B"/>
    <w:rsid w:val="006A117C"/>
    <w:rsid w:val="006A1295"/>
    <w:rsid w:val="006A12C7"/>
    <w:rsid w:val="006A1326"/>
    <w:rsid w:val="006A132A"/>
    <w:rsid w:val="006A1333"/>
    <w:rsid w:val="006A1419"/>
    <w:rsid w:val="006A14A3"/>
    <w:rsid w:val="006A14A7"/>
    <w:rsid w:val="006A14C5"/>
    <w:rsid w:val="006A180A"/>
    <w:rsid w:val="006A1A24"/>
    <w:rsid w:val="006A1D51"/>
    <w:rsid w:val="006A1E97"/>
    <w:rsid w:val="006A1EDA"/>
    <w:rsid w:val="006A1F99"/>
    <w:rsid w:val="006A2206"/>
    <w:rsid w:val="006A2582"/>
    <w:rsid w:val="006A26C4"/>
    <w:rsid w:val="006A26D7"/>
    <w:rsid w:val="006A288E"/>
    <w:rsid w:val="006A28F0"/>
    <w:rsid w:val="006A29B4"/>
    <w:rsid w:val="006A2A48"/>
    <w:rsid w:val="006A2AC1"/>
    <w:rsid w:val="006A2B04"/>
    <w:rsid w:val="006A2C7F"/>
    <w:rsid w:val="006A2F73"/>
    <w:rsid w:val="006A2F85"/>
    <w:rsid w:val="006A306C"/>
    <w:rsid w:val="006A3082"/>
    <w:rsid w:val="006A30B1"/>
    <w:rsid w:val="006A3424"/>
    <w:rsid w:val="006A3559"/>
    <w:rsid w:val="006A3587"/>
    <w:rsid w:val="006A36A7"/>
    <w:rsid w:val="006A3724"/>
    <w:rsid w:val="006A3843"/>
    <w:rsid w:val="006A39B8"/>
    <w:rsid w:val="006A3A7C"/>
    <w:rsid w:val="006A3ABB"/>
    <w:rsid w:val="006A3ACF"/>
    <w:rsid w:val="006A3B83"/>
    <w:rsid w:val="006A3C38"/>
    <w:rsid w:val="006A3C98"/>
    <w:rsid w:val="006A3CBE"/>
    <w:rsid w:val="006A3CEA"/>
    <w:rsid w:val="006A3D8B"/>
    <w:rsid w:val="006A3EA0"/>
    <w:rsid w:val="006A3EEC"/>
    <w:rsid w:val="006A408D"/>
    <w:rsid w:val="006A41E9"/>
    <w:rsid w:val="006A41F6"/>
    <w:rsid w:val="006A42C1"/>
    <w:rsid w:val="006A430A"/>
    <w:rsid w:val="006A4552"/>
    <w:rsid w:val="006A45B8"/>
    <w:rsid w:val="006A4903"/>
    <w:rsid w:val="006A49E5"/>
    <w:rsid w:val="006A4B03"/>
    <w:rsid w:val="006A4B65"/>
    <w:rsid w:val="006A4BD6"/>
    <w:rsid w:val="006A4BEF"/>
    <w:rsid w:val="006A4D65"/>
    <w:rsid w:val="006A4DE5"/>
    <w:rsid w:val="006A4E0C"/>
    <w:rsid w:val="006A4EDA"/>
    <w:rsid w:val="006A4F02"/>
    <w:rsid w:val="006A4F45"/>
    <w:rsid w:val="006A4FD6"/>
    <w:rsid w:val="006A502F"/>
    <w:rsid w:val="006A5069"/>
    <w:rsid w:val="006A509A"/>
    <w:rsid w:val="006A509D"/>
    <w:rsid w:val="006A5307"/>
    <w:rsid w:val="006A54BD"/>
    <w:rsid w:val="006A550B"/>
    <w:rsid w:val="006A56B9"/>
    <w:rsid w:val="006A56D7"/>
    <w:rsid w:val="006A57AF"/>
    <w:rsid w:val="006A5980"/>
    <w:rsid w:val="006A5A3C"/>
    <w:rsid w:val="006A5A50"/>
    <w:rsid w:val="006A5AAB"/>
    <w:rsid w:val="006A5B6E"/>
    <w:rsid w:val="006A5BE5"/>
    <w:rsid w:val="006A5D3E"/>
    <w:rsid w:val="006A5E49"/>
    <w:rsid w:val="006A5EC2"/>
    <w:rsid w:val="006A6114"/>
    <w:rsid w:val="006A6139"/>
    <w:rsid w:val="006A633D"/>
    <w:rsid w:val="006A644D"/>
    <w:rsid w:val="006A64A7"/>
    <w:rsid w:val="006A656C"/>
    <w:rsid w:val="006A662B"/>
    <w:rsid w:val="006A68A1"/>
    <w:rsid w:val="006A68C6"/>
    <w:rsid w:val="006A6A6A"/>
    <w:rsid w:val="006A6AAC"/>
    <w:rsid w:val="006A6B4B"/>
    <w:rsid w:val="006A6B62"/>
    <w:rsid w:val="006A6BC4"/>
    <w:rsid w:val="006A6C58"/>
    <w:rsid w:val="006A6C6C"/>
    <w:rsid w:val="006A6D04"/>
    <w:rsid w:val="006A6EEB"/>
    <w:rsid w:val="006A6F00"/>
    <w:rsid w:val="006A6F0F"/>
    <w:rsid w:val="006A6FD3"/>
    <w:rsid w:val="006A6FEF"/>
    <w:rsid w:val="006A6FF6"/>
    <w:rsid w:val="006A703F"/>
    <w:rsid w:val="006A7075"/>
    <w:rsid w:val="006A715B"/>
    <w:rsid w:val="006A7332"/>
    <w:rsid w:val="006A742C"/>
    <w:rsid w:val="006A74EF"/>
    <w:rsid w:val="006A75F5"/>
    <w:rsid w:val="006A7621"/>
    <w:rsid w:val="006A7852"/>
    <w:rsid w:val="006A78E0"/>
    <w:rsid w:val="006A7945"/>
    <w:rsid w:val="006A7AAC"/>
    <w:rsid w:val="006A7BD5"/>
    <w:rsid w:val="006A7CAC"/>
    <w:rsid w:val="006A7CD5"/>
    <w:rsid w:val="006A7CF5"/>
    <w:rsid w:val="006A7DA7"/>
    <w:rsid w:val="006A7DDB"/>
    <w:rsid w:val="006A7E6F"/>
    <w:rsid w:val="006B00D9"/>
    <w:rsid w:val="006B00F1"/>
    <w:rsid w:val="006B00FF"/>
    <w:rsid w:val="006B02B5"/>
    <w:rsid w:val="006B0436"/>
    <w:rsid w:val="006B048F"/>
    <w:rsid w:val="006B055C"/>
    <w:rsid w:val="006B0569"/>
    <w:rsid w:val="006B08F2"/>
    <w:rsid w:val="006B0980"/>
    <w:rsid w:val="006B0A44"/>
    <w:rsid w:val="006B0A90"/>
    <w:rsid w:val="006B0B25"/>
    <w:rsid w:val="006B0BC7"/>
    <w:rsid w:val="006B0C83"/>
    <w:rsid w:val="006B0CAF"/>
    <w:rsid w:val="006B0E11"/>
    <w:rsid w:val="006B0E75"/>
    <w:rsid w:val="006B0F56"/>
    <w:rsid w:val="006B0FC8"/>
    <w:rsid w:val="006B10ED"/>
    <w:rsid w:val="006B1159"/>
    <w:rsid w:val="006B14C5"/>
    <w:rsid w:val="006B15A9"/>
    <w:rsid w:val="006B1622"/>
    <w:rsid w:val="006B1724"/>
    <w:rsid w:val="006B1739"/>
    <w:rsid w:val="006B189A"/>
    <w:rsid w:val="006B1ABC"/>
    <w:rsid w:val="006B1AF9"/>
    <w:rsid w:val="006B1E6A"/>
    <w:rsid w:val="006B1EBF"/>
    <w:rsid w:val="006B1F21"/>
    <w:rsid w:val="006B1F24"/>
    <w:rsid w:val="006B21C0"/>
    <w:rsid w:val="006B229A"/>
    <w:rsid w:val="006B2458"/>
    <w:rsid w:val="006B25CB"/>
    <w:rsid w:val="006B26F4"/>
    <w:rsid w:val="006B2758"/>
    <w:rsid w:val="006B28C3"/>
    <w:rsid w:val="006B2ABD"/>
    <w:rsid w:val="006B2C2D"/>
    <w:rsid w:val="006B2C4C"/>
    <w:rsid w:val="006B2EB0"/>
    <w:rsid w:val="006B2EEA"/>
    <w:rsid w:val="006B2FA0"/>
    <w:rsid w:val="006B2FCF"/>
    <w:rsid w:val="006B2FDC"/>
    <w:rsid w:val="006B3088"/>
    <w:rsid w:val="006B3159"/>
    <w:rsid w:val="006B315D"/>
    <w:rsid w:val="006B3283"/>
    <w:rsid w:val="006B3430"/>
    <w:rsid w:val="006B3463"/>
    <w:rsid w:val="006B3783"/>
    <w:rsid w:val="006B38F6"/>
    <w:rsid w:val="006B3997"/>
    <w:rsid w:val="006B39A0"/>
    <w:rsid w:val="006B39FB"/>
    <w:rsid w:val="006B3A60"/>
    <w:rsid w:val="006B3AE5"/>
    <w:rsid w:val="006B3B65"/>
    <w:rsid w:val="006B3BB6"/>
    <w:rsid w:val="006B3BD2"/>
    <w:rsid w:val="006B3C08"/>
    <w:rsid w:val="006B3C35"/>
    <w:rsid w:val="006B3D14"/>
    <w:rsid w:val="006B401D"/>
    <w:rsid w:val="006B40AE"/>
    <w:rsid w:val="006B413D"/>
    <w:rsid w:val="006B4166"/>
    <w:rsid w:val="006B4273"/>
    <w:rsid w:val="006B433A"/>
    <w:rsid w:val="006B43DA"/>
    <w:rsid w:val="006B4497"/>
    <w:rsid w:val="006B44BF"/>
    <w:rsid w:val="006B4607"/>
    <w:rsid w:val="006B475B"/>
    <w:rsid w:val="006B4847"/>
    <w:rsid w:val="006B48A8"/>
    <w:rsid w:val="006B4ADE"/>
    <w:rsid w:val="006B4C00"/>
    <w:rsid w:val="006B4C10"/>
    <w:rsid w:val="006B4CA1"/>
    <w:rsid w:val="006B4CA8"/>
    <w:rsid w:val="006B4E64"/>
    <w:rsid w:val="006B4F18"/>
    <w:rsid w:val="006B4F1B"/>
    <w:rsid w:val="006B4F24"/>
    <w:rsid w:val="006B4F6F"/>
    <w:rsid w:val="006B4F8F"/>
    <w:rsid w:val="006B4FD6"/>
    <w:rsid w:val="006B5081"/>
    <w:rsid w:val="006B50C5"/>
    <w:rsid w:val="006B517E"/>
    <w:rsid w:val="006B525D"/>
    <w:rsid w:val="006B52CA"/>
    <w:rsid w:val="006B53FB"/>
    <w:rsid w:val="006B5509"/>
    <w:rsid w:val="006B5682"/>
    <w:rsid w:val="006B56BC"/>
    <w:rsid w:val="006B57FB"/>
    <w:rsid w:val="006B584E"/>
    <w:rsid w:val="006B5953"/>
    <w:rsid w:val="006B5980"/>
    <w:rsid w:val="006B5A93"/>
    <w:rsid w:val="006B5B6B"/>
    <w:rsid w:val="006B5C7E"/>
    <w:rsid w:val="006B5E9F"/>
    <w:rsid w:val="006B60B0"/>
    <w:rsid w:val="006B60EF"/>
    <w:rsid w:val="006B6171"/>
    <w:rsid w:val="006B61E4"/>
    <w:rsid w:val="006B6281"/>
    <w:rsid w:val="006B63D4"/>
    <w:rsid w:val="006B645B"/>
    <w:rsid w:val="006B6750"/>
    <w:rsid w:val="006B6855"/>
    <w:rsid w:val="006B6D6B"/>
    <w:rsid w:val="006B6DFA"/>
    <w:rsid w:val="006B6DFB"/>
    <w:rsid w:val="006B6E69"/>
    <w:rsid w:val="006B6F20"/>
    <w:rsid w:val="006B70D9"/>
    <w:rsid w:val="006B70EC"/>
    <w:rsid w:val="006B71AA"/>
    <w:rsid w:val="006B723A"/>
    <w:rsid w:val="006B7273"/>
    <w:rsid w:val="006B739E"/>
    <w:rsid w:val="006B73B6"/>
    <w:rsid w:val="006B7457"/>
    <w:rsid w:val="006B7463"/>
    <w:rsid w:val="006B75CF"/>
    <w:rsid w:val="006B7646"/>
    <w:rsid w:val="006B7720"/>
    <w:rsid w:val="006B78F7"/>
    <w:rsid w:val="006B7B4B"/>
    <w:rsid w:val="006B7CC6"/>
    <w:rsid w:val="006B7D11"/>
    <w:rsid w:val="006B7D49"/>
    <w:rsid w:val="006B7DF9"/>
    <w:rsid w:val="006B7F1D"/>
    <w:rsid w:val="006B7FBF"/>
    <w:rsid w:val="006B7FC8"/>
    <w:rsid w:val="006C0071"/>
    <w:rsid w:val="006C0075"/>
    <w:rsid w:val="006C02E9"/>
    <w:rsid w:val="006C030A"/>
    <w:rsid w:val="006C0383"/>
    <w:rsid w:val="006C041A"/>
    <w:rsid w:val="006C06B5"/>
    <w:rsid w:val="006C06DD"/>
    <w:rsid w:val="006C07F5"/>
    <w:rsid w:val="006C07F7"/>
    <w:rsid w:val="006C0900"/>
    <w:rsid w:val="006C095B"/>
    <w:rsid w:val="006C09D1"/>
    <w:rsid w:val="006C0BCB"/>
    <w:rsid w:val="006C0C3E"/>
    <w:rsid w:val="006C0CF3"/>
    <w:rsid w:val="006C0FB2"/>
    <w:rsid w:val="006C1080"/>
    <w:rsid w:val="006C112C"/>
    <w:rsid w:val="006C11EE"/>
    <w:rsid w:val="006C1202"/>
    <w:rsid w:val="006C13E6"/>
    <w:rsid w:val="006C14D4"/>
    <w:rsid w:val="006C1534"/>
    <w:rsid w:val="006C15D2"/>
    <w:rsid w:val="006C16A6"/>
    <w:rsid w:val="006C17A3"/>
    <w:rsid w:val="006C1849"/>
    <w:rsid w:val="006C1973"/>
    <w:rsid w:val="006C19C3"/>
    <w:rsid w:val="006C1ACC"/>
    <w:rsid w:val="006C1AE4"/>
    <w:rsid w:val="006C1B0B"/>
    <w:rsid w:val="006C1BAC"/>
    <w:rsid w:val="006C1BAE"/>
    <w:rsid w:val="006C1D13"/>
    <w:rsid w:val="006C1D33"/>
    <w:rsid w:val="006C1D8D"/>
    <w:rsid w:val="006C1D8F"/>
    <w:rsid w:val="006C1E41"/>
    <w:rsid w:val="006C1EDA"/>
    <w:rsid w:val="006C1F79"/>
    <w:rsid w:val="006C2063"/>
    <w:rsid w:val="006C20DF"/>
    <w:rsid w:val="006C21AF"/>
    <w:rsid w:val="006C235E"/>
    <w:rsid w:val="006C2387"/>
    <w:rsid w:val="006C242D"/>
    <w:rsid w:val="006C2437"/>
    <w:rsid w:val="006C25BE"/>
    <w:rsid w:val="006C2629"/>
    <w:rsid w:val="006C2698"/>
    <w:rsid w:val="006C2740"/>
    <w:rsid w:val="006C27FD"/>
    <w:rsid w:val="006C294D"/>
    <w:rsid w:val="006C2AC6"/>
    <w:rsid w:val="006C2B0E"/>
    <w:rsid w:val="006C2BAB"/>
    <w:rsid w:val="006C2CD4"/>
    <w:rsid w:val="006C2D47"/>
    <w:rsid w:val="006C2FF9"/>
    <w:rsid w:val="006C30D6"/>
    <w:rsid w:val="006C31DE"/>
    <w:rsid w:val="006C32AC"/>
    <w:rsid w:val="006C3349"/>
    <w:rsid w:val="006C33B2"/>
    <w:rsid w:val="006C358F"/>
    <w:rsid w:val="006C36D3"/>
    <w:rsid w:val="006C387F"/>
    <w:rsid w:val="006C388F"/>
    <w:rsid w:val="006C38E2"/>
    <w:rsid w:val="006C3A00"/>
    <w:rsid w:val="006C3C28"/>
    <w:rsid w:val="006C3E73"/>
    <w:rsid w:val="006C3E80"/>
    <w:rsid w:val="006C3F78"/>
    <w:rsid w:val="006C42F8"/>
    <w:rsid w:val="006C435C"/>
    <w:rsid w:val="006C441A"/>
    <w:rsid w:val="006C44C4"/>
    <w:rsid w:val="006C452E"/>
    <w:rsid w:val="006C47C4"/>
    <w:rsid w:val="006C47FF"/>
    <w:rsid w:val="006C4AA1"/>
    <w:rsid w:val="006C4BEA"/>
    <w:rsid w:val="006C4C6B"/>
    <w:rsid w:val="006C4CF6"/>
    <w:rsid w:val="006C4D06"/>
    <w:rsid w:val="006C4D09"/>
    <w:rsid w:val="006C4D6A"/>
    <w:rsid w:val="006C4DDB"/>
    <w:rsid w:val="006C4E07"/>
    <w:rsid w:val="006C4E70"/>
    <w:rsid w:val="006C4F4A"/>
    <w:rsid w:val="006C4F60"/>
    <w:rsid w:val="006C5222"/>
    <w:rsid w:val="006C5233"/>
    <w:rsid w:val="006C52AF"/>
    <w:rsid w:val="006C53EB"/>
    <w:rsid w:val="006C5413"/>
    <w:rsid w:val="006C5455"/>
    <w:rsid w:val="006C5550"/>
    <w:rsid w:val="006C5560"/>
    <w:rsid w:val="006C560F"/>
    <w:rsid w:val="006C57F4"/>
    <w:rsid w:val="006C5889"/>
    <w:rsid w:val="006C5BDF"/>
    <w:rsid w:val="006C5D87"/>
    <w:rsid w:val="006C5E60"/>
    <w:rsid w:val="006C5EA7"/>
    <w:rsid w:val="006C613C"/>
    <w:rsid w:val="006C6282"/>
    <w:rsid w:val="006C63DB"/>
    <w:rsid w:val="006C63E3"/>
    <w:rsid w:val="006C6481"/>
    <w:rsid w:val="006C661A"/>
    <w:rsid w:val="006C67B8"/>
    <w:rsid w:val="006C6C00"/>
    <w:rsid w:val="006C6C61"/>
    <w:rsid w:val="006C6C71"/>
    <w:rsid w:val="006C6CB5"/>
    <w:rsid w:val="006C6CE5"/>
    <w:rsid w:val="006C6DBA"/>
    <w:rsid w:val="006C6DF3"/>
    <w:rsid w:val="006C6E9D"/>
    <w:rsid w:val="006C6F28"/>
    <w:rsid w:val="006C6FF2"/>
    <w:rsid w:val="006C7042"/>
    <w:rsid w:val="006C7058"/>
    <w:rsid w:val="006C7059"/>
    <w:rsid w:val="006C73CF"/>
    <w:rsid w:val="006C745B"/>
    <w:rsid w:val="006C748C"/>
    <w:rsid w:val="006C74C7"/>
    <w:rsid w:val="006C750F"/>
    <w:rsid w:val="006C7697"/>
    <w:rsid w:val="006C77F3"/>
    <w:rsid w:val="006C7974"/>
    <w:rsid w:val="006C7A5E"/>
    <w:rsid w:val="006C7AF2"/>
    <w:rsid w:val="006C7D71"/>
    <w:rsid w:val="006C7D8C"/>
    <w:rsid w:val="006C7DF6"/>
    <w:rsid w:val="006C7E35"/>
    <w:rsid w:val="006C7EC2"/>
    <w:rsid w:val="006C7F86"/>
    <w:rsid w:val="006CF729"/>
    <w:rsid w:val="006D019D"/>
    <w:rsid w:val="006D0423"/>
    <w:rsid w:val="006D048D"/>
    <w:rsid w:val="006D058E"/>
    <w:rsid w:val="006D0729"/>
    <w:rsid w:val="006D07A3"/>
    <w:rsid w:val="006D0817"/>
    <w:rsid w:val="006D0881"/>
    <w:rsid w:val="006D08B3"/>
    <w:rsid w:val="006D093F"/>
    <w:rsid w:val="006D098B"/>
    <w:rsid w:val="006D09EB"/>
    <w:rsid w:val="006D0ADB"/>
    <w:rsid w:val="006D0B40"/>
    <w:rsid w:val="006D0BB3"/>
    <w:rsid w:val="006D0BC9"/>
    <w:rsid w:val="006D0C11"/>
    <w:rsid w:val="006D0C15"/>
    <w:rsid w:val="006D0CF4"/>
    <w:rsid w:val="006D0EAD"/>
    <w:rsid w:val="006D0F8C"/>
    <w:rsid w:val="006D11C5"/>
    <w:rsid w:val="006D11DF"/>
    <w:rsid w:val="006D1319"/>
    <w:rsid w:val="006D147F"/>
    <w:rsid w:val="006D149A"/>
    <w:rsid w:val="006D150D"/>
    <w:rsid w:val="006D168F"/>
    <w:rsid w:val="006D171B"/>
    <w:rsid w:val="006D189C"/>
    <w:rsid w:val="006D18FC"/>
    <w:rsid w:val="006D196B"/>
    <w:rsid w:val="006D1AA9"/>
    <w:rsid w:val="006D1B7A"/>
    <w:rsid w:val="006D1BE8"/>
    <w:rsid w:val="006D1E1A"/>
    <w:rsid w:val="006D1E2F"/>
    <w:rsid w:val="006D1E31"/>
    <w:rsid w:val="006D1F82"/>
    <w:rsid w:val="006D1F88"/>
    <w:rsid w:val="006D2072"/>
    <w:rsid w:val="006D208A"/>
    <w:rsid w:val="006D20A7"/>
    <w:rsid w:val="006D2101"/>
    <w:rsid w:val="006D2142"/>
    <w:rsid w:val="006D2314"/>
    <w:rsid w:val="006D25FB"/>
    <w:rsid w:val="006D264D"/>
    <w:rsid w:val="006D26A2"/>
    <w:rsid w:val="006D26E6"/>
    <w:rsid w:val="006D2A76"/>
    <w:rsid w:val="006D2B3A"/>
    <w:rsid w:val="006D2BA2"/>
    <w:rsid w:val="006D2BA4"/>
    <w:rsid w:val="006D2BF5"/>
    <w:rsid w:val="006D2C61"/>
    <w:rsid w:val="006D2EDF"/>
    <w:rsid w:val="006D2F1C"/>
    <w:rsid w:val="006D2F3F"/>
    <w:rsid w:val="006D2F48"/>
    <w:rsid w:val="006D2FAF"/>
    <w:rsid w:val="006D30C2"/>
    <w:rsid w:val="006D30CF"/>
    <w:rsid w:val="006D30F0"/>
    <w:rsid w:val="006D3130"/>
    <w:rsid w:val="006D32D2"/>
    <w:rsid w:val="006D3645"/>
    <w:rsid w:val="006D383D"/>
    <w:rsid w:val="006D38BA"/>
    <w:rsid w:val="006D3921"/>
    <w:rsid w:val="006D3A50"/>
    <w:rsid w:val="006D3A7D"/>
    <w:rsid w:val="006D3C19"/>
    <w:rsid w:val="006D3DDE"/>
    <w:rsid w:val="006D3E93"/>
    <w:rsid w:val="006D3EEF"/>
    <w:rsid w:val="006D3FC5"/>
    <w:rsid w:val="006D3FC8"/>
    <w:rsid w:val="006D40AB"/>
    <w:rsid w:val="006D410C"/>
    <w:rsid w:val="006D415D"/>
    <w:rsid w:val="006D438B"/>
    <w:rsid w:val="006D4454"/>
    <w:rsid w:val="006D44A6"/>
    <w:rsid w:val="006D45AF"/>
    <w:rsid w:val="006D482F"/>
    <w:rsid w:val="006D48ED"/>
    <w:rsid w:val="006D4A3C"/>
    <w:rsid w:val="006D4B13"/>
    <w:rsid w:val="006D4BDC"/>
    <w:rsid w:val="006D4BDE"/>
    <w:rsid w:val="006D4C12"/>
    <w:rsid w:val="006D4C36"/>
    <w:rsid w:val="006D4C49"/>
    <w:rsid w:val="006D4E40"/>
    <w:rsid w:val="006D507D"/>
    <w:rsid w:val="006D5139"/>
    <w:rsid w:val="006D5140"/>
    <w:rsid w:val="006D52A4"/>
    <w:rsid w:val="006D5426"/>
    <w:rsid w:val="006D54D4"/>
    <w:rsid w:val="006D54FD"/>
    <w:rsid w:val="006D5508"/>
    <w:rsid w:val="006D5779"/>
    <w:rsid w:val="006D57F4"/>
    <w:rsid w:val="006D599E"/>
    <w:rsid w:val="006D5CAE"/>
    <w:rsid w:val="006D5D17"/>
    <w:rsid w:val="006D5D18"/>
    <w:rsid w:val="006D5DBB"/>
    <w:rsid w:val="006D5E42"/>
    <w:rsid w:val="006D5EE2"/>
    <w:rsid w:val="006D5EE5"/>
    <w:rsid w:val="006D5EF5"/>
    <w:rsid w:val="006D5F70"/>
    <w:rsid w:val="006D603C"/>
    <w:rsid w:val="006D6040"/>
    <w:rsid w:val="006D607B"/>
    <w:rsid w:val="006D6152"/>
    <w:rsid w:val="006D62EB"/>
    <w:rsid w:val="006D6395"/>
    <w:rsid w:val="006D641C"/>
    <w:rsid w:val="006D650B"/>
    <w:rsid w:val="006D6563"/>
    <w:rsid w:val="006D65FB"/>
    <w:rsid w:val="006D667B"/>
    <w:rsid w:val="006D66FD"/>
    <w:rsid w:val="006D675D"/>
    <w:rsid w:val="006D6877"/>
    <w:rsid w:val="006D6AE6"/>
    <w:rsid w:val="006D6AF5"/>
    <w:rsid w:val="006D6B3B"/>
    <w:rsid w:val="006D6C8C"/>
    <w:rsid w:val="006D6CF7"/>
    <w:rsid w:val="006D6D67"/>
    <w:rsid w:val="006D6D7E"/>
    <w:rsid w:val="006D6E12"/>
    <w:rsid w:val="006D6E28"/>
    <w:rsid w:val="006D6E65"/>
    <w:rsid w:val="006D6EBC"/>
    <w:rsid w:val="006D70F1"/>
    <w:rsid w:val="006D7193"/>
    <w:rsid w:val="006D7359"/>
    <w:rsid w:val="006D7440"/>
    <w:rsid w:val="006D74FE"/>
    <w:rsid w:val="006D7739"/>
    <w:rsid w:val="006D781D"/>
    <w:rsid w:val="006D78C8"/>
    <w:rsid w:val="006D7917"/>
    <w:rsid w:val="006D7BF0"/>
    <w:rsid w:val="006D7C89"/>
    <w:rsid w:val="006D7DDA"/>
    <w:rsid w:val="006D7E33"/>
    <w:rsid w:val="006D7F9F"/>
    <w:rsid w:val="006E0000"/>
    <w:rsid w:val="006E00B8"/>
    <w:rsid w:val="006E02E6"/>
    <w:rsid w:val="006E04E2"/>
    <w:rsid w:val="006E053E"/>
    <w:rsid w:val="006E0693"/>
    <w:rsid w:val="006E091C"/>
    <w:rsid w:val="006E0BC4"/>
    <w:rsid w:val="006E0D1E"/>
    <w:rsid w:val="006E0DA2"/>
    <w:rsid w:val="006E0DC5"/>
    <w:rsid w:val="006E0E9C"/>
    <w:rsid w:val="006E0F4A"/>
    <w:rsid w:val="006E0FB5"/>
    <w:rsid w:val="006E0FD1"/>
    <w:rsid w:val="006E0FE3"/>
    <w:rsid w:val="006E10AC"/>
    <w:rsid w:val="006E1125"/>
    <w:rsid w:val="006E1209"/>
    <w:rsid w:val="006E1326"/>
    <w:rsid w:val="006E132B"/>
    <w:rsid w:val="006E144C"/>
    <w:rsid w:val="006E145E"/>
    <w:rsid w:val="006E1465"/>
    <w:rsid w:val="006E14E9"/>
    <w:rsid w:val="006E153C"/>
    <w:rsid w:val="006E154F"/>
    <w:rsid w:val="006E167E"/>
    <w:rsid w:val="006E18EB"/>
    <w:rsid w:val="006E1939"/>
    <w:rsid w:val="006E196A"/>
    <w:rsid w:val="006E1AA4"/>
    <w:rsid w:val="006E1CF9"/>
    <w:rsid w:val="006E1F3E"/>
    <w:rsid w:val="006E22F3"/>
    <w:rsid w:val="006E2442"/>
    <w:rsid w:val="006E252E"/>
    <w:rsid w:val="006E274D"/>
    <w:rsid w:val="006E27FC"/>
    <w:rsid w:val="006E29A3"/>
    <w:rsid w:val="006E29AC"/>
    <w:rsid w:val="006E2AD5"/>
    <w:rsid w:val="006E2B12"/>
    <w:rsid w:val="006E2B44"/>
    <w:rsid w:val="006E2B4D"/>
    <w:rsid w:val="006E2E2B"/>
    <w:rsid w:val="006E2E32"/>
    <w:rsid w:val="006E2E86"/>
    <w:rsid w:val="006E2EAA"/>
    <w:rsid w:val="006E2F16"/>
    <w:rsid w:val="006E317F"/>
    <w:rsid w:val="006E35B9"/>
    <w:rsid w:val="006E3655"/>
    <w:rsid w:val="006E366C"/>
    <w:rsid w:val="006E369D"/>
    <w:rsid w:val="006E36DC"/>
    <w:rsid w:val="006E3785"/>
    <w:rsid w:val="006E37AF"/>
    <w:rsid w:val="006E3879"/>
    <w:rsid w:val="006E3919"/>
    <w:rsid w:val="006E39B9"/>
    <w:rsid w:val="006E3A0B"/>
    <w:rsid w:val="006E3B31"/>
    <w:rsid w:val="006E3BA1"/>
    <w:rsid w:val="006E3BBD"/>
    <w:rsid w:val="006E3D7D"/>
    <w:rsid w:val="006E3D89"/>
    <w:rsid w:val="006E3E91"/>
    <w:rsid w:val="006E3F4A"/>
    <w:rsid w:val="006E3FDD"/>
    <w:rsid w:val="006E4023"/>
    <w:rsid w:val="006E403A"/>
    <w:rsid w:val="006E41A4"/>
    <w:rsid w:val="006E425E"/>
    <w:rsid w:val="006E4292"/>
    <w:rsid w:val="006E42F9"/>
    <w:rsid w:val="006E437B"/>
    <w:rsid w:val="006E43A3"/>
    <w:rsid w:val="006E4423"/>
    <w:rsid w:val="006E4671"/>
    <w:rsid w:val="006E4900"/>
    <w:rsid w:val="006E498D"/>
    <w:rsid w:val="006E4C4C"/>
    <w:rsid w:val="006E4D44"/>
    <w:rsid w:val="006E4DCB"/>
    <w:rsid w:val="006E4FBE"/>
    <w:rsid w:val="006E5014"/>
    <w:rsid w:val="006E5182"/>
    <w:rsid w:val="006E51C9"/>
    <w:rsid w:val="006E5230"/>
    <w:rsid w:val="006E54F7"/>
    <w:rsid w:val="006E55A2"/>
    <w:rsid w:val="006E565C"/>
    <w:rsid w:val="006E56A7"/>
    <w:rsid w:val="006E5733"/>
    <w:rsid w:val="006E59B7"/>
    <w:rsid w:val="006E5A66"/>
    <w:rsid w:val="006E5AFA"/>
    <w:rsid w:val="006E5B99"/>
    <w:rsid w:val="006E5C29"/>
    <w:rsid w:val="006E5C4F"/>
    <w:rsid w:val="006E5C80"/>
    <w:rsid w:val="006E5D2A"/>
    <w:rsid w:val="006E5D9D"/>
    <w:rsid w:val="006E5F36"/>
    <w:rsid w:val="006E6085"/>
    <w:rsid w:val="006E60E7"/>
    <w:rsid w:val="006E610D"/>
    <w:rsid w:val="006E616E"/>
    <w:rsid w:val="006E6172"/>
    <w:rsid w:val="006E6257"/>
    <w:rsid w:val="006E625F"/>
    <w:rsid w:val="006E629B"/>
    <w:rsid w:val="006E632D"/>
    <w:rsid w:val="006E6387"/>
    <w:rsid w:val="006E647C"/>
    <w:rsid w:val="006E6747"/>
    <w:rsid w:val="006E68F2"/>
    <w:rsid w:val="006E6A86"/>
    <w:rsid w:val="006E6B7F"/>
    <w:rsid w:val="006E6DD5"/>
    <w:rsid w:val="006E6E03"/>
    <w:rsid w:val="006E6F77"/>
    <w:rsid w:val="006E7092"/>
    <w:rsid w:val="006E70F0"/>
    <w:rsid w:val="006E71A4"/>
    <w:rsid w:val="006E7305"/>
    <w:rsid w:val="006E73A1"/>
    <w:rsid w:val="006E73C2"/>
    <w:rsid w:val="006E73CE"/>
    <w:rsid w:val="006E73D2"/>
    <w:rsid w:val="006E743B"/>
    <w:rsid w:val="006E7688"/>
    <w:rsid w:val="006E7A34"/>
    <w:rsid w:val="006E7A59"/>
    <w:rsid w:val="006E7A8B"/>
    <w:rsid w:val="006E7A94"/>
    <w:rsid w:val="006E7B2C"/>
    <w:rsid w:val="006E7B79"/>
    <w:rsid w:val="006E7C9E"/>
    <w:rsid w:val="006E7F79"/>
    <w:rsid w:val="006F00AE"/>
    <w:rsid w:val="006F00D8"/>
    <w:rsid w:val="006F00F7"/>
    <w:rsid w:val="006F0182"/>
    <w:rsid w:val="006F01B6"/>
    <w:rsid w:val="006F020B"/>
    <w:rsid w:val="006F023C"/>
    <w:rsid w:val="006F0273"/>
    <w:rsid w:val="006F02E2"/>
    <w:rsid w:val="006F0306"/>
    <w:rsid w:val="006F0400"/>
    <w:rsid w:val="006F0477"/>
    <w:rsid w:val="006F0585"/>
    <w:rsid w:val="006F0690"/>
    <w:rsid w:val="006F06CD"/>
    <w:rsid w:val="006F07E7"/>
    <w:rsid w:val="006F0890"/>
    <w:rsid w:val="006F08ED"/>
    <w:rsid w:val="006F0929"/>
    <w:rsid w:val="006F0930"/>
    <w:rsid w:val="006F0983"/>
    <w:rsid w:val="006F098D"/>
    <w:rsid w:val="006F0A71"/>
    <w:rsid w:val="006F0AC8"/>
    <w:rsid w:val="006F0AD1"/>
    <w:rsid w:val="006F0CFA"/>
    <w:rsid w:val="006F0D1A"/>
    <w:rsid w:val="006F0D96"/>
    <w:rsid w:val="006F0E07"/>
    <w:rsid w:val="006F0EFD"/>
    <w:rsid w:val="006F0FDE"/>
    <w:rsid w:val="006F1093"/>
    <w:rsid w:val="006F10A5"/>
    <w:rsid w:val="006F1244"/>
    <w:rsid w:val="006F12CD"/>
    <w:rsid w:val="006F1400"/>
    <w:rsid w:val="006F1579"/>
    <w:rsid w:val="006F157A"/>
    <w:rsid w:val="006F15F4"/>
    <w:rsid w:val="006F1627"/>
    <w:rsid w:val="006F1689"/>
    <w:rsid w:val="006F173D"/>
    <w:rsid w:val="006F1767"/>
    <w:rsid w:val="006F17C4"/>
    <w:rsid w:val="006F1825"/>
    <w:rsid w:val="006F1884"/>
    <w:rsid w:val="006F1961"/>
    <w:rsid w:val="006F1A29"/>
    <w:rsid w:val="006F1C02"/>
    <w:rsid w:val="006F1C1B"/>
    <w:rsid w:val="006F1CAF"/>
    <w:rsid w:val="006F1D07"/>
    <w:rsid w:val="006F1D53"/>
    <w:rsid w:val="006F1E40"/>
    <w:rsid w:val="006F1E9D"/>
    <w:rsid w:val="006F1EED"/>
    <w:rsid w:val="006F1F97"/>
    <w:rsid w:val="006F2124"/>
    <w:rsid w:val="006F2219"/>
    <w:rsid w:val="006F2518"/>
    <w:rsid w:val="006F2555"/>
    <w:rsid w:val="006F258D"/>
    <w:rsid w:val="006F25A2"/>
    <w:rsid w:val="006F262F"/>
    <w:rsid w:val="006F26B4"/>
    <w:rsid w:val="006F26CB"/>
    <w:rsid w:val="006F2715"/>
    <w:rsid w:val="006F27AB"/>
    <w:rsid w:val="006F2950"/>
    <w:rsid w:val="006F2A36"/>
    <w:rsid w:val="006F2A59"/>
    <w:rsid w:val="006F2AEA"/>
    <w:rsid w:val="006F2B5F"/>
    <w:rsid w:val="006F2CD1"/>
    <w:rsid w:val="006F2E2B"/>
    <w:rsid w:val="006F2FD7"/>
    <w:rsid w:val="006F30B3"/>
    <w:rsid w:val="006F312F"/>
    <w:rsid w:val="006F3142"/>
    <w:rsid w:val="006F3157"/>
    <w:rsid w:val="006F3252"/>
    <w:rsid w:val="006F33EB"/>
    <w:rsid w:val="006F357D"/>
    <w:rsid w:val="006F3643"/>
    <w:rsid w:val="006F3996"/>
    <w:rsid w:val="006F3AAB"/>
    <w:rsid w:val="006F3EB7"/>
    <w:rsid w:val="006F3F7F"/>
    <w:rsid w:val="006F4017"/>
    <w:rsid w:val="006F428F"/>
    <w:rsid w:val="006F4347"/>
    <w:rsid w:val="006F43C2"/>
    <w:rsid w:val="006F44B3"/>
    <w:rsid w:val="006F4675"/>
    <w:rsid w:val="006F4752"/>
    <w:rsid w:val="006F4785"/>
    <w:rsid w:val="006F490F"/>
    <w:rsid w:val="006F4992"/>
    <w:rsid w:val="006F49C9"/>
    <w:rsid w:val="006F4ABA"/>
    <w:rsid w:val="006F4BA4"/>
    <w:rsid w:val="006F4C09"/>
    <w:rsid w:val="006F4C2D"/>
    <w:rsid w:val="006F4CCC"/>
    <w:rsid w:val="006F4E08"/>
    <w:rsid w:val="006F4E1A"/>
    <w:rsid w:val="006F50EB"/>
    <w:rsid w:val="006F51DD"/>
    <w:rsid w:val="006F5428"/>
    <w:rsid w:val="006F54CA"/>
    <w:rsid w:val="006F5538"/>
    <w:rsid w:val="006F565D"/>
    <w:rsid w:val="006F56B5"/>
    <w:rsid w:val="006F56D0"/>
    <w:rsid w:val="006F5793"/>
    <w:rsid w:val="006F57A0"/>
    <w:rsid w:val="006F57B8"/>
    <w:rsid w:val="006F585E"/>
    <w:rsid w:val="006F586C"/>
    <w:rsid w:val="006F5AF7"/>
    <w:rsid w:val="006F5BB1"/>
    <w:rsid w:val="006F5EE2"/>
    <w:rsid w:val="006F5F18"/>
    <w:rsid w:val="006F5F4D"/>
    <w:rsid w:val="006F6081"/>
    <w:rsid w:val="006F621B"/>
    <w:rsid w:val="006F6292"/>
    <w:rsid w:val="006F629B"/>
    <w:rsid w:val="006F6324"/>
    <w:rsid w:val="006F6350"/>
    <w:rsid w:val="006F63D9"/>
    <w:rsid w:val="006F6552"/>
    <w:rsid w:val="006F66CC"/>
    <w:rsid w:val="006F66DC"/>
    <w:rsid w:val="006F671F"/>
    <w:rsid w:val="006F68C1"/>
    <w:rsid w:val="006F69FA"/>
    <w:rsid w:val="006F6CCD"/>
    <w:rsid w:val="006F6DE7"/>
    <w:rsid w:val="006F6E8B"/>
    <w:rsid w:val="006F6ECE"/>
    <w:rsid w:val="006F6FDC"/>
    <w:rsid w:val="006F7065"/>
    <w:rsid w:val="006F70D8"/>
    <w:rsid w:val="006F716F"/>
    <w:rsid w:val="006F7562"/>
    <w:rsid w:val="006F761A"/>
    <w:rsid w:val="006F7635"/>
    <w:rsid w:val="006F76CC"/>
    <w:rsid w:val="006F777F"/>
    <w:rsid w:val="006F7821"/>
    <w:rsid w:val="006F783E"/>
    <w:rsid w:val="006F7919"/>
    <w:rsid w:val="006F791C"/>
    <w:rsid w:val="006F7951"/>
    <w:rsid w:val="006F799A"/>
    <w:rsid w:val="006F7A5F"/>
    <w:rsid w:val="006F7A8B"/>
    <w:rsid w:val="006F7AD4"/>
    <w:rsid w:val="006F7AF9"/>
    <w:rsid w:val="006F7B03"/>
    <w:rsid w:val="006F7B64"/>
    <w:rsid w:val="006F7DC1"/>
    <w:rsid w:val="006F7E6F"/>
    <w:rsid w:val="006F7F73"/>
    <w:rsid w:val="00700019"/>
    <w:rsid w:val="00700237"/>
    <w:rsid w:val="00700566"/>
    <w:rsid w:val="0070058A"/>
    <w:rsid w:val="00700687"/>
    <w:rsid w:val="007008BB"/>
    <w:rsid w:val="00700943"/>
    <w:rsid w:val="00700998"/>
    <w:rsid w:val="00700A73"/>
    <w:rsid w:val="00700B1D"/>
    <w:rsid w:val="00700BAC"/>
    <w:rsid w:val="00700C16"/>
    <w:rsid w:val="00700C20"/>
    <w:rsid w:val="00700D54"/>
    <w:rsid w:val="00700EC2"/>
    <w:rsid w:val="007011B8"/>
    <w:rsid w:val="00701273"/>
    <w:rsid w:val="00701341"/>
    <w:rsid w:val="0070138A"/>
    <w:rsid w:val="00701542"/>
    <w:rsid w:val="007015DA"/>
    <w:rsid w:val="00701705"/>
    <w:rsid w:val="0070198A"/>
    <w:rsid w:val="00701A4F"/>
    <w:rsid w:val="00701C60"/>
    <w:rsid w:val="00701CF3"/>
    <w:rsid w:val="00701DBB"/>
    <w:rsid w:val="00701E1F"/>
    <w:rsid w:val="00701E32"/>
    <w:rsid w:val="00702029"/>
    <w:rsid w:val="00702049"/>
    <w:rsid w:val="0070219F"/>
    <w:rsid w:val="007021E5"/>
    <w:rsid w:val="00702225"/>
    <w:rsid w:val="00702549"/>
    <w:rsid w:val="00702690"/>
    <w:rsid w:val="0070274F"/>
    <w:rsid w:val="00702767"/>
    <w:rsid w:val="00702842"/>
    <w:rsid w:val="00702C1D"/>
    <w:rsid w:val="00702C33"/>
    <w:rsid w:val="00702C49"/>
    <w:rsid w:val="00702E67"/>
    <w:rsid w:val="00702EBD"/>
    <w:rsid w:val="00703062"/>
    <w:rsid w:val="00703065"/>
    <w:rsid w:val="00703141"/>
    <w:rsid w:val="00703239"/>
    <w:rsid w:val="00703408"/>
    <w:rsid w:val="007037C6"/>
    <w:rsid w:val="0070389C"/>
    <w:rsid w:val="00703A54"/>
    <w:rsid w:val="00703A8B"/>
    <w:rsid w:val="00703A92"/>
    <w:rsid w:val="00703AD7"/>
    <w:rsid w:val="00703B29"/>
    <w:rsid w:val="00703D74"/>
    <w:rsid w:val="00703F5E"/>
    <w:rsid w:val="00703FEA"/>
    <w:rsid w:val="00704109"/>
    <w:rsid w:val="00704195"/>
    <w:rsid w:val="007041ED"/>
    <w:rsid w:val="00704352"/>
    <w:rsid w:val="0070441E"/>
    <w:rsid w:val="00704448"/>
    <w:rsid w:val="0070445E"/>
    <w:rsid w:val="007044FC"/>
    <w:rsid w:val="00704523"/>
    <w:rsid w:val="007046B2"/>
    <w:rsid w:val="00704704"/>
    <w:rsid w:val="0070491A"/>
    <w:rsid w:val="00704C23"/>
    <w:rsid w:val="00704CC6"/>
    <w:rsid w:val="00704ED0"/>
    <w:rsid w:val="00704EF0"/>
    <w:rsid w:val="00704F9A"/>
    <w:rsid w:val="00704FE1"/>
    <w:rsid w:val="00704FEC"/>
    <w:rsid w:val="007050DA"/>
    <w:rsid w:val="007050EB"/>
    <w:rsid w:val="0070523D"/>
    <w:rsid w:val="007052B5"/>
    <w:rsid w:val="007052EB"/>
    <w:rsid w:val="007052F7"/>
    <w:rsid w:val="007053D3"/>
    <w:rsid w:val="007053F1"/>
    <w:rsid w:val="0070556D"/>
    <w:rsid w:val="0070562C"/>
    <w:rsid w:val="00705770"/>
    <w:rsid w:val="0070585E"/>
    <w:rsid w:val="00705875"/>
    <w:rsid w:val="007058CD"/>
    <w:rsid w:val="00705931"/>
    <w:rsid w:val="0070596F"/>
    <w:rsid w:val="007059BD"/>
    <w:rsid w:val="00705A71"/>
    <w:rsid w:val="00705B02"/>
    <w:rsid w:val="00705B5F"/>
    <w:rsid w:val="00705B79"/>
    <w:rsid w:val="00705C18"/>
    <w:rsid w:val="00705C5C"/>
    <w:rsid w:val="00705CD5"/>
    <w:rsid w:val="00705E36"/>
    <w:rsid w:val="00705E7F"/>
    <w:rsid w:val="00706087"/>
    <w:rsid w:val="00706112"/>
    <w:rsid w:val="00706188"/>
    <w:rsid w:val="007061B0"/>
    <w:rsid w:val="007061FF"/>
    <w:rsid w:val="00706245"/>
    <w:rsid w:val="007062FB"/>
    <w:rsid w:val="00706515"/>
    <w:rsid w:val="00706698"/>
    <w:rsid w:val="007066E7"/>
    <w:rsid w:val="007067D6"/>
    <w:rsid w:val="0070681E"/>
    <w:rsid w:val="007068C0"/>
    <w:rsid w:val="00706940"/>
    <w:rsid w:val="0070699A"/>
    <w:rsid w:val="00706A0C"/>
    <w:rsid w:val="00706A51"/>
    <w:rsid w:val="00706BD5"/>
    <w:rsid w:val="00706D3E"/>
    <w:rsid w:val="00706E1D"/>
    <w:rsid w:val="00706E8E"/>
    <w:rsid w:val="00707020"/>
    <w:rsid w:val="007072F3"/>
    <w:rsid w:val="007072F7"/>
    <w:rsid w:val="00707498"/>
    <w:rsid w:val="0070758B"/>
    <w:rsid w:val="00707716"/>
    <w:rsid w:val="007077C6"/>
    <w:rsid w:val="007077DD"/>
    <w:rsid w:val="007078D3"/>
    <w:rsid w:val="007078E7"/>
    <w:rsid w:val="007079BA"/>
    <w:rsid w:val="00707B8E"/>
    <w:rsid w:val="00707BBA"/>
    <w:rsid w:val="00707C33"/>
    <w:rsid w:val="00707C6B"/>
    <w:rsid w:val="00707EB1"/>
    <w:rsid w:val="007100D6"/>
    <w:rsid w:val="0071016A"/>
    <w:rsid w:val="007101E3"/>
    <w:rsid w:val="00710316"/>
    <w:rsid w:val="00710360"/>
    <w:rsid w:val="0071038A"/>
    <w:rsid w:val="007104C1"/>
    <w:rsid w:val="00710605"/>
    <w:rsid w:val="007106F8"/>
    <w:rsid w:val="00710866"/>
    <w:rsid w:val="007108D7"/>
    <w:rsid w:val="00710E86"/>
    <w:rsid w:val="00710ED4"/>
    <w:rsid w:val="00710F1B"/>
    <w:rsid w:val="00710F8A"/>
    <w:rsid w:val="00710FEE"/>
    <w:rsid w:val="007111F5"/>
    <w:rsid w:val="00711217"/>
    <w:rsid w:val="00711407"/>
    <w:rsid w:val="00711475"/>
    <w:rsid w:val="007114C1"/>
    <w:rsid w:val="007114F1"/>
    <w:rsid w:val="007115AF"/>
    <w:rsid w:val="0071160E"/>
    <w:rsid w:val="007116D4"/>
    <w:rsid w:val="0071181A"/>
    <w:rsid w:val="007118A6"/>
    <w:rsid w:val="007118BB"/>
    <w:rsid w:val="007118E3"/>
    <w:rsid w:val="007118E4"/>
    <w:rsid w:val="007119D1"/>
    <w:rsid w:val="00711A11"/>
    <w:rsid w:val="00711BC3"/>
    <w:rsid w:val="00711C0E"/>
    <w:rsid w:val="00711C92"/>
    <w:rsid w:val="00711DB1"/>
    <w:rsid w:val="00711DF9"/>
    <w:rsid w:val="00711E91"/>
    <w:rsid w:val="0071213F"/>
    <w:rsid w:val="007121A7"/>
    <w:rsid w:val="00712376"/>
    <w:rsid w:val="007123B5"/>
    <w:rsid w:val="0071246D"/>
    <w:rsid w:val="007125E3"/>
    <w:rsid w:val="0071262E"/>
    <w:rsid w:val="00712722"/>
    <w:rsid w:val="00712891"/>
    <w:rsid w:val="00712A02"/>
    <w:rsid w:val="00712BAA"/>
    <w:rsid w:val="00712C69"/>
    <w:rsid w:val="00712E94"/>
    <w:rsid w:val="00712EC5"/>
    <w:rsid w:val="00713061"/>
    <w:rsid w:val="0071309F"/>
    <w:rsid w:val="00713145"/>
    <w:rsid w:val="007131B3"/>
    <w:rsid w:val="0071320C"/>
    <w:rsid w:val="00713231"/>
    <w:rsid w:val="007133DA"/>
    <w:rsid w:val="0071345A"/>
    <w:rsid w:val="00713539"/>
    <w:rsid w:val="0071365D"/>
    <w:rsid w:val="0071366B"/>
    <w:rsid w:val="00713683"/>
    <w:rsid w:val="0071378D"/>
    <w:rsid w:val="00713969"/>
    <w:rsid w:val="00713B13"/>
    <w:rsid w:val="00713B5F"/>
    <w:rsid w:val="00713B8E"/>
    <w:rsid w:val="00713B8F"/>
    <w:rsid w:val="00713C09"/>
    <w:rsid w:val="00713C17"/>
    <w:rsid w:val="00713E01"/>
    <w:rsid w:val="007140A2"/>
    <w:rsid w:val="0071412E"/>
    <w:rsid w:val="007141FA"/>
    <w:rsid w:val="0071430D"/>
    <w:rsid w:val="007143A8"/>
    <w:rsid w:val="0071451C"/>
    <w:rsid w:val="00714621"/>
    <w:rsid w:val="0071465D"/>
    <w:rsid w:val="007146FD"/>
    <w:rsid w:val="00714711"/>
    <w:rsid w:val="00714996"/>
    <w:rsid w:val="00714C2E"/>
    <w:rsid w:val="00714CC3"/>
    <w:rsid w:val="00714D77"/>
    <w:rsid w:val="00714DE0"/>
    <w:rsid w:val="00714F4D"/>
    <w:rsid w:val="00714F9B"/>
    <w:rsid w:val="007150F0"/>
    <w:rsid w:val="0071510D"/>
    <w:rsid w:val="007151E5"/>
    <w:rsid w:val="007152C8"/>
    <w:rsid w:val="00715307"/>
    <w:rsid w:val="00715442"/>
    <w:rsid w:val="0071545C"/>
    <w:rsid w:val="007156A7"/>
    <w:rsid w:val="007157D1"/>
    <w:rsid w:val="00715832"/>
    <w:rsid w:val="00715836"/>
    <w:rsid w:val="0071584F"/>
    <w:rsid w:val="007158E3"/>
    <w:rsid w:val="00715946"/>
    <w:rsid w:val="007159F8"/>
    <w:rsid w:val="00715AE8"/>
    <w:rsid w:val="00715B45"/>
    <w:rsid w:val="00715B66"/>
    <w:rsid w:val="00715B88"/>
    <w:rsid w:val="00715BBB"/>
    <w:rsid w:val="00715C6B"/>
    <w:rsid w:val="00715D83"/>
    <w:rsid w:val="00715EEE"/>
    <w:rsid w:val="00715EFD"/>
    <w:rsid w:val="00715FE4"/>
    <w:rsid w:val="00716041"/>
    <w:rsid w:val="007161EF"/>
    <w:rsid w:val="007162C9"/>
    <w:rsid w:val="00716415"/>
    <w:rsid w:val="0071649F"/>
    <w:rsid w:val="007164A4"/>
    <w:rsid w:val="00716554"/>
    <w:rsid w:val="0071660A"/>
    <w:rsid w:val="007166D7"/>
    <w:rsid w:val="007167D8"/>
    <w:rsid w:val="007169DC"/>
    <w:rsid w:val="00716A24"/>
    <w:rsid w:val="00716A33"/>
    <w:rsid w:val="00716B12"/>
    <w:rsid w:val="00716B6E"/>
    <w:rsid w:val="00716C0D"/>
    <w:rsid w:val="00716C81"/>
    <w:rsid w:val="00716D2F"/>
    <w:rsid w:val="00716DE4"/>
    <w:rsid w:val="00716E6B"/>
    <w:rsid w:val="00716EA9"/>
    <w:rsid w:val="00716F67"/>
    <w:rsid w:val="00716FD7"/>
    <w:rsid w:val="007171F6"/>
    <w:rsid w:val="0071762F"/>
    <w:rsid w:val="0071767E"/>
    <w:rsid w:val="007178CA"/>
    <w:rsid w:val="00717904"/>
    <w:rsid w:val="0071793B"/>
    <w:rsid w:val="00717A85"/>
    <w:rsid w:val="00717AF6"/>
    <w:rsid w:val="00717B41"/>
    <w:rsid w:val="00717B7A"/>
    <w:rsid w:val="00717BFA"/>
    <w:rsid w:val="00717D04"/>
    <w:rsid w:val="00717D0A"/>
    <w:rsid w:val="00717D0F"/>
    <w:rsid w:val="00717D8A"/>
    <w:rsid w:val="00717F26"/>
    <w:rsid w:val="00717FC7"/>
    <w:rsid w:val="0071A2EA"/>
    <w:rsid w:val="007200D3"/>
    <w:rsid w:val="007200DB"/>
    <w:rsid w:val="0072012C"/>
    <w:rsid w:val="00720446"/>
    <w:rsid w:val="00720551"/>
    <w:rsid w:val="007208B7"/>
    <w:rsid w:val="00720976"/>
    <w:rsid w:val="00720BDD"/>
    <w:rsid w:val="00720BF4"/>
    <w:rsid w:val="00720BFF"/>
    <w:rsid w:val="00720D9B"/>
    <w:rsid w:val="00720E1A"/>
    <w:rsid w:val="00720E47"/>
    <w:rsid w:val="00720F09"/>
    <w:rsid w:val="00720FA1"/>
    <w:rsid w:val="007210C0"/>
    <w:rsid w:val="007213CE"/>
    <w:rsid w:val="00721400"/>
    <w:rsid w:val="00721444"/>
    <w:rsid w:val="00721496"/>
    <w:rsid w:val="007214A4"/>
    <w:rsid w:val="0072151C"/>
    <w:rsid w:val="0072161D"/>
    <w:rsid w:val="0072165F"/>
    <w:rsid w:val="00721690"/>
    <w:rsid w:val="0072169A"/>
    <w:rsid w:val="007217B9"/>
    <w:rsid w:val="007217FD"/>
    <w:rsid w:val="00721859"/>
    <w:rsid w:val="007218A7"/>
    <w:rsid w:val="00721925"/>
    <w:rsid w:val="007219C4"/>
    <w:rsid w:val="00721B1E"/>
    <w:rsid w:val="00721B51"/>
    <w:rsid w:val="00721B5A"/>
    <w:rsid w:val="00721B75"/>
    <w:rsid w:val="00721CC5"/>
    <w:rsid w:val="00721D91"/>
    <w:rsid w:val="00721E25"/>
    <w:rsid w:val="00721E81"/>
    <w:rsid w:val="007221A6"/>
    <w:rsid w:val="007221C4"/>
    <w:rsid w:val="007221C7"/>
    <w:rsid w:val="00722448"/>
    <w:rsid w:val="00722481"/>
    <w:rsid w:val="007225E9"/>
    <w:rsid w:val="0072262B"/>
    <w:rsid w:val="00722718"/>
    <w:rsid w:val="007229BD"/>
    <w:rsid w:val="00722AA9"/>
    <w:rsid w:val="00722B66"/>
    <w:rsid w:val="00722BE3"/>
    <w:rsid w:val="0072327D"/>
    <w:rsid w:val="00723294"/>
    <w:rsid w:val="007232C7"/>
    <w:rsid w:val="00723356"/>
    <w:rsid w:val="007233A7"/>
    <w:rsid w:val="007233F4"/>
    <w:rsid w:val="00723497"/>
    <w:rsid w:val="007234A9"/>
    <w:rsid w:val="00723505"/>
    <w:rsid w:val="007235EA"/>
    <w:rsid w:val="00723640"/>
    <w:rsid w:val="00723656"/>
    <w:rsid w:val="00723697"/>
    <w:rsid w:val="007236BB"/>
    <w:rsid w:val="0072374C"/>
    <w:rsid w:val="007237EA"/>
    <w:rsid w:val="0072385C"/>
    <w:rsid w:val="00723929"/>
    <w:rsid w:val="0072395E"/>
    <w:rsid w:val="007239E9"/>
    <w:rsid w:val="00723AF0"/>
    <w:rsid w:val="00723B42"/>
    <w:rsid w:val="00723BD1"/>
    <w:rsid w:val="00723C7F"/>
    <w:rsid w:val="00723D34"/>
    <w:rsid w:val="00723DF2"/>
    <w:rsid w:val="00723E46"/>
    <w:rsid w:val="00723E63"/>
    <w:rsid w:val="00723ECA"/>
    <w:rsid w:val="00723FD6"/>
    <w:rsid w:val="0072407E"/>
    <w:rsid w:val="0072413D"/>
    <w:rsid w:val="00724396"/>
    <w:rsid w:val="007243BB"/>
    <w:rsid w:val="007243EA"/>
    <w:rsid w:val="0072452A"/>
    <w:rsid w:val="00724531"/>
    <w:rsid w:val="00724694"/>
    <w:rsid w:val="00724721"/>
    <w:rsid w:val="007249B5"/>
    <w:rsid w:val="00724AED"/>
    <w:rsid w:val="00724B0E"/>
    <w:rsid w:val="00724C5B"/>
    <w:rsid w:val="00724D0C"/>
    <w:rsid w:val="00725125"/>
    <w:rsid w:val="007251D8"/>
    <w:rsid w:val="00725260"/>
    <w:rsid w:val="0072552B"/>
    <w:rsid w:val="00725920"/>
    <w:rsid w:val="007259AB"/>
    <w:rsid w:val="00725B03"/>
    <w:rsid w:val="00725BEB"/>
    <w:rsid w:val="00725C92"/>
    <w:rsid w:val="00725DC5"/>
    <w:rsid w:val="00725E0D"/>
    <w:rsid w:val="00725F3A"/>
    <w:rsid w:val="00726014"/>
    <w:rsid w:val="00726039"/>
    <w:rsid w:val="007260E7"/>
    <w:rsid w:val="00726133"/>
    <w:rsid w:val="00726167"/>
    <w:rsid w:val="00726200"/>
    <w:rsid w:val="00726264"/>
    <w:rsid w:val="007262CA"/>
    <w:rsid w:val="00726305"/>
    <w:rsid w:val="0072631E"/>
    <w:rsid w:val="0072637F"/>
    <w:rsid w:val="007264BB"/>
    <w:rsid w:val="00726554"/>
    <w:rsid w:val="0072655A"/>
    <w:rsid w:val="007266B2"/>
    <w:rsid w:val="007266F9"/>
    <w:rsid w:val="0072694C"/>
    <w:rsid w:val="0072696E"/>
    <w:rsid w:val="007269E6"/>
    <w:rsid w:val="00726BE6"/>
    <w:rsid w:val="00726C2C"/>
    <w:rsid w:val="00726E4D"/>
    <w:rsid w:val="00726EA1"/>
    <w:rsid w:val="0072702B"/>
    <w:rsid w:val="0072702F"/>
    <w:rsid w:val="007270FD"/>
    <w:rsid w:val="007272D4"/>
    <w:rsid w:val="00727329"/>
    <w:rsid w:val="0072748C"/>
    <w:rsid w:val="00727511"/>
    <w:rsid w:val="00727555"/>
    <w:rsid w:val="0072758B"/>
    <w:rsid w:val="007277A0"/>
    <w:rsid w:val="0072784D"/>
    <w:rsid w:val="007278F1"/>
    <w:rsid w:val="007279C8"/>
    <w:rsid w:val="007279D0"/>
    <w:rsid w:val="00727BDC"/>
    <w:rsid w:val="00727C54"/>
    <w:rsid w:val="00727C9C"/>
    <w:rsid w:val="00727D76"/>
    <w:rsid w:val="00727E28"/>
    <w:rsid w:val="00727E48"/>
    <w:rsid w:val="00730004"/>
    <w:rsid w:val="00730010"/>
    <w:rsid w:val="007300EB"/>
    <w:rsid w:val="00730106"/>
    <w:rsid w:val="0073023E"/>
    <w:rsid w:val="00730287"/>
    <w:rsid w:val="007303A6"/>
    <w:rsid w:val="0073060A"/>
    <w:rsid w:val="0073070D"/>
    <w:rsid w:val="007307B0"/>
    <w:rsid w:val="007307EA"/>
    <w:rsid w:val="00730862"/>
    <w:rsid w:val="00730874"/>
    <w:rsid w:val="00730889"/>
    <w:rsid w:val="0073096F"/>
    <w:rsid w:val="00730A6B"/>
    <w:rsid w:val="00730B54"/>
    <w:rsid w:val="00730CD8"/>
    <w:rsid w:val="00730D94"/>
    <w:rsid w:val="00730F64"/>
    <w:rsid w:val="007310EF"/>
    <w:rsid w:val="0073110C"/>
    <w:rsid w:val="007311C5"/>
    <w:rsid w:val="00731319"/>
    <w:rsid w:val="00731320"/>
    <w:rsid w:val="007314D3"/>
    <w:rsid w:val="00731666"/>
    <w:rsid w:val="0073169D"/>
    <w:rsid w:val="007318A4"/>
    <w:rsid w:val="007319E6"/>
    <w:rsid w:val="00731AF4"/>
    <w:rsid w:val="00731B09"/>
    <w:rsid w:val="00731BE5"/>
    <w:rsid w:val="00731E26"/>
    <w:rsid w:val="00731E62"/>
    <w:rsid w:val="00731EA4"/>
    <w:rsid w:val="0073205E"/>
    <w:rsid w:val="00732069"/>
    <w:rsid w:val="0073206E"/>
    <w:rsid w:val="007321FE"/>
    <w:rsid w:val="00732361"/>
    <w:rsid w:val="007323E2"/>
    <w:rsid w:val="0073271D"/>
    <w:rsid w:val="0073278F"/>
    <w:rsid w:val="007327C0"/>
    <w:rsid w:val="007329F4"/>
    <w:rsid w:val="00732ABA"/>
    <w:rsid w:val="00732CCE"/>
    <w:rsid w:val="00732DAC"/>
    <w:rsid w:val="00732E7C"/>
    <w:rsid w:val="00732E8D"/>
    <w:rsid w:val="00732FC0"/>
    <w:rsid w:val="00733040"/>
    <w:rsid w:val="007330EF"/>
    <w:rsid w:val="00733293"/>
    <w:rsid w:val="007332FD"/>
    <w:rsid w:val="0073342B"/>
    <w:rsid w:val="00733460"/>
    <w:rsid w:val="0073350D"/>
    <w:rsid w:val="00733537"/>
    <w:rsid w:val="0073356D"/>
    <w:rsid w:val="007335D8"/>
    <w:rsid w:val="0073367E"/>
    <w:rsid w:val="007339F7"/>
    <w:rsid w:val="00733AD3"/>
    <w:rsid w:val="00733B9D"/>
    <w:rsid w:val="00733F1E"/>
    <w:rsid w:val="00733F24"/>
    <w:rsid w:val="00733F44"/>
    <w:rsid w:val="0073419D"/>
    <w:rsid w:val="0073461A"/>
    <w:rsid w:val="0073473D"/>
    <w:rsid w:val="007348E6"/>
    <w:rsid w:val="00734B9C"/>
    <w:rsid w:val="00734BD1"/>
    <w:rsid w:val="00734C6F"/>
    <w:rsid w:val="00734D7E"/>
    <w:rsid w:val="00734F8F"/>
    <w:rsid w:val="00734FB4"/>
    <w:rsid w:val="00734FB7"/>
    <w:rsid w:val="0073553B"/>
    <w:rsid w:val="00735785"/>
    <w:rsid w:val="007359EA"/>
    <w:rsid w:val="007359FA"/>
    <w:rsid w:val="00735A49"/>
    <w:rsid w:val="00735ABD"/>
    <w:rsid w:val="00735B49"/>
    <w:rsid w:val="00735C8B"/>
    <w:rsid w:val="00735D33"/>
    <w:rsid w:val="00735DB7"/>
    <w:rsid w:val="00735DD3"/>
    <w:rsid w:val="00735DE4"/>
    <w:rsid w:val="00735E5A"/>
    <w:rsid w:val="00735F65"/>
    <w:rsid w:val="0073600D"/>
    <w:rsid w:val="0073602C"/>
    <w:rsid w:val="00736096"/>
    <w:rsid w:val="00736329"/>
    <w:rsid w:val="0073642C"/>
    <w:rsid w:val="007364F4"/>
    <w:rsid w:val="0073657B"/>
    <w:rsid w:val="0073666F"/>
    <w:rsid w:val="007366B9"/>
    <w:rsid w:val="00736727"/>
    <w:rsid w:val="00736769"/>
    <w:rsid w:val="007368C5"/>
    <w:rsid w:val="00736925"/>
    <w:rsid w:val="0073696B"/>
    <w:rsid w:val="007369B8"/>
    <w:rsid w:val="007369E1"/>
    <w:rsid w:val="00736B7F"/>
    <w:rsid w:val="00736BF1"/>
    <w:rsid w:val="00736BFF"/>
    <w:rsid w:val="00736C4E"/>
    <w:rsid w:val="00736D79"/>
    <w:rsid w:val="00736E74"/>
    <w:rsid w:val="00736E82"/>
    <w:rsid w:val="00736FBF"/>
    <w:rsid w:val="00736FEF"/>
    <w:rsid w:val="00737055"/>
    <w:rsid w:val="0073718C"/>
    <w:rsid w:val="007373CC"/>
    <w:rsid w:val="007373DC"/>
    <w:rsid w:val="007374AA"/>
    <w:rsid w:val="00737768"/>
    <w:rsid w:val="00737835"/>
    <w:rsid w:val="0073795B"/>
    <w:rsid w:val="00737AB7"/>
    <w:rsid w:val="00737B55"/>
    <w:rsid w:val="00737D7B"/>
    <w:rsid w:val="00737D89"/>
    <w:rsid w:val="00737DC7"/>
    <w:rsid w:val="00737E29"/>
    <w:rsid w:val="00737ED9"/>
    <w:rsid w:val="00737F10"/>
    <w:rsid w:val="00737F2A"/>
    <w:rsid w:val="007401E4"/>
    <w:rsid w:val="007402AA"/>
    <w:rsid w:val="0074043F"/>
    <w:rsid w:val="00740594"/>
    <w:rsid w:val="007406F7"/>
    <w:rsid w:val="007407A0"/>
    <w:rsid w:val="00740983"/>
    <w:rsid w:val="007409AB"/>
    <w:rsid w:val="00740C58"/>
    <w:rsid w:val="00740D93"/>
    <w:rsid w:val="00740DB7"/>
    <w:rsid w:val="00740E1E"/>
    <w:rsid w:val="00740EE3"/>
    <w:rsid w:val="00741064"/>
    <w:rsid w:val="00741183"/>
    <w:rsid w:val="0074129B"/>
    <w:rsid w:val="007412CE"/>
    <w:rsid w:val="007414F6"/>
    <w:rsid w:val="007415B4"/>
    <w:rsid w:val="007415CD"/>
    <w:rsid w:val="007416AB"/>
    <w:rsid w:val="007416FB"/>
    <w:rsid w:val="0074189B"/>
    <w:rsid w:val="007418DC"/>
    <w:rsid w:val="00741B62"/>
    <w:rsid w:val="00741CCD"/>
    <w:rsid w:val="00741D42"/>
    <w:rsid w:val="00741F16"/>
    <w:rsid w:val="00742174"/>
    <w:rsid w:val="007421D9"/>
    <w:rsid w:val="00742236"/>
    <w:rsid w:val="007423C8"/>
    <w:rsid w:val="007423F1"/>
    <w:rsid w:val="00742904"/>
    <w:rsid w:val="00742AA0"/>
    <w:rsid w:val="00742AAF"/>
    <w:rsid w:val="00742B67"/>
    <w:rsid w:val="00742CB0"/>
    <w:rsid w:val="00742E2B"/>
    <w:rsid w:val="00742E5D"/>
    <w:rsid w:val="007430D3"/>
    <w:rsid w:val="007432BB"/>
    <w:rsid w:val="0074377A"/>
    <w:rsid w:val="00743879"/>
    <w:rsid w:val="00743A75"/>
    <w:rsid w:val="00743AB8"/>
    <w:rsid w:val="00743BCD"/>
    <w:rsid w:val="00743D05"/>
    <w:rsid w:val="00743EB4"/>
    <w:rsid w:val="00743FC9"/>
    <w:rsid w:val="00743FDA"/>
    <w:rsid w:val="00744049"/>
    <w:rsid w:val="00744155"/>
    <w:rsid w:val="007441D1"/>
    <w:rsid w:val="007442A5"/>
    <w:rsid w:val="0074430B"/>
    <w:rsid w:val="007443B8"/>
    <w:rsid w:val="00744492"/>
    <w:rsid w:val="0074469F"/>
    <w:rsid w:val="00744810"/>
    <w:rsid w:val="00744820"/>
    <w:rsid w:val="0074497B"/>
    <w:rsid w:val="00744AB5"/>
    <w:rsid w:val="00744C38"/>
    <w:rsid w:val="00744D40"/>
    <w:rsid w:val="00744EDE"/>
    <w:rsid w:val="00744F18"/>
    <w:rsid w:val="00744F2A"/>
    <w:rsid w:val="0074523B"/>
    <w:rsid w:val="007453A4"/>
    <w:rsid w:val="0074540D"/>
    <w:rsid w:val="00745571"/>
    <w:rsid w:val="007455DA"/>
    <w:rsid w:val="0074562F"/>
    <w:rsid w:val="0074583D"/>
    <w:rsid w:val="0074586C"/>
    <w:rsid w:val="00745A57"/>
    <w:rsid w:val="00745A59"/>
    <w:rsid w:val="00745AB4"/>
    <w:rsid w:val="00745AB7"/>
    <w:rsid w:val="00745ABC"/>
    <w:rsid w:val="00745B53"/>
    <w:rsid w:val="00745CF4"/>
    <w:rsid w:val="00745D91"/>
    <w:rsid w:val="00745DA1"/>
    <w:rsid w:val="00745E4F"/>
    <w:rsid w:val="00745F5A"/>
    <w:rsid w:val="0074609C"/>
    <w:rsid w:val="007460D9"/>
    <w:rsid w:val="007462BE"/>
    <w:rsid w:val="007462E9"/>
    <w:rsid w:val="0074631B"/>
    <w:rsid w:val="0074633C"/>
    <w:rsid w:val="00746469"/>
    <w:rsid w:val="00746503"/>
    <w:rsid w:val="0074658B"/>
    <w:rsid w:val="007466BD"/>
    <w:rsid w:val="00746743"/>
    <w:rsid w:val="00746816"/>
    <w:rsid w:val="007468A3"/>
    <w:rsid w:val="007468BF"/>
    <w:rsid w:val="00746A37"/>
    <w:rsid w:val="00746AA1"/>
    <w:rsid w:val="00746BBF"/>
    <w:rsid w:val="00746D8C"/>
    <w:rsid w:val="00746FEC"/>
    <w:rsid w:val="007470C8"/>
    <w:rsid w:val="007470CF"/>
    <w:rsid w:val="00747144"/>
    <w:rsid w:val="007471C2"/>
    <w:rsid w:val="007472B0"/>
    <w:rsid w:val="007474D8"/>
    <w:rsid w:val="007474FD"/>
    <w:rsid w:val="0074774E"/>
    <w:rsid w:val="0074776F"/>
    <w:rsid w:val="007478C1"/>
    <w:rsid w:val="007479A9"/>
    <w:rsid w:val="00747AFD"/>
    <w:rsid w:val="00747B0D"/>
    <w:rsid w:val="00747B81"/>
    <w:rsid w:val="00747B8D"/>
    <w:rsid w:val="00747DDA"/>
    <w:rsid w:val="00747E39"/>
    <w:rsid w:val="00747E44"/>
    <w:rsid w:val="00747F02"/>
    <w:rsid w:val="00750103"/>
    <w:rsid w:val="0075017C"/>
    <w:rsid w:val="00750263"/>
    <w:rsid w:val="007503AB"/>
    <w:rsid w:val="00750427"/>
    <w:rsid w:val="00750510"/>
    <w:rsid w:val="007506BD"/>
    <w:rsid w:val="007507DD"/>
    <w:rsid w:val="007508DB"/>
    <w:rsid w:val="00750916"/>
    <w:rsid w:val="00750942"/>
    <w:rsid w:val="00750B3B"/>
    <w:rsid w:val="00750B5B"/>
    <w:rsid w:val="00750C6B"/>
    <w:rsid w:val="00750C89"/>
    <w:rsid w:val="00750E0A"/>
    <w:rsid w:val="00751427"/>
    <w:rsid w:val="00751484"/>
    <w:rsid w:val="00751486"/>
    <w:rsid w:val="007514F9"/>
    <w:rsid w:val="007516F7"/>
    <w:rsid w:val="00751BD1"/>
    <w:rsid w:val="00751EA9"/>
    <w:rsid w:val="00751F63"/>
    <w:rsid w:val="00751FC9"/>
    <w:rsid w:val="00752233"/>
    <w:rsid w:val="00752334"/>
    <w:rsid w:val="00752351"/>
    <w:rsid w:val="007525CE"/>
    <w:rsid w:val="007525F8"/>
    <w:rsid w:val="0075266F"/>
    <w:rsid w:val="0075268B"/>
    <w:rsid w:val="0075276F"/>
    <w:rsid w:val="0075287E"/>
    <w:rsid w:val="007528FD"/>
    <w:rsid w:val="00752990"/>
    <w:rsid w:val="007529C9"/>
    <w:rsid w:val="00752A0C"/>
    <w:rsid w:val="00752B22"/>
    <w:rsid w:val="00752C70"/>
    <w:rsid w:val="00752F16"/>
    <w:rsid w:val="0075303F"/>
    <w:rsid w:val="00753131"/>
    <w:rsid w:val="0075324B"/>
    <w:rsid w:val="007532DB"/>
    <w:rsid w:val="007532E6"/>
    <w:rsid w:val="0075336B"/>
    <w:rsid w:val="007534BE"/>
    <w:rsid w:val="00753503"/>
    <w:rsid w:val="00753675"/>
    <w:rsid w:val="00753824"/>
    <w:rsid w:val="00753830"/>
    <w:rsid w:val="0075393C"/>
    <w:rsid w:val="00753993"/>
    <w:rsid w:val="007539AC"/>
    <w:rsid w:val="007539B8"/>
    <w:rsid w:val="00753A7B"/>
    <w:rsid w:val="00753AEA"/>
    <w:rsid w:val="00753C3D"/>
    <w:rsid w:val="00753CFF"/>
    <w:rsid w:val="00753E2B"/>
    <w:rsid w:val="00753E7B"/>
    <w:rsid w:val="00753F4B"/>
    <w:rsid w:val="00753FCC"/>
    <w:rsid w:val="00754013"/>
    <w:rsid w:val="00754108"/>
    <w:rsid w:val="00754231"/>
    <w:rsid w:val="00754286"/>
    <w:rsid w:val="0075429A"/>
    <w:rsid w:val="007542F1"/>
    <w:rsid w:val="00754367"/>
    <w:rsid w:val="007545D4"/>
    <w:rsid w:val="0075461B"/>
    <w:rsid w:val="00754951"/>
    <w:rsid w:val="0075499C"/>
    <w:rsid w:val="00754A27"/>
    <w:rsid w:val="00754BAE"/>
    <w:rsid w:val="00754C61"/>
    <w:rsid w:val="00754D13"/>
    <w:rsid w:val="00754D2E"/>
    <w:rsid w:val="00754DDE"/>
    <w:rsid w:val="00754FA4"/>
    <w:rsid w:val="00754FED"/>
    <w:rsid w:val="007550B0"/>
    <w:rsid w:val="00755150"/>
    <w:rsid w:val="00755232"/>
    <w:rsid w:val="00755372"/>
    <w:rsid w:val="00755429"/>
    <w:rsid w:val="007555C4"/>
    <w:rsid w:val="00755622"/>
    <w:rsid w:val="007556D5"/>
    <w:rsid w:val="007556E6"/>
    <w:rsid w:val="00755876"/>
    <w:rsid w:val="007558DD"/>
    <w:rsid w:val="0075598D"/>
    <w:rsid w:val="00755AEF"/>
    <w:rsid w:val="00755B0A"/>
    <w:rsid w:val="00755BBB"/>
    <w:rsid w:val="00755BC6"/>
    <w:rsid w:val="00755C82"/>
    <w:rsid w:val="00755D4C"/>
    <w:rsid w:val="00755D96"/>
    <w:rsid w:val="00755EAD"/>
    <w:rsid w:val="00755F0B"/>
    <w:rsid w:val="00755F9E"/>
    <w:rsid w:val="00755FEF"/>
    <w:rsid w:val="00755FFA"/>
    <w:rsid w:val="00756089"/>
    <w:rsid w:val="007561CE"/>
    <w:rsid w:val="00756303"/>
    <w:rsid w:val="0075633C"/>
    <w:rsid w:val="00756550"/>
    <w:rsid w:val="00756565"/>
    <w:rsid w:val="00756641"/>
    <w:rsid w:val="007568F9"/>
    <w:rsid w:val="00756922"/>
    <w:rsid w:val="0075695D"/>
    <w:rsid w:val="00756A9B"/>
    <w:rsid w:val="00756B72"/>
    <w:rsid w:val="00756C70"/>
    <w:rsid w:val="00756E41"/>
    <w:rsid w:val="0075710C"/>
    <w:rsid w:val="00757124"/>
    <w:rsid w:val="0075747D"/>
    <w:rsid w:val="0075752D"/>
    <w:rsid w:val="00757563"/>
    <w:rsid w:val="007579D8"/>
    <w:rsid w:val="00757A23"/>
    <w:rsid w:val="00757AA0"/>
    <w:rsid w:val="00757BF2"/>
    <w:rsid w:val="00757CA8"/>
    <w:rsid w:val="00757D2C"/>
    <w:rsid w:val="0076026F"/>
    <w:rsid w:val="00760320"/>
    <w:rsid w:val="0076036C"/>
    <w:rsid w:val="00760760"/>
    <w:rsid w:val="007607F1"/>
    <w:rsid w:val="007608C8"/>
    <w:rsid w:val="007609FD"/>
    <w:rsid w:val="00760B03"/>
    <w:rsid w:val="00760BB1"/>
    <w:rsid w:val="00760C2B"/>
    <w:rsid w:val="00760FCE"/>
    <w:rsid w:val="00760FEE"/>
    <w:rsid w:val="007610CC"/>
    <w:rsid w:val="00761176"/>
    <w:rsid w:val="007611EB"/>
    <w:rsid w:val="007612A0"/>
    <w:rsid w:val="0076143F"/>
    <w:rsid w:val="0076146F"/>
    <w:rsid w:val="0076149E"/>
    <w:rsid w:val="007614D2"/>
    <w:rsid w:val="0076157C"/>
    <w:rsid w:val="00761A39"/>
    <w:rsid w:val="00761B00"/>
    <w:rsid w:val="00761B07"/>
    <w:rsid w:val="00761BD1"/>
    <w:rsid w:val="00761CB1"/>
    <w:rsid w:val="00761DBC"/>
    <w:rsid w:val="00761E1A"/>
    <w:rsid w:val="00761ECB"/>
    <w:rsid w:val="00761ED3"/>
    <w:rsid w:val="00761EF8"/>
    <w:rsid w:val="00761F4F"/>
    <w:rsid w:val="00762091"/>
    <w:rsid w:val="00762422"/>
    <w:rsid w:val="00762652"/>
    <w:rsid w:val="0076274B"/>
    <w:rsid w:val="007627DA"/>
    <w:rsid w:val="00762901"/>
    <w:rsid w:val="00762A61"/>
    <w:rsid w:val="00762A8D"/>
    <w:rsid w:val="00762AC0"/>
    <w:rsid w:val="00762AFB"/>
    <w:rsid w:val="00762B15"/>
    <w:rsid w:val="00762C1C"/>
    <w:rsid w:val="00762D2F"/>
    <w:rsid w:val="00762D48"/>
    <w:rsid w:val="00762D81"/>
    <w:rsid w:val="00762E06"/>
    <w:rsid w:val="00762FE9"/>
    <w:rsid w:val="007630A6"/>
    <w:rsid w:val="0076318D"/>
    <w:rsid w:val="00763257"/>
    <w:rsid w:val="00763288"/>
    <w:rsid w:val="00763353"/>
    <w:rsid w:val="00763427"/>
    <w:rsid w:val="00763551"/>
    <w:rsid w:val="00763616"/>
    <w:rsid w:val="00763679"/>
    <w:rsid w:val="007636DF"/>
    <w:rsid w:val="00763875"/>
    <w:rsid w:val="0076388A"/>
    <w:rsid w:val="00763999"/>
    <w:rsid w:val="0076399B"/>
    <w:rsid w:val="00763E78"/>
    <w:rsid w:val="00764263"/>
    <w:rsid w:val="0076427E"/>
    <w:rsid w:val="007642DB"/>
    <w:rsid w:val="0076457A"/>
    <w:rsid w:val="00764662"/>
    <w:rsid w:val="00764704"/>
    <w:rsid w:val="00764861"/>
    <w:rsid w:val="00764955"/>
    <w:rsid w:val="007649CE"/>
    <w:rsid w:val="00764A08"/>
    <w:rsid w:val="00764BAE"/>
    <w:rsid w:val="00764BCE"/>
    <w:rsid w:val="00764DBB"/>
    <w:rsid w:val="00764DC2"/>
    <w:rsid w:val="00764E8B"/>
    <w:rsid w:val="00764F9A"/>
    <w:rsid w:val="00765113"/>
    <w:rsid w:val="007651A5"/>
    <w:rsid w:val="00765227"/>
    <w:rsid w:val="007652BB"/>
    <w:rsid w:val="007652C4"/>
    <w:rsid w:val="007654F9"/>
    <w:rsid w:val="00765560"/>
    <w:rsid w:val="00765641"/>
    <w:rsid w:val="007657EB"/>
    <w:rsid w:val="007658C1"/>
    <w:rsid w:val="00765987"/>
    <w:rsid w:val="007659CE"/>
    <w:rsid w:val="00765B21"/>
    <w:rsid w:val="00765CD6"/>
    <w:rsid w:val="00765DB6"/>
    <w:rsid w:val="00765ECF"/>
    <w:rsid w:val="0076612B"/>
    <w:rsid w:val="0076615C"/>
    <w:rsid w:val="007661E2"/>
    <w:rsid w:val="0076622C"/>
    <w:rsid w:val="0076627A"/>
    <w:rsid w:val="007662BC"/>
    <w:rsid w:val="00766357"/>
    <w:rsid w:val="007663C1"/>
    <w:rsid w:val="00766468"/>
    <w:rsid w:val="007664F1"/>
    <w:rsid w:val="0076653E"/>
    <w:rsid w:val="007665A0"/>
    <w:rsid w:val="0076668D"/>
    <w:rsid w:val="007666CB"/>
    <w:rsid w:val="00766786"/>
    <w:rsid w:val="0076678B"/>
    <w:rsid w:val="00766810"/>
    <w:rsid w:val="00766ACD"/>
    <w:rsid w:val="00766BFB"/>
    <w:rsid w:val="00766E5B"/>
    <w:rsid w:val="00766EE1"/>
    <w:rsid w:val="00766FA6"/>
    <w:rsid w:val="00767073"/>
    <w:rsid w:val="0076711E"/>
    <w:rsid w:val="00767163"/>
    <w:rsid w:val="00767217"/>
    <w:rsid w:val="0076750A"/>
    <w:rsid w:val="007675A9"/>
    <w:rsid w:val="007675BC"/>
    <w:rsid w:val="007675EA"/>
    <w:rsid w:val="0076781C"/>
    <w:rsid w:val="00767840"/>
    <w:rsid w:val="007678FB"/>
    <w:rsid w:val="00767C22"/>
    <w:rsid w:val="00767CB3"/>
    <w:rsid w:val="00767CE5"/>
    <w:rsid w:val="00767D18"/>
    <w:rsid w:val="00767D71"/>
    <w:rsid w:val="00767D96"/>
    <w:rsid w:val="00767E5C"/>
    <w:rsid w:val="00767F80"/>
    <w:rsid w:val="00767FA8"/>
    <w:rsid w:val="0077006A"/>
    <w:rsid w:val="00770095"/>
    <w:rsid w:val="00770100"/>
    <w:rsid w:val="00770120"/>
    <w:rsid w:val="00770215"/>
    <w:rsid w:val="00770238"/>
    <w:rsid w:val="007702E9"/>
    <w:rsid w:val="00770418"/>
    <w:rsid w:val="0077043C"/>
    <w:rsid w:val="007704ED"/>
    <w:rsid w:val="0077052B"/>
    <w:rsid w:val="0077059D"/>
    <w:rsid w:val="0077063B"/>
    <w:rsid w:val="0077064C"/>
    <w:rsid w:val="00770770"/>
    <w:rsid w:val="00770787"/>
    <w:rsid w:val="007707DB"/>
    <w:rsid w:val="007708A4"/>
    <w:rsid w:val="007708E7"/>
    <w:rsid w:val="00770AEE"/>
    <w:rsid w:val="00770B53"/>
    <w:rsid w:val="00770D43"/>
    <w:rsid w:val="00770DEF"/>
    <w:rsid w:val="007710D4"/>
    <w:rsid w:val="007710D5"/>
    <w:rsid w:val="007711C1"/>
    <w:rsid w:val="00771236"/>
    <w:rsid w:val="007713C6"/>
    <w:rsid w:val="00771543"/>
    <w:rsid w:val="00771619"/>
    <w:rsid w:val="00771652"/>
    <w:rsid w:val="00771751"/>
    <w:rsid w:val="00771A92"/>
    <w:rsid w:val="00771AC3"/>
    <w:rsid w:val="00771B72"/>
    <w:rsid w:val="00771B7E"/>
    <w:rsid w:val="00771BB1"/>
    <w:rsid w:val="00771DE6"/>
    <w:rsid w:val="00771F13"/>
    <w:rsid w:val="0077201B"/>
    <w:rsid w:val="0077206F"/>
    <w:rsid w:val="00772071"/>
    <w:rsid w:val="007720AE"/>
    <w:rsid w:val="00772189"/>
    <w:rsid w:val="00772258"/>
    <w:rsid w:val="007722A3"/>
    <w:rsid w:val="0077248C"/>
    <w:rsid w:val="00772580"/>
    <w:rsid w:val="007725C5"/>
    <w:rsid w:val="007726BB"/>
    <w:rsid w:val="0077293F"/>
    <w:rsid w:val="00772996"/>
    <w:rsid w:val="00772E48"/>
    <w:rsid w:val="00772E53"/>
    <w:rsid w:val="00772F1A"/>
    <w:rsid w:val="00773168"/>
    <w:rsid w:val="00773224"/>
    <w:rsid w:val="00773304"/>
    <w:rsid w:val="00773500"/>
    <w:rsid w:val="00773575"/>
    <w:rsid w:val="00773786"/>
    <w:rsid w:val="0077380B"/>
    <w:rsid w:val="007739C9"/>
    <w:rsid w:val="00773A05"/>
    <w:rsid w:val="00773AEC"/>
    <w:rsid w:val="00773C46"/>
    <w:rsid w:val="00773E0E"/>
    <w:rsid w:val="00773E2B"/>
    <w:rsid w:val="00773E39"/>
    <w:rsid w:val="00773FAF"/>
    <w:rsid w:val="007742A3"/>
    <w:rsid w:val="007742EA"/>
    <w:rsid w:val="007743C6"/>
    <w:rsid w:val="007745E7"/>
    <w:rsid w:val="007746D5"/>
    <w:rsid w:val="00774755"/>
    <w:rsid w:val="00774787"/>
    <w:rsid w:val="007747C5"/>
    <w:rsid w:val="007748D6"/>
    <w:rsid w:val="00774956"/>
    <w:rsid w:val="00774B4D"/>
    <w:rsid w:val="00774BBA"/>
    <w:rsid w:val="00774CC9"/>
    <w:rsid w:val="00774D00"/>
    <w:rsid w:val="00774D6D"/>
    <w:rsid w:val="00774DBC"/>
    <w:rsid w:val="00774E15"/>
    <w:rsid w:val="00774E41"/>
    <w:rsid w:val="00774F48"/>
    <w:rsid w:val="007750E2"/>
    <w:rsid w:val="0077535A"/>
    <w:rsid w:val="00775388"/>
    <w:rsid w:val="007756BE"/>
    <w:rsid w:val="0077576A"/>
    <w:rsid w:val="007757E2"/>
    <w:rsid w:val="0077583C"/>
    <w:rsid w:val="00775904"/>
    <w:rsid w:val="00775A8B"/>
    <w:rsid w:val="00775C8C"/>
    <w:rsid w:val="00775CD8"/>
    <w:rsid w:val="00775D3F"/>
    <w:rsid w:val="00775E8B"/>
    <w:rsid w:val="00775FCD"/>
    <w:rsid w:val="0077603C"/>
    <w:rsid w:val="0077619F"/>
    <w:rsid w:val="00776320"/>
    <w:rsid w:val="007764F5"/>
    <w:rsid w:val="007764F6"/>
    <w:rsid w:val="0077665F"/>
    <w:rsid w:val="007766C0"/>
    <w:rsid w:val="00776728"/>
    <w:rsid w:val="00776821"/>
    <w:rsid w:val="0077683C"/>
    <w:rsid w:val="007768EF"/>
    <w:rsid w:val="0077690E"/>
    <w:rsid w:val="007769C5"/>
    <w:rsid w:val="00776A40"/>
    <w:rsid w:val="00776AD8"/>
    <w:rsid w:val="00776B8C"/>
    <w:rsid w:val="00776BB4"/>
    <w:rsid w:val="00776C23"/>
    <w:rsid w:val="00776C75"/>
    <w:rsid w:val="00776CB4"/>
    <w:rsid w:val="00776E2E"/>
    <w:rsid w:val="00776F7A"/>
    <w:rsid w:val="00776F9A"/>
    <w:rsid w:val="00777279"/>
    <w:rsid w:val="00777602"/>
    <w:rsid w:val="007776D4"/>
    <w:rsid w:val="00777700"/>
    <w:rsid w:val="0077783D"/>
    <w:rsid w:val="00777982"/>
    <w:rsid w:val="00777A35"/>
    <w:rsid w:val="00777A40"/>
    <w:rsid w:val="00777A8D"/>
    <w:rsid w:val="00777D46"/>
    <w:rsid w:val="00777DBC"/>
    <w:rsid w:val="00777E8B"/>
    <w:rsid w:val="007800D8"/>
    <w:rsid w:val="007801D2"/>
    <w:rsid w:val="007801D7"/>
    <w:rsid w:val="00780267"/>
    <w:rsid w:val="00780378"/>
    <w:rsid w:val="007803DD"/>
    <w:rsid w:val="0078044C"/>
    <w:rsid w:val="007805C0"/>
    <w:rsid w:val="007807DB"/>
    <w:rsid w:val="00780817"/>
    <w:rsid w:val="00780C96"/>
    <w:rsid w:val="00780C9E"/>
    <w:rsid w:val="00780D5C"/>
    <w:rsid w:val="00780DE2"/>
    <w:rsid w:val="00780EF2"/>
    <w:rsid w:val="00780F0E"/>
    <w:rsid w:val="00781084"/>
    <w:rsid w:val="0078127F"/>
    <w:rsid w:val="00781380"/>
    <w:rsid w:val="00781384"/>
    <w:rsid w:val="007813C1"/>
    <w:rsid w:val="00781431"/>
    <w:rsid w:val="007814AE"/>
    <w:rsid w:val="007815C8"/>
    <w:rsid w:val="007815CC"/>
    <w:rsid w:val="007816BF"/>
    <w:rsid w:val="00781709"/>
    <w:rsid w:val="0078171E"/>
    <w:rsid w:val="007818C4"/>
    <w:rsid w:val="00781936"/>
    <w:rsid w:val="00781A9C"/>
    <w:rsid w:val="00781B24"/>
    <w:rsid w:val="00781D92"/>
    <w:rsid w:val="00781FBE"/>
    <w:rsid w:val="00781FEF"/>
    <w:rsid w:val="007820E6"/>
    <w:rsid w:val="0078235A"/>
    <w:rsid w:val="00782383"/>
    <w:rsid w:val="0078245C"/>
    <w:rsid w:val="007824A9"/>
    <w:rsid w:val="007824BC"/>
    <w:rsid w:val="0078266C"/>
    <w:rsid w:val="0078270F"/>
    <w:rsid w:val="00782766"/>
    <w:rsid w:val="00782775"/>
    <w:rsid w:val="007828B4"/>
    <w:rsid w:val="0078292C"/>
    <w:rsid w:val="00782952"/>
    <w:rsid w:val="007829C6"/>
    <w:rsid w:val="00782A30"/>
    <w:rsid w:val="00782AA9"/>
    <w:rsid w:val="00782B7A"/>
    <w:rsid w:val="00782B9C"/>
    <w:rsid w:val="00782C3F"/>
    <w:rsid w:val="00782DD6"/>
    <w:rsid w:val="00783028"/>
    <w:rsid w:val="00783357"/>
    <w:rsid w:val="007833DD"/>
    <w:rsid w:val="00783453"/>
    <w:rsid w:val="007834A3"/>
    <w:rsid w:val="00783552"/>
    <w:rsid w:val="00783567"/>
    <w:rsid w:val="007835D2"/>
    <w:rsid w:val="00783689"/>
    <w:rsid w:val="0078377A"/>
    <w:rsid w:val="007837DD"/>
    <w:rsid w:val="00783914"/>
    <w:rsid w:val="007839AA"/>
    <w:rsid w:val="007839B3"/>
    <w:rsid w:val="00783A2E"/>
    <w:rsid w:val="00783B89"/>
    <w:rsid w:val="00783B8D"/>
    <w:rsid w:val="00783C93"/>
    <w:rsid w:val="00783D06"/>
    <w:rsid w:val="00783D95"/>
    <w:rsid w:val="00783DBF"/>
    <w:rsid w:val="00783F76"/>
    <w:rsid w:val="00784127"/>
    <w:rsid w:val="0078416A"/>
    <w:rsid w:val="0078418D"/>
    <w:rsid w:val="0078423E"/>
    <w:rsid w:val="007842B1"/>
    <w:rsid w:val="00784373"/>
    <w:rsid w:val="007844D1"/>
    <w:rsid w:val="007845A9"/>
    <w:rsid w:val="0078460F"/>
    <w:rsid w:val="007846A9"/>
    <w:rsid w:val="007847EF"/>
    <w:rsid w:val="00784A28"/>
    <w:rsid w:val="00784A63"/>
    <w:rsid w:val="00784A90"/>
    <w:rsid w:val="00784B73"/>
    <w:rsid w:val="00784DEF"/>
    <w:rsid w:val="00784FF6"/>
    <w:rsid w:val="00785222"/>
    <w:rsid w:val="007852C4"/>
    <w:rsid w:val="0078534D"/>
    <w:rsid w:val="00785350"/>
    <w:rsid w:val="00785429"/>
    <w:rsid w:val="007854EC"/>
    <w:rsid w:val="00785575"/>
    <w:rsid w:val="00785683"/>
    <w:rsid w:val="007859B6"/>
    <w:rsid w:val="007859E9"/>
    <w:rsid w:val="00785B23"/>
    <w:rsid w:val="00785B44"/>
    <w:rsid w:val="00785CF8"/>
    <w:rsid w:val="00785E3C"/>
    <w:rsid w:val="00785E95"/>
    <w:rsid w:val="00785FED"/>
    <w:rsid w:val="00786090"/>
    <w:rsid w:val="007860C8"/>
    <w:rsid w:val="007860D9"/>
    <w:rsid w:val="0078613B"/>
    <w:rsid w:val="0078619B"/>
    <w:rsid w:val="007861AF"/>
    <w:rsid w:val="00786480"/>
    <w:rsid w:val="0078664C"/>
    <w:rsid w:val="0078669A"/>
    <w:rsid w:val="0078678A"/>
    <w:rsid w:val="00786A8C"/>
    <w:rsid w:val="00786AA4"/>
    <w:rsid w:val="00786B5E"/>
    <w:rsid w:val="00786BB9"/>
    <w:rsid w:val="00786BE9"/>
    <w:rsid w:val="00786C56"/>
    <w:rsid w:val="00786CD0"/>
    <w:rsid w:val="00786E5A"/>
    <w:rsid w:val="00786F67"/>
    <w:rsid w:val="00786F7E"/>
    <w:rsid w:val="00787158"/>
    <w:rsid w:val="007871B7"/>
    <w:rsid w:val="007871CD"/>
    <w:rsid w:val="0078720A"/>
    <w:rsid w:val="007872A9"/>
    <w:rsid w:val="007872F8"/>
    <w:rsid w:val="0078752E"/>
    <w:rsid w:val="0078765D"/>
    <w:rsid w:val="007876BF"/>
    <w:rsid w:val="00787860"/>
    <w:rsid w:val="00787CAE"/>
    <w:rsid w:val="00787DAE"/>
    <w:rsid w:val="00787DB2"/>
    <w:rsid w:val="00787DC8"/>
    <w:rsid w:val="00790152"/>
    <w:rsid w:val="00790222"/>
    <w:rsid w:val="0079026A"/>
    <w:rsid w:val="007902DA"/>
    <w:rsid w:val="0079046F"/>
    <w:rsid w:val="00790491"/>
    <w:rsid w:val="007905C9"/>
    <w:rsid w:val="007905F2"/>
    <w:rsid w:val="00790722"/>
    <w:rsid w:val="00790865"/>
    <w:rsid w:val="0079087C"/>
    <w:rsid w:val="00790912"/>
    <w:rsid w:val="00790937"/>
    <w:rsid w:val="00790A3B"/>
    <w:rsid w:val="00790B37"/>
    <w:rsid w:val="00790B9B"/>
    <w:rsid w:val="00790BBA"/>
    <w:rsid w:val="00790D9F"/>
    <w:rsid w:val="00790EC8"/>
    <w:rsid w:val="00790FC6"/>
    <w:rsid w:val="00790FEC"/>
    <w:rsid w:val="00791033"/>
    <w:rsid w:val="007911AA"/>
    <w:rsid w:val="00791383"/>
    <w:rsid w:val="007914C4"/>
    <w:rsid w:val="007915B7"/>
    <w:rsid w:val="007918E6"/>
    <w:rsid w:val="00791903"/>
    <w:rsid w:val="007919CA"/>
    <w:rsid w:val="007919D0"/>
    <w:rsid w:val="00791A81"/>
    <w:rsid w:val="00791AF6"/>
    <w:rsid w:val="00791AFD"/>
    <w:rsid w:val="00791B20"/>
    <w:rsid w:val="00791B86"/>
    <w:rsid w:val="00791B8E"/>
    <w:rsid w:val="00791BEE"/>
    <w:rsid w:val="00791C0F"/>
    <w:rsid w:val="00791C5F"/>
    <w:rsid w:val="00791CDC"/>
    <w:rsid w:val="00791CFE"/>
    <w:rsid w:val="00791E3B"/>
    <w:rsid w:val="00791F7B"/>
    <w:rsid w:val="0079206C"/>
    <w:rsid w:val="007920B1"/>
    <w:rsid w:val="007920EE"/>
    <w:rsid w:val="007923D4"/>
    <w:rsid w:val="00792545"/>
    <w:rsid w:val="00792787"/>
    <w:rsid w:val="00792A0A"/>
    <w:rsid w:val="00792AC0"/>
    <w:rsid w:val="00792B03"/>
    <w:rsid w:val="00792B6E"/>
    <w:rsid w:val="00792C22"/>
    <w:rsid w:val="00792C75"/>
    <w:rsid w:val="00792EC5"/>
    <w:rsid w:val="00792EF3"/>
    <w:rsid w:val="00792F1E"/>
    <w:rsid w:val="0079318A"/>
    <w:rsid w:val="00793263"/>
    <w:rsid w:val="00793316"/>
    <w:rsid w:val="007933A8"/>
    <w:rsid w:val="007933F1"/>
    <w:rsid w:val="00793810"/>
    <w:rsid w:val="00793822"/>
    <w:rsid w:val="00793852"/>
    <w:rsid w:val="007938ED"/>
    <w:rsid w:val="007939F8"/>
    <w:rsid w:val="00793BD9"/>
    <w:rsid w:val="00793CDB"/>
    <w:rsid w:val="00793D7A"/>
    <w:rsid w:val="00793E05"/>
    <w:rsid w:val="00793E87"/>
    <w:rsid w:val="00793FCF"/>
    <w:rsid w:val="0079403C"/>
    <w:rsid w:val="007940D3"/>
    <w:rsid w:val="00794118"/>
    <w:rsid w:val="007941FD"/>
    <w:rsid w:val="007942AE"/>
    <w:rsid w:val="007943E9"/>
    <w:rsid w:val="007944BB"/>
    <w:rsid w:val="007944E9"/>
    <w:rsid w:val="00794644"/>
    <w:rsid w:val="00794694"/>
    <w:rsid w:val="007946FB"/>
    <w:rsid w:val="0079485F"/>
    <w:rsid w:val="00794940"/>
    <w:rsid w:val="00794A7F"/>
    <w:rsid w:val="00794B26"/>
    <w:rsid w:val="00794BA9"/>
    <w:rsid w:val="00794C20"/>
    <w:rsid w:val="00794C2C"/>
    <w:rsid w:val="00794D1D"/>
    <w:rsid w:val="007950C8"/>
    <w:rsid w:val="0079517C"/>
    <w:rsid w:val="007951C1"/>
    <w:rsid w:val="0079523D"/>
    <w:rsid w:val="00795263"/>
    <w:rsid w:val="00795333"/>
    <w:rsid w:val="007953B1"/>
    <w:rsid w:val="007958D0"/>
    <w:rsid w:val="007959DF"/>
    <w:rsid w:val="00795BEF"/>
    <w:rsid w:val="00795C0C"/>
    <w:rsid w:val="00795C52"/>
    <w:rsid w:val="00795C7F"/>
    <w:rsid w:val="00795C99"/>
    <w:rsid w:val="00795D9C"/>
    <w:rsid w:val="00795DAD"/>
    <w:rsid w:val="00795DC1"/>
    <w:rsid w:val="00795DF0"/>
    <w:rsid w:val="00795E52"/>
    <w:rsid w:val="00795F7A"/>
    <w:rsid w:val="00796064"/>
    <w:rsid w:val="007960D3"/>
    <w:rsid w:val="007961A8"/>
    <w:rsid w:val="00796206"/>
    <w:rsid w:val="00796259"/>
    <w:rsid w:val="00796388"/>
    <w:rsid w:val="00796466"/>
    <w:rsid w:val="007965C5"/>
    <w:rsid w:val="0079661E"/>
    <w:rsid w:val="0079668E"/>
    <w:rsid w:val="007966A5"/>
    <w:rsid w:val="007966ED"/>
    <w:rsid w:val="007967E0"/>
    <w:rsid w:val="007967E3"/>
    <w:rsid w:val="007968DE"/>
    <w:rsid w:val="0079690D"/>
    <w:rsid w:val="007969C8"/>
    <w:rsid w:val="00796BB8"/>
    <w:rsid w:val="00796CDF"/>
    <w:rsid w:val="007971A2"/>
    <w:rsid w:val="007972EC"/>
    <w:rsid w:val="00797386"/>
    <w:rsid w:val="00797418"/>
    <w:rsid w:val="0079745E"/>
    <w:rsid w:val="0079748B"/>
    <w:rsid w:val="00797604"/>
    <w:rsid w:val="00797687"/>
    <w:rsid w:val="00797718"/>
    <w:rsid w:val="0079776E"/>
    <w:rsid w:val="007978E7"/>
    <w:rsid w:val="00797928"/>
    <w:rsid w:val="0079798E"/>
    <w:rsid w:val="0079799F"/>
    <w:rsid w:val="00797B6D"/>
    <w:rsid w:val="00797CD5"/>
    <w:rsid w:val="00797DE9"/>
    <w:rsid w:val="00797E53"/>
    <w:rsid w:val="00797EC6"/>
    <w:rsid w:val="00797FB9"/>
    <w:rsid w:val="00797FBE"/>
    <w:rsid w:val="00797FCC"/>
    <w:rsid w:val="007A0146"/>
    <w:rsid w:val="007A0184"/>
    <w:rsid w:val="007A028C"/>
    <w:rsid w:val="007A0377"/>
    <w:rsid w:val="007A0466"/>
    <w:rsid w:val="007A05A8"/>
    <w:rsid w:val="007A05CE"/>
    <w:rsid w:val="007A06DE"/>
    <w:rsid w:val="007A076D"/>
    <w:rsid w:val="007A08D4"/>
    <w:rsid w:val="007A095D"/>
    <w:rsid w:val="007A09E3"/>
    <w:rsid w:val="007A0B53"/>
    <w:rsid w:val="007A0BEE"/>
    <w:rsid w:val="007A0C22"/>
    <w:rsid w:val="007A0DA6"/>
    <w:rsid w:val="007A0EA5"/>
    <w:rsid w:val="007A0F15"/>
    <w:rsid w:val="007A0FC9"/>
    <w:rsid w:val="007A104E"/>
    <w:rsid w:val="007A1208"/>
    <w:rsid w:val="007A12EB"/>
    <w:rsid w:val="007A1360"/>
    <w:rsid w:val="007A13B7"/>
    <w:rsid w:val="007A1409"/>
    <w:rsid w:val="007A16C8"/>
    <w:rsid w:val="007A172C"/>
    <w:rsid w:val="007A184D"/>
    <w:rsid w:val="007A18C3"/>
    <w:rsid w:val="007A1B04"/>
    <w:rsid w:val="007A1BFF"/>
    <w:rsid w:val="007A1C3A"/>
    <w:rsid w:val="007A1D05"/>
    <w:rsid w:val="007A1DD7"/>
    <w:rsid w:val="007A1E41"/>
    <w:rsid w:val="007A1EFD"/>
    <w:rsid w:val="007A2081"/>
    <w:rsid w:val="007A2117"/>
    <w:rsid w:val="007A2129"/>
    <w:rsid w:val="007A22DE"/>
    <w:rsid w:val="007A23DD"/>
    <w:rsid w:val="007A25F6"/>
    <w:rsid w:val="007A27A3"/>
    <w:rsid w:val="007A2BB0"/>
    <w:rsid w:val="007A2BBF"/>
    <w:rsid w:val="007A2C13"/>
    <w:rsid w:val="007A2E93"/>
    <w:rsid w:val="007A2F6B"/>
    <w:rsid w:val="007A3357"/>
    <w:rsid w:val="007A3465"/>
    <w:rsid w:val="007A354E"/>
    <w:rsid w:val="007A35E8"/>
    <w:rsid w:val="007A3712"/>
    <w:rsid w:val="007A3753"/>
    <w:rsid w:val="007A3792"/>
    <w:rsid w:val="007A37D7"/>
    <w:rsid w:val="007A37EF"/>
    <w:rsid w:val="007A3842"/>
    <w:rsid w:val="007A38CF"/>
    <w:rsid w:val="007A3A62"/>
    <w:rsid w:val="007A3B40"/>
    <w:rsid w:val="007A3C5A"/>
    <w:rsid w:val="007A3C75"/>
    <w:rsid w:val="007A3D52"/>
    <w:rsid w:val="007A3E08"/>
    <w:rsid w:val="007A3EAF"/>
    <w:rsid w:val="007A3FC9"/>
    <w:rsid w:val="007A41EB"/>
    <w:rsid w:val="007A4228"/>
    <w:rsid w:val="007A425B"/>
    <w:rsid w:val="007A4395"/>
    <w:rsid w:val="007A43BD"/>
    <w:rsid w:val="007A4487"/>
    <w:rsid w:val="007A456B"/>
    <w:rsid w:val="007A463D"/>
    <w:rsid w:val="007A4722"/>
    <w:rsid w:val="007A482E"/>
    <w:rsid w:val="007A4882"/>
    <w:rsid w:val="007A48C1"/>
    <w:rsid w:val="007A48E2"/>
    <w:rsid w:val="007A48F7"/>
    <w:rsid w:val="007A4CDF"/>
    <w:rsid w:val="007A4D43"/>
    <w:rsid w:val="007A4D9F"/>
    <w:rsid w:val="007A5210"/>
    <w:rsid w:val="007A53D3"/>
    <w:rsid w:val="007A54E3"/>
    <w:rsid w:val="007A5519"/>
    <w:rsid w:val="007A567C"/>
    <w:rsid w:val="007A568A"/>
    <w:rsid w:val="007A579A"/>
    <w:rsid w:val="007A5829"/>
    <w:rsid w:val="007A5965"/>
    <w:rsid w:val="007A5968"/>
    <w:rsid w:val="007A5AD1"/>
    <w:rsid w:val="007A5ADC"/>
    <w:rsid w:val="007A5B25"/>
    <w:rsid w:val="007A5B3D"/>
    <w:rsid w:val="007A5B41"/>
    <w:rsid w:val="007A5B53"/>
    <w:rsid w:val="007A5C4F"/>
    <w:rsid w:val="007A5C77"/>
    <w:rsid w:val="007A5D80"/>
    <w:rsid w:val="007A5D9A"/>
    <w:rsid w:val="007A5E7B"/>
    <w:rsid w:val="007A5E9D"/>
    <w:rsid w:val="007A5F2A"/>
    <w:rsid w:val="007A5F84"/>
    <w:rsid w:val="007A6034"/>
    <w:rsid w:val="007A6142"/>
    <w:rsid w:val="007A6197"/>
    <w:rsid w:val="007A61EA"/>
    <w:rsid w:val="007A6281"/>
    <w:rsid w:val="007A6335"/>
    <w:rsid w:val="007A63FD"/>
    <w:rsid w:val="007A6534"/>
    <w:rsid w:val="007A6577"/>
    <w:rsid w:val="007A662F"/>
    <w:rsid w:val="007A67A5"/>
    <w:rsid w:val="007A68D0"/>
    <w:rsid w:val="007A69D4"/>
    <w:rsid w:val="007A6B1C"/>
    <w:rsid w:val="007A6CAF"/>
    <w:rsid w:val="007A6D03"/>
    <w:rsid w:val="007A6D34"/>
    <w:rsid w:val="007A6D6D"/>
    <w:rsid w:val="007A6DDC"/>
    <w:rsid w:val="007A6E08"/>
    <w:rsid w:val="007A6F3D"/>
    <w:rsid w:val="007A7019"/>
    <w:rsid w:val="007A705E"/>
    <w:rsid w:val="007A70F4"/>
    <w:rsid w:val="007A7167"/>
    <w:rsid w:val="007A717D"/>
    <w:rsid w:val="007A71F0"/>
    <w:rsid w:val="007A723E"/>
    <w:rsid w:val="007A729A"/>
    <w:rsid w:val="007A72C1"/>
    <w:rsid w:val="007A7302"/>
    <w:rsid w:val="007A7346"/>
    <w:rsid w:val="007A7369"/>
    <w:rsid w:val="007A7539"/>
    <w:rsid w:val="007A77B4"/>
    <w:rsid w:val="007A77CE"/>
    <w:rsid w:val="007A7813"/>
    <w:rsid w:val="007A799A"/>
    <w:rsid w:val="007A7D61"/>
    <w:rsid w:val="007A7ED8"/>
    <w:rsid w:val="007A7F0B"/>
    <w:rsid w:val="007A7F33"/>
    <w:rsid w:val="007B00A4"/>
    <w:rsid w:val="007B00D0"/>
    <w:rsid w:val="007B0276"/>
    <w:rsid w:val="007B03B9"/>
    <w:rsid w:val="007B051E"/>
    <w:rsid w:val="007B0629"/>
    <w:rsid w:val="007B0672"/>
    <w:rsid w:val="007B06C3"/>
    <w:rsid w:val="007B074D"/>
    <w:rsid w:val="007B078F"/>
    <w:rsid w:val="007B080D"/>
    <w:rsid w:val="007B0A38"/>
    <w:rsid w:val="007B0A83"/>
    <w:rsid w:val="007B0C22"/>
    <w:rsid w:val="007B0DAB"/>
    <w:rsid w:val="007B0EA5"/>
    <w:rsid w:val="007B0F17"/>
    <w:rsid w:val="007B0F91"/>
    <w:rsid w:val="007B1259"/>
    <w:rsid w:val="007B135F"/>
    <w:rsid w:val="007B13E7"/>
    <w:rsid w:val="007B148E"/>
    <w:rsid w:val="007B14DB"/>
    <w:rsid w:val="007B1582"/>
    <w:rsid w:val="007B1638"/>
    <w:rsid w:val="007B1663"/>
    <w:rsid w:val="007B172C"/>
    <w:rsid w:val="007B17A0"/>
    <w:rsid w:val="007B1868"/>
    <w:rsid w:val="007B1893"/>
    <w:rsid w:val="007B198D"/>
    <w:rsid w:val="007B1D78"/>
    <w:rsid w:val="007B1D8A"/>
    <w:rsid w:val="007B1DC0"/>
    <w:rsid w:val="007B1FF2"/>
    <w:rsid w:val="007B1FFE"/>
    <w:rsid w:val="007B21E7"/>
    <w:rsid w:val="007B2216"/>
    <w:rsid w:val="007B2254"/>
    <w:rsid w:val="007B22D5"/>
    <w:rsid w:val="007B2352"/>
    <w:rsid w:val="007B2372"/>
    <w:rsid w:val="007B24AA"/>
    <w:rsid w:val="007B24CC"/>
    <w:rsid w:val="007B2664"/>
    <w:rsid w:val="007B28D2"/>
    <w:rsid w:val="007B2992"/>
    <w:rsid w:val="007B29A4"/>
    <w:rsid w:val="007B29A9"/>
    <w:rsid w:val="007B29BD"/>
    <w:rsid w:val="007B2AD3"/>
    <w:rsid w:val="007B2AE7"/>
    <w:rsid w:val="007B2B71"/>
    <w:rsid w:val="007B2C30"/>
    <w:rsid w:val="007B2C4F"/>
    <w:rsid w:val="007B2D56"/>
    <w:rsid w:val="007B2D5D"/>
    <w:rsid w:val="007B2D9C"/>
    <w:rsid w:val="007B2DB5"/>
    <w:rsid w:val="007B2F20"/>
    <w:rsid w:val="007B2F7C"/>
    <w:rsid w:val="007B3029"/>
    <w:rsid w:val="007B3086"/>
    <w:rsid w:val="007B3197"/>
    <w:rsid w:val="007B3214"/>
    <w:rsid w:val="007B325E"/>
    <w:rsid w:val="007B3293"/>
    <w:rsid w:val="007B3384"/>
    <w:rsid w:val="007B343F"/>
    <w:rsid w:val="007B34A4"/>
    <w:rsid w:val="007B36C5"/>
    <w:rsid w:val="007B384C"/>
    <w:rsid w:val="007B38A9"/>
    <w:rsid w:val="007B390F"/>
    <w:rsid w:val="007B3910"/>
    <w:rsid w:val="007B3ADA"/>
    <w:rsid w:val="007B3B58"/>
    <w:rsid w:val="007B3BF4"/>
    <w:rsid w:val="007B3D2A"/>
    <w:rsid w:val="007B3ED4"/>
    <w:rsid w:val="007B4093"/>
    <w:rsid w:val="007B41BC"/>
    <w:rsid w:val="007B430C"/>
    <w:rsid w:val="007B4496"/>
    <w:rsid w:val="007B4679"/>
    <w:rsid w:val="007B46AF"/>
    <w:rsid w:val="007B47E9"/>
    <w:rsid w:val="007B4828"/>
    <w:rsid w:val="007B4890"/>
    <w:rsid w:val="007B4937"/>
    <w:rsid w:val="007B4A42"/>
    <w:rsid w:val="007B4AAF"/>
    <w:rsid w:val="007B4AFD"/>
    <w:rsid w:val="007B4B27"/>
    <w:rsid w:val="007B4B30"/>
    <w:rsid w:val="007B4FEE"/>
    <w:rsid w:val="007B5084"/>
    <w:rsid w:val="007B51C2"/>
    <w:rsid w:val="007B5290"/>
    <w:rsid w:val="007B5380"/>
    <w:rsid w:val="007B53F8"/>
    <w:rsid w:val="007B54B9"/>
    <w:rsid w:val="007B561F"/>
    <w:rsid w:val="007B56F1"/>
    <w:rsid w:val="007B5762"/>
    <w:rsid w:val="007B58DA"/>
    <w:rsid w:val="007B5B6D"/>
    <w:rsid w:val="007B5C74"/>
    <w:rsid w:val="007B5D7B"/>
    <w:rsid w:val="007B5D89"/>
    <w:rsid w:val="007B5E00"/>
    <w:rsid w:val="007B5E06"/>
    <w:rsid w:val="007B5E3B"/>
    <w:rsid w:val="007B5F37"/>
    <w:rsid w:val="007B5F76"/>
    <w:rsid w:val="007B609D"/>
    <w:rsid w:val="007B619E"/>
    <w:rsid w:val="007B62B2"/>
    <w:rsid w:val="007B658C"/>
    <w:rsid w:val="007B65D0"/>
    <w:rsid w:val="007B6740"/>
    <w:rsid w:val="007B67F8"/>
    <w:rsid w:val="007B6873"/>
    <w:rsid w:val="007B687B"/>
    <w:rsid w:val="007B69BD"/>
    <w:rsid w:val="007B6B75"/>
    <w:rsid w:val="007B6EFC"/>
    <w:rsid w:val="007B6F7D"/>
    <w:rsid w:val="007B6FF7"/>
    <w:rsid w:val="007B7092"/>
    <w:rsid w:val="007B719F"/>
    <w:rsid w:val="007B7262"/>
    <w:rsid w:val="007B7448"/>
    <w:rsid w:val="007B7457"/>
    <w:rsid w:val="007B77C1"/>
    <w:rsid w:val="007B79DA"/>
    <w:rsid w:val="007B7A35"/>
    <w:rsid w:val="007B7A6E"/>
    <w:rsid w:val="007B7C24"/>
    <w:rsid w:val="007B7CA8"/>
    <w:rsid w:val="007B7D8A"/>
    <w:rsid w:val="007B7EA2"/>
    <w:rsid w:val="007B7F27"/>
    <w:rsid w:val="007B7FFD"/>
    <w:rsid w:val="007C019D"/>
    <w:rsid w:val="007C03D2"/>
    <w:rsid w:val="007C05A8"/>
    <w:rsid w:val="007C06BB"/>
    <w:rsid w:val="007C0747"/>
    <w:rsid w:val="007C0760"/>
    <w:rsid w:val="007C0788"/>
    <w:rsid w:val="007C0889"/>
    <w:rsid w:val="007C09AB"/>
    <w:rsid w:val="007C0A71"/>
    <w:rsid w:val="007C0AB9"/>
    <w:rsid w:val="007C0ABA"/>
    <w:rsid w:val="007C0AD7"/>
    <w:rsid w:val="007C0ADC"/>
    <w:rsid w:val="007C0B60"/>
    <w:rsid w:val="007C0BF4"/>
    <w:rsid w:val="007C0E2F"/>
    <w:rsid w:val="007C0EA3"/>
    <w:rsid w:val="007C0ECD"/>
    <w:rsid w:val="007C0F86"/>
    <w:rsid w:val="007C1189"/>
    <w:rsid w:val="007C11EB"/>
    <w:rsid w:val="007C13A1"/>
    <w:rsid w:val="007C1413"/>
    <w:rsid w:val="007C142B"/>
    <w:rsid w:val="007C1444"/>
    <w:rsid w:val="007C14DC"/>
    <w:rsid w:val="007C1579"/>
    <w:rsid w:val="007C1775"/>
    <w:rsid w:val="007C1786"/>
    <w:rsid w:val="007C189B"/>
    <w:rsid w:val="007C1B63"/>
    <w:rsid w:val="007C1BFF"/>
    <w:rsid w:val="007C1C0D"/>
    <w:rsid w:val="007C1D6E"/>
    <w:rsid w:val="007C1DBA"/>
    <w:rsid w:val="007C2089"/>
    <w:rsid w:val="007C2129"/>
    <w:rsid w:val="007C21C7"/>
    <w:rsid w:val="007C228B"/>
    <w:rsid w:val="007C2626"/>
    <w:rsid w:val="007C26F8"/>
    <w:rsid w:val="007C278F"/>
    <w:rsid w:val="007C27F6"/>
    <w:rsid w:val="007C2882"/>
    <w:rsid w:val="007C2B25"/>
    <w:rsid w:val="007C2BE7"/>
    <w:rsid w:val="007C2C64"/>
    <w:rsid w:val="007C2D44"/>
    <w:rsid w:val="007C2DF1"/>
    <w:rsid w:val="007C3053"/>
    <w:rsid w:val="007C306D"/>
    <w:rsid w:val="007C3388"/>
    <w:rsid w:val="007C33BB"/>
    <w:rsid w:val="007C343F"/>
    <w:rsid w:val="007C35B3"/>
    <w:rsid w:val="007C3723"/>
    <w:rsid w:val="007C3829"/>
    <w:rsid w:val="007C3976"/>
    <w:rsid w:val="007C3A57"/>
    <w:rsid w:val="007C3A9C"/>
    <w:rsid w:val="007C3A9F"/>
    <w:rsid w:val="007C3C36"/>
    <w:rsid w:val="007C3C61"/>
    <w:rsid w:val="007C3F14"/>
    <w:rsid w:val="007C40B5"/>
    <w:rsid w:val="007C4161"/>
    <w:rsid w:val="007C41BD"/>
    <w:rsid w:val="007C42BA"/>
    <w:rsid w:val="007C4383"/>
    <w:rsid w:val="007C447E"/>
    <w:rsid w:val="007C4505"/>
    <w:rsid w:val="007C45EC"/>
    <w:rsid w:val="007C462D"/>
    <w:rsid w:val="007C4636"/>
    <w:rsid w:val="007C47B8"/>
    <w:rsid w:val="007C493B"/>
    <w:rsid w:val="007C49C5"/>
    <w:rsid w:val="007C4AA1"/>
    <w:rsid w:val="007C4ACC"/>
    <w:rsid w:val="007C4B0E"/>
    <w:rsid w:val="007C4B2A"/>
    <w:rsid w:val="007C4BD6"/>
    <w:rsid w:val="007C4BF1"/>
    <w:rsid w:val="007C4C1F"/>
    <w:rsid w:val="007C4C34"/>
    <w:rsid w:val="007C4D58"/>
    <w:rsid w:val="007C4DEB"/>
    <w:rsid w:val="007C4EF5"/>
    <w:rsid w:val="007C4EFF"/>
    <w:rsid w:val="007C4FE1"/>
    <w:rsid w:val="007C4FF6"/>
    <w:rsid w:val="007C5312"/>
    <w:rsid w:val="007C537A"/>
    <w:rsid w:val="007C5470"/>
    <w:rsid w:val="007C5881"/>
    <w:rsid w:val="007C5895"/>
    <w:rsid w:val="007C58DC"/>
    <w:rsid w:val="007C5931"/>
    <w:rsid w:val="007C5A1A"/>
    <w:rsid w:val="007C5A72"/>
    <w:rsid w:val="007C5B07"/>
    <w:rsid w:val="007C5BB6"/>
    <w:rsid w:val="007C5C34"/>
    <w:rsid w:val="007C5CDF"/>
    <w:rsid w:val="007C5D40"/>
    <w:rsid w:val="007C5DCB"/>
    <w:rsid w:val="007C5EA5"/>
    <w:rsid w:val="007C63E2"/>
    <w:rsid w:val="007C6552"/>
    <w:rsid w:val="007C65AE"/>
    <w:rsid w:val="007C6615"/>
    <w:rsid w:val="007C66A1"/>
    <w:rsid w:val="007C6797"/>
    <w:rsid w:val="007C67C5"/>
    <w:rsid w:val="007C6889"/>
    <w:rsid w:val="007C69AF"/>
    <w:rsid w:val="007C6AD4"/>
    <w:rsid w:val="007C6CD2"/>
    <w:rsid w:val="007C6D95"/>
    <w:rsid w:val="007C6DA5"/>
    <w:rsid w:val="007C6E93"/>
    <w:rsid w:val="007C6EA3"/>
    <w:rsid w:val="007C7179"/>
    <w:rsid w:val="007C71C9"/>
    <w:rsid w:val="007C71DB"/>
    <w:rsid w:val="007C7297"/>
    <w:rsid w:val="007C7385"/>
    <w:rsid w:val="007C74D8"/>
    <w:rsid w:val="007C74D9"/>
    <w:rsid w:val="007C7746"/>
    <w:rsid w:val="007C77F4"/>
    <w:rsid w:val="007C7863"/>
    <w:rsid w:val="007C79D5"/>
    <w:rsid w:val="007C7A9E"/>
    <w:rsid w:val="007C7B32"/>
    <w:rsid w:val="007C7B45"/>
    <w:rsid w:val="007C7B6A"/>
    <w:rsid w:val="007C7BAF"/>
    <w:rsid w:val="007C7C71"/>
    <w:rsid w:val="007C7D61"/>
    <w:rsid w:val="007C7E47"/>
    <w:rsid w:val="007C7ED7"/>
    <w:rsid w:val="007C7FAA"/>
    <w:rsid w:val="007C7FBF"/>
    <w:rsid w:val="007C7FEB"/>
    <w:rsid w:val="007D0108"/>
    <w:rsid w:val="007D016C"/>
    <w:rsid w:val="007D01D1"/>
    <w:rsid w:val="007D04C5"/>
    <w:rsid w:val="007D07E8"/>
    <w:rsid w:val="007D081A"/>
    <w:rsid w:val="007D0883"/>
    <w:rsid w:val="007D091B"/>
    <w:rsid w:val="007D09A8"/>
    <w:rsid w:val="007D0D0A"/>
    <w:rsid w:val="007D0E36"/>
    <w:rsid w:val="007D0E5D"/>
    <w:rsid w:val="007D0EC0"/>
    <w:rsid w:val="007D10D5"/>
    <w:rsid w:val="007D11C0"/>
    <w:rsid w:val="007D14D3"/>
    <w:rsid w:val="007D14FA"/>
    <w:rsid w:val="007D1582"/>
    <w:rsid w:val="007D16A0"/>
    <w:rsid w:val="007D1774"/>
    <w:rsid w:val="007D188A"/>
    <w:rsid w:val="007D18B0"/>
    <w:rsid w:val="007D1940"/>
    <w:rsid w:val="007D1A95"/>
    <w:rsid w:val="007D1C32"/>
    <w:rsid w:val="007D1C4A"/>
    <w:rsid w:val="007D1D32"/>
    <w:rsid w:val="007D1D73"/>
    <w:rsid w:val="007D1E96"/>
    <w:rsid w:val="007D1EF9"/>
    <w:rsid w:val="007D213C"/>
    <w:rsid w:val="007D2276"/>
    <w:rsid w:val="007D22EC"/>
    <w:rsid w:val="007D24C2"/>
    <w:rsid w:val="007D256C"/>
    <w:rsid w:val="007D2577"/>
    <w:rsid w:val="007D26C5"/>
    <w:rsid w:val="007D26E3"/>
    <w:rsid w:val="007D281D"/>
    <w:rsid w:val="007D2844"/>
    <w:rsid w:val="007D2853"/>
    <w:rsid w:val="007D29F8"/>
    <w:rsid w:val="007D2A12"/>
    <w:rsid w:val="007D2A15"/>
    <w:rsid w:val="007D2AD7"/>
    <w:rsid w:val="007D2B36"/>
    <w:rsid w:val="007D2B7D"/>
    <w:rsid w:val="007D2BC0"/>
    <w:rsid w:val="007D2D28"/>
    <w:rsid w:val="007D2D7C"/>
    <w:rsid w:val="007D2EC0"/>
    <w:rsid w:val="007D2FC6"/>
    <w:rsid w:val="007D3058"/>
    <w:rsid w:val="007D3143"/>
    <w:rsid w:val="007D3459"/>
    <w:rsid w:val="007D34C1"/>
    <w:rsid w:val="007D3762"/>
    <w:rsid w:val="007D37BA"/>
    <w:rsid w:val="007D37E8"/>
    <w:rsid w:val="007D383F"/>
    <w:rsid w:val="007D399F"/>
    <w:rsid w:val="007D39A0"/>
    <w:rsid w:val="007D3D0B"/>
    <w:rsid w:val="007D3D54"/>
    <w:rsid w:val="007D3E50"/>
    <w:rsid w:val="007D3F34"/>
    <w:rsid w:val="007D40B0"/>
    <w:rsid w:val="007D41C5"/>
    <w:rsid w:val="007D4505"/>
    <w:rsid w:val="007D4586"/>
    <w:rsid w:val="007D45D3"/>
    <w:rsid w:val="007D469D"/>
    <w:rsid w:val="007D46E8"/>
    <w:rsid w:val="007D4A22"/>
    <w:rsid w:val="007D4A2E"/>
    <w:rsid w:val="007D4B1E"/>
    <w:rsid w:val="007D4B38"/>
    <w:rsid w:val="007D4C27"/>
    <w:rsid w:val="007D4F05"/>
    <w:rsid w:val="007D4F3A"/>
    <w:rsid w:val="007D5006"/>
    <w:rsid w:val="007D509D"/>
    <w:rsid w:val="007D5169"/>
    <w:rsid w:val="007D51B6"/>
    <w:rsid w:val="007D5202"/>
    <w:rsid w:val="007D5361"/>
    <w:rsid w:val="007D54A2"/>
    <w:rsid w:val="007D576B"/>
    <w:rsid w:val="007D57E7"/>
    <w:rsid w:val="007D589E"/>
    <w:rsid w:val="007D596F"/>
    <w:rsid w:val="007D5A7F"/>
    <w:rsid w:val="007D5A8E"/>
    <w:rsid w:val="007D5C1C"/>
    <w:rsid w:val="007D5C53"/>
    <w:rsid w:val="007D5DF6"/>
    <w:rsid w:val="007D6053"/>
    <w:rsid w:val="007D617A"/>
    <w:rsid w:val="007D61FE"/>
    <w:rsid w:val="007D62C2"/>
    <w:rsid w:val="007D64EA"/>
    <w:rsid w:val="007D663F"/>
    <w:rsid w:val="007D6A17"/>
    <w:rsid w:val="007D6E7E"/>
    <w:rsid w:val="007D6F83"/>
    <w:rsid w:val="007D7037"/>
    <w:rsid w:val="007D71F0"/>
    <w:rsid w:val="007D71FB"/>
    <w:rsid w:val="007D7236"/>
    <w:rsid w:val="007D7243"/>
    <w:rsid w:val="007D7287"/>
    <w:rsid w:val="007D73CA"/>
    <w:rsid w:val="007D7407"/>
    <w:rsid w:val="007D74F8"/>
    <w:rsid w:val="007D763C"/>
    <w:rsid w:val="007D76A7"/>
    <w:rsid w:val="007D781A"/>
    <w:rsid w:val="007D7BB1"/>
    <w:rsid w:val="007D7E0D"/>
    <w:rsid w:val="007D7F4C"/>
    <w:rsid w:val="007E00D4"/>
    <w:rsid w:val="007E034A"/>
    <w:rsid w:val="007E03E3"/>
    <w:rsid w:val="007E03ED"/>
    <w:rsid w:val="007E04E7"/>
    <w:rsid w:val="007E0578"/>
    <w:rsid w:val="007E05C9"/>
    <w:rsid w:val="007E05FF"/>
    <w:rsid w:val="007E0604"/>
    <w:rsid w:val="007E068D"/>
    <w:rsid w:val="007E06D7"/>
    <w:rsid w:val="007E0734"/>
    <w:rsid w:val="007E0821"/>
    <w:rsid w:val="007E087E"/>
    <w:rsid w:val="007E09E3"/>
    <w:rsid w:val="007E0B4E"/>
    <w:rsid w:val="007E0B81"/>
    <w:rsid w:val="007E0B8F"/>
    <w:rsid w:val="007E0BA0"/>
    <w:rsid w:val="007E0C88"/>
    <w:rsid w:val="007E0CB2"/>
    <w:rsid w:val="007E0D93"/>
    <w:rsid w:val="007E0E56"/>
    <w:rsid w:val="007E0F4E"/>
    <w:rsid w:val="007E1237"/>
    <w:rsid w:val="007E128D"/>
    <w:rsid w:val="007E1301"/>
    <w:rsid w:val="007E13CC"/>
    <w:rsid w:val="007E149D"/>
    <w:rsid w:val="007E150C"/>
    <w:rsid w:val="007E154F"/>
    <w:rsid w:val="007E16BD"/>
    <w:rsid w:val="007E182D"/>
    <w:rsid w:val="007E1856"/>
    <w:rsid w:val="007E19AC"/>
    <w:rsid w:val="007E1B0A"/>
    <w:rsid w:val="007E1C72"/>
    <w:rsid w:val="007E1D6A"/>
    <w:rsid w:val="007E1E83"/>
    <w:rsid w:val="007E1F1F"/>
    <w:rsid w:val="007E1FA4"/>
    <w:rsid w:val="007E1FE2"/>
    <w:rsid w:val="007E205D"/>
    <w:rsid w:val="007E2375"/>
    <w:rsid w:val="007E2387"/>
    <w:rsid w:val="007E2437"/>
    <w:rsid w:val="007E2640"/>
    <w:rsid w:val="007E2645"/>
    <w:rsid w:val="007E27C0"/>
    <w:rsid w:val="007E2808"/>
    <w:rsid w:val="007E2828"/>
    <w:rsid w:val="007E28BA"/>
    <w:rsid w:val="007E28BD"/>
    <w:rsid w:val="007E2A85"/>
    <w:rsid w:val="007E2A91"/>
    <w:rsid w:val="007E2B04"/>
    <w:rsid w:val="007E2BFD"/>
    <w:rsid w:val="007E2DFF"/>
    <w:rsid w:val="007E2E1B"/>
    <w:rsid w:val="007E301E"/>
    <w:rsid w:val="007E3058"/>
    <w:rsid w:val="007E3141"/>
    <w:rsid w:val="007E3179"/>
    <w:rsid w:val="007E31E6"/>
    <w:rsid w:val="007E325B"/>
    <w:rsid w:val="007E368D"/>
    <w:rsid w:val="007E3742"/>
    <w:rsid w:val="007E37BC"/>
    <w:rsid w:val="007E3823"/>
    <w:rsid w:val="007E3885"/>
    <w:rsid w:val="007E390A"/>
    <w:rsid w:val="007E3A92"/>
    <w:rsid w:val="007E3AEB"/>
    <w:rsid w:val="007E3AF2"/>
    <w:rsid w:val="007E3C76"/>
    <w:rsid w:val="007E3CFF"/>
    <w:rsid w:val="007E3D6A"/>
    <w:rsid w:val="007E4051"/>
    <w:rsid w:val="007E41B9"/>
    <w:rsid w:val="007E425F"/>
    <w:rsid w:val="007E42CC"/>
    <w:rsid w:val="007E4381"/>
    <w:rsid w:val="007E439F"/>
    <w:rsid w:val="007E4425"/>
    <w:rsid w:val="007E444A"/>
    <w:rsid w:val="007E444B"/>
    <w:rsid w:val="007E4651"/>
    <w:rsid w:val="007E48BF"/>
    <w:rsid w:val="007E48C7"/>
    <w:rsid w:val="007E4988"/>
    <w:rsid w:val="007E4A68"/>
    <w:rsid w:val="007E4ADB"/>
    <w:rsid w:val="007E4B2A"/>
    <w:rsid w:val="007E4D93"/>
    <w:rsid w:val="007E4ED2"/>
    <w:rsid w:val="007E4FD2"/>
    <w:rsid w:val="007E4FEB"/>
    <w:rsid w:val="007E52C7"/>
    <w:rsid w:val="007E54E6"/>
    <w:rsid w:val="007E5558"/>
    <w:rsid w:val="007E55A7"/>
    <w:rsid w:val="007E5841"/>
    <w:rsid w:val="007E58B7"/>
    <w:rsid w:val="007E59C5"/>
    <w:rsid w:val="007E5A8D"/>
    <w:rsid w:val="007E5C94"/>
    <w:rsid w:val="007E5EE1"/>
    <w:rsid w:val="007E5F25"/>
    <w:rsid w:val="007E60D5"/>
    <w:rsid w:val="007E61F1"/>
    <w:rsid w:val="007E6385"/>
    <w:rsid w:val="007E66EA"/>
    <w:rsid w:val="007E6733"/>
    <w:rsid w:val="007E6760"/>
    <w:rsid w:val="007E6784"/>
    <w:rsid w:val="007E6844"/>
    <w:rsid w:val="007E6850"/>
    <w:rsid w:val="007E68DE"/>
    <w:rsid w:val="007E6918"/>
    <w:rsid w:val="007E693E"/>
    <w:rsid w:val="007E697C"/>
    <w:rsid w:val="007E6A68"/>
    <w:rsid w:val="007E6AB2"/>
    <w:rsid w:val="007E6AF6"/>
    <w:rsid w:val="007E6B12"/>
    <w:rsid w:val="007E6B40"/>
    <w:rsid w:val="007E6D36"/>
    <w:rsid w:val="007E6D93"/>
    <w:rsid w:val="007E6DA7"/>
    <w:rsid w:val="007E6DB6"/>
    <w:rsid w:val="007E70F8"/>
    <w:rsid w:val="007E71BC"/>
    <w:rsid w:val="007E7249"/>
    <w:rsid w:val="007E7275"/>
    <w:rsid w:val="007E7289"/>
    <w:rsid w:val="007E7290"/>
    <w:rsid w:val="007E75F3"/>
    <w:rsid w:val="007E7609"/>
    <w:rsid w:val="007E7877"/>
    <w:rsid w:val="007E78A3"/>
    <w:rsid w:val="007E7903"/>
    <w:rsid w:val="007E7A31"/>
    <w:rsid w:val="007E7A36"/>
    <w:rsid w:val="007E7AFF"/>
    <w:rsid w:val="007E7C11"/>
    <w:rsid w:val="007E7C62"/>
    <w:rsid w:val="007E7CD4"/>
    <w:rsid w:val="007E7E10"/>
    <w:rsid w:val="007E7F6D"/>
    <w:rsid w:val="007E7FF5"/>
    <w:rsid w:val="007F004E"/>
    <w:rsid w:val="007F00BC"/>
    <w:rsid w:val="007F0186"/>
    <w:rsid w:val="007F01CC"/>
    <w:rsid w:val="007F0305"/>
    <w:rsid w:val="007F032E"/>
    <w:rsid w:val="007F048E"/>
    <w:rsid w:val="007F0572"/>
    <w:rsid w:val="007F063A"/>
    <w:rsid w:val="007F0643"/>
    <w:rsid w:val="007F07CC"/>
    <w:rsid w:val="007F0942"/>
    <w:rsid w:val="007F099D"/>
    <w:rsid w:val="007F0B0A"/>
    <w:rsid w:val="007F0C25"/>
    <w:rsid w:val="007F0C66"/>
    <w:rsid w:val="007F0E02"/>
    <w:rsid w:val="007F0FB4"/>
    <w:rsid w:val="007F13C7"/>
    <w:rsid w:val="007F146B"/>
    <w:rsid w:val="007F161B"/>
    <w:rsid w:val="007F1624"/>
    <w:rsid w:val="007F165A"/>
    <w:rsid w:val="007F178F"/>
    <w:rsid w:val="007F19DA"/>
    <w:rsid w:val="007F1A7B"/>
    <w:rsid w:val="007F1AAD"/>
    <w:rsid w:val="007F1B43"/>
    <w:rsid w:val="007F1ECA"/>
    <w:rsid w:val="007F1FA3"/>
    <w:rsid w:val="007F2001"/>
    <w:rsid w:val="007F2090"/>
    <w:rsid w:val="007F218D"/>
    <w:rsid w:val="007F2307"/>
    <w:rsid w:val="007F23BB"/>
    <w:rsid w:val="007F23CF"/>
    <w:rsid w:val="007F2490"/>
    <w:rsid w:val="007F2496"/>
    <w:rsid w:val="007F253F"/>
    <w:rsid w:val="007F25CF"/>
    <w:rsid w:val="007F2686"/>
    <w:rsid w:val="007F287F"/>
    <w:rsid w:val="007F2889"/>
    <w:rsid w:val="007F28FE"/>
    <w:rsid w:val="007F2948"/>
    <w:rsid w:val="007F2AD0"/>
    <w:rsid w:val="007F2B6E"/>
    <w:rsid w:val="007F2BB9"/>
    <w:rsid w:val="007F2C1E"/>
    <w:rsid w:val="007F2E2A"/>
    <w:rsid w:val="007F2EAD"/>
    <w:rsid w:val="007F2EE2"/>
    <w:rsid w:val="007F30DD"/>
    <w:rsid w:val="007F3307"/>
    <w:rsid w:val="007F3440"/>
    <w:rsid w:val="007F3554"/>
    <w:rsid w:val="007F35D6"/>
    <w:rsid w:val="007F3714"/>
    <w:rsid w:val="007F37AB"/>
    <w:rsid w:val="007F3811"/>
    <w:rsid w:val="007F3934"/>
    <w:rsid w:val="007F3970"/>
    <w:rsid w:val="007F3984"/>
    <w:rsid w:val="007F39EE"/>
    <w:rsid w:val="007F3C37"/>
    <w:rsid w:val="007F3C92"/>
    <w:rsid w:val="007F3E05"/>
    <w:rsid w:val="007F3EE5"/>
    <w:rsid w:val="007F3F68"/>
    <w:rsid w:val="007F4147"/>
    <w:rsid w:val="007F4162"/>
    <w:rsid w:val="007F420E"/>
    <w:rsid w:val="007F4313"/>
    <w:rsid w:val="007F4315"/>
    <w:rsid w:val="007F4536"/>
    <w:rsid w:val="007F4587"/>
    <w:rsid w:val="007F48C8"/>
    <w:rsid w:val="007F4912"/>
    <w:rsid w:val="007F496B"/>
    <w:rsid w:val="007F499C"/>
    <w:rsid w:val="007F49BC"/>
    <w:rsid w:val="007F4B50"/>
    <w:rsid w:val="007F4B7D"/>
    <w:rsid w:val="007F4C64"/>
    <w:rsid w:val="007F4CE0"/>
    <w:rsid w:val="007F4CF9"/>
    <w:rsid w:val="007F4D3E"/>
    <w:rsid w:val="007F50A0"/>
    <w:rsid w:val="007F51CD"/>
    <w:rsid w:val="007F552F"/>
    <w:rsid w:val="007F5592"/>
    <w:rsid w:val="007F568B"/>
    <w:rsid w:val="007F56C6"/>
    <w:rsid w:val="007F57AA"/>
    <w:rsid w:val="007F59A2"/>
    <w:rsid w:val="007F5C43"/>
    <w:rsid w:val="007F5C5C"/>
    <w:rsid w:val="007F5E54"/>
    <w:rsid w:val="007F5F17"/>
    <w:rsid w:val="007F5F34"/>
    <w:rsid w:val="007F5F42"/>
    <w:rsid w:val="007F615A"/>
    <w:rsid w:val="007F647F"/>
    <w:rsid w:val="007F64C0"/>
    <w:rsid w:val="007F656C"/>
    <w:rsid w:val="007F66D8"/>
    <w:rsid w:val="007F67E3"/>
    <w:rsid w:val="007F69C1"/>
    <w:rsid w:val="007F6ABF"/>
    <w:rsid w:val="007F6B6F"/>
    <w:rsid w:val="007F6BB9"/>
    <w:rsid w:val="007F6C95"/>
    <w:rsid w:val="007F6EB7"/>
    <w:rsid w:val="007F70A4"/>
    <w:rsid w:val="007F712B"/>
    <w:rsid w:val="007F730F"/>
    <w:rsid w:val="007F733A"/>
    <w:rsid w:val="007F737B"/>
    <w:rsid w:val="007F73EF"/>
    <w:rsid w:val="007F7427"/>
    <w:rsid w:val="007F743B"/>
    <w:rsid w:val="007F758B"/>
    <w:rsid w:val="007F75E6"/>
    <w:rsid w:val="007F7737"/>
    <w:rsid w:val="007F78C0"/>
    <w:rsid w:val="007F7A9C"/>
    <w:rsid w:val="007F7A9E"/>
    <w:rsid w:val="007F7AE8"/>
    <w:rsid w:val="007F7B2E"/>
    <w:rsid w:val="007F7BBF"/>
    <w:rsid w:val="007F7BFB"/>
    <w:rsid w:val="007F7C2B"/>
    <w:rsid w:val="007F7D42"/>
    <w:rsid w:val="007F7D82"/>
    <w:rsid w:val="007F7FF8"/>
    <w:rsid w:val="00800092"/>
    <w:rsid w:val="008001E9"/>
    <w:rsid w:val="008002D7"/>
    <w:rsid w:val="008002DC"/>
    <w:rsid w:val="0080035E"/>
    <w:rsid w:val="008004D6"/>
    <w:rsid w:val="00800595"/>
    <w:rsid w:val="008005E3"/>
    <w:rsid w:val="008005F8"/>
    <w:rsid w:val="008005FF"/>
    <w:rsid w:val="008006AF"/>
    <w:rsid w:val="008007A1"/>
    <w:rsid w:val="008007DE"/>
    <w:rsid w:val="0080088C"/>
    <w:rsid w:val="008009D5"/>
    <w:rsid w:val="00800A87"/>
    <w:rsid w:val="00800B04"/>
    <w:rsid w:val="00800B0D"/>
    <w:rsid w:val="00800B3B"/>
    <w:rsid w:val="00800C94"/>
    <w:rsid w:val="00800D44"/>
    <w:rsid w:val="00800D84"/>
    <w:rsid w:val="00800E26"/>
    <w:rsid w:val="00800E8D"/>
    <w:rsid w:val="0080100C"/>
    <w:rsid w:val="0080102B"/>
    <w:rsid w:val="0080104F"/>
    <w:rsid w:val="00801102"/>
    <w:rsid w:val="00801129"/>
    <w:rsid w:val="00801140"/>
    <w:rsid w:val="00801166"/>
    <w:rsid w:val="008011C4"/>
    <w:rsid w:val="00801275"/>
    <w:rsid w:val="00801488"/>
    <w:rsid w:val="00801498"/>
    <w:rsid w:val="00801529"/>
    <w:rsid w:val="0080159B"/>
    <w:rsid w:val="00801848"/>
    <w:rsid w:val="00801865"/>
    <w:rsid w:val="00801C8F"/>
    <w:rsid w:val="00801CA9"/>
    <w:rsid w:val="00801EA2"/>
    <w:rsid w:val="0080235A"/>
    <w:rsid w:val="008023D9"/>
    <w:rsid w:val="008023FD"/>
    <w:rsid w:val="00802516"/>
    <w:rsid w:val="00802664"/>
    <w:rsid w:val="008026FC"/>
    <w:rsid w:val="00802734"/>
    <w:rsid w:val="008027F7"/>
    <w:rsid w:val="00802916"/>
    <w:rsid w:val="00802B4E"/>
    <w:rsid w:val="00802C53"/>
    <w:rsid w:val="00802CB2"/>
    <w:rsid w:val="00802D2B"/>
    <w:rsid w:val="00802D6A"/>
    <w:rsid w:val="00802DA5"/>
    <w:rsid w:val="00802E61"/>
    <w:rsid w:val="00802EC7"/>
    <w:rsid w:val="00802ED8"/>
    <w:rsid w:val="00802F91"/>
    <w:rsid w:val="00803072"/>
    <w:rsid w:val="008030E1"/>
    <w:rsid w:val="00803205"/>
    <w:rsid w:val="00803229"/>
    <w:rsid w:val="008033CE"/>
    <w:rsid w:val="00803407"/>
    <w:rsid w:val="0080347B"/>
    <w:rsid w:val="008035E2"/>
    <w:rsid w:val="00803714"/>
    <w:rsid w:val="00803810"/>
    <w:rsid w:val="00803832"/>
    <w:rsid w:val="008038DB"/>
    <w:rsid w:val="008038F1"/>
    <w:rsid w:val="00803A4B"/>
    <w:rsid w:val="00803B45"/>
    <w:rsid w:val="00803B8D"/>
    <w:rsid w:val="00803EDD"/>
    <w:rsid w:val="00804129"/>
    <w:rsid w:val="0080418A"/>
    <w:rsid w:val="008041EE"/>
    <w:rsid w:val="00804552"/>
    <w:rsid w:val="00804565"/>
    <w:rsid w:val="008045E0"/>
    <w:rsid w:val="00804795"/>
    <w:rsid w:val="00804900"/>
    <w:rsid w:val="00804932"/>
    <w:rsid w:val="00804981"/>
    <w:rsid w:val="00804A5E"/>
    <w:rsid w:val="00804AD9"/>
    <w:rsid w:val="00804ADA"/>
    <w:rsid w:val="00804BD9"/>
    <w:rsid w:val="00804C4B"/>
    <w:rsid w:val="00804C6F"/>
    <w:rsid w:val="00804C89"/>
    <w:rsid w:val="00804DB9"/>
    <w:rsid w:val="00804DDD"/>
    <w:rsid w:val="0080511B"/>
    <w:rsid w:val="008051D3"/>
    <w:rsid w:val="008052BB"/>
    <w:rsid w:val="008052F2"/>
    <w:rsid w:val="00805391"/>
    <w:rsid w:val="008053CB"/>
    <w:rsid w:val="0080542A"/>
    <w:rsid w:val="008054D4"/>
    <w:rsid w:val="0080568B"/>
    <w:rsid w:val="008057B1"/>
    <w:rsid w:val="008057FB"/>
    <w:rsid w:val="00805A4D"/>
    <w:rsid w:val="00805A58"/>
    <w:rsid w:val="00805B82"/>
    <w:rsid w:val="00805BFE"/>
    <w:rsid w:val="00805C3A"/>
    <w:rsid w:val="00805C46"/>
    <w:rsid w:val="00805E6D"/>
    <w:rsid w:val="00806010"/>
    <w:rsid w:val="00806228"/>
    <w:rsid w:val="00806356"/>
    <w:rsid w:val="0080651B"/>
    <w:rsid w:val="00806753"/>
    <w:rsid w:val="00806947"/>
    <w:rsid w:val="00806B68"/>
    <w:rsid w:val="00806D1E"/>
    <w:rsid w:val="00806D6D"/>
    <w:rsid w:val="00806E1C"/>
    <w:rsid w:val="00806E33"/>
    <w:rsid w:val="00807097"/>
    <w:rsid w:val="008071B2"/>
    <w:rsid w:val="008072BF"/>
    <w:rsid w:val="008074E6"/>
    <w:rsid w:val="00807684"/>
    <w:rsid w:val="0080770C"/>
    <w:rsid w:val="00807900"/>
    <w:rsid w:val="00807A76"/>
    <w:rsid w:val="00807AE8"/>
    <w:rsid w:val="00807BF2"/>
    <w:rsid w:val="00807C2E"/>
    <w:rsid w:val="00807DE9"/>
    <w:rsid w:val="00807E2D"/>
    <w:rsid w:val="00807F28"/>
    <w:rsid w:val="00810186"/>
    <w:rsid w:val="00810326"/>
    <w:rsid w:val="008103AE"/>
    <w:rsid w:val="008104ED"/>
    <w:rsid w:val="00810628"/>
    <w:rsid w:val="008107BA"/>
    <w:rsid w:val="00810982"/>
    <w:rsid w:val="00810B20"/>
    <w:rsid w:val="00810BDB"/>
    <w:rsid w:val="00810C81"/>
    <w:rsid w:val="00810CE9"/>
    <w:rsid w:val="00810EDD"/>
    <w:rsid w:val="00810F56"/>
    <w:rsid w:val="00811111"/>
    <w:rsid w:val="00811147"/>
    <w:rsid w:val="008112A7"/>
    <w:rsid w:val="008112F2"/>
    <w:rsid w:val="00811304"/>
    <w:rsid w:val="0081136D"/>
    <w:rsid w:val="008113B6"/>
    <w:rsid w:val="008113CB"/>
    <w:rsid w:val="008113D1"/>
    <w:rsid w:val="008113E9"/>
    <w:rsid w:val="00811424"/>
    <w:rsid w:val="008115C8"/>
    <w:rsid w:val="008119FD"/>
    <w:rsid w:val="00811C9C"/>
    <w:rsid w:val="00811E13"/>
    <w:rsid w:val="00811E29"/>
    <w:rsid w:val="00811E2F"/>
    <w:rsid w:val="00811E93"/>
    <w:rsid w:val="00811EE2"/>
    <w:rsid w:val="00811FDE"/>
    <w:rsid w:val="00812092"/>
    <w:rsid w:val="00812127"/>
    <w:rsid w:val="00812490"/>
    <w:rsid w:val="00812516"/>
    <w:rsid w:val="008125AA"/>
    <w:rsid w:val="00812720"/>
    <w:rsid w:val="008128A2"/>
    <w:rsid w:val="008128FB"/>
    <w:rsid w:val="00812B53"/>
    <w:rsid w:val="00812C2F"/>
    <w:rsid w:val="00812D67"/>
    <w:rsid w:val="00812ED0"/>
    <w:rsid w:val="00812F8B"/>
    <w:rsid w:val="008130E1"/>
    <w:rsid w:val="008131FA"/>
    <w:rsid w:val="00813257"/>
    <w:rsid w:val="008134D1"/>
    <w:rsid w:val="0081350F"/>
    <w:rsid w:val="0081361F"/>
    <w:rsid w:val="00813820"/>
    <w:rsid w:val="0081382A"/>
    <w:rsid w:val="00813924"/>
    <w:rsid w:val="00813943"/>
    <w:rsid w:val="00813AC4"/>
    <w:rsid w:val="00813B40"/>
    <w:rsid w:val="00813B84"/>
    <w:rsid w:val="00813B8F"/>
    <w:rsid w:val="00813BD8"/>
    <w:rsid w:val="00813D16"/>
    <w:rsid w:val="00813E3F"/>
    <w:rsid w:val="00814135"/>
    <w:rsid w:val="00814252"/>
    <w:rsid w:val="0081438B"/>
    <w:rsid w:val="0081438E"/>
    <w:rsid w:val="0081439D"/>
    <w:rsid w:val="008143E7"/>
    <w:rsid w:val="0081442C"/>
    <w:rsid w:val="00814464"/>
    <w:rsid w:val="00814626"/>
    <w:rsid w:val="00814635"/>
    <w:rsid w:val="0081463B"/>
    <w:rsid w:val="0081472E"/>
    <w:rsid w:val="00814991"/>
    <w:rsid w:val="00814B40"/>
    <w:rsid w:val="00814CA9"/>
    <w:rsid w:val="00814D1B"/>
    <w:rsid w:val="00814D51"/>
    <w:rsid w:val="00814D95"/>
    <w:rsid w:val="00814FA4"/>
    <w:rsid w:val="00814FCB"/>
    <w:rsid w:val="00815131"/>
    <w:rsid w:val="00815141"/>
    <w:rsid w:val="0081517B"/>
    <w:rsid w:val="0081517D"/>
    <w:rsid w:val="008151D7"/>
    <w:rsid w:val="008151DC"/>
    <w:rsid w:val="008153BB"/>
    <w:rsid w:val="008154F5"/>
    <w:rsid w:val="00815528"/>
    <w:rsid w:val="0081564E"/>
    <w:rsid w:val="00815662"/>
    <w:rsid w:val="008156E9"/>
    <w:rsid w:val="00815734"/>
    <w:rsid w:val="0081578F"/>
    <w:rsid w:val="008157A7"/>
    <w:rsid w:val="00815926"/>
    <w:rsid w:val="008159CA"/>
    <w:rsid w:val="008159F1"/>
    <w:rsid w:val="00815A28"/>
    <w:rsid w:val="00815C28"/>
    <w:rsid w:val="00815CBB"/>
    <w:rsid w:val="00815D4B"/>
    <w:rsid w:val="00815DE7"/>
    <w:rsid w:val="00815E89"/>
    <w:rsid w:val="00815E95"/>
    <w:rsid w:val="0081601F"/>
    <w:rsid w:val="0081611A"/>
    <w:rsid w:val="008161F7"/>
    <w:rsid w:val="00816238"/>
    <w:rsid w:val="0081623E"/>
    <w:rsid w:val="0081649D"/>
    <w:rsid w:val="008164C9"/>
    <w:rsid w:val="0081660E"/>
    <w:rsid w:val="0081669D"/>
    <w:rsid w:val="008167A8"/>
    <w:rsid w:val="008167D1"/>
    <w:rsid w:val="0081692E"/>
    <w:rsid w:val="00816976"/>
    <w:rsid w:val="00816A62"/>
    <w:rsid w:val="00816BD1"/>
    <w:rsid w:val="00816C1A"/>
    <w:rsid w:val="00816C25"/>
    <w:rsid w:val="00816D85"/>
    <w:rsid w:val="00816D8D"/>
    <w:rsid w:val="00816DA6"/>
    <w:rsid w:val="00816E18"/>
    <w:rsid w:val="00816F21"/>
    <w:rsid w:val="00816F65"/>
    <w:rsid w:val="00817020"/>
    <w:rsid w:val="008170EB"/>
    <w:rsid w:val="00817135"/>
    <w:rsid w:val="00817427"/>
    <w:rsid w:val="00817580"/>
    <w:rsid w:val="008175F2"/>
    <w:rsid w:val="00817699"/>
    <w:rsid w:val="0081774B"/>
    <w:rsid w:val="0081785C"/>
    <w:rsid w:val="008178BC"/>
    <w:rsid w:val="008178CE"/>
    <w:rsid w:val="0081790B"/>
    <w:rsid w:val="00817910"/>
    <w:rsid w:val="00817A65"/>
    <w:rsid w:val="00817C7A"/>
    <w:rsid w:val="00817CD6"/>
    <w:rsid w:val="00817D2A"/>
    <w:rsid w:val="00817F37"/>
    <w:rsid w:val="00817FF6"/>
    <w:rsid w:val="008200A7"/>
    <w:rsid w:val="008201CB"/>
    <w:rsid w:val="008201D3"/>
    <w:rsid w:val="008201DA"/>
    <w:rsid w:val="00820511"/>
    <w:rsid w:val="00820587"/>
    <w:rsid w:val="0082066C"/>
    <w:rsid w:val="00820782"/>
    <w:rsid w:val="00820877"/>
    <w:rsid w:val="008209B7"/>
    <w:rsid w:val="00820A7F"/>
    <w:rsid w:val="00820AE7"/>
    <w:rsid w:val="00820C2F"/>
    <w:rsid w:val="00820CC5"/>
    <w:rsid w:val="00820D6F"/>
    <w:rsid w:val="00820D83"/>
    <w:rsid w:val="00820F41"/>
    <w:rsid w:val="00821102"/>
    <w:rsid w:val="008211EC"/>
    <w:rsid w:val="00821221"/>
    <w:rsid w:val="0082122A"/>
    <w:rsid w:val="00821259"/>
    <w:rsid w:val="00821291"/>
    <w:rsid w:val="008212A3"/>
    <w:rsid w:val="00821350"/>
    <w:rsid w:val="0082142A"/>
    <w:rsid w:val="008215B7"/>
    <w:rsid w:val="008215BC"/>
    <w:rsid w:val="00821814"/>
    <w:rsid w:val="00821A5C"/>
    <w:rsid w:val="00821C2B"/>
    <w:rsid w:val="00821F0D"/>
    <w:rsid w:val="00821F47"/>
    <w:rsid w:val="00821FFE"/>
    <w:rsid w:val="0082230E"/>
    <w:rsid w:val="00822354"/>
    <w:rsid w:val="0082241D"/>
    <w:rsid w:val="00822515"/>
    <w:rsid w:val="00822561"/>
    <w:rsid w:val="008225CD"/>
    <w:rsid w:val="008225E9"/>
    <w:rsid w:val="0082267C"/>
    <w:rsid w:val="008226EC"/>
    <w:rsid w:val="008227F1"/>
    <w:rsid w:val="00822976"/>
    <w:rsid w:val="00822AE1"/>
    <w:rsid w:val="00822CC7"/>
    <w:rsid w:val="00822D14"/>
    <w:rsid w:val="00822D49"/>
    <w:rsid w:val="00822D9D"/>
    <w:rsid w:val="00822DA1"/>
    <w:rsid w:val="00822DB8"/>
    <w:rsid w:val="00822F12"/>
    <w:rsid w:val="00822FD3"/>
    <w:rsid w:val="008230E6"/>
    <w:rsid w:val="008233F5"/>
    <w:rsid w:val="00823553"/>
    <w:rsid w:val="00823617"/>
    <w:rsid w:val="008238F4"/>
    <w:rsid w:val="00823AFB"/>
    <w:rsid w:val="00823B43"/>
    <w:rsid w:val="00823C1E"/>
    <w:rsid w:val="00823C41"/>
    <w:rsid w:val="00823D1D"/>
    <w:rsid w:val="00823E37"/>
    <w:rsid w:val="00823F55"/>
    <w:rsid w:val="00823F75"/>
    <w:rsid w:val="00824014"/>
    <w:rsid w:val="0082412C"/>
    <w:rsid w:val="0082418A"/>
    <w:rsid w:val="00824203"/>
    <w:rsid w:val="008242A4"/>
    <w:rsid w:val="00824350"/>
    <w:rsid w:val="00824653"/>
    <w:rsid w:val="008248E8"/>
    <w:rsid w:val="00824AA0"/>
    <w:rsid w:val="00824B7A"/>
    <w:rsid w:val="00824BA1"/>
    <w:rsid w:val="00824C0B"/>
    <w:rsid w:val="00824C6C"/>
    <w:rsid w:val="00824CA6"/>
    <w:rsid w:val="00824CA8"/>
    <w:rsid w:val="00824CDE"/>
    <w:rsid w:val="00824DF0"/>
    <w:rsid w:val="00824E66"/>
    <w:rsid w:val="008250E0"/>
    <w:rsid w:val="008252F0"/>
    <w:rsid w:val="00825672"/>
    <w:rsid w:val="00825758"/>
    <w:rsid w:val="00825A6E"/>
    <w:rsid w:val="00825B7C"/>
    <w:rsid w:val="00825BC1"/>
    <w:rsid w:val="00825C86"/>
    <w:rsid w:val="00825DCA"/>
    <w:rsid w:val="00825EDC"/>
    <w:rsid w:val="00825FD1"/>
    <w:rsid w:val="00825FDC"/>
    <w:rsid w:val="008261E9"/>
    <w:rsid w:val="00826258"/>
    <w:rsid w:val="008262BD"/>
    <w:rsid w:val="00826382"/>
    <w:rsid w:val="00826535"/>
    <w:rsid w:val="00826577"/>
    <w:rsid w:val="008265B2"/>
    <w:rsid w:val="008265F9"/>
    <w:rsid w:val="00826671"/>
    <w:rsid w:val="008268D9"/>
    <w:rsid w:val="008269D1"/>
    <w:rsid w:val="008269D6"/>
    <w:rsid w:val="00826A2E"/>
    <w:rsid w:val="00826B46"/>
    <w:rsid w:val="00826B47"/>
    <w:rsid w:val="00826C32"/>
    <w:rsid w:val="00826C56"/>
    <w:rsid w:val="00826D4D"/>
    <w:rsid w:val="00826D58"/>
    <w:rsid w:val="00826DA0"/>
    <w:rsid w:val="00826EB4"/>
    <w:rsid w:val="00826EF4"/>
    <w:rsid w:val="00826F2C"/>
    <w:rsid w:val="00826FC2"/>
    <w:rsid w:val="00827075"/>
    <w:rsid w:val="00827083"/>
    <w:rsid w:val="0082709B"/>
    <w:rsid w:val="008271F1"/>
    <w:rsid w:val="0082725C"/>
    <w:rsid w:val="0082725D"/>
    <w:rsid w:val="008272D8"/>
    <w:rsid w:val="008272EA"/>
    <w:rsid w:val="00827488"/>
    <w:rsid w:val="0082758A"/>
    <w:rsid w:val="008277E9"/>
    <w:rsid w:val="00827830"/>
    <w:rsid w:val="00827840"/>
    <w:rsid w:val="008279A6"/>
    <w:rsid w:val="00827C0A"/>
    <w:rsid w:val="00827C1E"/>
    <w:rsid w:val="00827C6B"/>
    <w:rsid w:val="00827E13"/>
    <w:rsid w:val="00827F58"/>
    <w:rsid w:val="00827F89"/>
    <w:rsid w:val="00827FC9"/>
    <w:rsid w:val="00830044"/>
    <w:rsid w:val="00830226"/>
    <w:rsid w:val="0083022F"/>
    <w:rsid w:val="0083045B"/>
    <w:rsid w:val="00830497"/>
    <w:rsid w:val="00830510"/>
    <w:rsid w:val="00830516"/>
    <w:rsid w:val="00830571"/>
    <w:rsid w:val="00830938"/>
    <w:rsid w:val="008309E6"/>
    <w:rsid w:val="00830C50"/>
    <w:rsid w:val="00830D35"/>
    <w:rsid w:val="00830FBF"/>
    <w:rsid w:val="00831241"/>
    <w:rsid w:val="008312CB"/>
    <w:rsid w:val="00831500"/>
    <w:rsid w:val="00831567"/>
    <w:rsid w:val="00831732"/>
    <w:rsid w:val="00831B9F"/>
    <w:rsid w:val="00831D6D"/>
    <w:rsid w:val="00831F5E"/>
    <w:rsid w:val="00831FF7"/>
    <w:rsid w:val="0083206C"/>
    <w:rsid w:val="008320B3"/>
    <w:rsid w:val="008322BD"/>
    <w:rsid w:val="00832331"/>
    <w:rsid w:val="0083244E"/>
    <w:rsid w:val="008324B5"/>
    <w:rsid w:val="0083251F"/>
    <w:rsid w:val="00832604"/>
    <w:rsid w:val="00832862"/>
    <w:rsid w:val="008329BC"/>
    <w:rsid w:val="00832AA5"/>
    <w:rsid w:val="00832B18"/>
    <w:rsid w:val="00832D77"/>
    <w:rsid w:val="00832D95"/>
    <w:rsid w:val="00832E26"/>
    <w:rsid w:val="00832E42"/>
    <w:rsid w:val="00832E70"/>
    <w:rsid w:val="00832EC7"/>
    <w:rsid w:val="00832F54"/>
    <w:rsid w:val="00832FC4"/>
    <w:rsid w:val="008330F0"/>
    <w:rsid w:val="0083333E"/>
    <w:rsid w:val="008333BD"/>
    <w:rsid w:val="00833494"/>
    <w:rsid w:val="008334E9"/>
    <w:rsid w:val="00833A0D"/>
    <w:rsid w:val="00833A1F"/>
    <w:rsid w:val="00833A5A"/>
    <w:rsid w:val="00833B9D"/>
    <w:rsid w:val="00833C6F"/>
    <w:rsid w:val="00833CBF"/>
    <w:rsid w:val="00833E71"/>
    <w:rsid w:val="00833E80"/>
    <w:rsid w:val="00833F5B"/>
    <w:rsid w:val="00834106"/>
    <w:rsid w:val="0083425B"/>
    <w:rsid w:val="00834320"/>
    <w:rsid w:val="00834755"/>
    <w:rsid w:val="00834768"/>
    <w:rsid w:val="00834789"/>
    <w:rsid w:val="00834918"/>
    <w:rsid w:val="00834BFB"/>
    <w:rsid w:val="00834DC2"/>
    <w:rsid w:val="00834E47"/>
    <w:rsid w:val="00834E8C"/>
    <w:rsid w:val="00834F18"/>
    <w:rsid w:val="00834FA8"/>
    <w:rsid w:val="008350F1"/>
    <w:rsid w:val="00835258"/>
    <w:rsid w:val="00835291"/>
    <w:rsid w:val="00835368"/>
    <w:rsid w:val="008353D4"/>
    <w:rsid w:val="008353F8"/>
    <w:rsid w:val="008354B4"/>
    <w:rsid w:val="00835529"/>
    <w:rsid w:val="008356A6"/>
    <w:rsid w:val="00835701"/>
    <w:rsid w:val="00835844"/>
    <w:rsid w:val="008358B0"/>
    <w:rsid w:val="0083592A"/>
    <w:rsid w:val="00835B28"/>
    <w:rsid w:val="00835E21"/>
    <w:rsid w:val="00835E9C"/>
    <w:rsid w:val="00835F36"/>
    <w:rsid w:val="008360FC"/>
    <w:rsid w:val="00836158"/>
    <w:rsid w:val="008362CD"/>
    <w:rsid w:val="008363CC"/>
    <w:rsid w:val="008364CD"/>
    <w:rsid w:val="00836547"/>
    <w:rsid w:val="008366AF"/>
    <w:rsid w:val="00836714"/>
    <w:rsid w:val="008368FB"/>
    <w:rsid w:val="008369A7"/>
    <w:rsid w:val="00836A2E"/>
    <w:rsid w:val="00836AD6"/>
    <w:rsid w:val="00836D79"/>
    <w:rsid w:val="00836D7E"/>
    <w:rsid w:val="00836DB3"/>
    <w:rsid w:val="00836FE0"/>
    <w:rsid w:val="00837019"/>
    <w:rsid w:val="00837175"/>
    <w:rsid w:val="00837251"/>
    <w:rsid w:val="00837481"/>
    <w:rsid w:val="008374B4"/>
    <w:rsid w:val="008374F9"/>
    <w:rsid w:val="00837637"/>
    <w:rsid w:val="00837A27"/>
    <w:rsid w:val="00837AE5"/>
    <w:rsid w:val="00837B7C"/>
    <w:rsid w:val="00837C9A"/>
    <w:rsid w:val="00837CCB"/>
    <w:rsid w:val="00837DA7"/>
    <w:rsid w:val="00837DD6"/>
    <w:rsid w:val="00837E5D"/>
    <w:rsid w:val="00837EE6"/>
    <w:rsid w:val="00837F18"/>
    <w:rsid w:val="00837F70"/>
    <w:rsid w:val="00840131"/>
    <w:rsid w:val="0084017D"/>
    <w:rsid w:val="008401BC"/>
    <w:rsid w:val="008401EA"/>
    <w:rsid w:val="008401F8"/>
    <w:rsid w:val="0084030E"/>
    <w:rsid w:val="008403FD"/>
    <w:rsid w:val="00840479"/>
    <w:rsid w:val="00840481"/>
    <w:rsid w:val="008404B2"/>
    <w:rsid w:val="008404B5"/>
    <w:rsid w:val="00840505"/>
    <w:rsid w:val="00840534"/>
    <w:rsid w:val="00840540"/>
    <w:rsid w:val="00840649"/>
    <w:rsid w:val="0084067D"/>
    <w:rsid w:val="008406BB"/>
    <w:rsid w:val="008406D9"/>
    <w:rsid w:val="00840799"/>
    <w:rsid w:val="00840A15"/>
    <w:rsid w:val="00840A7C"/>
    <w:rsid w:val="00840A9A"/>
    <w:rsid w:val="00840B94"/>
    <w:rsid w:val="00840BE8"/>
    <w:rsid w:val="00840C2D"/>
    <w:rsid w:val="00840D48"/>
    <w:rsid w:val="00840D4B"/>
    <w:rsid w:val="00840EB6"/>
    <w:rsid w:val="00840EDE"/>
    <w:rsid w:val="00841056"/>
    <w:rsid w:val="0084105F"/>
    <w:rsid w:val="0084109B"/>
    <w:rsid w:val="008412FF"/>
    <w:rsid w:val="008413AA"/>
    <w:rsid w:val="008414EA"/>
    <w:rsid w:val="00841581"/>
    <w:rsid w:val="00841695"/>
    <w:rsid w:val="0084196A"/>
    <w:rsid w:val="00841B0A"/>
    <w:rsid w:val="00841B70"/>
    <w:rsid w:val="00841CDF"/>
    <w:rsid w:val="00841E6A"/>
    <w:rsid w:val="00841E95"/>
    <w:rsid w:val="0084213E"/>
    <w:rsid w:val="008421DE"/>
    <w:rsid w:val="008422AA"/>
    <w:rsid w:val="00842496"/>
    <w:rsid w:val="0084265E"/>
    <w:rsid w:val="0084268A"/>
    <w:rsid w:val="0084269C"/>
    <w:rsid w:val="008427AF"/>
    <w:rsid w:val="008427B7"/>
    <w:rsid w:val="008427C8"/>
    <w:rsid w:val="0084282A"/>
    <w:rsid w:val="008429C8"/>
    <w:rsid w:val="00842A6A"/>
    <w:rsid w:val="00842AB6"/>
    <w:rsid w:val="00842C15"/>
    <w:rsid w:val="00842E9F"/>
    <w:rsid w:val="00842EC9"/>
    <w:rsid w:val="00842FAD"/>
    <w:rsid w:val="00843048"/>
    <w:rsid w:val="00843057"/>
    <w:rsid w:val="008430B7"/>
    <w:rsid w:val="00843104"/>
    <w:rsid w:val="0084313B"/>
    <w:rsid w:val="0084315E"/>
    <w:rsid w:val="0084328E"/>
    <w:rsid w:val="0084342D"/>
    <w:rsid w:val="00843439"/>
    <w:rsid w:val="00843643"/>
    <w:rsid w:val="00843800"/>
    <w:rsid w:val="0084388D"/>
    <w:rsid w:val="008439CF"/>
    <w:rsid w:val="00843BF1"/>
    <w:rsid w:val="00843C61"/>
    <w:rsid w:val="00843C75"/>
    <w:rsid w:val="00843D7D"/>
    <w:rsid w:val="0084405A"/>
    <w:rsid w:val="00844102"/>
    <w:rsid w:val="008441C0"/>
    <w:rsid w:val="0084420C"/>
    <w:rsid w:val="00844307"/>
    <w:rsid w:val="00844593"/>
    <w:rsid w:val="008447F7"/>
    <w:rsid w:val="00844A67"/>
    <w:rsid w:val="00844ADB"/>
    <w:rsid w:val="00844B09"/>
    <w:rsid w:val="00844C63"/>
    <w:rsid w:val="00844D3C"/>
    <w:rsid w:val="00844D99"/>
    <w:rsid w:val="00844FE1"/>
    <w:rsid w:val="0084500C"/>
    <w:rsid w:val="00845034"/>
    <w:rsid w:val="00845278"/>
    <w:rsid w:val="008452BE"/>
    <w:rsid w:val="008454C2"/>
    <w:rsid w:val="0084557C"/>
    <w:rsid w:val="008455D3"/>
    <w:rsid w:val="00845681"/>
    <w:rsid w:val="00845849"/>
    <w:rsid w:val="00845A43"/>
    <w:rsid w:val="00845B72"/>
    <w:rsid w:val="00845CA3"/>
    <w:rsid w:val="00845D48"/>
    <w:rsid w:val="00845E9A"/>
    <w:rsid w:val="00846189"/>
    <w:rsid w:val="008461C4"/>
    <w:rsid w:val="0084633F"/>
    <w:rsid w:val="00846441"/>
    <w:rsid w:val="0084647A"/>
    <w:rsid w:val="008465D8"/>
    <w:rsid w:val="008466E7"/>
    <w:rsid w:val="00846ADB"/>
    <w:rsid w:val="00846C4C"/>
    <w:rsid w:val="00846CBA"/>
    <w:rsid w:val="00846D50"/>
    <w:rsid w:val="00846DC3"/>
    <w:rsid w:val="0084714F"/>
    <w:rsid w:val="00847499"/>
    <w:rsid w:val="0084763B"/>
    <w:rsid w:val="00847658"/>
    <w:rsid w:val="00847930"/>
    <w:rsid w:val="00847937"/>
    <w:rsid w:val="00847994"/>
    <w:rsid w:val="00847A0B"/>
    <w:rsid w:val="00847BCB"/>
    <w:rsid w:val="00847DE9"/>
    <w:rsid w:val="00847EB7"/>
    <w:rsid w:val="00847F1E"/>
    <w:rsid w:val="00847F30"/>
    <w:rsid w:val="00850024"/>
    <w:rsid w:val="0085006F"/>
    <w:rsid w:val="00850156"/>
    <w:rsid w:val="008501C6"/>
    <w:rsid w:val="00850338"/>
    <w:rsid w:val="00850555"/>
    <w:rsid w:val="008505E6"/>
    <w:rsid w:val="008506AD"/>
    <w:rsid w:val="0085087E"/>
    <w:rsid w:val="008508B5"/>
    <w:rsid w:val="00850905"/>
    <w:rsid w:val="00850A3F"/>
    <w:rsid w:val="00850B0D"/>
    <w:rsid w:val="00850BE0"/>
    <w:rsid w:val="00850ECF"/>
    <w:rsid w:val="00850EE0"/>
    <w:rsid w:val="00850FCB"/>
    <w:rsid w:val="00851041"/>
    <w:rsid w:val="008512B3"/>
    <w:rsid w:val="0085146B"/>
    <w:rsid w:val="008515AF"/>
    <w:rsid w:val="0085171E"/>
    <w:rsid w:val="00851802"/>
    <w:rsid w:val="00851867"/>
    <w:rsid w:val="00851945"/>
    <w:rsid w:val="008519E7"/>
    <w:rsid w:val="008519F8"/>
    <w:rsid w:val="00851BE7"/>
    <w:rsid w:val="00851CD5"/>
    <w:rsid w:val="00851D78"/>
    <w:rsid w:val="00851E07"/>
    <w:rsid w:val="00851F01"/>
    <w:rsid w:val="00851FC8"/>
    <w:rsid w:val="00852079"/>
    <w:rsid w:val="008520C3"/>
    <w:rsid w:val="00852135"/>
    <w:rsid w:val="008525B8"/>
    <w:rsid w:val="00852646"/>
    <w:rsid w:val="00852877"/>
    <w:rsid w:val="00852B71"/>
    <w:rsid w:val="00852CB5"/>
    <w:rsid w:val="00852EE1"/>
    <w:rsid w:val="0085318D"/>
    <w:rsid w:val="008533BC"/>
    <w:rsid w:val="008535D2"/>
    <w:rsid w:val="0085380B"/>
    <w:rsid w:val="00853820"/>
    <w:rsid w:val="00853836"/>
    <w:rsid w:val="00853932"/>
    <w:rsid w:val="008539E2"/>
    <w:rsid w:val="00853ABE"/>
    <w:rsid w:val="00853E30"/>
    <w:rsid w:val="00853E4A"/>
    <w:rsid w:val="00853EE0"/>
    <w:rsid w:val="00853F29"/>
    <w:rsid w:val="00853FB5"/>
    <w:rsid w:val="00853FE7"/>
    <w:rsid w:val="0085404D"/>
    <w:rsid w:val="008540E0"/>
    <w:rsid w:val="00854234"/>
    <w:rsid w:val="00854281"/>
    <w:rsid w:val="008542B1"/>
    <w:rsid w:val="0085435C"/>
    <w:rsid w:val="0085446B"/>
    <w:rsid w:val="00854527"/>
    <w:rsid w:val="00854642"/>
    <w:rsid w:val="008547F3"/>
    <w:rsid w:val="00854A72"/>
    <w:rsid w:val="00854A9F"/>
    <w:rsid w:val="00854B02"/>
    <w:rsid w:val="00854E02"/>
    <w:rsid w:val="00854E28"/>
    <w:rsid w:val="00855046"/>
    <w:rsid w:val="008550B7"/>
    <w:rsid w:val="00855293"/>
    <w:rsid w:val="0085559D"/>
    <w:rsid w:val="008557BA"/>
    <w:rsid w:val="0085593A"/>
    <w:rsid w:val="00855975"/>
    <w:rsid w:val="00855A7D"/>
    <w:rsid w:val="00855A9F"/>
    <w:rsid w:val="00855B06"/>
    <w:rsid w:val="00855E34"/>
    <w:rsid w:val="0085607E"/>
    <w:rsid w:val="0085614D"/>
    <w:rsid w:val="00856176"/>
    <w:rsid w:val="00856189"/>
    <w:rsid w:val="008561F0"/>
    <w:rsid w:val="0085638C"/>
    <w:rsid w:val="008564C7"/>
    <w:rsid w:val="00856553"/>
    <w:rsid w:val="008565DA"/>
    <w:rsid w:val="008566A3"/>
    <w:rsid w:val="008566D7"/>
    <w:rsid w:val="008569B5"/>
    <w:rsid w:val="008569CC"/>
    <w:rsid w:val="008569D4"/>
    <w:rsid w:val="00856A09"/>
    <w:rsid w:val="00856B1B"/>
    <w:rsid w:val="00856BB6"/>
    <w:rsid w:val="00856C9E"/>
    <w:rsid w:val="00856F03"/>
    <w:rsid w:val="0085721B"/>
    <w:rsid w:val="008573C7"/>
    <w:rsid w:val="008574D3"/>
    <w:rsid w:val="0085762E"/>
    <w:rsid w:val="0085764B"/>
    <w:rsid w:val="00857904"/>
    <w:rsid w:val="00857A01"/>
    <w:rsid w:val="00857A49"/>
    <w:rsid w:val="00857CC3"/>
    <w:rsid w:val="00857D77"/>
    <w:rsid w:val="00860020"/>
    <w:rsid w:val="00860114"/>
    <w:rsid w:val="0086017C"/>
    <w:rsid w:val="0086018D"/>
    <w:rsid w:val="00860237"/>
    <w:rsid w:val="008603B2"/>
    <w:rsid w:val="00860479"/>
    <w:rsid w:val="0086050C"/>
    <w:rsid w:val="0086052D"/>
    <w:rsid w:val="00860811"/>
    <w:rsid w:val="008608A3"/>
    <w:rsid w:val="008608DF"/>
    <w:rsid w:val="00860A4C"/>
    <w:rsid w:val="00860A4F"/>
    <w:rsid w:val="00860AEA"/>
    <w:rsid w:val="00860BC3"/>
    <w:rsid w:val="00860BE6"/>
    <w:rsid w:val="00860BF0"/>
    <w:rsid w:val="00860D20"/>
    <w:rsid w:val="00860E0D"/>
    <w:rsid w:val="00860EA3"/>
    <w:rsid w:val="00860EE2"/>
    <w:rsid w:val="008610E9"/>
    <w:rsid w:val="008610F8"/>
    <w:rsid w:val="008611AD"/>
    <w:rsid w:val="008611FA"/>
    <w:rsid w:val="00861412"/>
    <w:rsid w:val="00861463"/>
    <w:rsid w:val="0086154E"/>
    <w:rsid w:val="0086155F"/>
    <w:rsid w:val="0086168E"/>
    <w:rsid w:val="0086175D"/>
    <w:rsid w:val="00861929"/>
    <w:rsid w:val="00861951"/>
    <w:rsid w:val="00861A28"/>
    <w:rsid w:val="00861A51"/>
    <w:rsid w:val="00861B4C"/>
    <w:rsid w:val="00861C68"/>
    <w:rsid w:val="00861C99"/>
    <w:rsid w:val="00861D9D"/>
    <w:rsid w:val="00861DFA"/>
    <w:rsid w:val="00861E65"/>
    <w:rsid w:val="008621C4"/>
    <w:rsid w:val="008621F1"/>
    <w:rsid w:val="0086223C"/>
    <w:rsid w:val="00862244"/>
    <w:rsid w:val="008623E3"/>
    <w:rsid w:val="00862574"/>
    <w:rsid w:val="0086262D"/>
    <w:rsid w:val="00862642"/>
    <w:rsid w:val="00862887"/>
    <w:rsid w:val="008628D0"/>
    <w:rsid w:val="00862A08"/>
    <w:rsid w:val="00862A34"/>
    <w:rsid w:val="00862B81"/>
    <w:rsid w:val="00862CB7"/>
    <w:rsid w:val="00862E1A"/>
    <w:rsid w:val="00862E4E"/>
    <w:rsid w:val="00862F12"/>
    <w:rsid w:val="00862F93"/>
    <w:rsid w:val="0086300B"/>
    <w:rsid w:val="0086304A"/>
    <w:rsid w:val="008631DD"/>
    <w:rsid w:val="00863435"/>
    <w:rsid w:val="00863454"/>
    <w:rsid w:val="00863464"/>
    <w:rsid w:val="00863478"/>
    <w:rsid w:val="00863683"/>
    <w:rsid w:val="0086375A"/>
    <w:rsid w:val="0086383C"/>
    <w:rsid w:val="00863848"/>
    <w:rsid w:val="00863A6A"/>
    <w:rsid w:val="00863B15"/>
    <w:rsid w:val="00863BBF"/>
    <w:rsid w:val="00863CB6"/>
    <w:rsid w:val="00863CDB"/>
    <w:rsid w:val="00863D87"/>
    <w:rsid w:val="00863E27"/>
    <w:rsid w:val="00863F25"/>
    <w:rsid w:val="008641BC"/>
    <w:rsid w:val="00864251"/>
    <w:rsid w:val="0086436D"/>
    <w:rsid w:val="00864380"/>
    <w:rsid w:val="00864686"/>
    <w:rsid w:val="0086475F"/>
    <w:rsid w:val="00864793"/>
    <w:rsid w:val="008647F9"/>
    <w:rsid w:val="00864836"/>
    <w:rsid w:val="00864ABE"/>
    <w:rsid w:val="00864BB3"/>
    <w:rsid w:val="00864DDA"/>
    <w:rsid w:val="00864E1E"/>
    <w:rsid w:val="00864E35"/>
    <w:rsid w:val="00864E8B"/>
    <w:rsid w:val="00864EA7"/>
    <w:rsid w:val="00864EBD"/>
    <w:rsid w:val="00864ED6"/>
    <w:rsid w:val="00865048"/>
    <w:rsid w:val="00865248"/>
    <w:rsid w:val="00865282"/>
    <w:rsid w:val="008653B1"/>
    <w:rsid w:val="0086543C"/>
    <w:rsid w:val="00865722"/>
    <w:rsid w:val="008657C9"/>
    <w:rsid w:val="008658B8"/>
    <w:rsid w:val="008658CA"/>
    <w:rsid w:val="008658CD"/>
    <w:rsid w:val="00865962"/>
    <w:rsid w:val="00865A55"/>
    <w:rsid w:val="00865AAE"/>
    <w:rsid w:val="00865FF5"/>
    <w:rsid w:val="008660F0"/>
    <w:rsid w:val="00866547"/>
    <w:rsid w:val="008665D6"/>
    <w:rsid w:val="008665E0"/>
    <w:rsid w:val="00866711"/>
    <w:rsid w:val="0086673A"/>
    <w:rsid w:val="00866A83"/>
    <w:rsid w:val="00866BA3"/>
    <w:rsid w:val="00866BE5"/>
    <w:rsid w:val="00866BE9"/>
    <w:rsid w:val="00866CB3"/>
    <w:rsid w:val="00866DED"/>
    <w:rsid w:val="00866E04"/>
    <w:rsid w:val="00866F54"/>
    <w:rsid w:val="00866F7D"/>
    <w:rsid w:val="0086708B"/>
    <w:rsid w:val="00867289"/>
    <w:rsid w:val="008672B2"/>
    <w:rsid w:val="008672D0"/>
    <w:rsid w:val="00867309"/>
    <w:rsid w:val="008673D0"/>
    <w:rsid w:val="00867468"/>
    <w:rsid w:val="00867580"/>
    <w:rsid w:val="008675ED"/>
    <w:rsid w:val="00867634"/>
    <w:rsid w:val="00867788"/>
    <w:rsid w:val="0086796B"/>
    <w:rsid w:val="00867989"/>
    <w:rsid w:val="00867991"/>
    <w:rsid w:val="00867AED"/>
    <w:rsid w:val="00867C36"/>
    <w:rsid w:val="00867C3A"/>
    <w:rsid w:val="00867DA7"/>
    <w:rsid w:val="00867E8D"/>
    <w:rsid w:val="00867FF0"/>
    <w:rsid w:val="0087013D"/>
    <w:rsid w:val="00870274"/>
    <w:rsid w:val="00870284"/>
    <w:rsid w:val="008702CC"/>
    <w:rsid w:val="0087039F"/>
    <w:rsid w:val="00870455"/>
    <w:rsid w:val="00870457"/>
    <w:rsid w:val="008705CC"/>
    <w:rsid w:val="00870768"/>
    <w:rsid w:val="008707EC"/>
    <w:rsid w:val="00870961"/>
    <w:rsid w:val="008709AF"/>
    <w:rsid w:val="00870E2E"/>
    <w:rsid w:val="00870E54"/>
    <w:rsid w:val="00870EBB"/>
    <w:rsid w:val="00870FB4"/>
    <w:rsid w:val="008710A8"/>
    <w:rsid w:val="008710E9"/>
    <w:rsid w:val="0087111A"/>
    <w:rsid w:val="008711FD"/>
    <w:rsid w:val="00871377"/>
    <w:rsid w:val="008713A3"/>
    <w:rsid w:val="008714DF"/>
    <w:rsid w:val="008715CF"/>
    <w:rsid w:val="008716C3"/>
    <w:rsid w:val="0087171E"/>
    <w:rsid w:val="0087177A"/>
    <w:rsid w:val="0087182F"/>
    <w:rsid w:val="0087186A"/>
    <w:rsid w:val="008718E8"/>
    <w:rsid w:val="00871981"/>
    <w:rsid w:val="008719E2"/>
    <w:rsid w:val="00871C89"/>
    <w:rsid w:val="00871CD5"/>
    <w:rsid w:val="00871F28"/>
    <w:rsid w:val="00871F83"/>
    <w:rsid w:val="00871FC6"/>
    <w:rsid w:val="008720A8"/>
    <w:rsid w:val="008721CF"/>
    <w:rsid w:val="008723CF"/>
    <w:rsid w:val="008724B6"/>
    <w:rsid w:val="00872710"/>
    <w:rsid w:val="00872862"/>
    <w:rsid w:val="008728D6"/>
    <w:rsid w:val="00872B3C"/>
    <w:rsid w:val="00872C55"/>
    <w:rsid w:val="00872C9B"/>
    <w:rsid w:val="00872DA9"/>
    <w:rsid w:val="00872DE7"/>
    <w:rsid w:val="00872E5C"/>
    <w:rsid w:val="00872F09"/>
    <w:rsid w:val="0087304F"/>
    <w:rsid w:val="008731FC"/>
    <w:rsid w:val="00873244"/>
    <w:rsid w:val="008732F9"/>
    <w:rsid w:val="0087339B"/>
    <w:rsid w:val="008733FF"/>
    <w:rsid w:val="008734B3"/>
    <w:rsid w:val="008734E7"/>
    <w:rsid w:val="008735FF"/>
    <w:rsid w:val="00873B86"/>
    <w:rsid w:val="00873C05"/>
    <w:rsid w:val="00873D72"/>
    <w:rsid w:val="00873E77"/>
    <w:rsid w:val="00873EFA"/>
    <w:rsid w:val="00873F34"/>
    <w:rsid w:val="00873F3D"/>
    <w:rsid w:val="00874039"/>
    <w:rsid w:val="0087404A"/>
    <w:rsid w:val="0087417C"/>
    <w:rsid w:val="008741D8"/>
    <w:rsid w:val="008741DB"/>
    <w:rsid w:val="008741E6"/>
    <w:rsid w:val="00874243"/>
    <w:rsid w:val="00874276"/>
    <w:rsid w:val="00874324"/>
    <w:rsid w:val="0087437B"/>
    <w:rsid w:val="00874430"/>
    <w:rsid w:val="00874556"/>
    <w:rsid w:val="0087457D"/>
    <w:rsid w:val="008745BF"/>
    <w:rsid w:val="00874684"/>
    <w:rsid w:val="008747C5"/>
    <w:rsid w:val="008749A2"/>
    <w:rsid w:val="00874BBA"/>
    <w:rsid w:val="00874D8F"/>
    <w:rsid w:val="00874EEB"/>
    <w:rsid w:val="0087507C"/>
    <w:rsid w:val="00875124"/>
    <w:rsid w:val="00875380"/>
    <w:rsid w:val="00875384"/>
    <w:rsid w:val="008754CE"/>
    <w:rsid w:val="00875588"/>
    <w:rsid w:val="00875744"/>
    <w:rsid w:val="00875753"/>
    <w:rsid w:val="00875872"/>
    <w:rsid w:val="008759BD"/>
    <w:rsid w:val="00875A10"/>
    <w:rsid w:val="00875B04"/>
    <w:rsid w:val="00875BA1"/>
    <w:rsid w:val="00875CD3"/>
    <w:rsid w:val="00875DA1"/>
    <w:rsid w:val="00875E0E"/>
    <w:rsid w:val="00875E4A"/>
    <w:rsid w:val="0087602E"/>
    <w:rsid w:val="0087609D"/>
    <w:rsid w:val="008761AE"/>
    <w:rsid w:val="00876238"/>
    <w:rsid w:val="0087623E"/>
    <w:rsid w:val="00876415"/>
    <w:rsid w:val="00876830"/>
    <w:rsid w:val="008769FB"/>
    <w:rsid w:val="00876A65"/>
    <w:rsid w:val="00876A9E"/>
    <w:rsid w:val="00876F87"/>
    <w:rsid w:val="00876F9B"/>
    <w:rsid w:val="00877074"/>
    <w:rsid w:val="00877082"/>
    <w:rsid w:val="0087713D"/>
    <w:rsid w:val="00877529"/>
    <w:rsid w:val="008776CC"/>
    <w:rsid w:val="008776F1"/>
    <w:rsid w:val="00877A1F"/>
    <w:rsid w:val="00877BA0"/>
    <w:rsid w:val="00877BFF"/>
    <w:rsid w:val="00877D65"/>
    <w:rsid w:val="00877F58"/>
    <w:rsid w:val="00880046"/>
    <w:rsid w:val="00880132"/>
    <w:rsid w:val="00880163"/>
    <w:rsid w:val="008802CD"/>
    <w:rsid w:val="008803CB"/>
    <w:rsid w:val="008804C7"/>
    <w:rsid w:val="00880701"/>
    <w:rsid w:val="008807BF"/>
    <w:rsid w:val="008809B4"/>
    <w:rsid w:val="008809C0"/>
    <w:rsid w:val="00880B17"/>
    <w:rsid w:val="00880BE0"/>
    <w:rsid w:val="00880EED"/>
    <w:rsid w:val="00880FD5"/>
    <w:rsid w:val="00881012"/>
    <w:rsid w:val="0088111C"/>
    <w:rsid w:val="008811B1"/>
    <w:rsid w:val="008812A0"/>
    <w:rsid w:val="00881305"/>
    <w:rsid w:val="00881686"/>
    <w:rsid w:val="008816E5"/>
    <w:rsid w:val="0088173B"/>
    <w:rsid w:val="00881776"/>
    <w:rsid w:val="008818DB"/>
    <w:rsid w:val="00881A66"/>
    <w:rsid w:val="00881A74"/>
    <w:rsid w:val="00881B06"/>
    <w:rsid w:val="00881B81"/>
    <w:rsid w:val="00881C15"/>
    <w:rsid w:val="00881C1B"/>
    <w:rsid w:val="00881C26"/>
    <w:rsid w:val="00881DFD"/>
    <w:rsid w:val="00881E02"/>
    <w:rsid w:val="00881E66"/>
    <w:rsid w:val="00881F68"/>
    <w:rsid w:val="00881FA3"/>
    <w:rsid w:val="0088218C"/>
    <w:rsid w:val="0088229F"/>
    <w:rsid w:val="008822EB"/>
    <w:rsid w:val="0088257B"/>
    <w:rsid w:val="00882592"/>
    <w:rsid w:val="0088265B"/>
    <w:rsid w:val="008828F5"/>
    <w:rsid w:val="0088297B"/>
    <w:rsid w:val="0088298A"/>
    <w:rsid w:val="0088298B"/>
    <w:rsid w:val="00882A9C"/>
    <w:rsid w:val="00882AE4"/>
    <w:rsid w:val="00882AF1"/>
    <w:rsid w:val="00882B74"/>
    <w:rsid w:val="00882C38"/>
    <w:rsid w:val="00882D1B"/>
    <w:rsid w:val="00882DC4"/>
    <w:rsid w:val="00882EB5"/>
    <w:rsid w:val="00882FCF"/>
    <w:rsid w:val="008831B3"/>
    <w:rsid w:val="00883303"/>
    <w:rsid w:val="00883311"/>
    <w:rsid w:val="008833A7"/>
    <w:rsid w:val="00883440"/>
    <w:rsid w:val="0088345E"/>
    <w:rsid w:val="008834A9"/>
    <w:rsid w:val="0088377D"/>
    <w:rsid w:val="008839DC"/>
    <w:rsid w:val="00883BED"/>
    <w:rsid w:val="00883D80"/>
    <w:rsid w:val="00883E29"/>
    <w:rsid w:val="00883E6F"/>
    <w:rsid w:val="00883F37"/>
    <w:rsid w:val="00883FC4"/>
    <w:rsid w:val="00883FFB"/>
    <w:rsid w:val="00884040"/>
    <w:rsid w:val="008840BF"/>
    <w:rsid w:val="0088460F"/>
    <w:rsid w:val="00884634"/>
    <w:rsid w:val="00884679"/>
    <w:rsid w:val="008847C0"/>
    <w:rsid w:val="008849A4"/>
    <w:rsid w:val="00884A10"/>
    <w:rsid w:val="00884CD7"/>
    <w:rsid w:val="00884E03"/>
    <w:rsid w:val="00884E5C"/>
    <w:rsid w:val="00884EA0"/>
    <w:rsid w:val="00884F00"/>
    <w:rsid w:val="00884F4A"/>
    <w:rsid w:val="008851B0"/>
    <w:rsid w:val="008853DB"/>
    <w:rsid w:val="00885421"/>
    <w:rsid w:val="0088546D"/>
    <w:rsid w:val="0088549A"/>
    <w:rsid w:val="008855A5"/>
    <w:rsid w:val="0088561C"/>
    <w:rsid w:val="0088567D"/>
    <w:rsid w:val="0088569A"/>
    <w:rsid w:val="00885BA7"/>
    <w:rsid w:val="00885C0E"/>
    <w:rsid w:val="00885C30"/>
    <w:rsid w:val="00885D11"/>
    <w:rsid w:val="00885DF4"/>
    <w:rsid w:val="00885E34"/>
    <w:rsid w:val="00885E8E"/>
    <w:rsid w:val="0088608C"/>
    <w:rsid w:val="008860CA"/>
    <w:rsid w:val="008861D1"/>
    <w:rsid w:val="00886361"/>
    <w:rsid w:val="0088660F"/>
    <w:rsid w:val="0088663D"/>
    <w:rsid w:val="00886649"/>
    <w:rsid w:val="008866E1"/>
    <w:rsid w:val="00886834"/>
    <w:rsid w:val="00886930"/>
    <w:rsid w:val="008869BF"/>
    <w:rsid w:val="00886A0F"/>
    <w:rsid w:val="00886A52"/>
    <w:rsid w:val="00886A98"/>
    <w:rsid w:val="00886AD4"/>
    <w:rsid w:val="00886BA2"/>
    <w:rsid w:val="00886C14"/>
    <w:rsid w:val="00886D5F"/>
    <w:rsid w:val="00886E45"/>
    <w:rsid w:val="00886E99"/>
    <w:rsid w:val="00886EA7"/>
    <w:rsid w:val="0088703A"/>
    <w:rsid w:val="00887251"/>
    <w:rsid w:val="00887278"/>
    <w:rsid w:val="008872A1"/>
    <w:rsid w:val="008873E1"/>
    <w:rsid w:val="00887415"/>
    <w:rsid w:val="00887601"/>
    <w:rsid w:val="00887622"/>
    <w:rsid w:val="008877EA"/>
    <w:rsid w:val="00887812"/>
    <w:rsid w:val="00887881"/>
    <w:rsid w:val="0088799F"/>
    <w:rsid w:val="008879E3"/>
    <w:rsid w:val="00887CB6"/>
    <w:rsid w:val="00887DA0"/>
    <w:rsid w:val="00887DF3"/>
    <w:rsid w:val="0088974B"/>
    <w:rsid w:val="00890240"/>
    <w:rsid w:val="0089028B"/>
    <w:rsid w:val="00890459"/>
    <w:rsid w:val="00890534"/>
    <w:rsid w:val="008906A3"/>
    <w:rsid w:val="008906ED"/>
    <w:rsid w:val="008908E9"/>
    <w:rsid w:val="00890A28"/>
    <w:rsid w:val="00890A64"/>
    <w:rsid w:val="00890C3D"/>
    <w:rsid w:val="00890D3A"/>
    <w:rsid w:val="00890D42"/>
    <w:rsid w:val="00890DF8"/>
    <w:rsid w:val="00890E93"/>
    <w:rsid w:val="00890EE1"/>
    <w:rsid w:val="008910E8"/>
    <w:rsid w:val="0089125E"/>
    <w:rsid w:val="008912A1"/>
    <w:rsid w:val="00891311"/>
    <w:rsid w:val="00891371"/>
    <w:rsid w:val="0089147F"/>
    <w:rsid w:val="00891561"/>
    <w:rsid w:val="008916AA"/>
    <w:rsid w:val="008919F2"/>
    <w:rsid w:val="00891A17"/>
    <w:rsid w:val="00891AEE"/>
    <w:rsid w:val="00891B19"/>
    <w:rsid w:val="00891CC3"/>
    <w:rsid w:val="00891D99"/>
    <w:rsid w:val="00891EF3"/>
    <w:rsid w:val="00891F2F"/>
    <w:rsid w:val="008920BA"/>
    <w:rsid w:val="008920BB"/>
    <w:rsid w:val="008920C8"/>
    <w:rsid w:val="0089223B"/>
    <w:rsid w:val="00892319"/>
    <w:rsid w:val="00892571"/>
    <w:rsid w:val="00892644"/>
    <w:rsid w:val="008927E5"/>
    <w:rsid w:val="00892897"/>
    <w:rsid w:val="0089297B"/>
    <w:rsid w:val="00892A4C"/>
    <w:rsid w:val="00892A51"/>
    <w:rsid w:val="00892AE3"/>
    <w:rsid w:val="00892D12"/>
    <w:rsid w:val="00892D94"/>
    <w:rsid w:val="00892E58"/>
    <w:rsid w:val="00892ECA"/>
    <w:rsid w:val="00892F2C"/>
    <w:rsid w:val="0089323F"/>
    <w:rsid w:val="008932E4"/>
    <w:rsid w:val="00893370"/>
    <w:rsid w:val="00893448"/>
    <w:rsid w:val="00893474"/>
    <w:rsid w:val="0089351D"/>
    <w:rsid w:val="0089379A"/>
    <w:rsid w:val="008937EC"/>
    <w:rsid w:val="00893AFB"/>
    <w:rsid w:val="00893B6B"/>
    <w:rsid w:val="00893C16"/>
    <w:rsid w:val="00893CB0"/>
    <w:rsid w:val="00893D2B"/>
    <w:rsid w:val="00893DCC"/>
    <w:rsid w:val="00893E46"/>
    <w:rsid w:val="00893EFC"/>
    <w:rsid w:val="00894091"/>
    <w:rsid w:val="008940EB"/>
    <w:rsid w:val="0089410E"/>
    <w:rsid w:val="00894116"/>
    <w:rsid w:val="00894266"/>
    <w:rsid w:val="00894325"/>
    <w:rsid w:val="00894383"/>
    <w:rsid w:val="0089449B"/>
    <w:rsid w:val="0089455D"/>
    <w:rsid w:val="0089464C"/>
    <w:rsid w:val="00894753"/>
    <w:rsid w:val="0089479B"/>
    <w:rsid w:val="008947CE"/>
    <w:rsid w:val="0089483E"/>
    <w:rsid w:val="00894A52"/>
    <w:rsid w:val="00894B24"/>
    <w:rsid w:val="00894BA4"/>
    <w:rsid w:val="00894BF5"/>
    <w:rsid w:val="00894C32"/>
    <w:rsid w:val="00894D78"/>
    <w:rsid w:val="00894D93"/>
    <w:rsid w:val="00894D9B"/>
    <w:rsid w:val="00894E07"/>
    <w:rsid w:val="00894F9C"/>
    <w:rsid w:val="00894FAC"/>
    <w:rsid w:val="008950D2"/>
    <w:rsid w:val="00895291"/>
    <w:rsid w:val="00895320"/>
    <w:rsid w:val="0089533F"/>
    <w:rsid w:val="0089547C"/>
    <w:rsid w:val="0089569E"/>
    <w:rsid w:val="0089572D"/>
    <w:rsid w:val="008957FC"/>
    <w:rsid w:val="00895819"/>
    <w:rsid w:val="0089586D"/>
    <w:rsid w:val="00895921"/>
    <w:rsid w:val="00895947"/>
    <w:rsid w:val="00895A16"/>
    <w:rsid w:val="00895ABB"/>
    <w:rsid w:val="00895C51"/>
    <w:rsid w:val="00895EC2"/>
    <w:rsid w:val="00895ECC"/>
    <w:rsid w:val="00895ECE"/>
    <w:rsid w:val="00895ED3"/>
    <w:rsid w:val="0089610F"/>
    <w:rsid w:val="0089620A"/>
    <w:rsid w:val="008962AF"/>
    <w:rsid w:val="00896407"/>
    <w:rsid w:val="00896476"/>
    <w:rsid w:val="00896639"/>
    <w:rsid w:val="0089664F"/>
    <w:rsid w:val="008966F6"/>
    <w:rsid w:val="00896706"/>
    <w:rsid w:val="008967B7"/>
    <w:rsid w:val="00896800"/>
    <w:rsid w:val="008968F3"/>
    <w:rsid w:val="00896949"/>
    <w:rsid w:val="008969EA"/>
    <w:rsid w:val="00896ADD"/>
    <w:rsid w:val="00896B8A"/>
    <w:rsid w:val="00896C2E"/>
    <w:rsid w:val="00896CAC"/>
    <w:rsid w:val="00896D48"/>
    <w:rsid w:val="00896D5C"/>
    <w:rsid w:val="00896DCA"/>
    <w:rsid w:val="00896FA0"/>
    <w:rsid w:val="00896FDB"/>
    <w:rsid w:val="00896FF6"/>
    <w:rsid w:val="008971B6"/>
    <w:rsid w:val="0089721C"/>
    <w:rsid w:val="0089730A"/>
    <w:rsid w:val="0089748E"/>
    <w:rsid w:val="00897531"/>
    <w:rsid w:val="00897880"/>
    <w:rsid w:val="00897919"/>
    <w:rsid w:val="00897AF4"/>
    <w:rsid w:val="00897B93"/>
    <w:rsid w:val="00897C9C"/>
    <w:rsid w:val="00897CAE"/>
    <w:rsid w:val="00897D6F"/>
    <w:rsid w:val="00897D98"/>
    <w:rsid w:val="00897D99"/>
    <w:rsid w:val="008A000E"/>
    <w:rsid w:val="008A00A7"/>
    <w:rsid w:val="008A0176"/>
    <w:rsid w:val="008A019B"/>
    <w:rsid w:val="008A01EE"/>
    <w:rsid w:val="008A026F"/>
    <w:rsid w:val="008A0364"/>
    <w:rsid w:val="008A03A4"/>
    <w:rsid w:val="008A03CD"/>
    <w:rsid w:val="008A056A"/>
    <w:rsid w:val="008A0697"/>
    <w:rsid w:val="008A085C"/>
    <w:rsid w:val="008A09AA"/>
    <w:rsid w:val="008A0A02"/>
    <w:rsid w:val="008A0A50"/>
    <w:rsid w:val="008A0B28"/>
    <w:rsid w:val="008A0B80"/>
    <w:rsid w:val="008A0C13"/>
    <w:rsid w:val="008A0D2E"/>
    <w:rsid w:val="008A0E0F"/>
    <w:rsid w:val="008A0F31"/>
    <w:rsid w:val="008A0FAA"/>
    <w:rsid w:val="008A106C"/>
    <w:rsid w:val="008A11AA"/>
    <w:rsid w:val="008A126C"/>
    <w:rsid w:val="008A12F8"/>
    <w:rsid w:val="008A134F"/>
    <w:rsid w:val="008A14A7"/>
    <w:rsid w:val="008A15A5"/>
    <w:rsid w:val="008A183A"/>
    <w:rsid w:val="008A1940"/>
    <w:rsid w:val="008A19C4"/>
    <w:rsid w:val="008A1A1A"/>
    <w:rsid w:val="008A1C61"/>
    <w:rsid w:val="008A1D3F"/>
    <w:rsid w:val="008A2073"/>
    <w:rsid w:val="008A20A3"/>
    <w:rsid w:val="008A20CF"/>
    <w:rsid w:val="008A20FA"/>
    <w:rsid w:val="008A2300"/>
    <w:rsid w:val="008A2372"/>
    <w:rsid w:val="008A237F"/>
    <w:rsid w:val="008A2551"/>
    <w:rsid w:val="008A2653"/>
    <w:rsid w:val="008A2681"/>
    <w:rsid w:val="008A2ACA"/>
    <w:rsid w:val="008A2C71"/>
    <w:rsid w:val="008A2D33"/>
    <w:rsid w:val="008A2D81"/>
    <w:rsid w:val="008A2E75"/>
    <w:rsid w:val="008A2F42"/>
    <w:rsid w:val="008A2FA2"/>
    <w:rsid w:val="008A2FED"/>
    <w:rsid w:val="008A3097"/>
    <w:rsid w:val="008A3149"/>
    <w:rsid w:val="008A321B"/>
    <w:rsid w:val="008A328F"/>
    <w:rsid w:val="008A3324"/>
    <w:rsid w:val="008A3327"/>
    <w:rsid w:val="008A332E"/>
    <w:rsid w:val="008A333B"/>
    <w:rsid w:val="008A33B3"/>
    <w:rsid w:val="008A350A"/>
    <w:rsid w:val="008A350D"/>
    <w:rsid w:val="008A35CC"/>
    <w:rsid w:val="008A3654"/>
    <w:rsid w:val="008A3705"/>
    <w:rsid w:val="008A3793"/>
    <w:rsid w:val="008A37B6"/>
    <w:rsid w:val="008A389C"/>
    <w:rsid w:val="008A38B8"/>
    <w:rsid w:val="008A38DF"/>
    <w:rsid w:val="008A3A86"/>
    <w:rsid w:val="008A3B8D"/>
    <w:rsid w:val="008A3BBC"/>
    <w:rsid w:val="008A3C35"/>
    <w:rsid w:val="008A3C97"/>
    <w:rsid w:val="008A3D75"/>
    <w:rsid w:val="008A3D7E"/>
    <w:rsid w:val="008A3DCE"/>
    <w:rsid w:val="008A3E25"/>
    <w:rsid w:val="008A40B6"/>
    <w:rsid w:val="008A4181"/>
    <w:rsid w:val="008A420A"/>
    <w:rsid w:val="008A425A"/>
    <w:rsid w:val="008A4281"/>
    <w:rsid w:val="008A4297"/>
    <w:rsid w:val="008A43AF"/>
    <w:rsid w:val="008A43F7"/>
    <w:rsid w:val="008A4427"/>
    <w:rsid w:val="008A44B5"/>
    <w:rsid w:val="008A45AA"/>
    <w:rsid w:val="008A472E"/>
    <w:rsid w:val="008A4805"/>
    <w:rsid w:val="008A48B2"/>
    <w:rsid w:val="008A4BF4"/>
    <w:rsid w:val="008A4E80"/>
    <w:rsid w:val="008A4F08"/>
    <w:rsid w:val="008A4F78"/>
    <w:rsid w:val="008A5006"/>
    <w:rsid w:val="008A50A4"/>
    <w:rsid w:val="008A50CC"/>
    <w:rsid w:val="008A50EB"/>
    <w:rsid w:val="008A5113"/>
    <w:rsid w:val="008A5234"/>
    <w:rsid w:val="008A5332"/>
    <w:rsid w:val="008A5346"/>
    <w:rsid w:val="008A534A"/>
    <w:rsid w:val="008A5769"/>
    <w:rsid w:val="008A59AC"/>
    <w:rsid w:val="008A5CC4"/>
    <w:rsid w:val="008A5D57"/>
    <w:rsid w:val="008A5EEA"/>
    <w:rsid w:val="008A5FB4"/>
    <w:rsid w:val="008A6097"/>
    <w:rsid w:val="008A60D1"/>
    <w:rsid w:val="008A60FC"/>
    <w:rsid w:val="008A6237"/>
    <w:rsid w:val="008A6288"/>
    <w:rsid w:val="008A63E3"/>
    <w:rsid w:val="008A68FA"/>
    <w:rsid w:val="008A6ADC"/>
    <w:rsid w:val="008A6BF6"/>
    <w:rsid w:val="008A6C23"/>
    <w:rsid w:val="008A6C87"/>
    <w:rsid w:val="008A6D99"/>
    <w:rsid w:val="008A6E85"/>
    <w:rsid w:val="008A6EDD"/>
    <w:rsid w:val="008A6F2C"/>
    <w:rsid w:val="008A6F9D"/>
    <w:rsid w:val="008A6FE3"/>
    <w:rsid w:val="008A70AF"/>
    <w:rsid w:val="008A70CD"/>
    <w:rsid w:val="008A70DE"/>
    <w:rsid w:val="008A715D"/>
    <w:rsid w:val="008A7208"/>
    <w:rsid w:val="008A7323"/>
    <w:rsid w:val="008A73C7"/>
    <w:rsid w:val="008A73FF"/>
    <w:rsid w:val="008A740C"/>
    <w:rsid w:val="008A7432"/>
    <w:rsid w:val="008A7512"/>
    <w:rsid w:val="008A7658"/>
    <w:rsid w:val="008A78AB"/>
    <w:rsid w:val="008A79D8"/>
    <w:rsid w:val="008A7A7E"/>
    <w:rsid w:val="008A7A97"/>
    <w:rsid w:val="008A7BD9"/>
    <w:rsid w:val="008A7C35"/>
    <w:rsid w:val="008A7C3E"/>
    <w:rsid w:val="008A7CBB"/>
    <w:rsid w:val="008A7D32"/>
    <w:rsid w:val="008A7DE4"/>
    <w:rsid w:val="008A7E2A"/>
    <w:rsid w:val="008A7E4D"/>
    <w:rsid w:val="008B0042"/>
    <w:rsid w:val="008B01AB"/>
    <w:rsid w:val="008B03AC"/>
    <w:rsid w:val="008B03B9"/>
    <w:rsid w:val="008B04AF"/>
    <w:rsid w:val="008B0524"/>
    <w:rsid w:val="008B064B"/>
    <w:rsid w:val="008B06E5"/>
    <w:rsid w:val="008B07A1"/>
    <w:rsid w:val="008B07F9"/>
    <w:rsid w:val="008B097F"/>
    <w:rsid w:val="008B0B08"/>
    <w:rsid w:val="008B0FD0"/>
    <w:rsid w:val="008B100C"/>
    <w:rsid w:val="008B1020"/>
    <w:rsid w:val="008B121C"/>
    <w:rsid w:val="008B1232"/>
    <w:rsid w:val="008B142C"/>
    <w:rsid w:val="008B1506"/>
    <w:rsid w:val="008B151D"/>
    <w:rsid w:val="008B1670"/>
    <w:rsid w:val="008B17E3"/>
    <w:rsid w:val="008B182F"/>
    <w:rsid w:val="008B187D"/>
    <w:rsid w:val="008B19C8"/>
    <w:rsid w:val="008B19F4"/>
    <w:rsid w:val="008B1B94"/>
    <w:rsid w:val="008B1D25"/>
    <w:rsid w:val="008B1D2A"/>
    <w:rsid w:val="008B1D50"/>
    <w:rsid w:val="008B1DD6"/>
    <w:rsid w:val="008B1E3A"/>
    <w:rsid w:val="008B1E4C"/>
    <w:rsid w:val="008B1ECF"/>
    <w:rsid w:val="008B1EFB"/>
    <w:rsid w:val="008B2165"/>
    <w:rsid w:val="008B2240"/>
    <w:rsid w:val="008B2336"/>
    <w:rsid w:val="008B2365"/>
    <w:rsid w:val="008B236A"/>
    <w:rsid w:val="008B2516"/>
    <w:rsid w:val="008B2694"/>
    <w:rsid w:val="008B26C7"/>
    <w:rsid w:val="008B2894"/>
    <w:rsid w:val="008B29AC"/>
    <w:rsid w:val="008B2A83"/>
    <w:rsid w:val="008B2AFF"/>
    <w:rsid w:val="008B2B87"/>
    <w:rsid w:val="008B2B9C"/>
    <w:rsid w:val="008B2BA2"/>
    <w:rsid w:val="008B2BB6"/>
    <w:rsid w:val="008B2C16"/>
    <w:rsid w:val="008B2D55"/>
    <w:rsid w:val="008B2E06"/>
    <w:rsid w:val="008B2E40"/>
    <w:rsid w:val="008B2F29"/>
    <w:rsid w:val="008B2F43"/>
    <w:rsid w:val="008B30B0"/>
    <w:rsid w:val="008B31F0"/>
    <w:rsid w:val="008B3541"/>
    <w:rsid w:val="008B361B"/>
    <w:rsid w:val="008B3717"/>
    <w:rsid w:val="008B39E1"/>
    <w:rsid w:val="008B3A7F"/>
    <w:rsid w:val="008B3BB2"/>
    <w:rsid w:val="008B3C24"/>
    <w:rsid w:val="008B3CEA"/>
    <w:rsid w:val="008B3D52"/>
    <w:rsid w:val="008B3D69"/>
    <w:rsid w:val="008B3DBE"/>
    <w:rsid w:val="008B3F4F"/>
    <w:rsid w:val="008B4078"/>
    <w:rsid w:val="008B40AC"/>
    <w:rsid w:val="008B42D4"/>
    <w:rsid w:val="008B4488"/>
    <w:rsid w:val="008B455C"/>
    <w:rsid w:val="008B4565"/>
    <w:rsid w:val="008B45A8"/>
    <w:rsid w:val="008B45FD"/>
    <w:rsid w:val="008B4684"/>
    <w:rsid w:val="008B47B7"/>
    <w:rsid w:val="008B47BE"/>
    <w:rsid w:val="008B4AAE"/>
    <w:rsid w:val="008B4BD4"/>
    <w:rsid w:val="008B4C4F"/>
    <w:rsid w:val="008B4CD2"/>
    <w:rsid w:val="008B4CED"/>
    <w:rsid w:val="008B4D89"/>
    <w:rsid w:val="008B4FF6"/>
    <w:rsid w:val="008B507B"/>
    <w:rsid w:val="008B510B"/>
    <w:rsid w:val="008B524A"/>
    <w:rsid w:val="008B524B"/>
    <w:rsid w:val="008B53FC"/>
    <w:rsid w:val="008B5566"/>
    <w:rsid w:val="008B563D"/>
    <w:rsid w:val="008B5A6B"/>
    <w:rsid w:val="008B5BD5"/>
    <w:rsid w:val="008B5C9B"/>
    <w:rsid w:val="008B5CAE"/>
    <w:rsid w:val="008B5D91"/>
    <w:rsid w:val="008B5DAA"/>
    <w:rsid w:val="008B5F07"/>
    <w:rsid w:val="008B61A2"/>
    <w:rsid w:val="008B61DD"/>
    <w:rsid w:val="008B62CA"/>
    <w:rsid w:val="008B635E"/>
    <w:rsid w:val="008B6538"/>
    <w:rsid w:val="008B6595"/>
    <w:rsid w:val="008B66E5"/>
    <w:rsid w:val="008B6964"/>
    <w:rsid w:val="008B6C5F"/>
    <w:rsid w:val="008B6DED"/>
    <w:rsid w:val="008B6E09"/>
    <w:rsid w:val="008B6E1F"/>
    <w:rsid w:val="008B6E45"/>
    <w:rsid w:val="008B6E54"/>
    <w:rsid w:val="008B6EAA"/>
    <w:rsid w:val="008B6EC7"/>
    <w:rsid w:val="008B6EF8"/>
    <w:rsid w:val="008B7282"/>
    <w:rsid w:val="008B738E"/>
    <w:rsid w:val="008B739C"/>
    <w:rsid w:val="008B739D"/>
    <w:rsid w:val="008B754F"/>
    <w:rsid w:val="008B770F"/>
    <w:rsid w:val="008B77B6"/>
    <w:rsid w:val="008B786A"/>
    <w:rsid w:val="008B79ED"/>
    <w:rsid w:val="008B7A56"/>
    <w:rsid w:val="008B7A95"/>
    <w:rsid w:val="008B7AAC"/>
    <w:rsid w:val="008B7ACB"/>
    <w:rsid w:val="008B7AD7"/>
    <w:rsid w:val="008B7D21"/>
    <w:rsid w:val="008B7D4E"/>
    <w:rsid w:val="008B7DCD"/>
    <w:rsid w:val="008C0087"/>
    <w:rsid w:val="008C011D"/>
    <w:rsid w:val="008C0137"/>
    <w:rsid w:val="008C01A2"/>
    <w:rsid w:val="008C01C5"/>
    <w:rsid w:val="008C0229"/>
    <w:rsid w:val="008C031D"/>
    <w:rsid w:val="008C036E"/>
    <w:rsid w:val="008C03E7"/>
    <w:rsid w:val="008C0434"/>
    <w:rsid w:val="008C059B"/>
    <w:rsid w:val="008C05FA"/>
    <w:rsid w:val="008C07A0"/>
    <w:rsid w:val="008C0918"/>
    <w:rsid w:val="008C0B19"/>
    <w:rsid w:val="008C0B3B"/>
    <w:rsid w:val="008C0CDE"/>
    <w:rsid w:val="008C0DAC"/>
    <w:rsid w:val="008C0E56"/>
    <w:rsid w:val="008C0EB6"/>
    <w:rsid w:val="008C0FD7"/>
    <w:rsid w:val="008C1081"/>
    <w:rsid w:val="008C10A6"/>
    <w:rsid w:val="008C10EE"/>
    <w:rsid w:val="008C11D6"/>
    <w:rsid w:val="008C126E"/>
    <w:rsid w:val="008C12EE"/>
    <w:rsid w:val="008C12F9"/>
    <w:rsid w:val="008C17FD"/>
    <w:rsid w:val="008C1858"/>
    <w:rsid w:val="008C19A0"/>
    <w:rsid w:val="008C1A73"/>
    <w:rsid w:val="008C1B59"/>
    <w:rsid w:val="008C1BEC"/>
    <w:rsid w:val="008C1D8A"/>
    <w:rsid w:val="008C1D9D"/>
    <w:rsid w:val="008C1FFF"/>
    <w:rsid w:val="008C20F4"/>
    <w:rsid w:val="008C226C"/>
    <w:rsid w:val="008C22B5"/>
    <w:rsid w:val="008C2417"/>
    <w:rsid w:val="008C2468"/>
    <w:rsid w:val="008C2475"/>
    <w:rsid w:val="008C2785"/>
    <w:rsid w:val="008C2850"/>
    <w:rsid w:val="008C2A10"/>
    <w:rsid w:val="008C2A9C"/>
    <w:rsid w:val="008C2AF3"/>
    <w:rsid w:val="008C2B56"/>
    <w:rsid w:val="008C2B77"/>
    <w:rsid w:val="008C2C10"/>
    <w:rsid w:val="008C2CAA"/>
    <w:rsid w:val="008C2D13"/>
    <w:rsid w:val="008C2D15"/>
    <w:rsid w:val="008C2F62"/>
    <w:rsid w:val="008C317C"/>
    <w:rsid w:val="008C31A7"/>
    <w:rsid w:val="008C31F5"/>
    <w:rsid w:val="008C325A"/>
    <w:rsid w:val="008C32F2"/>
    <w:rsid w:val="008C3480"/>
    <w:rsid w:val="008C34E5"/>
    <w:rsid w:val="008C3511"/>
    <w:rsid w:val="008C3529"/>
    <w:rsid w:val="008C3539"/>
    <w:rsid w:val="008C357A"/>
    <w:rsid w:val="008C35F8"/>
    <w:rsid w:val="008C364B"/>
    <w:rsid w:val="008C366D"/>
    <w:rsid w:val="008C3730"/>
    <w:rsid w:val="008C375F"/>
    <w:rsid w:val="008C3950"/>
    <w:rsid w:val="008C3BA5"/>
    <w:rsid w:val="008C3C8C"/>
    <w:rsid w:val="008C3D5A"/>
    <w:rsid w:val="008C3E33"/>
    <w:rsid w:val="008C3F70"/>
    <w:rsid w:val="008C4212"/>
    <w:rsid w:val="008C42F4"/>
    <w:rsid w:val="008C4520"/>
    <w:rsid w:val="008C4690"/>
    <w:rsid w:val="008C4921"/>
    <w:rsid w:val="008C4925"/>
    <w:rsid w:val="008C4BE3"/>
    <w:rsid w:val="008C4C0B"/>
    <w:rsid w:val="008C4E42"/>
    <w:rsid w:val="008C4EA8"/>
    <w:rsid w:val="008C4F11"/>
    <w:rsid w:val="008C4F13"/>
    <w:rsid w:val="008C4F32"/>
    <w:rsid w:val="008C5028"/>
    <w:rsid w:val="008C52CC"/>
    <w:rsid w:val="008C52DC"/>
    <w:rsid w:val="008C53F5"/>
    <w:rsid w:val="008C5463"/>
    <w:rsid w:val="008C5675"/>
    <w:rsid w:val="008C56B4"/>
    <w:rsid w:val="008C58D2"/>
    <w:rsid w:val="008C5A69"/>
    <w:rsid w:val="008C5B3C"/>
    <w:rsid w:val="008C5B57"/>
    <w:rsid w:val="008C5C15"/>
    <w:rsid w:val="008C5D86"/>
    <w:rsid w:val="008C5D9B"/>
    <w:rsid w:val="008C5E6A"/>
    <w:rsid w:val="008C5E9A"/>
    <w:rsid w:val="008C5F0F"/>
    <w:rsid w:val="008C60A9"/>
    <w:rsid w:val="008C61A8"/>
    <w:rsid w:val="008C6423"/>
    <w:rsid w:val="008C6502"/>
    <w:rsid w:val="008C65BE"/>
    <w:rsid w:val="008C65D7"/>
    <w:rsid w:val="008C6677"/>
    <w:rsid w:val="008C6867"/>
    <w:rsid w:val="008C68A4"/>
    <w:rsid w:val="008C696D"/>
    <w:rsid w:val="008C6A22"/>
    <w:rsid w:val="008C6A2F"/>
    <w:rsid w:val="008C6C2D"/>
    <w:rsid w:val="008C6C32"/>
    <w:rsid w:val="008C6E9C"/>
    <w:rsid w:val="008C6EBD"/>
    <w:rsid w:val="008C6EE5"/>
    <w:rsid w:val="008C6FC9"/>
    <w:rsid w:val="008C704F"/>
    <w:rsid w:val="008C744F"/>
    <w:rsid w:val="008C74F0"/>
    <w:rsid w:val="008C76CF"/>
    <w:rsid w:val="008C76E8"/>
    <w:rsid w:val="008C76F6"/>
    <w:rsid w:val="008C7762"/>
    <w:rsid w:val="008C7A5D"/>
    <w:rsid w:val="008C7B3D"/>
    <w:rsid w:val="008C7CCC"/>
    <w:rsid w:val="008C7D20"/>
    <w:rsid w:val="008C7D4B"/>
    <w:rsid w:val="008C7E27"/>
    <w:rsid w:val="008C7E83"/>
    <w:rsid w:val="008C7F52"/>
    <w:rsid w:val="008D006B"/>
    <w:rsid w:val="008D0253"/>
    <w:rsid w:val="008D035C"/>
    <w:rsid w:val="008D09D2"/>
    <w:rsid w:val="008D09DA"/>
    <w:rsid w:val="008D0A31"/>
    <w:rsid w:val="008D0A33"/>
    <w:rsid w:val="008D0BCB"/>
    <w:rsid w:val="008D0BDC"/>
    <w:rsid w:val="008D0C70"/>
    <w:rsid w:val="008D0D3A"/>
    <w:rsid w:val="008D0DAC"/>
    <w:rsid w:val="008D0DCE"/>
    <w:rsid w:val="008D0E2B"/>
    <w:rsid w:val="008D0E83"/>
    <w:rsid w:val="008D0EAA"/>
    <w:rsid w:val="008D0EEC"/>
    <w:rsid w:val="008D0FE4"/>
    <w:rsid w:val="008D1076"/>
    <w:rsid w:val="008D10B5"/>
    <w:rsid w:val="008D10BD"/>
    <w:rsid w:val="008D10CE"/>
    <w:rsid w:val="008D10DA"/>
    <w:rsid w:val="008D1102"/>
    <w:rsid w:val="008D117D"/>
    <w:rsid w:val="008D1197"/>
    <w:rsid w:val="008D1225"/>
    <w:rsid w:val="008D1241"/>
    <w:rsid w:val="008D12C6"/>
    <w:rsid w:val="008D169D"/>
    <w:rsid w:val="008D16DB"/>
    <w:rsid w:val="008D17B9"/>
    <w:rsid w:val="008D19BA"/>
    <w:rsid w:val="008D19C5"/>
    <w:rsid w:val="008D1A9E"/>
    <w:rsid w:val="008D1B07"/>
    <w:rsid w:val="008D1D48"/>
    <w:rsid w:val="008D1DE2"/>
    <w:rsid w:val="008D1F2D"/>
    <w:rsid w:val="008D2077"/>
    <w:rsid w:val="008D20C1"/>
    <w:rsid w:val="008D21D6"/>
    <w:rsid w:val="008D21E3"/>
    <w:rsid w:val="008D2298"/>
    <w:rsid w:val="008D2456"/>
    <w:rsid w:val="008D2511"/>
    <w:rsid w:val="008D2545"/>
    <w:rsid w:val="008D263A"/>
    <w:rsid w:val="008D26FF"/>
    <w:rsid w:val="008D277D"/>
    <w:rsid w:val="008D286F"/>
    <w:rsid w:val="008D290F"/>
    <w:rsid w:val="008D29A5"/>
    <w:rsid w:val="008D2A82"/>
    <w:rsid w:val="008D2B93"/>
    <w:rsid w:val="008D2DAF"/>
    <w:rsid w:val="008D2DB0"/>
    <w:rsid w:val="008D2DE7"/>
    <w:rsid w:val="008D2FE3"/>
    <w:rsid w:val="008D30A9"/>
    <w:rsid w:val="008D30B2"/>
    <w:rsid w:val="008D31F5"/>
    <w:rsid w:val="008D3261"/>
    <w:rsid w:val="008D326C"/>
    <w:rsid w:val="008D3298"/>
    <w:rsid w:val="008D3332"/>
    <w:rsid w:val="008D33A3"/>
    <w:rsid w:val="008D3433"/>
    <w:rsid w:val="008D347B"/>
    <w:rsid w:val="008D36F7"/>
    <w:rsid w:val="008D37AD"/>
    <w:rsid w:val="008D3CA0"/>
    <w:rsid w:val="008D3E33"/>
    <w:rsid w:val="008D4016"/>
    <w:rsid w:val="008D4085"/>
    <w:rsid w:val="008D4220"/>
    <w:rsid w:val="008D42E8"/>
    <w:rsid w:val="008D4380"/>
    <w:rsid w:val="008D4419"/>
    <w:rsid w:val="008D4440"/>
    <w:rsid w:val="008D44C1"/>
    <w:rsid w:val="008D44E8"/>
    <w:rsid w:val="008D4563"/>
    <w:rsid w:val="008D4568"/>
    <w:rsid w:val="008D4849"/>
    <w:rsid w:val="008D48E2"/>
    <w:rsid w:val="008D496F"/>
    <w:rsid w:val="008D49F0"/>
    <w:rsid w:val="008D4BC2"/>
    <w:rsid w:val="008D4BCE"/>
    <w:rsid w:val="008D4EC2"/>
    <w:rsid w:val="008D5128"/>
    <w:rsid w:val="008D51FB"/>
    <w:rsid w:val="008D520E"/>
    <w:rsid w:val="008D5212"/>
    <w:rsid w:val="008D5534"/>
    <w:rsid w:val="008D5598"/>
    <w:rsid w:val="008D5685"/>
    <w:rsid w:val="008D56DC"/>
    <w:rsid w:val="008D571B"/>
    <w:rsid w:val="008D5A8D"/>
    <w:rsid w:val="008D5B7B"/>
    <w:rsid w:val="008D5D48"/>
    <w:rsid w:val="008D5F1A"/>
    <w:rsid w:val="008D5FB6"/>
    <w:rsid w:val="008D6001"/>
    <w:rsid w:val="008D604B"/>
    <w:rsid w:val="008D606C"/>
    <w:rsid w:val="008D6102"/>
    <w:rsid w:val="008D6129"/>
    <w:rsid w:val="008D6189"/>
    <w:rsid w:val="008D6236"/>
    <w:rsid w:val="008D6274"/>
    <w:rsid w:val="008D6286"/>
    <w:rsid w:val="008D62A0"/>
    <w:rsid w:val="008D649B"/>
    <w:rsid w:val="008D6563"/>
    <w:rsid w:val="008D6621"/>
    <w:rsid w:val="008D66F3"/>
    <w:rsid w:val="008D6788"/>
    <w:rsid w:val="008D6792"/>
    <w:rsid w:val="008D67E9"/>
    <w:rsid w:val="008D6820"/>
    <w:rsid w:val="008D6939"/>
    <w:rsid w:val="008D6B15"/>
    <w:rsid w:val="008D6B7A"/>
    <w:rsid w:val="008D6BCC"/>
    <w:rsid w:val="008D6BDC"/>
    <w:rsid w:val="008D6BF4"/>
    <w:rsid w:val="008D6C9A"/>
    <w:rsid w:val="008D6D53"/>
    <w:rsid w:val="008D6F77"/>
    <w:rsid w:val="008D6FD7"/>
    <w:rsid w:val="008D71A1"/>
    <w:rsid w:val="008D7242"/>
    <w:rsid w:val="008D72EF"/>
    <w:rsid w:val="008D73D3"/>
    <w:rsid w:val="008D776E"/>
    <w:rsid w:val="008D788E"/>
    <w:rsid w:val="008D79DD"/>
    <w:rsid w:val="008D7A14"/>
    <w:rsid w:val="008D7A64"/>
    <w:rsid w:val="008D7A78"/>
    <w:rsid w:val="008D7AF6"/>
    <w:rsid w:val="008D7BD1"/>
    <w:rsid w:val="008D7D0F"/>
    <w:rsid w:val="008D7D2C"/>
    <w:rsid w:val="008D7EB9"/>
    <w:rsid w:val="008D7ED8"/>
    <w:rsid w:val="008E005D"/>
    <w:rsid w:val="008E00E0"/>
    <w:rsid w:val="008E0230"/>
    <w:rsid w:val="008E02C2"/>
    <w:rsid w:val="008E0416"/>
    <w:rsid w:val="008E053C"/>
    <w:rsid w:val="008E0547"/>
    <w:rsid w:val="008E05F0"/>
    <w:rsid w:val="008E0752"/>
    <w:rsid w:val="008E07F6"/>
    <w:rsid w:val="008E093A"/>
    <w:rsid w:val="008E094E"/>
    <w:rsid w:val="008E0A11"/>
    <w:rsid w:val="008E0C95"/>
    <w:rsid w:val="008E0D74"/>
    <w:rsid w:val="008E0DAF"/>
    <w:rsid w:val="008E102B"/>
    <w:rsid w:val="008E114C"/>
    <w:rsid w:val="008E1351"/>
    <w:rsid w:val="008E13AF"/>
    <w:rsid w:val="008E14A2"/>
    <w:rsid w:val="008E15D3"/>
    <w:rsid w:val="008E168B"/>
    <w:rsid w:val="008E172B"/>
    <w:rsid w:val="008E176B"/>
    <w:rsid w:val="008E18AF"/>
    <w:rsid w:val="008E19B2"/>
    <w:rsid w:val="008E1ABC"/>
    <w:rsid w:val="008E1C24"/>
    <w:rsid w:val="008E1C52"/>
    <w:rsid w:val="008E1D38"/>
    <w:rsid w:val="008E1D66"/>
    <w:rsid w:val="008E1E7B"/>
    <w:rsid w:val="008E1F99"/>
    <w:rsid w:val="008E1FA1"/>
    <w:rsid w:val="008E21F0"/>
    <w:rsid w:val="008E2463"/>
    <w:rsid w:val="008E24EC"/>
    <w:rsid w:val="008E253F"/>
    <w:rsid w:val="008E25E5"/>
    <w:rsid w:val="008E2741"/>
    <w:rsid w:val="008E2B1B"/>
    <w:rsid w:val="008E2C5E"/>
    <w:rsid w:val="008E2D32"/>
    <w:rsid w:val="008E2E30"/>
    <w:rsid w:val="008E2ED4"/>
    <w:rsid w:val="008E2F0A"/>
    <w:rsid w:val="008E30C6"/>
    <w:rsid w:val="008E310A"/>
    <w:rsid w:val="008E31B0"/>
    <w:rsid w:val="008E323F"/>
    <w:rsid w:val="008E327F"/>
    <w:rsid w:val="008E32DC"/>
    <w:rsid w:val="008E34AF"/>
    <w:rsid w:val="008E34CC"/>
    <w:rsid w:val="008E355A"/>
    <w:rsid w:val="008E357C"/>
    <w:rsid w:val="008E3741"/>
    <w:rsid w:val="008E3A5C"/>
    <w:rsid w:val="008E3B57"/>
    <w:rsid w:val="008E3C23"/>
    <w:rsid w:val="008E3E09"/>
    <w:rsid w:val="008E3F66"/>
    <w:rsid w:val="008E3F72"/>
    <w:rsid w:val="008E3F9D"/>
    <w:rsid w:val="008E3FB6"/>
    <w:rsid w:val="008E4316"/>
    <w:rsid w:val="008E4553"/>
    <w:rsid w:val="008E45E4"/>
    <w:rsid w:val="008E4642"/>
    <w:rsid w:val="008E4671"/>
    <w:rsid w:val="008E47B4"/>
    <w:rsid w:val="008E4A92"/>
    <w:rsid w:val="008E4AB2"/>
    <w:rsid w:val="008E4B4A"/>
    <w:rsid w:val="008E4BE6"/>
    <w:rsid w:val="008E4F1F"/>
    <w:rsid w:val="008E508C"/>
    <w:rsid w:val="008E5579"/>
    <w:rsid w:val="008E55CB"/>
    <w:rsid w:val="008E569B"/>
    <w:rsid w:val="008E56FD"/>
    <w:rsid w:val="008E5820"/>
    <w:rsid w:val="008E5828"/>
    <w:rsid w:val="008E584D"/>
    <w:rsid w:val="008E58E7"/>
    <w:rsid w:val="008E5B33"/>
    <w:rsid w:val="008E5BE6"/>
    <w:rsid w:val="008E5BEC"/>
    <w:rsid w:val="008E5DB5"/>
    <w:rsid w:val="008E5E15"/>
    <w:rsid w:val="008E5EB0"/>
    <w:rsid w:val="008E6073"/>
    <w:rsid w:val="008E6117"/>
    <w:rsid w:val="008E611A"/>
    <w:rsid w:val="008E615A"/>
    <w:rsid w:val="008E6164"/>
    <w:rsid w:val="008E618F"/>
    <w:rsid w:val="008E62E1"/>
    <w:rsid w:val="008E6314"/>
    <w:rsid w:val="008E6615"/>
    <w:rsid w:val="008E6660"/>
    <w:rsid w:val="008E66F9"/>
    <w:rsid w:val="008E67E6"/>
    <w:rsid w:val="008E6874"/>
    <w:rsid w:val="008E69D3"/>
    <w:rsid w:val="008E6AF7"/>
    <w:rsid w:val="008E6B60"/>
    <w:rsid w:val="008E6C23"/>
    <w:rsid w:val="008E6C51"/>
    <w:rsid w:val="008E6CAB"/>
    <w:rsid w:val="008E6CDC"/>
    <w:rsid w:val="008E6D3E"/>
    <w:rsid w:val="008E6E16"/>
    <w:rsid w:val="008E6E57"/>
    <w:rsid w:val="008E7104"/>
    <w:rsid w:val="008E715B"/>
    <w:rsid w:val="008E7359"/>
    <w:rsid w:val="008E75FE"/>
    <w:rsid w:val="008E765C"/>
    <w:rsid w:val="008E77A9"/>
    <w:rsid w:val="008E78AB"/>
    <w:rsid w:val="008E78EF"/>
    <w:rsid w:val="008E79AA"/>
    <w:rsid w:val="008E79EF"/>
    <w:rsid w:val="008E7A26"/>
    <w:rsid w:val="008E7B0A"/>
    <w:rsid w:val="008E7C95"/>
    <w:rsid w:val="008E7DC2"/>
    <w:rsid w:val="008E7F3C"/>
    <w:rsid w:val="008F0041"/>
    <w:rsid w:val="008F016B"/>
    <w:rsid w:val="008F033B"/>
    <w:rsid w:val="008F046D"/>
    <w:rsid w:val="008F04C7"/>
    <w:rsid w:val="008F051A"/>
    <w:rsid w:val="008F0547"/>
    <w:rsid w:val="008F067C"/>
    <w:rsid w:val="008F06C1"/>
    <w:rsid w:val="008F07EA"/>
    <w:rsid w:val="008F07F0"/>
    <w:rsid w:val="008F082A"/>
    <w:rsid w:val="008F0938"/>
    <w:rsid w:val="008F0C20"/>
    <w:rsid w:val="008F0C50"/>
    <w:rsid w:val="008F0CDB"/>
    <w:rsid w:val="008F0E13"/>
    <w:rsid w:val="008F0EC2"/>
    <w:rsid w:val="008F0F00"/>
    <w:rsid w:val="008F0F63"/>
    <w:rsid w:val="008F106C"/>
    <w:rsid w:val="008F1075"/>
    <w:rsid w:val="008F109A"/>
    <w:rsid w:val="008F10B1"/>
    <w:rsid w:val="008F114F"/>
    <w:rsid w:val="008F1152"/>
    <w:rsid w:val="008F116F"/>
    <w:rsid w:val="008F11F2"/>
    <w:rsid w:val="008F1450"/>
    <w:rsid w:val="008F1646"/>
    <w:rsid w:val="008F1697"/>
    <w:rsid w:val="008F16B6"/>
    <w:rsid w:val="008F16B7"/>
    <w:rsid w:val="008F1856"/>
    <w:rsid w:val="008F1882"/>
    <w:rsid w:val="008F1889"/>
    <w:rsid w:val="008F18F9"/>
    <w:rsid w:val="008F1DF9"/>
    <w:rsid w:val="008F1E65"/>
    <w:rsid w:val="008F1F49"/>
    <w:rsid w:val="008F20C8"/>
    <w:rsid w:val="008F2130"/>
    <w:rsid w:val="008F217E"/>
    <w:rsid w:val="008F21CA"/>
    <w:rsid w:val="008F261B"/>
    <w:rsid w:val="008F272C"/>
    <w:rsid w:val="008F289F"/>
    <w:rsid w:val="008F2914"/>
    <w:rsid w:val="008F2945"/>
    <w:rsid w:val="008F29EB"/>
    <w:rsid w:val="008F2A47"/>
    <w:rsid w:val="008F2D5B"/>
    <w:rsid w:val="008F2E2F"/>
    <w:rsid w:val="008F2F05"/>
    <w:rsid w:val="008F2F16"/>
    <w:rsid w:val="008F2F8C"/>
    <w:rsid w:val="008F30DE"/>
    <w:rsid w:val="008F3290"/>
    <w:rsid w:val="008F3307"/>
    <w:rsid w:val="008F33D0"/>
    <w:rsid w:val="008F3425"/>
    <w:rsid w:val="008F34F6"/>
    <w:rsid w:val="008F3542"/>
    <w:rsid w:val="008F3576"/>
    <w:rsid w:val="008F362C"/>
    <w:rsid w:val="008F373D"/>
    <w:rsid w:val="008F376C"/>
    <w:rsid w:val="008F37C1"/>
    <w:rsid w:val="008F388B"/>
    <w:rsid w:val="008F394B"/>
    <w:rsid w:val="008F3A2B"/>
    <w:rsid w:val="008F3ABC"/>
    <w:rsid w:val="008F3ADA"/>
    <w:rsid w:val="008F3CCA"/>
    <w:rsid w:val="008F3CDE"/>
    <w:rsid w:val="008F4037"/>
    <w:rsid w:val="008F4085"/>
    <w:rsid w:val="008F40A3"/>
    <w:rsid w:val="008F4293"/>
    <w:rsid w:val="008F4312"/>
    <w:rsid w:val="008F43CF"/>
    <w:rsid w:val="008F43EF"/>
    <w:rsid w:val="008F442D"/>
    <w:rsid w:val="008F4653"/>
    <w:rsid w:val="008F4707"/>
    <w:rsid w:val="008F482C"/>
    <w:rsid w:val="008F488C"/>
    <w:rsid w:val="008F4B30"/>
    <w:rsid w:val="008F4BC2"/>
    <w:rsid w:val="008F4C50"/>
    <w:rsid w:val="008F4D4B"/>
    <w:rsid w:val="008F4E4F"/>
    <w:rsid w:val="008F513C"/>
    <w:rsid w:val="008F51FD"/>
    <w:rsid w:val="008F51FF"/>
    <w:rsid w:val="008F53FC"/>
    <w:rsid w:val="008F5407"/>
    <w:rsid w:val="008F5685"/>
    <w:rsid w:val="008F5761"/>
    <w:rsid w:val="008F580F"/>
    <w:rsid w:val="008F594B"/>
    <w:rsid w:val="008F5A63"/>
    <w:rsid w:val="008F5AF7"/>
    <w:rsid w:val="008F5B99"/>
    <w:rsid w:val="008F5CC7"/>
    <w:rsid w:val="008F5E20"/>
    <w:rsid w:val="008F5E58"/>
    <w:rsid w:val="008F5F85"/>
    <w:rsid w:val="008F5F93"/>
    <w:rsid w:val="008F601B"/>
    <w:rsid w:val="008F6058"/>
    <w:rsid w:val="008F60BC"/>
    <w:rsid w:val="008F610F"/>
    <w:rsid w:val="008F6216"/>
    <w:rsid w:val="008F63F5"/>
    <w:rsid w:val="008F642E"/>
    <w:rsid w:val="008F65B0"/>
    <w:rsid w:val="008F69A9"/>
    <w:rsid w:val="008F69C9"/>
    <w:rsid w:val="008F6B4C"/>
    <w:rsid w:val="008F6C18"/>
    <w:rsid w:val="008F6D36"/>
    <w:rsid w:val="008F6DD9"/>
    <w:rsid w:val="008F7067"/>
    <w:rsid w:val="008F7266"/>
    <w:rsid w:val="008F72F6"/>
    <w:rsid w:val="008F75E7"/>
    <w:rsid w:val="008F75FB"/>
    <w:rsid w:val="008F76C0"/>
    <w:rsid w:val="008F77CA"/>
    <w:rsid w:val="008F79EB"/>
    <w:rsid w:val="008F7A07"/>
    <w:rsid w:val="008F7A25"/>
    <w:rsid w:val="008F7A42"/>
    <w:rsid w:val="008F7A65"/>
    <w:rsid w:val="008F7A9A"/>
    <w:rsid w:val="008F7AC3"/>
    <w:rsid w:val="008F7D33"/>
    <w:rsid w:val="008F7D52"/>
    <w:rsid w:val="008F7D7E"/>
    <w:rsid w:val="008F7D88"/>
    <w:rsid w:val="008F7E2B"/>
    <w:rsid w:val="008F7E47"/>
    <w:rsid w:val="008F7E58"/>
    <w:rsid w:val="008F7EB5"/>
    <w:rsid w:val="008F7F20"/>
    <w:rsid w:val="008F7F88"/>
    <w:rsid w:val="009000D9"/>
    <w:rsid w:val="00900119"/>
    <w:rsid w:val="009001AB"/>
    <w:rsid w:val="009003AD"/>
    <w:rsid w:val="009003D3"/>
    <w:rsid w:val="0090057D"/>
    <w:rsid w:val="00900591"/>
    <w:rsid w:val="00900603"/>
    <w:rsid w:val="009009CA"/>
    <w:rsid w:val="00900ABE"/>
    <w:rsid w:val="00900BB4"/>
    <w:rsid w:val="00900DE3"/>
    <w:rsid w:val="00900E0D"/>
    <w:rsid w:val="00900F06"/>
    <w:rsid w:val="00900F21"/>
    <w:rsid w:val="009010F6"/>
    <w:rsid w:val="009013FA"/>
    <w:rsid w:val="00901671"/>
    <w:rsid w:val="009016EF"/>
    <w:rsid w:val="00901711"/>
    <w:rsid w:val="009018B3"/>
    <w:rsid w:val="009018C2"/>
    <w:rsid w:val="00901914"/>
    <w:rsid w:val="00901980"/>
    <w:rsid w:val="00901A23"/>
    <w:rsid w:val="00901A5C"/>
    <w:rsid w:val="00901A63"/>
    <w:rsid w:val="00901BA3"/>
    <w:rsid w:val="00901BF2"/>
    <w:rsid w:val="00901C0D"/>
    <w:rsid w:val="00901C70"/>
    <w:rsid w:val="00901DD6"/>
    <w:rsid w:val="00901DF6"/>
    <w:rsid w:val="00901ECB"/>
    <w:rsid w:val="00902025"/>
    <w:rsid w:val="00902037"/>
    <w:rsid w:val="009021C8"/>
    <w:rsid w:val="009021CC"/>
    <w:rsid w:val="009022BD"/>
    <w:rsid w:val="00902391"/>
    <w:rsid w:val="0090240A"/>
    <w:rsid w:val="009024B7"/>
    <w:rsid w:val="009024D5"/>
    <w:rsid w:val="0090251C"/>
    <w:rsid w:val="0090261A"/>
    <w:rsid w:val="00902691"/>
    <w:rsid w:val="0090289D"/>
    <w:rsid w:val="00902987"/>
    <w:rsid w:val="009029B5"/>
    <w:rsid w:val="009029C1"/>
    <w:rsid w:val="00902A42"/>
    <w:rsid w:val="00902A76"/>
    <w:rsid w:val="00902AC4"/>
    <w:rsid w:val="00902B70"/>
    <w:rsid w:val="00902F04"/>
    <w:rsid w:val="00903051"/>
    <w:rsid w:val="00903266"/>
    <w:rsid w:val="0090336D"/>
    <w:rsid w:val="009035E3"/>
    <w:rsid w:val="009035EA"/>
    <w:rsid w:val="009037AC"/>
    <w:rsid w:val="00903875"/>
    <w:rsid w:val="009038D3"/>
    <w:rsid w:val="0090392D"/>
    <w:rsid w:val="00903995"/>
    <w:rsid w:val="009039FE"/>
    <w:rsid w:val="00903A2C"/>
    <w:rsid w:val="00903A3F"/>
    <w:rsid w:val="00903B0A"/>
    <w:rsid w:val="00903BBA"/>
    <w:rsid w:val="00903E67"/>
    <w:rsid w:val="00903FBF"/>
    <w:rsid w:val="00903FC1"/>
    <w:rsid w:val="0090422F"/>
    <w:rsid w:val="00904408"/>
    <w:rsid w:val="00904479"/>
    <w:rsid w:val="00904504"/>
    <w:rsid w:val="009045CA"/>
    <w:rsid w:val="0090477D"/>
    <w:rsid w:val="009048F8"/>
    <w:rsid w:val="009049E1"/>
    <w:rsid w:val="009049E6"/>
    <w:rsid w:val="00904A0A"/>
    <w:rsid w:val="00904A19"/>
    <w:rsid w:val="00904A29"/>
    <w:rsid w:val="00904A3E"/>
    <w:rsid w:val="00904A45"/>
    <w:rsid w:val="00904A9C"/>
    <w:rsid w:val="00904B8A"/>
    <w:rsid w:val="00904C0F"/>
    <w:rsid w:val="00904C22"/>
    <w:rsid w:val="00904CAF"/>
    <w:rsid w:val="00904CDD"/>
    <w:rsid w:val="00904D14"/>
    <w:rsid w:val="00904D6F"/>
    <w:rsid w:val="00904FA7"/>
    <w:rsid w:val="00904FCB"/>
    <w:rsid w:val="00905054"/>
    <w:rsid w:val="00905057"/>
    <w:rsid w:val="009052AC"/>
    <w:rsid w:val="009053AB"/>
    <w:rsid w:val="009053DE"/>
    <w:rsid w:val="00905847"/>
    <w:rsid w:val="00905890"/>
    <w:rsid w:val="0090595C"/>
    <w:rsid w:val="009059FA"/>
    <w:rsid w:val="00905A2A"/>
    <w:rsid w:val="00905CCF"/>
    <w:rsid w:val="00905D50"/>
    <w:rsid w:val="00905DCB"/>
    <w:rsid w:val="00905DD9"/>
    <w:rsid w:val="00905EAF"/>
    <w:rsid w:val="00905EBC"/>
    <w:rsid w:val="00905F09"/>
    <w:rsid w:val="00905F73"/>
    <w:rsid w:val="00906130"/>
    <w:rsid w:val="00906147"/>
    <w:rsid w:val="00906195"/>
    <w:rsid w:val="00906401"/>
    <w:rsid w:val="00906581"/>
    <w:rsid w:val="00906689"/>
    <w:rsid w:val="0090678B"/>
    <w:rsid w:val="0090693F"/>
    <w:rsid w:val="0090698A"/>
    <w:rsid w:val="009069C1"/>
    <w:rsid w:val="00906A43"/>
    <w:rsid w:val="00906AD9"/>
    <w:rsid w:val="00906AFC"/>
    <w:rsid w:val="00906BD4"/>
    <w:rsid w:val="00906CD1"/>
    <w:rsid w:val="00906DB2"/>
    <w:rsid w:val="00906DD7"/>
    <w:rsid w:val="00906ED8"/>
    <w:rsid w:val="00906F0B"/>
    <w:rsid w:val="00906F30"/>
    <w:rsid w:val="00906FC8"/>
    <w:rsid w:val="009074F0"/>
    <w:rsid w:val="00907555"/>
    <w:rsid w:val="009075DC"/>
    <w:rsid w:val="00907648"/>
    <w:rsid w:val="00907779"/>
    <w:rsid w:val="009077B5"/>
    <w:rsid w:val="009077E9"/>
    <w:rsid w:val="00907875"/>
    <w:rsid w:val="00907937"/>
    <w:rsid w:val="0090796B"/>
    <w:rsid w:val="0090799B"/>
    <w:rsid w:val="00907A8A"/>
    <w:rsid w:val="00907C03"/>
    <w:rsid w:val="00907C25"/>
    <w:rsid w:val="00907DF6"/>
    <w:rsid w:val="00910198"/>
    <w:rsid w:val="0091019F"/>
    <w:rsid w:val="0091027F"/>
    <w:rsid w:val="00910378"/>
    <w:rsid w:val="00910465"/>
    <w:rsid w:val="009104E6"/>
    <w:rsid w:val="00910525"/>
    <w:rsid w:val="00910564"/>
    <w:rsid w:val="00910647"/>
    <w:rsid w:val="00910772"/>
    <w:rsid w:val="0091092B"/>
    <w:rsid w:val="0091092E"/>
    <w:rsid w:val="00910D78"/>
    <w:rsid w:val="00910E82"/>
    <w:rsid w:val="00910F1B"/>
    <w:rsid w:val="00910FBE"/>
    <w:rsid w:val="00911040"/>
    <w:rsid w:val="0091113D"/>
    <w:rsid w:val="00911142"/>
    <w:rsid w:val="009111C5"/>
    <w:rsid w:val="009113B7"/>
    <w:rsid w:val="009113FB"/>
    <w:rsid w:val="0091152A"/>
    <w:rsid w:val="0091168E"/>
    <w:rsid w:val="0091171B"/>
    <w:rsid w:val="0091172B"/>
    <w:rsid w:val="009117B9"/>
    <w:rsid w:val="00911807"/>
    <w:rsid w:val="00911AC4"/>
    <w:rsid w:val="00911AC8"/>
    <w:rsid w:val="00911B49"/>
    <w:rsid w:val="00911E71"/>
    <w:rsid w:val="00911FF2"/>
    <w:rsid w:val="00912011"/>
    <w:rsid w:val="009120CB"/>
    <w:rsid w:val="0091244D"/>
    <w:rsid w:val="00912682"/>
    <w:rsid w:val="00912756"/>
    <w:rsid w:val="009127E2"/>
    <w:rsid w:val="009127EA"/>
    <w:rsid w:val="00912908"/>
    <w:rsid w:val="00912922"/>
    <w:rsid w:val="009129FC"/>
    <w:rsid w:val="00912A60"/>
    <w:rsid w:val="00912B16"/>
    <w:rsid w:val="00912B40"/>
    <w:rsid w:val="00912BD8"/>
    <w:rsid w:val="00912BF6"/>
    <w:rsid w:val="00912C85"/>
    <w:rsid w:val="00912D0C"/>
    <w:rsid w:val="00912D4B"/>
    <w:rsid w:val="00912D57"/>
    <w:rsid w:val="00912DFF"/>
    <w:rsid w:val="009130AF"/>
    <w:rsid w:val="009130EB"/>
    <w:rsid w:val="00913241"/>
    <w:rsid w:val="0091329A"/>
    <w:rsid w:val="009132E4"/>
    <w:rsid w:val="00913305"/>
    <w:rsid w:val="009134FA"/>
    <w:rsid w:val="0091362D"/>
    <w:rsid w:val="0091374C"/>
    <w:rsid w:val="009137B8"/>
    <w:rsid w:val="009139CA"/>
    <w:rsid w:val="00913AA7"/>
    <w:rsid w:val="00913B78"/>
    <w:rsid w:val="00913C81"/>
    <w:rsid w:val="00913FB9"/>
    <w:rsid w:val="00914071"/>
    <w:rsid w:val="0091424A"/>
    <w:rsid w:val="00914359"/>
    <w:rsid w:val="00914672"/>
    <w:rsid w:val="00914791"/>
    <w:rsid w:val="00914984"/>
    <w:rsid w:val="00914ADF"/>
    <w:rsid w:val="00914BF5"/>
    <w:rsid w:val="00914C7B"/>
    <w:rsid w:val="00914E4A"/>
    <w:rsid w:val="00914EB3"/>
    <w:rsid w:val="00914EEB"/>
    <w:rsid w:val="00915122"/>
    <w:rsid w:val="009151A4"/>
    <w:rsid w:val="009151A7"/>
    <w:rsid w:val="0091527C"/>
    <w:rsid w:val="009153AB"/>
    <w:rsid w:val="009154CA"/>
    <w:rsid w:val="009155AC"/>
    <w:rsid w:val="009155FD"/>
    <w:rsid w:val="009156AB"/>
    <w:rsid w:val="00915711"/>
    <w:rsid w:val="00915863"/>
    <w:rsid w:val="00915895"/>
    <w:rsid w:val="00915C05"/>
    <w:rsid w:val="00915FC9"/>
    <w:rsid w:val="009161C6"/>
    <w:rsid w:val="0091623E"/>
    <w:rsid w:val="0091625B"/>
    <w:rsid w:val="009162CB"/>
    <w:rsid w:val="0091636F"/>
    <w:rsid w:val="009165E8"/>
    <w:rsid w:val="00916768"/>
    <w:rsid w:val="009167A6"/>
    <w:rsid w:val="0091687D"/>
    <w:rsid w:val="00916924"/>
    <w:rsid w:val="00916AAE"/>
    <w:rsid w:val="00916AB2"/>
    <w:rsid w:val="00916B05"/>
    <w:rsid w:val="00916C65"/>
    <w:rsid w:val="0091702F"/>
    <w:rsid w:val="009170CF"/>
    <w:rsid w:val="00917342"/>
    <w:rsid w:val="00917525"/>
    <w:rsid w:val="0091752B"/>
    <w:rsid w:val="0091761F"/>
    <w:rsid w:val="0091786B"/>
    <w:rsid w:val="00917A4D"/>
    <w:rsid w:val="00917A68"/>
    <w:rsid w:val="00917BDB"/>
    <w:rsid w:val="00917CD5"/>
    <w:rsid w:val="00917CE1"/>
    <w:rsid w:val="00917EC4"/>
    <w:rsid w:val="00917F0A"/>
    <w:rsid w:val="00917FAA"/>
    <w:rsid w:val="009200A8"/>
    <w:rsid w:val="00920159"/>
    <w:rsid w:val="009201A4"/>
    <w:rsid w:val="0092038E"/>
    <w:rsid w:val="0092041F"/>
    <w:rsid w:val="00920564"/>
    <w:rsid w:val="009205B8"/>
    <w:rsid w:val="009206A6"/>
    <w:rsid w:val="009206FF"/>
    <w:rsid w:val="00920889"/>
    <w:rsid w:val="00920945"/>
    <w:rsid w:val="00920B23"/>
    <w:rsid w:val="00920CF1"/>
    <w:rsid w:val="00920D1F"/>
    <w:rsid w:val="00920D37"/>
    <w:rsid w:val="00920DAE"/>
    <w:rsid w:val="00920E56"/>
    <w:rsid w:val="0092115A"/>
    <w:rsid w:val="00921351"/>
    <w:rsid w:val="009215B7"/>
    <w:rsid w:val="009216A4"/>
    <w:rsid w:val="009216D7"/>
    <w:rsid w:val="0092173A"/>
    <w:rsid w:val="00921809"/>
    <w:rsid w:val="009218F7"/>
    <w:rsid w:val="00921906"/>
    <w:rsid w:val="0092195C"/>
    <w:rsid w:val="009219D2"/>
    <w:rsid w:val="00921B68"/>
    <w:rsid w:val="00921C9E"/>
    <w:rsid w:val="00921D3D"/>
    <w:rsid w:val="00921D67"/>
    <w:rsid w:val="00921F85"/>
    <w:rsid w:val="00921FF8"/>
    <w:rsid w:val="009221D8"/>
    <w:rsid w:val="00922242"/>
    <w:rsid w:val="00922266"/>
    <w:rsid w:val="009224E2"/>
    <w:rsid w:val="0092273F"/>
    <w:rsid w:val="00922772"/>
    <w:rsid w:val="009227C7"/>
    <w:rsid w:val="009228A0"/>
    <w:rsid w:val="009228B9"/>
    <w:rsid w:val="00922902"/>
    <w:rsid w:val="009229DE"/>
    <w:rsid w:val="00922D45"/>
    <w:rsid w:val="00922DAB"/>
    <w:rsid w:val="00922DF2"/>
    <w:rsid w:val="00922EA4"/>
    <w:rsid w:val="00922FFF"/>
    <w:rsid w:val="009231E0"/>
    <w:rsid w:val="009232B9"/>
    <w:rsid w:val="009232EC"/>
    <w:rsid w:val="009232F5"/>
    <w:rsid w:val="0092330D"/>
    <w:rsid w:val="009233C5"/>
    <w:rsid w:val="00923576"/>
    <w:rsid w:val="009236CD"/>
    <w:rsid w:val="009237B5"/>
    <w:rsid w:val="00923870"/>
    <w:rsid w:val="009238E5"/>
    <w:rsid w:val="0092399E"/>
    <w:rsid w:val="009239A9"/>
    <w:rsid w:val="00923A6C"/>
    <w:rsid w:val="00923AA8"/>
    <w:rsid w:val="00923D02"/>
    <w:rsid w:val="00923D1C"/>
    <w:rsid w:val="00923D49"/>
    <w:rsid w:val="00923E7F"/>
    <w:rsid w:val="00923E82"/>
    <w:rsid w:val="009240F2"/>
    <w:rsid w:val="0092420C"/>
    <w:rsid w:val="009243E3"/>
    <w:rsid w:val="00924418"/>
    <w:rsid w:val="00924476"/>
    <w:rsid w:val="009245A1"/>
    <w:rsid w:val="00924711"/>
    <w:rsid w:val="00924750"/>
    <w:rsid w:val="009249ED"/>
    <w:rsid w:val="00924CA9"/>
    <w:rsid w:val="00924F67"/>
    <w:rsid w:val="00925016"/>
    <w:rsid w:val="009250E3"/>
    <w:rsid w:val="0092518D"/>
    <w:rsid w:val="0092530C"/>
    <w:rsid w:val="00925522"/>
    <w:rsid w:val="009255C8"/>
    <w:rsid w:val="009255F8"/>
    <w:rsid w:val="00925BC9"/>
    <w:rsid w:val="00925C74"/>
    <w:rsid w:val="00925C7D"/>
    <w:rsid w:val="00925CC5"/>
    <w:rsid w:val="00925D15"/>
    <w:rsid w:val="00925DB1"/>
    <w:rsid w:val="00925DDD"/>
    <w:rsid w:val="00925FC8"/>
    <w:rsid w:val="009260AA"/>
    <w:rsid w:val="00926210"/>
    <w:rsid w:val="009262AB"/>
    <w:rsid w:val="0092631B"/>
    <w:rsid w:val="0092632E"/>
    <w:rsid w:val="00926465"/>
    <w:rsid w:val="0092653C"/>
    <w:rsid w:val="0092659B"/>
    <w:rsid w:val="009265A5"/>
    <w:rsid w:val="00926619"/>
    <w:rsid w:val="00926656"/>
    <w:rsid w:val="009266E2"/>
    <w:rsid w:val="009267AD"/>
    <w:rsid w:val="00926A3F"/>
    <w:rsid w:val="00926A4B"/>
    <w:rsid w:val="00926A9A"/>
    <w:rsid w:val="00926ADF"/>
    <w:rsid w:val="00926B2C"/>
    <w:rsid w:val="00926B70"/>
    <w:rsid w:val="00926CB9"/>
    <w:rsid w:val="00926CEE"/>
    <w:rsid w:val="00926DED"/>
    <w:rsid w:val="00926E98"/>
    <w:rsid w:val="00926FEC"/>
    <w:rsid w:val="009270A9"/>
    <w:rsid w:val="0092772F"/>
    <w:rsid w:val="00927940"/>
    <w:rsid w:val="00927CCC"/>
    <w:rsid w:val="00927D38"/>
    <w:rsid w:val="00927E36"/>
    <w:rsid w:val="00927F21"/>
    <w:rsid w:val="00927F2F"/>
    <w:rsid w:val="009301C6"/>
    <w:rsid w:val="009301CA"/>
    <w:rsid w:val="0093027E"/>
    <w:rsid w:val="0093035C"/>
    <w:rsid w:val="00930435"/>
    <w:rsid w:val="00930459"/>
    <w:rsid w:val="009304E4"/>
    <w:rsid w:val="009305A0"/>
    <w:rsid w:val="00930604"/>
    <w:rsid w:val="009306EC"/>
    <w:rsid w:val="00930705"/>
    <w:rsid w:val="00930708"/>
    <w:rsid w:val="0093073A"/>
    <w:rsid w:val="00930764"/>
    <w:rsid w:val="0093078B"/>
    <w:rsid w:val="00930879"/>
    <w:rsid w:val="009308A0"/>
    <w:rsid w:val="009308E9"/>
    <w:rsid w:val="0093097C"/>
    <w:rsid w:val="009309E7"/>
    <w:rsid w:val="00930A4C"/>
    <w:rsid w:val="00930BE1"/>
    <w:rsid w:val="00930CCC"/>
    <w:rsid w:val="00930D17"/>
    <w:rsid w:val="00930D57"/>
    <w:rsid w:val="00930D5F"/>
    <w:rsid w:val="00930D7F"/>
    <w:rsid w:val="009312F8"/>
    <w:rsid w:val="00931333"/>
    <w:rsid w:val="009313DD"/>
    <w:rsid w:val="00931483"/>
    <w:rsid w:val="0093155B"/>
    <w:rsid w:val="00931566"/>
    <w:rsid w:val="00931698"/>
    <w:rsid w:val="0093182C"/>
    <w:rsid w:val="0093188D"/>
    <w:rsid w:val="009319A0"/>
    <w:rsid w:val="00931A4A"/>
    <w:rsid w:val="00931C72"/>
    <w:rsid w:val="00931D20"/>
    <w:rsid w:val="00931D49"/>
    <w:rsid w:val="00932001"/>
    <w:rsid w:val="009320C1"/>
    <w:rsid w:val="009320EB"/>
    <w:rsid w:val="0093214D"/>
    <w:rsid w:val="009321FF"/>
    <w:rsid w:val="0093221B"/>
    <w:rsid w:val="0093239A"/>
    <w:rsid w:val="009324AE"/>
    <w:rsid w:val="009324C3"/>
    <w:rsid w:val="0093255D"/>
    <w:rsid w:val="00932601"/>
    <w:rsid w:val="0093261F"/>
    <w:rsid w:val="00932709"/>
    <w:rsid w:val="00932BDC"/>
    <w:rsid w:val="00932C26"/>
    <w:rsid w:val="00932D6A"/>
    <w:rsid w:val="00932F41"/>
    <w:rsid w:val="00933021"/>
    <w:rsid w:val="00933166"/>
    <w:rsid w:val="009332BC"/>
    <w:rsid w:val="00933502"/>
    <w:rsid w:val="009335D6"/>
    <w:rsid w:val="00933628"/>
    <w:rsid w:val="0093378F"/>
    <w:rsid w:val="00933814"/>
    <w:rsid w:val="0093388A"/>
    <w:rsid w:val="00933898"/>
    <w:rsid w:val="00933A2B"/>
    <w:rsid w:val="00933BEA"/>
    <w:rsid w:val="00933C3B"/>
    <w:rsid w:val="00933C60"/>
    <w:rsid w:val="00933C6A"/>
    <w:rsid w:val="00933DB3"/>
    <w:rsid w:val="00933DD7"/>
    <w:rsid w:val="00933DD9"/>
    <w:rsid w:val="00933FCD"/>
    <w:rsid w:val="009342B8"/>
    <w:rsid w:val="009343BA"/>
    <w:rsid w:val="0093453B"/>
    <w:rsid w:val="0093464A"/>
    <w:rsid w:val="0093485A"/>
    <w:rsid w:val="009348B9"/>
    <w:rsid w:val="0093499E"/>
    <w:rsid w:val="009349FB"/>
    <w:rsid w:val="00934A08"/>
    <w:rsid w:val="00934B28"/>
    <w:rsid w:val="00934E0F"/>
    <w:rsid w:val="00934F02"/>
    <w:rsid w:val="00934F4F"/>
    <w:rsid w:val="0093500E"/>
    <w:rsid w:val="00935048"/>
    <w:rsid w:val="009350C4"/>
    <w:rsid w:val="00935317"/>
    <w:rsid w:val="00935710"/>
    <w:rsid w:val="009357A5"/>
    <w:rsid w:val="009357AC"/>
    <w:rsid w:val="009357C8"/>
    <w:rsid w:val="009357E2"/>
    <w:rsid w:val="00935852"/>
    <w:rsid w:val="00935B3D"/>
    <w:rsid w:val="00935C71"/>
    <w:rsid w:val="00935D85"/>
    <w:rsid w:val="00935E17"/>
    <w:rsid w:val="0093606E"/>
    <w:rsid w:val="009360FF"/>
    <w:rsid w:val="00936174"/>
    <w:rsid w:val="0093624E"/>
    <w:rsid w:val="00936267"/>
    <w:rsid w:val="009362E4"/>
    <w:rsid w:val="00936542"/>
    <w:rsid w:val="009365AD"/>
    <w:rsid w:val="009365BD"/>
    <w:rsid w:val="009366EB"/>
    <w:rsid w:val="0093680F"/>
    <w:rsid w:val="00936816"/>
    <w:rsid w:val="0093686B"/>
    <w:rsid w:val="0093687A"/>
    <w:rsid w:val="009368C8"/>
    <w:rsid w:val="0093691B"/>
    <w:rsid w:val="00936AE3"/>
    <w:rsid w:val="00936AFB"/>
    <w:rsid w:val="00936C4F"/>
    <w:rsid w:val="00936C68"/>
    <w:rsid w:val="00936CD3"/>
    <w:rsid w:val="00936E68"/>
    <w:rsid w:val="00936EAE"/>
    <w:rsid w:val="00936FA9"/>
    <w:rsid w:val="0093717B"/>
    <w:rsid w:val="00937274"/>
    <w:rsid w:val="009372C3"/>
    <w:rsid w:val="009374C2"/>
    <w:rsid w:val="00937574"/>
    <w:rsid w:val="009375D0"/>
    <w:rsid w:val="009376F6"/>
    <w:rsid w:val="00937747"/>
    <w:rsid w:val="00937779"/>
    <w:rsid w:val="00937840"/>
    <w:rsid w:val="00937A7D"/>
    <w:rsid w:val="00937D59"/>
    <w:rsid w:val="00937E22"/>
    <w:rsid w:val="00937EF5"/>
    <w:rsid w:val="00937EFC"/>
    <w:rsid w:val="00940014"/>
    <w:rsid w:val="00940037"/>
    <w:rsid w:val="00940119"/>
    <w:rsid w:val="00940361"/>
    <w:rsid w:val="00940418"/>
    <w:rsid w:val="0094045C"/>
    <w:rsid w:val="0094050E"/>
    <w:rsid w:val="0094051B"/>
    <w:rsid w:val="009405A6"/>
    <w:rsid w:val="009405D9"/>
    <w:rsid w:val="00940604"/>
    <w:rsid w:val="00940657"/>
    <w:rsid w:val="009407F4"/>
    <w:rsid w:val="0094082F"/>
    <w:rsid w:val="00940A71"/>
    <w:rsid w:val="00940A7C"/>
    <w:rsid w:val="00940CAB"/>
    <w:rsid w:val="00940FF2"/>
    <w:rsid w:val="00941016"/>
    <w:rsid w:val="0094106F"/>
    <w:rsid w:val="00941079"/>
    <w:rsid w:val="009411BF"/>
    <w:rsid w:val="009411E0"/>
    <w:rsid w:val="009412CC"/>
    <w:rsid w:val="0094138A"/>
    <w:rsid w:val="0094139D"/>
    <w:rsid w:val="009413D8"/>
    <w:rsid w:val="0094156D"/>
    <w:rsid w:val="00941743"/>
    <w:rsid w:val="009418BC"/>
    <w:rsid w:val="009418DA"/>
    <w:rsid w:val="00941AB0"/>
    <w:rsid w:val="00941AE4"/>
    <w:rsid w:val="00941E73"/>
    <w:rsid w:val="00941E98"/>
    <w:rsid w:val="00941F1A"/>
    <w:rsid w:val="00941F7B"/>
    <w:rsid w:val="0094210A"/>
    <w:rsid w:val="0094220C"/>
    <w:rsid w:val="00942240"/>
    <w:rsid w:val="00942265"/>
    <w:rsid w:val="009422B8"/>
    <w:rsid w:val="00942504"/>
    <w:rsid w:val="009425E0"/>
    <w:rsid w:val="00942616"/>
    <w:rsid w:val="00942674"/>
    <w:rsid w:val="009426B7"/>
    <w:rsid w:val="009427E7"/>
    <w:rsid w:val="0094292B"/>
    <w:rsid w:val="00942A1C"/>
    <w:rsid w:val="00942A30"/>
    <w:rsid w:val="00942A9D"/>
    <w:rsid w:val="00942B59"/>
    <w:rsid w:val="00942C4C"/>
    <w:rsid w:val="00942CED"/>
    <w:rsid w:val="00942D2E"/>
    <w:rsid w:val="00942DC1"/>
    <w:rsid w:val="00942F73"/>
    <w:rsid w:val="00943013"/>
    <w:rsid w:val="00943060"/>
    <w:rsid w:val="0094338F"/>
    <w:rsid w:val="009433CB"/>
    <w:rsid w:val="00943562"/>
    <w:rsid w:val="0094366C"/>
    <w:rsid w:val="009439D6"/>
    <w:rsid w:val="00943B51"/>
    <w:rsid w:val="00943D25"/>
    <w:rsid w:val="00944036"/>
    <w:rsid w:val="0094417F"/>
    <w:rsid w:val="009441A9"/>
    <w:rsid w:val="009442D5"/>
    <w:rsid w:val="0094439C"/>
    <w:rsid w:val="00944446"/>
    <w:rsid w:val="009444A0"/>
    <w:rsid w:val="009446DF"/>
    <w:rsid w:val="00944727"/>
    <w:rsid w:val="00944A79"/>
    <w:rsid w:val="00944B24"/>
    <w:rsid w:val="00944C31"/>
    <w:rsid w:val="00944C47"/>
    <w:rsid w:val="00944C88"/>
    <w:rsid w:val="00944CAF"/>
    <w:rsid w:val="00944D2B"/>
    <w:rsid w:val="00944DB9"/>
    <w:rsid w:val="00944EE6"/>
    <w:rsid w:val="0094506F"/>
    <w:rsid w:val="009450F7"/>
    <w:rsid w:val="00945173"/>
    <w:rsid w:val="00945286"/>
    <w:rsid w:val="009452EC"/>
    <w:rsid w:val="0094538B"/>
    <w:rsid w:val="00945399"/>
    <w:rsid w:val="00945487"/>
    <w:rsid w:val="00945508"/>
    <w:rsid w:val="00945528"/>
    <w:rsid w:val="00945559"/>
    <w:rsid w:val="00945597"/>
    <w:rsid w:val="009456F9"/>
    <w:rsid w:val="0094584F"/>
    <w:rsid w:val="009459C1"/>
    <w:rsid w:val="00945A6E"/>
    <w:rsid w:val="00945AD5"/>
    <w:rsid w:val="00945BBF"/>
    <w:rsid w:val="00945C70"/>
    <w:rsid w:val="00945D16"/>
    <w:rsid w:val="00945D3D"/>
    <w:rsid w:val="00945D5F"/>
    <w:rsid w:val="00945D8A"/>
    <w:rsid w:val="00945D94"/>
    <w:rsid w:val="00945DA7"/>
    <w:rsid w:val="00945E0A"/>
    <w:rsid w:val="00945E33"/>
    <w:rsid w:val="00945E42"/>
    <w:rsid w:val="00946011"/>
    <w:rsid w:val="00946048"/>
    <w:rsid w:val="00946089"/>
    <w:rsid w:val="009461E5"/>
    <w:rsid w:val="00946266"/>
    <w:rsid w:val="0094630A"/>
    <w:rsid w:val="00946376"/>
    <w:rsid w:val="009463BA"/>
    <w:rsid w:val="009466E5"/>
    <w:rsid w:val="009467CA"/>
    <w:rsid w:val="0094699C"/>
    <w:rsid w:val="00946DE8"/>
    <w:rsid w:val="00946EFA"/>
    <w:rsid w:val="00946FFB"/>
    <w:rsid w:val="00947092"/>
    <w:rsid w:val="0094714E"/>
    <w:rsid w:val="009471C8"/>
    <w:rsid w:val="00947239"/>
    <w:rsid w:val="009472C3"/>
    <w:rsid w:val="0094737A"/>
    <w:rsid w:val="009473D7"/>
    <w:rsid w:val="00947402"/>
    <w:rsid w:val="0094758C"/>
    <w:rsid w:val="0094759E"/>
    <w:rsid w:val="00947631"/>
    <w:rsid w:val="009476E3"/>
    <w:rsid w:val="009477F1"/>
    <w:rsid w:val="0094793D"/>
    <w:rsid w:val="00947A19"/>
    <w:rsid w:val="00947AF8"/>
    <w:rsid w:val="00947B8F"/>
    <w:rsid w:val="00947C03"/>
    <w:rsid w:val="00947C50"/>
    <w:rsid w:val="00947D56"/>
    <w:rsid w:val="00947EA0"/>
    <w:rsid w:val="0095006D"/>
    <w:rsid w:val="00950151"/>
    <w:rsid w:val="0095043D"/>
    <w:rsid w:val="009504B1"/>
    <w:rsid w:val="00950551"/>
    <w:rsid w:val="0095074D"/>
    <w:rsid w:val="009508B3"/>
    <w:rsid w:val="0095094B"/>
    <w:rsid w:val="00950A5A"/>
    <w:rsid w:val="00950BF4"/>
    <w:rsid w:val="00950CA3"/>
    <w:rsid w:val="00950ED6"/>
    <w:rsid w:val="00950F43"/>
    <w:rsid w:val="00951039"/>
    <w:rsid w:val="009510E6"/>
    <w:rsid w:val="009510F5"/>
    <w:rsid w:val="0095122E"/>
    <w:rsid w:val="009515C8"/>
    <w:rsid w:val="009515D1"/>
    <w:rsid w:val="0095166A"/>
    <w:rsid w:val="0095168C"/>
    <w:rsid w:val="0095171F"/>
    <w:rsid w:val="0095174A"/>
    <w:rsid w:val="00951CE0"/>
    <w:rsid w:val="00951DA1"/>
    <w:rsid w:val="00951DF0"/>
    <w:rsid w:val="00951E39"/>
    <w:rsid w:val="00951FA5"/>
    <w:rsid w:val="00951FDE"/>
    <w:rsid w:val="009520A1"/>
    <w:rsid w:val="009520B5"/>
    <w:rsid w:val="009520D0"/>
    <w:rsid w:val="00952114"/>
    <w:rsid w:val="0095211B"/>
    <w:rsid w:val="00952321"/>
    <w:rsid w:val="00952674"/>
    <w:rsid w:val="00952A47"/>
    <w:rsid w:val="00952C24"/>
    <w:rsid w:val="00952CB6"/>
    <w:rsid w:val="00952D32"/>
    <w:rsid w:val="00952DA7"/>
    <w:rsid w:val="00953012"/>
    <w:rsid w:val="0095304E"/>
    <w:rsid w:val="009530F3"/>
    <w:rsid w:val="009531E7"/>
    <w:rsid w:val="0095321C"/>
    <w:rsid w:val="00953365"/>
    <w:rsid w:val="00953476"/>
    <w:rsid w:val="00953535"/>
    <w:rsid w:val="0095378D"/>
    <w:rsid w:val="009538AC"/>
    <w:rsid w:val="00953900"/>
    <w:rsid w:val="00953A1E"/>
    <w:rsid w:val="00953B29"/>
    <w:rsid w:val="00953B96"/>
    <w:rsid w:val="00953C4A"/>
    <w:rsid w:val="00953C62"/>
    <w:rsid w:val="00953C95"/>
    <w:rsid w:val="00953CB3"/>
    <w:rsid w:val="00953EA4"/>
    <w:rsid w:val="00953EF1"/>
    <w:rsid w:val="00953F88"/>
    <w:rsid w:val="00953FF3"/>
    <w:rsid w:val="0095403A"/>
    <w:rsid w:val="009541AA"/>
    <w:rsid w:val="00954245"/>
    <w:rsid w:val="00954564"/>
    <w:rsid w:val="00954577"/>
    <w:rsid w:val="0095461A"/>
    <w:rsid w:val="00954734"/>
    <w:rsid w:val="009548D2"/>
    <w:rsid w:val="009549C0"/>
    <w:rsid w:val="009549DF"/>
    <w:rsid w:val="00954A2C"/>
    <w:rsid w:val="00954AC7"/>
    <w:rsid w:val="00954BAA"/>
    <w:rsid w:val="00954CB6"/>
    <w:rsid w:val="00954D38"/>
    <w:rsid w:val="00954E54"/>
    <w:rsid w:val="00954F88"/>
    <w:rsid w:val="009551BC"/>
    <w:rsid w:val="00955329"/>
    <w:rsid w:val="0095542B"/>
    <w:rsid w:val="009554D8"/>
    <w:rsid w:val="00955510"/>
    <w:rsid w:val="0095555B"/>
    <w:rsid w:val="009555C9"/>
    <w:rsid w:val="009555CF"/>
    <w:rsid w:val="009556C5"/>
    <w:rsid w:val="0095577E"/>
    <w:rsid w:val="00955881"/>
    <w:rsid w:val="00955887"/>
    <w:rsid w:val="0095589F"/>
    <w:rsid w:val="00955918"/>
    <w:rsid w:val="009559B4"/>
    <w:rsid w:val="00955C41"/>
    <w:rsid w:val="00955D60"/>
    <w:rsid w:val="00955D89"/>
    <w:rsid w:val="00955EF6"/>
    <w:rsid w:val="00955F51"/>
    <w:rsid w:val="00955FBA"/>
    <w:rsid w:val="00956321"/>
    <w:rsid w:val="009563CF"/>
    <w:rsid w:val="0095654F"/>
    <w:rsid w:val="00956610"/>
    <w:rsid w:val="00956767"/>
    <w:rsid w:val="00956824"/>
    <w:rsid w:val="00956972"/>
    <w:rsid w:val="00956A67"/>
    <w:rsid w:val="00956B33"/>
    <w:rsid w:val="00956C45"/>
    <w:rsid w:val="00956D94"/>
    <w:rsid w:val="00956DE5"/>
    <w:rsid w:val="00956E16"/>
    <w:rsid w:val="00956E23"/>
    <w:rsid w:val="00956FD3"/>
    <w:rsid w:val="00957040"/>
    <w:rsid w:val="0095707E"/>
    <w:rsid w:val="009570DB"/>
    <w:rsid w:val="00957125"/>
    <w:rsid w:val="00957226"/>
    <w:rsid w:val="0095730F"/>
    <w:rsid w:val="00957422"/>
    <w:rsid w:val="00957423"/>
    <w:rsid w:val="009574A8"/>
    <w:rsid w:val="0095773D"/>
    <w:rsid w:val="009579A4"/>
    <w:rsid w:val="009579BE"/>
    <w:rsid w:val="00957B1A"/>
    <w:rsid w:val="00957D17"/>
    <w:rsid w:val="00957D24"/>
    <w:rsid w:val="00957D8E"/>
    <w:rsid w:val="00957DA4"/>
    <w:rsid w:val="00957EE3"/>
    <w:rsid w:val="00957F83"/>
    <w:rsid w:val="00957FF8"/>
    <w:rsid w:val="00960108"/>
    <w:rsid w:val="00960384"/>
    <w:rsid w:val="00960616"/>
    <w:rsid w:val="009608D7"/>
    <w:rsid w:val="0096094F"/>
    <w:rsid w:val="00960AAB"/>
    <w:rsid w:val="00960B96"/>
    <w:rsid w:val="00960BA0"/>
    <w:rsid w:val="00960E37"/>
    <w:rsid w:val="00960FF6"/>
    <w:rsid w:val="00961033"/>
    <w:rsid w:val="00961078"/>
    <w:rsid w:val="009610D7"/>
    <w:rsid w:val="009610E7"/>
    <w:rsid w:val="0096110E"/>
    <w:rsid w:val="0096135D"/>
    <w:rsid w:val="00961447"/>
    <w:rsid w:val="00961464"/>
    <w:rsid w:val="00961582"/>
    <w:rsid w:val="009616C0"/>
    <w:rsid w:val="00961805"/>
    <w:rsid w:val="00961884"/>
    <w:rsid w:val="0096198D"/>
    <w:rsid w:val="00961CA0"/>
    <w:rsid w:val="00961DC3"/>
    <w:rsid w:val="00961ED3"/>
    <w:rsid w:val="00961FE2"/>
    <w:rsid w:val="0096203B"/>
    <w:rsid w:val="009620B5"/>
    <w:rsid w:val="009620CB"/>
    <w:rsid w:val="00962146"/>
    <w:rsid w:val="009621D6"/>
    <w:rsid w:val="009621DF"/>
    <w:rsid w:val="00962306"/>
    <w:rsid w:val="00962381"/>
    <w:rsid w:val="009626B1"/>
    <w:rsid w:val="00962707"/>
    <w:rsid w:val="00962784"/>
    <w:rsid w:val="00962802"/>
    <w:rsid w:val="00962A81"/>
    <w:rsid w:val="00962AC7"/>
    <w:rsid w:val="00962AFD"/>
    <w:rsid w:val="00962BCE"/>
    <w:rsid w:val="00962CAD"/>
    <w:rsid w:val="00962DC2"/>
    <w:rsid w:val="00962EFD"/>
    <w:rsid w:val="00962FED"/>
    <w:rsid w:val="0096303F"/>
    <w:rsid w:val="009630A1"/>
    <w:rsid w:val="009630C2"/>
    <w:rsid w:val="009631C4"/>
    <w:rsid w:val="00963225"/>
    <w:rsid w:val="00963720"/>
    <w:rsid w:val="0096372B"/>
    <w:rsid w:val="00963BCA"/>
    <w:rsid w:val="00963D75"/>
    <w:rsid w:val="00963E38"/>
    <w:rsid w:val="00963E6E"/>
    <w:rsid w:val="00963FEC"/>
    <w:rsid w:val="00963FFE"/>
    <w:rsid w:val="0096438A"/>
    <w:rsid w:val="00964750"/>
    <w:rsid w:val="00964BAA"/>
    <w:rsid w:val="00964D3B"/>
    <w:rsid w:val="00964DF2"/>
    <w:rsid w:val="00964E36"/>
    <w:rsid w:val="00964ED1"/>
    <w:rsid w:val="00964EFA"/>
    <w:rsid w:val="0096502F"/>
    <w:rsid w:val="0096511E"/>
    <w:rsid w:val="00965163"/>
    <w:rsid w:val="00965201"/>
    <w:rsid w:val="009652EE"/>
    <w:rsid w:val="00965346"/>
    <w:rsid w:val="00965366"/>
    <w:rsid w:val="00965404"/>
    <w:rsid w:val="00965474"/>
    <w:rsid w:val="0096552F"/>
    <w:rsid w:val="0096572E"/>
    <w:rsid w:val="0096573D"/>
    <w:rsid w:val="0096575A"/>
    <w:rsid w:val="0096591C"/>
    <w:rsid w:val="00965A34"/>
    <w:rsid w:val="00965BB8"/>
    <w:rsid w:val="00965C21"/>
    <w:rsid w:val="00965DAC"/>
    <w:rsid w:val="00965F80"/>
    <w:rsid w:val="0096606B"/>
    <w:rsid w:val="009660AF"/>
    <w:rsid w:val="009661B4"/>
    <w:rsid w:val="009663EF"/>
    <w:rsid w:val="00966422"/>
    <w:rsid w:val="0096645C"/>
    <w:rsid w:val="00966660"/>
    <w:rsid w:val="00966662"/>
    <w:rsid w:val="0096671E"/>
    <w:rsid w:val="0096672C"/>
    <w:rsid w:val="009668F8"/>
    <w:rsid w:val="009669DE"/>
    <w:rsid w:val="00966A73"/>
    <w:rsid w:val="00966C95"/>
    <w:rsid w:val="00966DA4"/>
    <w:rsid w:val="00966E4C"/>
    <w:rsid w:val="00966E6F"/>
    <w:rsid w:val="009670D8"/>
    <w:rsid w:val="00967145"/>
    <w:rsid w:val="00967167"/>
    <w:rsid w:val="009671AD"/>
    <w:rsid w:val="009672EC"/>
    <w:rsid w:val="009672FE"/>
    <w:rsid w:val="00967357"/>
    <w:rsid w:val="0096763F"/>
    <w:rsid w:val="00967799"/>
    <w:rsid w:val="00967800"/>
    <w:rsid w:val="00967862"/>
    <w:rsid w:val="00967A5F"/>
    <w:rsid w:val="00967A88"/>
    <w:rsid w:val="00967AC4"/>
    <w:rsid w:val="00967B84"/>
    <w:rsid w:val="00967CD0"/>
    <w:rsid w:val="00967E5F"/>
    <w:rsid w:val="0097019C"/>
    <w:rsid w:val="009701B5"/>
    <w:rsid w:val="00970360"/>
    <w:rsid w:val="0097049E"/>
    <w:rsid w:val="0097061C"/>
    <w:rsid w:val="00970726"/>
    <w:rsid w:val="0097075A"/>
    <w:rsid w:val="009707C1"/>
    <w:rsid w:val="00970823"/>
    <w:rsid w:val="009708A8"/>
    <w:rsid w:val="009708B9"/>
    <w:rsid w:val="00970A04"/>
    <w:rsid w:val="00970AAD"/>
    <w:rsid w:val="00970C5D"/>
    <w:rsid w:val="00970D33"/>
    <w:rsid w:val="00970DF2"/>
    <w:rsid w:val="00970DF8"/>
    <w:rsid w:val="00970EA6"/>
    <w:rsid w:val="00970F5E"/>
    <w:rsid w:val="009710C3"/>
    <w:rsid w:val="0097120F"/>
    <w:rsid w:val="0097130B"/>
    <w:rsid w:val="00971330"/>
    <w:rsid w:val="0097145C"/>
    <w:rsid w:val="009714D8"/>
    <w:rsid w:val="00971548"/>
    <w:rsid w:val="009716C6"/>
    <w:rsid w:val="009717B0"/>
    <w:rsid w:val="00971A73"/>
    <w:rsid w:val="00971AB6"/>
    <w:rsid w:val="00971CA1"/>
    <w:rsid w:val="00971D14"/>
    <w:rsid w:val="00971D68"/>
    <w:rsid w:val="00971FFB"/>
    <w:rsid w:val="00972013"/>
    <w:rsid w:val="009720D2"/>
    <w:rsid w:val="009721D5"/>
    <w:rsid w:val="00972342"/>
    <w:rsid w:val="00972614"/>
    <w:rsid w:val="0097279A"/>
    <w:rsid w:val="00972878"/>
    <w:rsid w:val="00972B10"/>
    <w:rsid w:val="00972B65"/>
    <w:rsid w:val="00972C38"/>
    <w:rsid w:val="00972C64"/>
    <w:rsid w:val="00972CEC"/>
    <w:rsid w:val="00972D8C"/>
    <w:rsid w:val="00972DA1"/>
    <w:rsid w:val="00972DD1"/>
    <w:rsid w:val="00972FE1"/>
    <w:rsid w:val="00973074"/>
    <w:rsid w:val="009730E8"/>
    <w:rsid w:val="009731FF"/>
    <w:rsid w:val="009732F2"/>
    <w:rsid w:val="009733C1"/>
    <w:rsid w:val="009735FA"/>
    <w:rsid w:val="009736BB"/>
    <w:rsid w:val="009737C7"/>
    <w:rsid w:val="00973934"/>
    <w:rsid w:val="00973B2A"/>
    <w:rsid w:val="00973BB8"/>
    <w:rsid w:val="00973D24"/>
    <w:rsid w:val="00973FF0"/>
    <w:rsid w:val="0097408A"/>
    <w:rsid w:val="009740C2"/>
    <w:rsid w:val="00974513"/>
    <w:rsid w:val="00974565"/>
    <w:rsid w:val="00974582"/>
    <w:rsid w:val="009746A8"/>
    <w:rsid w:val="00974762"/>
    <w:rsid w:val="00974860"/>
    <w:rsid w:val="009748E8"/>
    <w:rsid w:val="00974AF2"/>
    <w:rsid w:val="00974B1B"/>
    <w:rsid w:val="00974C72"/>
    <w:rsid w:val="00974D32"/>
    <w:rsid w:val="00974DD0"/>
    <w:rsid w:val="00974DF7"/>
    <w:rsid w:val="00974EE1"/>
    <w:rsid w:val="00974F00"/>
    <w:rsid w:val="00974F15"/>
    <w:rsid w:val="00974FC3"/>
    <w:rsid w:val="00975012"/>
    <w:rsid w:val="009750C2"/>
    <w:rsid w:val="009751E0"/>
    <w:rsid w:val="0097539D"/>
    <w:rsid w:val="00975540"/>
    <w:rsid w:val="0097555C"/>
    <w:rsid w:val="009755DD"/>
    <w:rsid w:val="009755E1"/>
    <w:rsid w:val="00975660"/>
    <w:rsid w:val="0097566B"/>
    <w:rsid w:val="009756D1"/>
    <w:rsid w:val="009758A4"/>
    <w:rsid w:val="00975924"/>
    <w:rsid w:val="009759AB"/>
    <w:rsid w:val="009759E4"/>
    <w:rsid w:val="00975A11"/>
    <w:rsid w:val="00975CD0"/>
    <w:rsid w:val="00975CE2"/>
    <w:rsid w:val="00975D40"/>
    <w:rsid w:val="00975D96"/>
    <w:rsid w:val="00975F46"/>
    <w:rsid w:val="00975F9A"/>
    <w:rsid w:val="00976148"/>
    <w:rsid w:val="009761D9"/>
    <w:rsid w:val="00976311"/>
    <w:rsid w:val="00976367"/>
    <w:rsid w:val="00976477"/>
    <w:rsid w:val="00976673"/>
    <w:rsid w:val="009766EF"/>
    <w:rsid w:val="00976760"/>
    <w:rsid w:val="00976933"/>
    <w:rsid w:val="009769E2"/>
    <w:rsid w:val="00976AA2"/>
    <w:rsid w:val="00976B4D"/>
    <w:rsid w:val="00976B65"/>
    <w:rsid w:val="00976CAA"/>
    <w:rsid w:val="00976CD7"/>
    <w:rsid w:val="00976EED"/>
    <w:rsid w:val="00977207"/>
    <w:rsid w:val="00977231"/>
    <w:rsid w:val="0097731D"/>
    <w:rsid w:val="009775BD"/>
    <w:rsid w:val="00977609"/>
    <w:rsid w:val="00977848"/>
    <w:rsid w:val="009778DB"/>
    <w:rsid w:val="009778EE"/>
    <w:rsid w:val="00977C9D"/>
    <w:rsid w:val="00977DCC"/>
    <w:rsid w:val="00977EF2"/>
    <w:rsid w:val="00977F77"/>
    <w:rsid w:val="00977F9B"/>
    <w:rsid w:val="0098000F"/>
    <w:rsid w:val="00980084"/>
    <w:rsid w:val="00980184"/>
    <w:rsid w:val="00980196"/>
    <w:rsid w:val="009801B7"/>
    <w:rsid w:val="00980298"/>
    <w:rsid w:val="009802AE"/>
    <w:rsid w:val="0098032D"/>
    <w:rsid w:val="00980452"/>
    <w:rsid w:val="009804B6"/>
    <w:rsid w:val="009804F3"/>
    <w:rsid w:val="0098062E"/>
    <w:rsid w:val="00980796"/>
    <w:rsid w:val="009807C3"/>
    <w:rsid w:val="00980868"/>
    <w:rsid w:val="00980962"/>
    <w:rsid w:val="009809D6"/>
    <w:rsid w:val="00980A30"/>
    <w:rsid w:val="00980A4B"/>
    <w:rsid w:val="00980A6A"/>
    <w:rsid w:val="00980B2B"/>
    <w:rsid w:val="00980BF8"/>
    <w:rsid w:val="00980C08"/>
    <w:rsid w:val="00980C5F"/>
    <w:rsid w:val="00980CA3"/>
    <w:rsid w:val="00980DA9"/>
    <w:rsid w:val="00980E82"/>
    <w:rsid w:val="00980F26"/>
    <w:rsid w:val="00980F95"/>
    <w:rsid w:val="00981088"/>
    <w:rsid w:val="00981103"/>
    <w:rsid w:val="00981175"/>
    <w:rsid w:val="00981324"/>
    <w:rsid w:val="009813DF"/>
    <w:rsid w:val="009813E9"/>
    <w:rsid w:val="00981405"/>
    <w:rsid w:val="0098151E"/>
    <w:rsid w:val="009817B8"/>
    <w:rsid w:val="0098182C"/>
    <w:rsid w:val="0098198B"/>
    <w:rsid w:val="009819C2"/>
    <w:rsid w:val="00981AC5"/>
    <w:rsid w:val="00981BB9"/>
    <w:rsid w:val="00981E7E"/>
    <w:rsid w:val="00981EFF"/>
    <w:rsid w:val="009821D9"/>
    <w:rsid w:val="0098223D"/>
    <w:rsid w:val="009824C3"/>
    <w:rsid w:val="00982612"/>
    <w:rsid w:val="0098280C"/>
    <w:rsid w:val="00982988"/>
    <w:rsid w:val="009829BB"/>
    <w:rsid w:val="00982AF5"/>
    <w:rsid w:val="00982B30"/>
    <w:rsid w:val="00982BEE"/>
    <w:rsid w:val="00982DE5"/>
    <w:rsid w:val="00982EF3"/>
    <w:rsid w:val="00982F10"/>
    <w:rsid w:val="00982FA9"/>
    <w:rsid w:val="00983117"/>
    <w:rsid w:val="00983262"/>
    <w:rsid w:val="009832DA"/>
    <w:rsid w:val="00983715"/>
    <w:rsid w:val="00983724"/>
    <w:rsid w:val="009837BD"/>
    <w:rsid w:val="009837EA"/>
    <w:rsid w:val="00983842"/>
    <w:rsid w:val="0098385C"/>
    <w:rsid w:val="009838C7"/>
    <w:rsid w:val="009839AF"/>
    <w:rsid w:val="00983B1D"/>
    <w:rsid w:val="00983BCA"/>
    <w:rsid w:val="00983BEF"/>
    <w:rsid w:val="00983C15"/>
    <w:rsid w:val="00983C1A"/>
    <w:rsid w:val="00983CFA"/>
    <w:rsid w:val="00983D79"/>
    <w:rsid w:val="00983EA2"/>
    <w:rsid w:val="009840ED"/>
    <w:rsid w:val="00984156"/>
    <w:rsid w:val="00984170"/>
    <w:rsid w:val="0098423C"/>
    <w:rsid w:val="00984277"/>
    <w:rsid w:val="009842EE"/>
    <w:rsid w:val="00984659"/>
    <w:rsid w:val="00984671"/>
    <w:rsid w:val="009846BD"/>
    <w:rsid w:val="00984713"/>
    <w:rsid w:val="009847E7"/>
    <w:rsid w:val="0098484A"/>
    <w:rsid w:val="009848C9"/>
    <w:rsid w:val="00984964"/>
    <w:rsid w:val="009849B6"/>
    <w:rsid w:val="00984AD1"/>
    <w:rsid w:val="00984DC3"/>
    <w:rsid w:val="00985166"/>
    <w:rsid w:val="009851A9"/>
    <w:rsid w:val="009851AA"/>
    <w:rsid w:val="009852B1"/>
    <w:rsid w:val="0098530A"/>
    <w:rsid w:val="009853E6"/>
    <w:rsid w:val="00985469"/>
    <w:rsid w:val="009854CA"/>
    <w:rsid w:val="00985585"/>
    <w:rsid w:val="009855C3"/>
    <w:rsid w:val="00985916"/>
    <w:rsid w:val="009859E1"/>
    <w:rsid w:val="00985A35"/>
    <w:rsid w:val="00985A68"/>
    <w:rsid w:val="00985A8C"/>
    <w:rsid w:val="00985B9F"/>
    <w:rsid w:val="00985C18"/>
    <w:rsid w:val="00985C6A"/>
    <w:rsid w:val="00985F66"/>
    <w:rsid w:val="00986013"/>
    <w:rsid w:val="009864A2"/>
    <w:rsid w:val="0098661A"/>
    <w:rsid w:val="00986657"/>
    <w:rsid w:val="00986846"/>
    <w:rsid w:val="009868EE"/>
    <w:rsid w:val="00986A9F"/>
    <w:rsid w:val="00986AEA"/>
    <w:rsid w:val="00986C93"/>
    <w:rsid w:val="00986DB0"/>
    <w:rsid w:val="00986DDE"/>
    <w:rsid w:val="00986DFB"/>
    <w:rsid w:val="00986E1B"/>
    <w:rsid w:val="00986E67"/>
    <w:rsid w:val="00986E84"/>
    <w:rsid w:val="00986F21"/>
    <w:rsid w:val="00986F88"/>
    <w:rsid w:val="009870A8"/>
    <w:rsid w:val="009870CB"/>
    <w:rsid w:val="0098718A"/>
    <w:rsid w:val="009871E3"/>
    <w:rsid w:val="00987397"/>
    <w:rsid w:val="009873B2"/>
    <w:rsid w:val="0098745F"/>
    <w:rsid w:val="009874D0"/>
    <w:rsid w:val="0098767F"/>
    <w:rsid w:val="009877DD"/>
    <w:rsid w:val="009879F3"/>
    <w:rsid w:val="00987AAA"/>
    <w:rsid w:val="00987BAC"/>
    <w:rsid w:val="00987CBE"/>
    <w:rsid w:val="00987CF1"/>
    <w:rsid w:val="00987D50"/>
    <w:rsid w:val="00987D69"/>
    <w:rsid w:val="00987EF0"/>
    <w:rsid w:val="00987F41"/>
    <w:rsid w:val="0099010A"/>
    <w:rsid w:val="0099018E"/>
    <w:rsid w:val="009902F9"/>
    <w:rsid w:val="00990423"/>
    <w:rsid w:val="00990634"/>
    <w:rsid w:val="0099067A"/>
    <w:rsid w:val="0099083A"/>
    <w:rsid w:val="00990845"/>
    <w:rsid w:val="00990A5A"/>
    <w:rsid w:val="00990A8C"/>
    <w:rsid w:val="00990BCC"/>
    <w:rsid w:val="00990C61"/>
    <w:rsid w:val="00990CF8"/>
    <w:rsid w:val="00990D58"/>
    <w:rsid w:val="00990D5C"/>
    <w:rsid w:val="00990E26"/>
    <w:rsid w:val="00990ED1"/>
    <w:rsid w:val="00990EED"/>
    <w:rsid w:val="00990F0A"/>
    <w:rsid w:val="00990F1A"/>
    <w:rsid w:val="00990F68"/>
    <w:rsid w:val="0099126E"/>
    <w:rsid w:val="009912C7"/>
    <w:rsid w:val="00991331"/>
    <w:rsid w:val="00991450"/>
    <w:rsid w:val="00991519"/>
    <w:rsid w:val="009916BC"/>
    <w:rsid w:val="009919A0"/>
    <w:rsid w:val="00991C7B"/>
    <w:rsid w:val="00991DD4"/>
    <w:rsid w:val="00991E07"/>
    <w:rsid w:val="00991E6C"/>
    <w:rsid w:val="00991ECD"/>
    <w:rsid w:val="00992053"/>
    <w:rsid w:val="009921B9"/>
    <w:rsid w:val="009921EA"/>
    <w:rsid w:val="00992236"/>
    <w:rsid w:val="009922DC"/>
    <w:rsid w:val="009922F1"/>
    <w:rsid w:val="00992351"/>
    <w:rsid w:val="00992362"/>
    <w:rsid w:val="00992495"/>
    <w:rsid w:val="0099259A"/>
    <w:rsid w:val="009925E3"/>
    <w:rsid w:val="00992714"/>
    <w:rsid w:val="0099290F"/>
    <w:rsid w:val="00992B14"/>
    <w:rsid w:val="00992BDB"/>
    <w:rsid w:val="00992C78"/>
    <w:rsid w:val="00992CDB"/>
    <w:rsid w:val="00992D09"/>
    <w:rsid w:val="00992D9E"/>
    <w:rsid w:val="00992E11"/>
    <w:rsid w:val="00992F52"/>
    <w:rsid w:val="00992FA3"/>
    <w:rsid w:val="0099308D"/>
    <w:rsid w:val="0099324D"/>
    <w:rsid w:val="009933D2"/>
    <w:rsid w:val="009934AE"/>
    <w:rsid w:val="009936C2"/>
    <w:rsid w:val="0099377E"/>
    <w:rsid w:val="00993851"/>
    <w:rsid w:val="009938D4"/>
    <w:rsid w:val="0099392C"/>
    <w:rsid w:val="00993A2D"/>
    <w:rsid w:val="00993A4B"/>
    <w:rsid w:val="00993B75"/>
    <w:rsid w:val="00993DA2"/>
    <w:rsid w:val="00993E78"/>
    <w:rsid w:val="00993EB6"/>
    <w:rsid w:val="00994001"/>
    <w:rsid w:val="00994093"/>
    <w:rsid w:val="009940DE"/>
    <w:rsid w:val="00994113"/>
    <w:rsid w:val="0099412E"/>
    <w:rsid w:val="00994164"/>
    <w:rsid w:val="0099426B"/>
    <w:rsid w:val="00994359"/>
    <w:rsid w:val="00994420"/>
    <w:rsid w:val="009944B1"/>
    <w:rsid w:val="00994511"/>
    <w:rsid w:val="00994541"/>
    <w:rsid w:val="009945BE"/>
    <w:rsid w:val="009945C4"/>
    <w:rsid w:val="009945DA"/>
    <w:rsid w:val="00994625"/>
    <w:rsid w:val="0099465B"/>
    <w:rsid w:val="0099469F"/>
    <w:rsid w:val="009946E2"/>
    <w:rsid w:val="0099475B"/>
    <w:rsid w:val="009947AA"/>
    <w:rsid w:val="00994834"/>
    <w:rsid w:val="00994B1B"/>
    <w:rsid w:val="00994DB3"/>
    <w:rsid w:val="00994E39"/>
    <w:rsid w:val="00994E4A"/>
    <w:rsid w:val="00995079"/>
    <w:rsid w:val="0099514A"/>
    <w:rsid w:val="009951BC"/>
    <w:rsid w:val="0099529B"/>
    <w:rsid w:val="00995303"/>
    <w:rsid w:val="00995406"/>
    <w:rsid w:val="009954EA"/>
    <w:rsid w:val="0099553F"/>
    <w:rsid w:val="009955D1"/>
    <w:rsid w:val="0099566A"/>
    <w:rsid w:val="009956F9"/>
    <w:rsid w:val="009957A8"/>
    <w:rsid w:val="009958D4"/>
    <w:rsid w:val="00995B69"/>
    <w:rsid w:val="00995CAE"/>
    <w:rsid w:val="00995D99"/>
    <w:rsid w:val="00995E95"/>
    <w:rsid w:val="00995F84"/>
    <w:rsid w:val="00995FC0"/>
    <w:rsid w:val="00996070"/>
    <w:rsid w:val="00996107"/>
    <w:rsid w:val="0099610C"/>
    <w:rsid w:val="009963A4"/>
    <w:rsid w:val="009963E9"/>
    <w:rsid w:val="009963EE"/>
    <w:rsid w:val="009964AD"/>
    <w:rsid w:val="009965AB"/>
    <w:rsid w:val="0099663C"/>
    <w:rsid w:val="00996668"/>
    <w:rsid w:val="00996761"/>
    <w:rsid w:val="00996873"/>
    <w:rsid w:val="009968AC"/>
    <w:rsid w:val="00996B6F"/>
    <w:rsid w:val="00996C6B"/>
    <w:rsid w:val="00996CC3"/>
    <w:rsid w:val="00996CF7"/>
    <w:rsid w:val="00996D96"/>
    <w:rsid w:val="00996DF3"/>
    <w:rsid w:val="00996EAF"/>
    <w:rsid w:val="00996F36"/>
    <w:rsid w:val="00997003"/>
    <w:rsid w:val="009970BB"/>
    <w:rsid w:val="00997112"/>
    <w:rsid w:val="00997168"/>
    <w:rsid w:val="0099718A"/>
    <w:rsid w:val="00997244"/>
    <w:rsid w:val="00997264"/>
    <w:rsid w:val="009973BA"/>
    <w:rsid w:val="009973F7"/>
    <w:rsid w:val="00997479"/>
    <w:rsid w:val="009974F5"/>
    <w:rsid w:val="00997591"/>
    <w:rsid w:val="0099764A"/>
    <w:rsid w:val="009976A7"/>
    <w:rsid w:val="009976B2"/>
    <w:rsid w:val="00997715"/>
    <w:rsid w:val="00997716"/>
    <w:rsid w:val="0099776B"/>
    <w:rsid w:val="009977A1"/>
    <w:rsid w:val="009978B2"/>
    <w:rsid w:val="00997A33"/>
    <w:rsid w:val="00997B26"/>
    <w:rsid w:val="00997C71"/>
    <w:rsid w:val="00997CD3"/>
    <w:rsid w:val="00997E0F"/>
    <w:rsid w:val="009A0114"/>
    <w:rsid w:val="009A0184"/>
    <w:rsid w:val="009A02B9"/>
    <w:rsid w:val="009A0350"/>
    <w:rsid w:val="009A08A0"/>
    <w:rsid w:val="009A08CB"/>
    <w:rsid w:val="009A095B"/>
    <w:rsid w:val="009A09B7"/>
    <w:rsid w:val="009A0AA1"/>
    <w:rsid w:val="009A0BDF"/>
    <w:rsid w:val="009A0CBA"/>
    <w:rsid w:val="009A0CC4"/>
    <w:rsid w:val="009A0F22"/>
    <w:rsid w:val="009A0F95"/>
    <w:rsid w:val="009A10BF"/>
    <w:rsid w:val="009A111E"/>
    <w:rsid w:val="009A12F9"/>
    <w:rsid w:val="009A140F"/>
    <w:rsid w:val="009A1478"/>
    <w:rsid w:val="009A1513"/>
    <w:rsid w:val="009A153C"/>
    <w:rsid w:val="009A155C"/>
    <w:rsid w:val="009A1608"/>
    <w:rsid w:val="009A16E2"/>
    <w:rsid w:val="009A16E5"/>
    <w:rsid w:val="009A1728"/>
    <w:rsid w:val="009A1758"/>
    <w:rsid w:val="009A17A4"/>
    <w:rsid w:val="009A17D0"/>
    <w:rsid w:val="009A1822"/>
    <w:rsid w:val="009A18BD"/>
    <w:rsid w:val="009A18EB"/>
    <w:rsid w:val="009A1A38"/>
    <w:rsid w:val="009A1AD0"/>
    <w:rsid w:val="009A1B6B"/>
    <w:rsid w:val="009A1C39"/>
    <w:rsid w:val="009A1D0A"/>
    <w:rsid w:val="009A1D89"/>
    <w:rsid w:val="009A1DB1"/>
    <w:rsid w:val="009A212F"/>
    <w:rsid w:val="009A2198"/>
    <w:rsid w:val="009A2239"/>
    <w:rsid w:val="009A225A"/>
    <w:rsid w:val="009A23A6"/>
    <w:rsid w:val="009A23E6"/>
    <w:rsid w:val="009A24A2"/>
    <w:rsid w:val="009A2585"/>
    <w:rsid w:val="009A26C3"/>
    <w:rsid w:val="009A26E9"/>
    <w:rsid w:val="009A271B"/>
    <w:rsid w:val="009A276E"/>
    <w:rsid w:val="009A28E1"/>
    <w:rsid w:val="009A294D"/>
    <w:rsid w:val="009A29BD"/>
    <w:rsid w:val="009A2A7A"/>
    <w:rsid w:val="009A2B4F"/>
    <w:rsid w:val="009A2BB5"/>
    <w:rsid w:val="009A2D8B"/>
    <w:rsid w:val="009A3002"/>
    <w:rsid w:val="009A3015"/>
    <w:rsid w:val="009A303A"/>
    <w:rsid w:val="009A30EA"/>
    <w:rsid w:val="009A3203"/>
    <w:rsid w:val="009A33F8"/>
    <w:rsid w:val="009A33FD"/>
    <w:rsid w:val="009A34E3"/>
    <w:rsid w:val="009A35EB"/>
    <w:rsid w:val="009A3654"/>
    <w:rsid w:val="009A36B0"/>
    <w:rsid w:val="009A3781"/>
    <w:rsid w:val="009A3A6C"/>
    <w:rsid w:val="009A3C4C"/>
    <w:rsid w:val="009A3E53"/>
    <w:rsid w:val="009A3E59"/>
    <w:rsid w:val="009A3F97"/>
    <w:rsid w:val="009A41AC"/>
    <w:rsid w:val="009A4256"/>
    <w:rsid w:val="009A42FD"/>
    <w:rsid w:val="009A43E7"/>
    <w:rsid w:val="009A44D8"/>
    <w:rsid w:val="009A4558"/>
    <w:rsid w:val="009A4579"/>
    <w:rsid w:val="009A45FD"/>
    <w:rsid w:val="009A463C"/>
    <w:rsid w:val="009A46AB"/>
    <w:rsid w:val="009A4739"/>
    <w:rsid w:val="009A482C"/>
    <w:rsid w:val="009A490A"/>
    <w:rsid w:val="009A4A00"/>
    <w:rsid w:val="009A4A4A"/>
    <w:rsid w:val="009A4B18"/>
    <w:rsid w:val="009A4B80"/>
    <w:rsid w:val="009A4BD6"/>
    <w:rsid w:val="009A4D4D"/>
    <w:rsid w:val="009A4F95"/>
    <w:rsid w:val="009A51EE"/>
    <w:rsid w:val="009A51F0"/>
    <w:rsid w:val="009A52D0"/>
    <w:rsid w:val="009A53E4"/>
    <w:rsid w:val="009A54D3"/>
    <w:rsid w:val="009A5511"/>
    <w:rsid w:val="009A5543"/>
    <w:rsid w:val="009A559A"/>
    <w:rsid w:val="009A571D"/>
    <w:rsid w:val="009A5793"/>
    <w:rsid w:val="009A58D4"/>
    <w:rsid w:val="009A5BCA"/>
    <w:rsid w:val="009A5D3F"/>
    <w:rsid w:val="009A5D7F"/>
    <w:rsid w:val="009A5E5E"/>
    <w:rsid w:val="009A5F3F"/>
    <w:rsid w:val="009A5F5E"/>
    <w:rsid w:val="009A60B5"/>
    <w:rsid w:val="009A6119"/>
    <w:rsid w:val="009A6234"/>
    <w:rsid w:val="009A631D"/>
    <w:rsid w:val="009A63F5"/>
    <w:rsid w:val="009A644D"/>
    <w:rsid w:val="009A64E0"/>
    <w:rsid w:val="009A6530"/>
    <w:rsid w:val="009A684B"/>
    <w:rsid w:val="009A6899"/>
    <w:rsid w:val="009A6930"/>
    <w:rsid w:val="009A69A4"/>
    <w:rsid w:val="009A6AC2"/>
    <w:rsid w:val="009A6B0B"/>
    <w:rsid w:val="009A6B24"/>
    <w:rsid w:val="009A6C6F"/>
    <w:rsid w:val="009A6D62"/>
    <w:rsid w:val="009A6E36"/>
    <w:rsid w:val="009A6E56"/>
    <w:rsid w:val="009A6E59"/>
    <w:rsid w:val="009A6E95"/>
    <w:rsid w:val="009A6FAC"/>
    <w:rsid w:val="009A71D8"/>
    <w:rsid w:val="009A7237"/>
    <w:rsid w:val="009A73FE"/>
    <w:rsid w:val="009A74C7"/>
    <w:rsid w:val="009A7677"/>
    <w:rsid w:val="009A76A4"/>
    <w:rsid w:val="009A76FC"/>
    <w:rsid w:val="009A775F"/>
    <w:rsid w:val="009A783E"/>
    <w:rsid w:val="009A78F3"/>
    <w:rsid w:val="009A794F"/>
    <w:rsid w:val="009A79F9"/>
    <w:rsid w:val="009A7BBF"/>
    <w:rsid w:val="009A7BCA"/>
    <w:rsid w:val="009A7CA1"/>
    <w:rsid w:val="009A7D9B"/>
    <w:rsid w:val="009A7F24"/>
    <w:rsid w:val="009B0029"/>
    <w:rsid w:val="009B014B"/>
    <w:rsid w:val="009B01DD"/>
    <w:rsid w:val="009B030A"/>
    <w:rsid w:val="009B047D"/>
    <w:rsid w:val="009B060D"/>
    <w:rsid w:val="009B06C6"/>
    <w:rsid w:val="009B0861"/>
    <w:rsid w:val="009B089F"/>
    <w:rsid w:val="009B0964"/>
    <w:rsid w:val="009B096A"/>
    <w:rsid w:val="009B09F7"/>
    <w:rsid w:val="009B0A95"/>
    <w:rsid w:val="009B0C61"/>
    <w:rsid w:val="009B0F5E"/>
    <w:rsid w:val="009B0FCD"/>
    <w:rsid w:val="009B1228"/>
    <w:rsid w:val="009B1378"/>
    <w:rsid w:val="009B140D"/>
    <w:rsid w:val="009B1427"/>
    <w:rsid w:val="009B1509"/>
    <w:rsid w:val="009B1667"/>
    <w:rsid w:val="009B166C"/>
    <w:rsid w:val="009B1770"/>
    <w:rsid w:val="009B1804"/>
    <w:rsid w:val="009B18AB"/>
    <w:rsid w:val="009B1B1B"/>
    <w:rsid w:val="009B1B95"/>
    <w:rsid w:val="009B1BC4"/>
    <w:rsid w:val="009B1BF1"/>
    <w:rsid w:val="009B1FCC"/>
    <w:rsid w:val="009B2126"/>
    <w:rsid w:val="009B2193"/>
    <w:rsid w:val="009B2194"/>
    <w:rsid w:val="009B2418"/>
    <w:rsid w:val="009B24D5"/>
    <w:rsid w:val="009B25F5"/>
    <w:rsid w:val="009B2687"/>
    <w:rsid w:val="009B2760"/>
    <w:rsid w:val="009B29ED"/>
    <w:rsid w:val="009B2A54"/>
    <w:rsid w:val="009B2AB6"/>
    <w:rsid w:val="009B2ABE"/>
    <w:rsid w:val="009B2BB2"/>
    <w:rsid w:val="009B2CCA"/>
    <w:rsid w:val="009B2EE8"/>
    <w:rsid w:val="009B2F2E"/>
    <w:rsid w:val="009B3034"/>
    <w:rsid w:val="009B30E6"/>
    <w:rsid w:val="009B32B1"/>
    <w:rsid w:val="009B32D3"/>
    <w:rsid w:val="009B3340"/>
    <w:rsid w:val="009B338F"/>
    <w:rsid w:val="009B33CA"/>
    <w:rsid w:val="009B33F0"/>
    <w:rsid w:val="009B3517"/>
    <w:rsid w:val="009B3586"/>
    <w:rsid w:val="009B35E4"/>
    <w:rsid w:val="009B3698"/>
    <w:rsid w:val="009B38D6"/>
    <w:rsid w:val="009B3926"/>
    <w:rsid w:val="009B394C"/>
    <w:rsid w:val="009B3995"/>
    <w:rsid w:val="009B3A63"/>
    <w:rsid w:val="009B3A70"/>
    <w:rsid w:val="009B3BF0"/>
    <w:rsid w:val="009B3C06"/>
    <w:rsid w:val="009B3D83"/>
    <w:rsid w:val="009B3DA9"/>
    <w:rsid w:val="009B3DB8"/>
    <w:rsid w:val="009B3E11"/>
    <w:rsid w:val="009B4011"/>
    <w:rsid w:val="009B4187"/>
    <w:rsid w:val="009B442B"/>
    <w:rsid w:val="009B4695"/>
    <w:rsid w:val="009B46E0"/>
    <w:rsid w:val="009B4A92"/>
    <w:rsid w:val="009B4CC4"/>
    <w:rsid w:val="009B4E40"/>
    <w:rsid w:val="009B4FE7"/>
    <w:rsid w:val="009B5061"/>
    <w:rsid w:val="009B508F"/>
    <w:rsid w:val="009B5166"/>
    <w:rsid w:val="009B5213"/>
    <w:rsid w:val="009B53BD"/>
    <w:rsid w:val="009B53E3"/>
    <w:rsid w:val="009B54F0"/>
    <w:rsid w:val="009B553D"/>
    <w:rsid w:val="009B55A8"/>
    <w:rsid w:val="009B575C"/>
    <w:rsid w:val="009B5782"/>
    <w:rsid w:val="009B5805"/>
    <w:rsid w:val="009B595E"/>
    <w:rsid w:val="009B5A54"/>
    <w:rsid w:val="009B5C41"/>
    <w:rsid w:val="009B5CA7"/>
    <w:rsid w:val="009B5D7A"/>
    <w:rsid w:val="009B5E26"/>
    <w:rsid w:val="009B5E5D"/>
    <w:rsid w:val="009B5EF1"/>
    <w:rsid w:val="009B6052"/>
    <w:rsid w:val="009B629D"/>
    <w:rsid w:val="009B62F0"/>
    <w:rsid w:val="009B62F4"/>
    <w:rsid w:val="009B64D0"/>
    <w:rsid w:val="009B6786"/>
    <w:rsid w:val="009B691B"/>
    <w:rsid w:val="009B6993"/>
    <w:rsid w:val="009B6A90"/>
    <w:rsid w:val="009B6A98"/>
    <w:rsid w:val="009B6BC1"/>
    <w:rsid w:val="009B6BDC"/>
    <w:rsid w:val="009B6C55"/>
    <w:rsid w:val="009B6CD9"/>
    <w:rsid w:val="009B6D56"/>
    <w:rsid w:val="009B6E35"/>
    <w:rsid w:val="009B6E94"/>
    <w:rsid w:val="009B6F66"/>
    <w:rsid w:val="009B6FC4"/>
    <w:rsid w:val="009B730B"/>
    <w:rsid w:val="009B732D"/>
    <w:rsid w:val="009B73AA"/>
    <w:rsid w:val="009B73FF"/>
    <w:rsid w:val="009B749D"/>
    <w:rsid w:val="009B74B3"/>
    <w:rsid w:val="009B7631"/>
    <w:rsid w:val="009B765E"/>
    <w:rsid w:val="009B769C"/>
    <w:rsid w:val="009B7953"/>
    <w:rsid w:val="009B7A5D"/>
    <w:rsid w:val="009B7C92"/>
    <w:rsid w:val="009B7EDC"/>
    <w:rsid w:val="009B7F57"/>
    <w:rsid w:val="009C0319"/>
    <w:rsid w:val="009C037C"/>
    <w:rsid w:val="009C04ED"/>
    <w:rsid w:val="009C0584"/>
    <w:rsid w:val="009C0716"/>
    <w:rsid w:val="009C07C2"/>
    <w:rsid w:val="009C07E1"/>
    <w:rsid w:val="009C08CF"/>
    <w:rsid w:val="009C096F"/>
    <w:rsid w:val="009C09C4"/>
    <w:rsid w:val="009C0B1C"/>
    <w:rsid w:val="009C0B84"/>
    <w:rsid w:val="009C0C4B"/>
    <w:rsid w:val="009C0CEF"/>
    <w:rsid w:val="009C0CF0"/>
    <w:rsid w:val="009C0D05"/>
    <w:rsid w:val="009C1113"/>
    <w:rsid w:val="009C1146"/>
    <w:rsid w:val="009C123A"/>
    <w:rsid w:val="009C1292"/>
    <w:rsid w:val="009C178B"/>
    <w:rsid w:val="009C179D"/>
    <w:rsid w:val="009C17C8"/>
    <w:rsid w:val="009C1871"/>
    <w:rsid w:val="009C187D"/>
    <w:rsid w:val="009C1B21"/>
    <w:rsid w:val="009C1B2E"/>
    <w:rsid w:val="009C1DC6"/>
    <w:rsid w:val="009C1EB9"/>
    <w:rsid w:val="009C1FAE"/>
    <w:rsid w:val="009C2093"/>
    <w:rsid w:val="009C214B"/>
    <w:rsid w:val="009C23C2"/>
    <w:rsid w:val="009C2442"/>
    <w:rsid w:val="009C24C2"/>
    <w:rsid w:val="009C26BC"/>
    <w:rsid w:val="009C26D1"/>
    <w:rsid w:val="009C27C6"/>
    <w:rsid w:val="009C280B"/>
    <w:rsid w:val="009C292D"/>
    <w:rsid w:val="009C2A0B"/>
    <w:rsid w:val="009C2AD4"/>
    <w:rsid w:val="009C2FA0"/>
    <w:rsid w:val="009C2FCF"/>
    <w:rsid w:val="009C3136"/>
    <w:rsid w:val="009C3138"/>
    <w:rsid w:val="009C3153"/>
    <w:rsid w:val="009C3311"/>
    <w:rsid w:val="009C339E"/>
    <w:rsid w:val="009C33CC"/>
    <w:rsid w:val="009C33E7"/>
    <w:rsid w:val="009C34A2"/>
    <w:rsid w:val="009C3588"/>
    <w:rsid w:val="009C3887"/>
    <w:rsid w:val="009C38CE"/>
    <w:rsid w:val="009C39A2"/>
    <w:rsid w:val="009C3A8C"/>
    <w:rsid w:val="009C3BB6"/>
    <w:rsid w:val="009C3C8F"/>
    <w:rsid w:val="009C3CA1"/>
    <w:rsid w:val="009C3D4E"/>
    <w:rsid w:val="009C3DDB"/>
    <w:rsid w:val="009C3E2D"/>
    <w:rsid w:val="009C3E72"/>
    <w:rsid w:val="009C3F56"/>
    <w:rsid w:val="009C3FFE"/>
    <w:rsid w:val="009C4004"/>
    <w:rsid w:val="009C4075"/>
    <w:rsid w:val="009C40B8"/>
    <w:rsid w:val="009C4155"/>
    <w:rsid w:val="009C42E7"/>
    <w:rsid w:val="009C43A8"/>
    <w:rsid w:val="009C45AF"/>
    <w:rsid w:val="009C469A"/>
    <w:rsid w:val="009C48EC"/>
    <w:rsid w:val="009C4BDF"/>
    <w:rsid w:val="009C4CB1"/>
    <w:rsid w:val="009C4E19"/>
    <w:rsid w:val="009C4E5F"/>
    <w:rsid w:val="009C4E8D"/>
    <w:rsid w:val="009C4EA6"/>
    <w:rsid w:val="009C4EBF"/>
    <w:rsid w:val="009C4ECF"/>
    <w:rsid w:val="009C4FCB"/>
    <w:rsid w:val="009C4FEF"/>
    <w:rsid w:val="009C5203"/>
    <w:rsid w:val="009C5430"/>
    <w:rsid w:val="009C5620"/>
    <w:rsid w:val="009C565E"/>
    <w:rsid w:val="009C5711"/>
    <w:rsid w:val="009C5724"/>
    <w:rsid w:val="009C57F8"/>
    <w:rsid w:val="009C57FC"/>
    <w:rsid w:val="009C586A"/>
    <w:rsid w:val="009C595D"/>
    <w:rsid w:val="009C59DA"/>
    <w:rsid w:val="009C5A14"/>
    <w:rsid w:val="009C5A49"/>
    <w:rsid w:val="009C5A7E"/>
    <w:rsid w:val="009C5B1B"/>
    <w:rsid w:val="009C5B59"/>
    <w:rsid w:val="009C5E93"/>
    <w:rsid w:val="009C5E9E"/>
    <w:rsid w:val="009C5F87"/>
    <w:rsid w:val="009C5F98"/>
    <w:rsid w:val="009C60AD"/>
    <w:rsid w:val="009C6115"/>
    <w:rsid w:val="009C63A6"/>
    <w:rsid w:val="009C63DD"/>
    <w:rsid w:val="009C6556"/>
    <w:rsid w:val="009C669C"/>
    <w:rsid w:val="009C66BF"/>
    <w:rsid w:val="009C673D"/>
    <w:rsid w:val="009C67B1"/>
    <w:rsid w:val="009C6811"/>
    <w:rsid w:val="009C6849"/>
    <w:rsid w:val="009C6899"/>
    <w:rsid w:val="009C6AD1"/>
    <w:rsid w:val="009C6ADA"/>
    <w:rsid w:val="009C6B60"/>
    <w:rsid w:val="009C6B68"/>
    <w:rsid w:val="009C6B95"/>
    <w:rsid w:val="009C6C2B"/>
    <w:rsid w:val="009C6C78"/>
    <w:rsid w:val="009C6F25"/>
    <w:rsid w:val="009C6F47"/>
    <w:rsid w:val="009C7028"/>
    <w:rsid w:val="009C7184"/>
    <w:rsid w:val="009C7328"/>
    <w:rsid w:val="009C74B4"/>
    <w:rsid w:val="009C74E1"/>
    <w:rsid w:val="009C7720"/>
    <w:rsid w:val="009C7915"/>
    <w:rsid w:val="009C7A77"/>
    <w:rsid w:val="009C7B26"/>
    <w:rsid w:val="009C7BA8"/>
    <w:rsid w:val="009C7F01"/>
    <w:rsid w:val="009D00D8"/>
    <w:rsid w:val="009D0142"/>
    <w:rsid w:val="009D0144"/>
    <w:rsid w:val="009D016E"/>
    <w:rsid w:val="009D0211"/>
    <w:rsid w:val="009D0473"/>
    <w:rsid w:val="009D0478"/>
    <w:rsid w:val="009D0563"/>
    <w:rsid w:val="009D065D"/>
    <w:rsid w:val="009D0751"/>
    <w:rsid w:val="009D0756"/>
    <w:rsid w:val="009D0948"/>
    <w:rsid w:val="009D0A56"/>
    <w:rsid w:val="009D0B6A"/>
    <w:rsid w:val="009D0E18"/>
    <w:rsid w:val="009D0EA2"/>
    <w:rsid w:val="009D0F2B"/>
    <w:rsid w:val="009D0FDA"/>
    <w:rsid w:val="009D11E3"/>
    <w:rsid w:val="009D1387"/>
    <w:rsid w:val="009D14DE"/>
    <w:rsid w:val="009D1667"/>
    <w:rsid w:val="009D166E"/>
    <w:rsid w:val="009D1673"/>
    <w:rsid w:val="009D1940"/>
    <w:rsid w:val="009D1BDE"/>
    <w:rsid w:val="009D1C4A"/>
    <w:rsid w:val="009D1DD1"/>
    <w:rsid w:val="009D2068"/>
    <w:rsid w:val="009D20C5"/>
    <w:rsid w:val="009D20D3"/>
    <w:rsid w:val="009D235C"/>
    <w:rsid w:val="009D244C"/>
    <w:rsid w:val="009D24B2"/>
    <w:rsid w:val="009D24CF"/>
    <w:rsid w:val="009D24F4"/>
    <w:rsid w:val="009D2801"/>
    <w:rsid w:val="009D2808"/>
    <w:rsid w:val="009D2851"/>
    <w:rsid w:val="009D2C56"/>
    <w:rsid w:val="009D2CD9"/>
    <w:rsid w:val="009D2DA3"/>
    <w:rsid w:val="009D2DCC"/>
    <w:rsid w:val="009D2FAA"/>
    <w:rsid w:val="009D3018"/>
    <w:rsid w:val="009D301C"/>
    <w:rsid w:val="009D30ED"/>
    <w:rsid w:val="009D317A"/>
    <w:rsid w:val="009D327B"/>
    <w:rsid w:val="009D3324"/>
    <w:rsid w:val="009D34C5"/>
    <w:rsid w:val="009D34F9"/>
    <w:rsid w:val="009D356A"/>
    <w:rsid w:val="009D3591"/>
    <w:rsid w:val="009D3669"/>
    <w:rsid w:val="009D36E1"/>
    <w:rsid w:val="009D37AF"/>
    <w:rsid w:val="009D3856"/>
    <w:rsid w:val="009D386D"/>
    <w:rsid w:val="009D3886"/>
    <w:rsid w:val="009D3887"/>
    <w:rsid w:val="009D3AB0"/>
    <w:rsid w:val="009D3BB2"/>
    <w:rsid w:val="009D3C30"/>
    <w:rsid w:val="009D3CCA"/>
    <w:rsid w:val="009D3CCF"/>
    <w:rsid w:val="009D3D0C"/>
    <w:rsid w:val="009D3D33"/>
    <w:rsid w:val="009D3D75"/>
    <w:rsid w:val="009D3E5D"/>
    <w:rsid w:val="009D3EF4"/>
    <w:rsid w:val="009D3F35"/>
    <w:rsid w:val="009D3FCF"/>
    <w:rsid w:val="009D416F"/>
    <w:rsid w:val="009D4377"/>
    <w:rsid w:val="009D450E"/>
    <w:rsid w:val="009D45CD"/>
    <w:rsid w:val="009D48AA"/>
    <w:rsid w:val="009D4941"/>
    <w:rsid w:val="009D4984"/>
    <w:rsid w:val="009D4998"/>
    <w:rsid w:val="009D499B"/>
    <w:rsid w:val="009D4A25"/>
    <w:rsid w:val="009D4A6A"/>
    <w:rsid w:val="009D4A73"/>
    <w:rsid w:val="009D4D1C"/>
    <w:rsid w:val="009D4D43"/>
    <w:rsid w:val="009D4F80"/>
    <w:rsid w:val="009D5022"/>
    <w:rsid w:val="009D5026"/>
    <w:rsid w:val="009D503C"/>
    <w:rsid w:val="009D50DE"/>
    <w:rsid w:val="009D50F3"/>
    <w:rsid w:val="009D5160"/>
    <w:rsid w:val="009D519B"/>
    <w:rsid w:val="009D5248"/>
    <w:rsid w:val="009D532A"/>
    <w:rsid w:val="009D5337"/>
    <w:rsid w:val="009D5368"/>
    <w:rsid w:val="009D5465"/>
    <w:rsid w:val="009D5471"/>
    <w:rsid w:val="009D54FC"/>
    <w:rsid w:val="009D55F5"/>
    <w:rsid w:val="009D562D"/>
    <w:rsid w:val="009D57F3"/>
    <w:rsid w:val="009D59F9"/>
    <w:rsid w:val="009D5D20"/>
    <w:rsid w:val="009D5E4C"/>
    <w:rsid w:val="009D5EB8"/>
    <w:rsid w:val="009D5F2D"/>
    <w:rsid w:val="009D5F56"/>
    <w:rsid w:val="009D5F60"/>
    <w:rsid w:val="009D5FB5"/>
    <w:rsid w:val="009D5FCF"/>
    <w:rsid w:val="009D6080"/>
    <w:rsid w:val="009D6270"/>
    <w:rsid w:val="009D6307"/>
    <w:rsid w:val="009D63FB"/>
    <w:rsid w:val="009D646B"/>
    <w:rsid w:val="009D6481"/>
    <w:rsid w:val="009D66A6"/>
    <w:rsid w:val="009D6835"/>
    <w:rsid w:val="009D69AD"/>
    <w:rsid w:val="009D6A74"/>
    <w:rsid w:val="009D6B1D"/>
    <w:rsid w:val="009D6BDB"/>
    <w:rsid w:val="009D6CBE"/>
    <w:rsid w:val="009D6DB0"/>
    <w:rsid w:val="009D6DBC"/>
    <w:rsid w:val="009D6DBF"/>
    <w:rsid w:val="009D6DD7"/>
    <w:rsid w:val="009D6DE8"/>
    <w:rsid w:val="009D705E"/>
    <w:rsid w:val="009D727A"/>
    <w:rsid w:val="009D7293"/>
    <w:rsid w:val="009D733D"/>
    <w:rsid w:val="009D73AE"/>
    <w:rsid w:val="009D7571"/>
    <w:rsid w:val="009D758F"/>
    <w:rsid w:val="009D77D0"/>
    <w:rsid w:val="009D780D"/>
    <w:rsid w:val="009D78AF"/>
    <w:rsid w:val="009D78BB"/>
    <w:rsid w:val="009D78C4"/>
    <w:rsid w:val="009D79FA"/>
    <w:rsid w:val="009D7A0F"/>
    <w:rsid w:val="009D7A64"/>
    <w:rsid w:val="009D7CB7"/>
    <w:rsid w:val="009D7E73"/>
    <w:rsid w:val="009D7F6C"/>
    <w:rsid w:val="009E00B9"/>
    <w:rsid w:val="009E027E"/>
    <w:rsid w:val="009E07A6"/>
    <w:rsid w:val="009E08AF"/>
    <w:rsid w:val="009E0912"/>
    <w:rsid w:val="009E0965"/>
    <w:rsid w:val="009E0A2A"/>
    <w:rsid w:val="009E0AF1"/>
    <w:rsid w:val="009E0BBD"/>
    <w:rsid w:val="009E0BF4"/>
    <w:rsid w:val="009E0D4C"/>
    <w:rsid w:val="009E0DF9"/>
    <w:rsid w:val="009E0ED7"/>
    <w:rsid w:val="009E0F2D"/>
    <w:rsid w:val="009E0F84"/>
    <w:rsid w:val="009E120F"/>
    <w:rsid w:val="009E1307"/>
    <w:rsid w:val="009E1370"/>
    <w:rsid w:val="009E13F7"/>
    <w:rsid w:val="009E13FB"/>
    <w:rsid w:val="009E1420"/>
    <w:rsid w:val="009E14EE"/>
    <w:rsid w:val="009E1583"/>
    <w:rsid w:val="009E1588"/>
    <w:rsid w:val="009E15D1"/>
    <w:rsid w:val="009E18A0"/>
    <w:rsid w:val="009E1AE9"/>
    <w:rsid w:val="009E1DD5"/>
    <w:rsid w:val="009E1E4F"/>
    <w:rsid w:val="009E1E83"/>
    <w:rsid w:val="009E1EF7"/>
    <w:rsid w:val="009E2039"/>
    <w:rsid w:val="009E2049"/>
    <w:rsid w:val="009E2169"/>
    <w:rsid w:val="009E23A7"/>
    <w:rsid w:val="009E23F0"/>
    <w:rsid w:val="009E2532"/>
    <w:rsid w:val="009E27DF"/>
    <w:rsid w:val="009E29C6"/>
    <w:rsid w:val="009E29CE"/>
    <w:rsid w:val="009E2AA7"/>
    <w:rsid w:val="009E2D07"/>
    <w:rsid w:val="009E2D4C"/>
    <w:rsid w:val="009E2E58"/>
    <w:rsid w:val="009E2F9E"/>
    <w:rsid w:val="009E300C"/>
    <w:rsid w:val="009E30FE"/>
    <w:rsid w:val="009E34CB"/>
    <w:rsid w:val="009E3587"/>
    <w:rsid w:val="009E35C2"/>
    <w:rsid w:val="009E380B"/>
    <w:rsid w:val="009E3817"/>
    <w:rsid w:val="009E388D"/>
    <w:rsid w:val="009E3959"/>
    <w:rsid w:val="009E3A81"/>
    <w:rsid w:val="009E3AD4"/>
    <w:rsid w:val="009E3CEF"/>
    <w:rsid w:val="009E3DC0"/>
    <w:rsid w:val="009E3EBB"/>
    <w:rsid w:val="009E3EDB"/>
    <w:rsid w:val="009E3EED"/>
    <w:rsid w:val="009E402C"/>
    <w:rsid w:val="009E429E"/>
    <w:rsid w:val="009E42FE"/>
    <w:rsid w:val="009E4370"/>
    <w:rsid w:val="009E440B"/>
    <w:rsid w:val="009E4781"/>
    <w:rsid w:val="009E4839"/>
    <w:rsid w:val="009E4AA6"/>
    <w:rsid w:val="009E4B1D"/>
    <w:rsid w:val="009E4C50"/>
    <w:rsid w:val="009E4C8C"/>
    <w:rsid w:val="009E4CDF"/>
    <w:rsid w:val="009E4D6B"/>
    <w:rsid w:val="009E4DCA"/>
    <w:rsid w:val="009E4DE5"/>
    <w:rsid w:val="009E4F30"/>
    <w:rsid w:val="009E4FA4"/>
    <w:rsid w:val="009E5047"/>
    <w:rsid w:val="009E5066"/>
    <w:rsid w:val="009E52D9"/>
    <w:rsid w:val="009E5385"/>
    <w:rsid w:val="009E5491"/>
    <w:rsid w:val="009E5659"/>
    <w:rsid w:val="009E56F9"/>
    <w:rsid w:val="009E5749"/>
    <w:rsid w:val="009E58D6"/>
    <w:rsid w:val="009E58E7"/>
    <w:rsid w:val="009E5A6C"/>
    <w:rsid w:val="009E5D15"/>
    <w:rsid w:val="009E5DD2"/>
    <w:rsid w:val="009E5DF9"/>
    <w:rsid w:val="009E5E2F"/>
    <w:rsid w:val="009E5E4A"/>
    <w:rsid w:val="009E5FA1"/>
    <w:rsid w:val="009E6081"/>
    <w:rsid w:val="009E61CC"/>
    <w:rsid w:val="009E6242"/>
    <w:rsid w:val="009E633E"/>
    <w:rsid w:val="009E638C"/>
    <w:rsid w:val="009E640B"/>
    <w:rsid w:val="009E66B8"/>
    <w:rsid w:val="009E6740"/>
    <w:rsid w:val="009E68B1"/>
    <w:rsid w:val="009E69A6"/>
    <w:rsid w:val="009E69D0"/>
    <w:rsid w:val="009E6A3F"/>
    <w:rsid w:val="009E6AC0"/>
    <w:rsid w:val="009E6B0C"/>
    <w:rsid w:val="009E6B1D"/>
    <w:rsid w:val="009E6B89"/>
    <w:rsid w:val="009E6C03"/>
    <w:rsid w:val="009E6C59"/>
    <w:rsid w:val="009E6CA2"/>
    <w:rsid w:val="009E6CDB"/>
    <w:rsid w:val="009E6D94"/>
    <w:rsid w:val="009E6E85"/>
    <w:rsid w:val="009E6EC3"/>
    <w:rsid w:val="009E7067"/>
    <w:rsid w:val="009E70BB"/>
    <w:rsid w:val="009E71C3"/>
    <w:rsid w:val="009E7245"/>
    <w:rsid w:val="009E7327"/>
    <w:rsid w:val="009E736A"/>
    <w:rsid w:val="009E739D"/>
    <w:rsid w:val="009E73D8"/>
    <w:rsid w:val="009E73FC"/>
    <w:rsid w:val="009E7632"/>
    <w:rsid w:val="009E770D"/>
    <w:rsid w:val="009E775C"/>
    <w:rsid w:val="009E7874"/>
    <w:rsid w:val="009E7B6D"/>
    <w:rsid w:val="009E7C03"/>
    <w:rsid w:val="009E7CB7"/>
    <w:rsid w:val="009E7CFD"/>
    <w:rsid w:val="009E7DC3"/>
    <w:rsid w:val="009E7E3D"/>
    <w:rsid w:val="009E7FD6"/>
    <w:rsid w:val="009F00BC"/>
    <w:rsid w:val="009F024C"/>
    <w:rsid w:val="009F0376"/>
    <w:rsid w:val="009F03F7"/>
    <w:rsid w:val="009F051F"/>
    <w:rsid w:val="009F0556"/>
    <w:rsid w:val="009F0620"/>
    <w:rsid w:val="009F076E"/>
    <w:rsid w:val="009F07E2"/>
    <w:rsid w:val="009F0A52"/>
    <w:rsid w:val="009F0C2E"/>
    <w:rsid w:val="009F0D23"/>
    <w:rsid w:val="009F0D74"/>
    <w:rsid w:val="009F0E9F"/>
    <w:rsid w:val="009F0F93"/>
    <w:rsid w:val="009F0FC0"/>
    <w:rsid w:val="009F10DB"/>
    <w:rsid w:val="009F11B3"/>
    <w:rsid w:val="009F144F"/>
    <w:rsid w:val="009F151C"/>
    <w:rsid w:val="009F17E4"/>
    <w:rsid w:val="009F1871"/>
    <w:rsid w:val="009F1974"/>
    <w:rsid w:val="009F1AD3"/>
    <w:rsid w:val="009F1C97"/>
    <w:rsid w:val="009F1CD1"/>
    <w:rsid w:val="009F1D24"/>
    <w:rsid w:val="009F1D2D"/>
    <w:rsid w:val="009F1E3B"/>
    <w:rsid w:val="009F1EEB"/>
    <w:rsid w:val="009F2054"/>
    <w:rsid w:val="009F206F"/>
    <w:rsid w:val="009F217F"/>
    <w:rsid w:val="009F228A"/>
    <w:rsid w:val="009F2305"/>
    <w:rsid w:val="009F2480"/>
    <w:rsid w:val="009F2560"/>
    <w:rsid w:val="009F2675"/>
    <w:rsid w:val="009F269F"/>
    <w:rsid w:val="009F26E0"/>
    <w:rsid w:val="009F2724"/>
    <w:rsid w:val="009F27A8"/>
    <w:rsid w:val="009F2819"/>
    <w:rsid w:val="009F2927"/>
    <w:rsid w:val="009F29D7"/>
    <w:rsid w:val="009F2B9B"/>
    <w:rsid w:val="009F2C4A"/>
    <w:rsid w:val="009F2CE5"/>
    <w:rsid w:val="009F2DB8"/>
    <w:rsid w:val="009F2E35"/>
    <w:rsid w:val="009F2E43"/>
    <w:rsid w:val="009F2ECE"/>
    <w:rsid w:val="009F310C"/>
    <w:rsid w:val="009F32C8"/>
    <w:rsid w:val="009F3304"/>
    <w:rsid w:val="009F3360"/>
    <w:rsid w:val="009F33BF"/>
    <w:rsid w:val="009F3670"/>
    <w:rsid w:val="009F3787"/>
    <w:rsid w:val="009F3A9E"/>
    <w:rsid w:val="009F3B31"/>
    <w:rsid w:val="009F3BCF"/>
    <w:rsid w:val="009F3C3D"/>
    <w:rsid w:val="009F3D08"/>
    <w:rsid w:val="009F3D31"/>
    <w:rsid w:val="009F3E35"/>
    <w:rsid w:val="009F3EC4"/>
    <w:rsid w:val="009F3FA5"/>
    <w:rsid w:val="009F3FF0"/>
    <w:rsid w:val="009F4168"/>
    <w:rsid w:val="009F4329"/>
    <w:rsid w:val="009F43E5"/>
    <w:rsid w:val="009F44C3"/>
    <w:rsid w:val="009F46A1"/>
    <w:rsid w:val="009F46E2"/>
    <w:rsid w:val="009F47B0"/>
    <w:rsid w:val="009F4A1A"/>
    <w:rsid w:val="009F4A7F"/>
    <w:rsid w:val="009F4A8B"/>
    <w:rsid w:val="009F4B4C"/>
    <w:rsid w:val="009F4B8A"/>
    <w:rsid w:val="009F4D57"/>
    <w:rsid w:val="009F4EB4"/>
    <w:rsid w:val="009F4F35"/>
    <w:rsid w:val="009F4F7B"/>
    <w:rsid w:val="009F4FA8"/>
    <w:rsid w:val="009F5153"/>
    <w:rsid w:val="009F54B5"/>
    <w:rsid w:val="009F5AA7"/>
    <w:rsid w:val="009F5AAA"/>
    <w:rsid w:val="009F5ACF"/>
    <w:rsid w:val="009F5C3A"/>
    <w:rsid w:val="009F5ED4"/>
    <w:rsid w:val="009F60DB"/>
    <w:rsid w:val="009F6169"/>
    <w:rsid w:val="009F61FD"/>
    <w:rsid w:val="009F62D6"/>
    <w:rsid w:val="009F6315"/>
    <w:rsid w:val="009F631E"/>
    <w:rsid w:val="009F6346"/>
    <w:rsid w:val="009F64C6"/>
    <w:rsid w:val="009F65F7"/>
    <w:rsid w:val="009F6622"/>
    <w:rsid w:val="009F662D"/>
    <w:rsid w:val="009F6753"/>
    <w:rsid w:val="009F6793"/>
    <w:rsid w:val="009F6969"/>
    <w:rsid w:val="009F6A7A"/>
    <w:rsid w:val="009F6AA5"/>
    <w:rsid w:val="009F6C73"/>
    <w:rsid w:val="009F6C81"/>
    <w:rsid w:val="009F6CE8"/>
    <w:rsid w:val="009F6EF0"/>
    <w:rsid w:val="009F6F11"/>
    <w:rsid w:val="009F6FF8"/>
    <w:rsid w:val="009F70AF"/>
    <w:rsid w:val="009F71BF"/>
    <w:rsid w:val="009F71DA"/>
    <w:rsid w:val="009F7473"/>
    <w:rsid w:val="009F748F"/>
    <w:rsid w:val="009F764E"/>
    <w:rsid w:val="009F76D8"/>
    <w:rsid w:val="009F7A4D"/>
    <w:rsid w:val="009F7B34"/>
    <w:rsid w:val="009F7E9D"/>
    <w:rsid w:val="009F7EB7"/>
    <w:rsid w:val="009F7F54"/>
    <w:rsid w:val="009F7FCE"/>
    <w:rsid w:val="009F7FF7"/>
    <w:rsid w:val="00A00082"/>
    <w:rsid w:val="00A00090"/>
    <w:rsid w:val="00A00178"/>
    <w:rsid w:val="00A001EC"/>
    <w:rsid w:val="00A0021F"/>
    <w:rsid w:val="00A0031A"/>
    <w:rsid w:val="00A0038D"/>
    <w:rsid w:val="00A00460"/>
    <w:rsid w:val="00A004A5"/>
    <w:rsid w:val="00A00521"/>
    <w:rsid w:val="00A005CE"/>
    <w:rsid w:val="00A005E0"/>
    <w:rsid w:val="00A00937"/>
    <w:rsid w:val="00A00940"/>
    <w:rsid w:val="00A00971"/>
    <w:rsid w:val="00A00999"/>
    <w:rsid w:val="00A009D1"/>
    <w:rsid w:val="00A00A33"/>
    <w:rsid w:val="00A00A42"/>
    <w:rsid w:val="00A00C8A"/>
    <w:rsid w:val="00A00D3A"/>
    <w:rsid w:val="00A00EE6"/>
    <w:rsid w:val="00A00F39"/>
    <w:rsid w:val="00A00F85"/>
    <w:rsid w:val="00A01111"/>
    <w:rsid w:val="00A013DF"/>
    <w:rsid w:val="00A015C5"/>
    <w:rsid w:val="00A0160E"/>
    <w:rsid w:val="00A01616"/>
    <w:rsid w:val="00A01686"/>
    <w:rsid w:val="00A016A2"/>
    <w:rsid w:val="00A018EB"/>
    <w:rsid w:val="00A01A00"/>
    <w:rsid w:val="00A01A39"/>
    <w:rsid w:val="00A01B81"/>
    <w:rsid w:val="00A01CFA"/>
    <w:rsid w:val="00A01EC1"/>
    <w:rsid w:val="00A0208D"/>
    <w:rsid w:val="00A02187"/>
    <w:rsid w:val="00A021BC"/>
    <w:rsid w:val="00A02261"/>
    <w:rsid w:val="00A02399"/>
    <w:rsid w:val="00A02583"/>
    <w:rsid w:val="00A0259A"/>
    <w:rsid w:val="00A0263B"/>
    <w:rsid w:val="00A02655"/>
    <w:rsid w:val="00A027EB"/>
    <w:rsid w:val="00A028A6"/>
    <w:rsid w:val="00A02962"/>
    <w:rsid w:val="00A02978"/>
    <w:rsid w:val="00A02BC3"/>
    <w:rsid w:val="00A02E61"/>
    <w:rsid w:val="00A02EC7"/>
    <w:rsid w:val="00A02FD5"/>
    <w:rsid w:val="00A03083"/>
    <w:rsid w:val="00A0309B"/>
    <w:rsid w:val="00A032E7"/>
    <w:rsid w:val="00A03383"/>
    <w:rsid w:val="00A03494"/>
    <w:rsid w:val="00A0350B"/>
    <w:rsid w:val="00A03538"/>
    <w:rsid w:val="00A036C8"/>
    <w:rsid w:val="00A0373E"/>
    <w:rsid w:val="00A03759"/>
    <w:rsid w:val="00A03760"/>
    <w:rsid w:val="00A03785"/>
    <w:rsid w:val="00A03853"/>
    <w:rsid w:val="00A038EF"/>
    <w:rsid w:val="00A03925"/>
    <w:rsid w:val="00A0392F"/>
    <w:rsid w:val="00A0394A"/>
    <w:rsid w:val="00A039D1"/>
    <w:rsid w:val="00A03AA2"/>
    <w:rsid w:val="00A03AAC"/>
    <w:rsid w:val="00A03B8E"/>
    <w:rsid w:val="00A03DB8"/>
    <w:rsid w:val="00A03E1E"/>
    <w:rsid w:val="00A04000"/>
    <w:rsid w:val="00A0407D"/>
    <w:rsid w:val="00A04228"/>
    <w:rsid w:val="00A0424C"/>
    <w:rsid w:val="00A0428C"/>
    <w:rsid w:val="00A0429F"/>
    <w:rsid w:val="00A0431B"/>
    <w:rsid w:val="00A044F7"/>
    <w:rsid w:val="00A045FA"/>
    <w:rsid w:val="00A04732"/>
    <w:rsid w:val="00A04865"/>
    <w:rsid w:val="00A049C2"/>
    <w:rsid w:val="00A04A93"/>
    <w:rsid w:val="00A04AE3"/>
    <w:rsid w:val="00A04B08"/>
    <w:rsid w:val="00A04B09"/>
    <w:rsid w:val="00A04B2F"/>
    <w:rsid w:val="00A04F6F"/>
    <w:rsid w:val="00A05033"/>
    <w:rsid w:val="00A05099"/>
    <w:rsid w:val="00A052B7"/>
    <w:rsid w:val="00A05345"/>
    <w:rsid w:val="00A05348"/>
    <w:rsid w:val="00A055B4"/>
    <w:rsid w:val="00A055D7"/>
    <w:rsid w:val="00A05693"/>
    <w:rsid w:val="00A056B5"/>
    <w:rsid w:val="00A056E8"/>
    <w:rsid w:val="00A05702"/>
    <w:rsid w:val="00A0580E"/>
    <w:rsid w:val="00A0586B"/>
    <w:rsid w:val="00A05A87"/>
    <w:rsid w:val="00A05C7C"/>
    <w:rsid w:val="00A05E01"/>
    <w:rsid w:val="00A05E2A"/>
    <w:rsid w:val="00A05FB4"/>
    <w:rsid w:val="00A05FD4"/>
    <w:rsid w:val="00A064C6"/>
    <w:rsid w:val="00A06666"/>
    <w:rsid w:val="00A066F4"/>
    <w:rsid w:val="00A06766"/>
    <w:rsid w:val="00A068C4"/>
    <w:rsid w:val="00A06D2B"/>
    <w:rsid w:val="00A06D95"/>
    <w:rsid w:val="00A06FA0"/>
    <w:rsid w:val="00A07007"/>
    <w:rsid w:val="00A0703C"/>
    <w:rsid w:val="00A070D5"/>
    <w:rsid w:val="00A0726F"/>
    <w:rsid w:val="00A073B5"/>
    <w:rsid w:val="00A0740B"/>
    <w:rsid w:val="00A0742F"/>
    <w:rsid w:val="00A0773A"/>
    <w:rsid w:val="00A07908"/>
    <w:rsid w:val="00A07A3C"/>
    <w:rsid w:val="00A07ADA"/>
    <w:rsid w:val="00A07AEC"/>
    <w:rsid w:val="00A07C6A"/>
    <w:rsid w:val="00A07C9E"/>
    <w:rsid w:val="00A100D5"/>
    <w:rsid w:val="00A101C3"/>
    <w:rsid w:val="00A101D9"/>
    <w:rsid w:val="00A102B6"/>
    <w:rsid w:val="00A10307"/>
    <w:rsid w:val="00A10490"/>
    <w:rsid w:val="00A104DB"/>
    <w:rsid w:val="00A10577"/>
    <w:rsid w:val="00A105FA"/>
    <w:rsid w:val="00A10668"/>
    <w:rsid w:val="00A1076A"/>
    <w:rsid w:val="00A1078A"/>
    <w:rsid w:val="00A10798"/>
    <w:rsid w:val="00A107CF"/>
    <w:rsid w:val="00A1082C"/>
    <w:rsid w:val="00A1093A"/>
    <w:rsid w:val="00A109D6"/>
    <w:rsid w:val="00A10B21"/>
    <w:rsid w:val="00A10B47"/>
    <w:rsid w:val="00A10B5B"/>
    <w:rsid w:val="00A10C2C"/>
    <w:rsid w:val="00A10C41"/>
    <w:rsid w:val="00A10D8A"/>
    <w:rsid w:val="00A110EA"/>
    <w:rsid w:val="00A1111B"/>
    <w:rsid w:val="00A1112B"/>
    <w:rsid w:val="00A111D8"/>
    <w:rsid w:val="00A11262"/>
    <w:rsid w:val="00A11482"/>
    <w:rsid w:val="00A11494"/>
    <w:rsid w:val="00A11554"/>
    <w:rsid w:val="00A119B4"/>
    <w:rsid w:val="00A119D2"/>
    <w:rsid w:val="00A11A44"/>
    <w:rsid w:val="00A11ACD"/>
    <w:rsid w:val="00A11C6E"/>
    <w:rsid w:val="00A11C9E"/>
    <w:rsid w:val="00A11CB4"/>
    <w:rsid w:val="00A11D62"/>
    <w:rsid w:val="00A11F10"/>
    <w:rsid w:val="00A11F67"/>
    <w:rsid w:val="00A11FC0"/>
    <w:rsid w:val="00A1206C"/>
    <w:rsid w:val="00A12276"/>
    <w:rsid w:val="00A1238D"/>
    <w:rsid w:val="00A123EC"/>
    <w:rsid w:val="00A1263B"/>
    <w:rsid w:val="00A12643"/>
    <w:rsid w:val="00A128D7"/>
    <w:rsid w:val="00A128E3"/>
    <w:rsid w:val="00A12A55"/>
    <w:rsid w:val="00A12B75"/>
    <w:rsid w:val="00A12BDA"/>
    <w:rsid w:val="00A12C66"/>
    <w:rsid w:val="00A12CB1"/>
    <w:rsid w:val="00A12CCB"/>
    <w:rsid w:val="00A12EBA"/>
    <w:rsid w:val="00A12EBF"/>
    <w:rsid w:val="00A12F59"/>
    <w:rsid w:val="00A13242"/>
    <w:rsid w:val="00A1333E"/>
    <w:rsid w:val="00A133A0"/>
    <w:rsid w:val="00A13501"/>
    <w:rsid w:val="00A135F8"/>
    <w:rsid w:val="00A13692"/>
    <w:rsid w:val="00A13946"/>
    <w:rsid w:val="00A139E1"/>
    <w:rsid w:val="00A13A13"/>
    <w:rsid w:val="00A13A42"/>
    <w:rsid w:val="00A13B40"/>
    <w:rsid w:val="00A13B89"/>
    <w:rsid w:val="00A14013"/>
    <w:rsid w:val="00A14036"/>
    <w:rsid w:val="00A14044"/>
    <w:rsid w:val="00A14057"/>
    <w:rsid w:val="00A14126"/>
    <w:rsid w:val="00A14300"/>
    <w:rsid w:val="00A1442B"/>
    <w:rsid w:val="00A1443D"/>
    <w:rsid w:val="00A14476"/>
    <w:rsid w:val="00A14554"/>
    <w:rsid w:val="00A14643"/>
    <w:rsid w:val="00A146C2"/>
    <w:rsid w:val="00A1471C"/>
    <w:rsid w:val="00A147FC"/>
    <w:rsid w:val="00A14996"/>
    <w:rsid w:val="00A149B0"/>
    <w:rsid w:val="00A149E1"/>
    <w:rsid w:val="00A14B73"/>
    <w:rsid w:val="00A14B77"/>
    <w:rsid w:val="00A14B8E"/>
    <w:rsid w:val="00A14C45"/>
    <w:rsid w:val="00A14ED9"/>
    <w:rsid w:val="00A15069"/>
    <w:rsid w:val="00A15123"/>
    <w:rsid w:val="00A153B0"/>
    <w:rsid w:val="00A155FB"/>
    <w:rsid w:val="00A15696"/>
    <w:rsid w:val="00A157D0"/>
    <w:rsid w:val="00A1582B"/>
    <w:rsid w:val="00A158AE"/>
    <w:rsid w:val="00A15971"/>
    <w:rsid w:val="00A15A22"/>
    <w:rsid w:val="00A15F70"/>
    <w:rsid w:val="00A15F74"/>
    <w:rsid w:val="00A160B8"/>
    <w:rsid w:val="00A16439"/>
    <w:rsid w:val="00A16562"/>
    <w:rsid w:val="00A1658D"/>
    <w:rsid w:val="00A16670"/>
    <w:rsid w:val="00A167D8"/>
    <w:rsid w:val="00A168D8"/>
    <w:rsid w:val="00A16930"/>
    <w:rsid w:val="00A16940"/>
    <w:rsid w:val="00A16AA6"/>
    <w:rsid w:val="00A16BD3"/>
    <w:rsid w:val="00A16C0C"/>
    <w:rsid w:val="00A16DFE"/>
    <w:rsid w:val="00A16EE4"/>
    <w:rsid w:val="00A16F8E"/>
    <w:rsid w:val="00A16F93"/>
    <w:rsid w:val="00A16FE5"/>
    <w:rsid w:val="00A1730F"/>
    <w:rsid w:val="00A1739D"/>
    <w:rsid w:val="00A1740B"/>
    <w:rsid w:val="00A17522"/>
    <w:rsid w:val="00A1758C"/>
    <w:rsid w:val="00A1773F"/>
    <w:rsid w:val="00A17B05"/>
    <w:rsid w:val="00A17CB4"/>
    <w:rsid w:val="00A200D3"/>
    <w:rsid w:val="00A2020B"/>
    <w:rsid w:val="00A20297"/>
    <w:rsid w:val="00A20300"/>
    <w:rsid w:val="00A2036C"/>
    <w:rsid w:val="00A2043A"/>
    <w:rsid w:val="00A2053C"/>
    <w:rsid w:val="00A205D7"/>
    <w:rsid w:val="00A2060B"/>
    <w:rsid w:val="00A2062D"/>
    <w:rsid w:val="00A20702"/>
    <w:rsid w:val="00A209B0"/>
    <w:rsid w:val="00A20B87"/>
    <w:rsid w:val="00A20BD7"/>
    <w:rsid w:val="00A20BE3"/>
    <w:rsid w:val="00A20D27"/>
    <w:rsid w:val="00A20F1C"/>
    <w:rsid w:val="00A20F91"/>
    <w:rsid w:val="00A20FA7"/>
    <w:rsid w:val="00A20FC3"/>
    <w:rsid w:val="00A21160"/>
    <w:rsid w:val="00A21162"/>
    <w:rsid w:val="00A21229"/>
    <w:rsid w:val="00A21239"/>
    <w:rsid w:val="00A21251"/>
    <w:rsid w:val="00A21303"/>
    <w:rsid w:val="00A2134C"/>
    <w:rsid w:val="00A213C7"/>
    <w:rsid w:val="00A21442"/>
    <w:rsid w:val="00A214F2"/>
    <w:rsid w:val="00A2179B"/>
    <w:rsid w:val="00A218C9"/>
    <w:rsid w:val="00A21BE4"/>
    <w:rsid w:val="00A21D27"/>
    <w:rsid w:val="00A21E3E"/>
    <w:rsid w:val="00A21E68"/>
    <w:rsid w:val="00A21EAC"/>
    <w:rsid w:val="00A22007"/>
    <w:rsid w:val="00A2215C"/>
    <w:rsid w:val="00A22163"/>
    <w:rsid w:val="00A22294"/>
    <w:rsid w:val="00A2237D"/>
    <w:rsid w:val="00A223C4"/>
    <w:rsid w:val="00A22405"/>
    <w:rsid w:val="00A22708"/>
    <w:rsid w:val="00A2281A"/>
    <w:rsid w:val="00A229B3"/>
    <w:rsid w:val="00A22BE9"/>
    <w:rsid w:val="00A22C4F"/>
    <w:rsid w:val="00A22CE4"/>
    <w:rsid w:val="00A22CE9"/>
    <w:rsid w:val="00A22E23"/>
    <w:rsid w:val="00A22F30"/>
    <w:rsid w:val="00A230D6"/>
    <w:rsid w:val="00A230DA"/>
    <w:rsid w:val="00A2315E"/>
    <w:rsid w:val="00A23163"/>
    <w:rsid w:val="00A23245"/>
    <w:rsid w:val="00A232A7"/>
    <w:rsid w:val="00A233CC"/>
    <w:rsid w:val="00A2359E"/>
    <w:rsid w:val="00A235F5"/>
    <w:rsid w:val="00A236EA"/>
    <w:rsid w:val="00A238DD"/>
    <w:rsid w:val="00A23BFD"/>
    <w:rsid w:val="00A23C36"/>
    <w:rsid w:val="00A23DC6"/>
    <w:rsid w:val="00A23E06"/>
    <w:rsid w:val="00A23E22"/>
    <w:rsid w:val="00A23F33"/>
    <w:rsid w:val="00A23F4E"/>
    <w:rsid w:val="00A24113"/>
    <w:rsid w:val="00A24167"/>
    <w:rsid w:val="00A241B8"/>
    <w:rsid w:val="00A2421E"/>
    <w:rsid w:val="00A244F4"/>
    <w:rsid w:val="00A24609"/>
    <w:rsid w:val="00A24692"/>
    <w:rsid w:val="00A2477F"/>
    <w:rsid w:val="00A247A0"/>
    <w:rsid w:val="00A248B1"/>
    <w:rsid w:val="00A24A67"/>
    <w:rsid w:val="00A24AC2"/>
    <w:rsid w:val="00A24D3C"/>
    <w:rsid w:val="00A24DAE"/>
    <w:rsid w:val="00A24DC2"/>
    <w:rsid w:val="00A24E7A"/>
    <w:rsid w:val="00A24F76"/>
    <w:rsid w:val="00A24FEF"/>
    <w:rsid w:val="00A2504D"/>
    <w:rsid w:val="00A2507C"/>
    <w:rsid w:val="00A250FA"/>
    <w:rsid w:val="00A250FF"/>
    <w:rsid w:val="00A2513E"/>
    <w:rsid w:val="00A25174"/>
    <w:rsid w:val="00A251F2"/>
    <w:rsid w:val="00A25440"/>
    <w:rsid w:val="00A25456"/>
    <w:rsid w:val="00A255AF"/>
    <w:rsid w:val="00A25733"/>
    <w:rsid w:val="00A257CE"/>
    <w:rsid w:val="00A2585B"/>
    <w:rsid w:val="00A258A1"/>
    <w:rsid w:val="00A25954"/>
    <w:rsid w:val="00A25A57"/>
    <w:rsid w:val="00A25B1E"/>
    <w:rsid w:val="00A25F04"/>
    <w:rsid w:val="00A25FD0"/>
    <w:rsid w:val="00A26002"/>
    <w:rsid w:val="00A26401"/>
    <w:rsid w:val="00A26549"/>
    <w:rsid w:val="00A266FA"/>
    <w:rsid w:val="00A267AD"/>
    <w:rsid w:val="00A267E9"/>
    <w:rsid w:val="00A268C6"/>
    <w:rsid w:val="00A2691F"/>
    <w:rsid w:val="00A26950"/>
    <w:rsid w:val="00A26976"/>
    <w:rsid w:val="00A26AC6"/>
    <w:rsid w:val="00A26AF2"/>
    <w:rsid w:val="00A26B1C"/>
    <w:rsid w:val="00A26BBF"/>
    <w:rsid w:val="00A26BD8"/>
    <w:rsid w:val="00A26EFA"/>
    <w:rsid w:val="00A26F47"/>
    <w:rsid w:val="00A2724C"/>
    <w:rsid w:val="00A272D3"/>
    <w:rsid w:val="00A2735C"/>
    <w:rsid w:val="00A273E9"/>
    <w:rsid w:val="00A27483"/>
    <w:rsid w:val="00A274DC"/>
    <w:rsid w:val="00A275C1"/>
    <w:rsid w:val="00A276B7"/>
    <w:rsid w:val="00A27703"/>
    <w:rsid w:val="00A2777A"/>
    <w:rsid w:val="00A278BB"/>
    <w:rsid w:val="00A279C5"/>
    <w:rsid w:val="00A27B77"/>
    <w:rsid w:val="00A27CC8"/>
    <w:rsid w:val="00A27D1B"/>
    <w:rsid w:val="00A27D6B"/>
    <w:rsid w:val="00A27E50"/>
    <w:rsid w:val="00A27F89"/>
    <w:rsid w:val="00A3005B"/>
    <w:rsid w:val="00A301D9"/>
    <w:rsid w:val="00A3047E"/>
    <w:rsid w:val="00A304D0"/>
    <w:rsid w:val="00A304ED"/>
    <w:rsid w:val="00A3068D"/>
    <w:rsid w:val="00A3069E"/>
    <w:rsid w:val="00A3082A"/>
    <w:rsid w:val="00A3090A"/>
    <w:rsid w:val="00A30948"/>
    <w:rsid w:val="00A30A96"/>
    <w:rsid w:val="00A30B87"/>
    <w:rsid w:val="00A30C5B"/>
    <w:rsid w:val="00A30C82"/>
    <w:rsid w:val="00A30CC7"/>
    <w:rsid w:val="00A311CB"/>
    <w:rsid w:val="00A31349"/>
    <w:rsid w:val="00A31544"/>
    <w:rsid w:val="00A31699"/>
    <w:rsid w:val="00A31880"/>
    <w:rsid w:val="00A319BC"/>
    <w:rsid w:val="00A319F3"/>
    <w:rsid w:val="00A319F7"/>
    <w:rsid w:val="00A31A1B"/>
    <w:rsid w:val="00A31A7C"/>
    <w:rsid w:val="00A31C16"/>
    <w:rsid w:val="00A31DF2"/>
    <w:rsid w:val="00A31E03"/>
    <w:rsid w:val="00A31E1F"/>
    <w:rsid w:val="00A31E88"/>
    <w:rsid w:val="00A31EA8"/>
    <w:rsid w:val="00A320F9"/>
    <w:rsid w:val="00A3213E"/>
    <w:rsid w:val="00A321C3"/>
    <w:rsid w:val="00A321CC"/>
    <w:rsid w:val="00A32285"/>
    <w:rsid w:val="00A32301"/>
    <w:rsid w:val="00A32328"/>
    <w:rsid w:val="00A3234D"/>
    <w:rsid w:val="00A32490"/>
    <w:rsid w:val="00A324BD"/>
    <w:rsid w:val="00A3252A"/>
    <w:rsid w:val="00A32748"/>
    <w:rsid w:val="00A32842"/>
    <w:rsid w:val="00A32853"/>
    <w:rsid w:val="00A328E5"/>
    <w:rsid w:val="00A32A46"/>
    <w:rsid w:val="00A32A6E"/>
    <w:rsid w:val="00A32B1A"/>
    <w:rsid w:val="00A32BA0"/>
    <w:rsid w:val="00A32C9C"/>
    <w:rsid w:val="00A32D06"/>
    <w:rsid w:val="00A32E87"/>
    <w:rsid w:val="00A32EC3"/>
    <w:rsid w:val="00A32F30"/>
    <w:rsid w:val="00A32FB9"/>
    <w:rsid w:val="00A33051"/>
    <w:rsid w:val="00A33100"/>
    <w:rsid w:val="00A332E6"/>
    <w:rsid w:val="00A334ED"/>
    <w:rsid w:val="00A338A5"/>
    <w:rsid w:val="00A3391F"/>
    <w:rsid w:val="00A33956"/>
    <w:rsid w:val="00A33BCB"/>
    <w:rsid w:val="00A33D2D"/>
    <w:rsid w:val="00A33DC8"/>
    <w:rsid w:val="00A33E5D"/>
    <w:rsid w:val="00A33FD3"/>
    <w:rsid w:val="00A33FDE"/>
    <w:rsid w:val="00A340B9"/>
    <w:rsid w:val="00A340CE"/>
    <w:rsid w:val="00A34108"/>
    <w:rsid w:val="00A34147"/>
    <w:rsid w:val="00A341DE"/>
    <w:rsid w:val="00A34241"/>
    <w:rsid w:val="00A34271"/>
    <w:rsid w:val="00A343EB"/>
    <w:rsid w:val="00A3446E"/>
    <w:rsid w:val="00A3447C"/>
    <w:rsid w:val="00A345AC"/>
    <w:rsid w:val="00A3462A"/>
    <w:rsid w:val="00A346EC"/>
    <w:rsid w:val="00A34AA1"/>
    <w:rsid w:val="00A34BC6"/>
    <w:rsid w:val="00A34C41"/>
    <w:rsid w:val="00A34D3A"/>
    <w:rsid w:val="00A34D40"/>
    <w:rsid w:val="00A34D60"/>
    <w:rsid w:val="00A34F84"/>
    <w:rsid w:val="00A34FEE"/>
    <w:rsid w:val="00A352D9"/>
    <w:rsid w:val="00A353CF"/>
    <w:rsid w:val="00A35507"/>
    <w:rsid w:val="00A3553A"/>
    <w:rsid w:val="00A35557"/>
    <w:rsid w:val="00A35686"/>
    <w:rsid w:val="00A3596B"/>
    <w:rsid w:val="00A359B5"/>
    <w:rsid w:val="00A35ABC"/>
    <w:rsid w:val="00A35BC2"/>
    <w:rsid w:val="00A35C9D"/>
    <w:rsid w:val="00A35D3E"/>
    <w:rsid w:val="00A35D93"/>
    <w:rsid w:val="00A35E5E"/>
    <w:rsid w:val="00A35F02"/>
    <w:rsid w:val="00A35F0B"/>
    <w:rsid w:val="00A362AA"/>
    <w:rsid w:val="00A362D7"/>
    <w:rsid w:val="00A362DE"/>
    <w:rsid w:val="00A3634D"/>
    <w:rsid w:val="00A3659E"/>
    <w:rsid w:val="00A36617"/>
    <w:rsid w:val="00A367A3"/>
    <w:rsid w:val="00A367AF"/>
    <w:rsid w:val="00A36823"/>
    <w:rsid w:val="00A368E0"/>
    <w:rsid w:val="00A36A95"/>
    <w:rsid w:val="00A36C00"/>
    <w:rsid w:val="00A36EB9"/>
    <w:rsid w:val="00A36F64"/>
    <w:rsid w:val="00A36F6B"/>
    <w:rsid w:val="00A36FD2"/>
    <w:rsid w:val="00A371C0"/>
    <w:rsid w:val="00A3722C"/>
    <w:rsid w:val="00A37292"/>
    <w:rsid w:val="00A372A2"/>
    <w:rsid w:val="00A37475"/>
    <w:rsid w:val="00A37513"/>
    <w:rsid w:val="00A375C9"/>
    <w:rsid w:val="00A375D7"/>
    <w:rsid w:val="00A378BD"/>
    <w:rsid w:val="00A3791E"/>
    <w:rsid w:val="00A37A98"/>
    <w:rsid w:val="00A37C01"/>
    <w:rsid w:val="00A37CF3"/>
    <w:rsid w:val="00A37D9C"/>
    <w:rsid w:val="00A37DBE"/>
    <w:rsid w:val="00A37E75"/>
    <w:rsid w:val="00A3C6B1"/>
    <w:rsid w:val="00A4012E"/>
    <w:rsid w:val="00A40135"/>
    <w:rsid w:val="00A40181"/>
    <w:rsid w:val="00A401EB"/>
    <w:rsid w:val="00A402C1"/>
    <w:rsid w:val="00A40405"/>
    <w:rsid w:val="00A4054A"/>
    <w:rsid w:val="00A4055D"/>
    <w:rsid w:val="00A4073E"/>
    <w:rsid w:val="00A4089E"/>
    <w:rsid w:val="00A40958"/>
    <w:rsid w:val="00A40997"/>
    <w:rsid w:val="00A40A03"/>
    <w:rsid w:val="00A40AC9"/>
    <w:rsid w:val="00A40BE2"/>
    <w:rsid w:val="00A40D0A"/>
    <w:rsid w:val="00A40D5A"/>
    <w:rsid w:val="00A40EEE"/>
    <w:rsid w:val="00A41023"/>
    <w:rsid w:val="00A41128"/>
    <w:rsid w:val="00A411E8"/>
    <w:rsid w:val="00A41225"/>
    <w:rsid w:val="00A413B1"/>
    <w:rsid w:val="00A413E4"/>
    <w:rsid w:val="00A414FD"/>
    <w:rsid w:val="00A415C8"/>
    <w:rsid w:val="00A417FB"/>
    <w:rsid w:val="00A41A15"/>
    <w:rsid w:val="00A41A68"/>
    <w:rsid w:val="00A41C92"/>
    <w:rsid w:val="00A41CEA"/>
    <w:rsid w:val="00A41D32"/>
    <w:rsid w:val="00A41E16"/>
    <w:rsid w:val="00A41E20"/>
    <w:rsid w:val="00A41F5E"/>
    <w:rsid w:val="00A41F9D"/>
    <w:rsid w:val="00A42009"/>
    <w:rsid w:val="00A420EA"/>
    <w:rsid w:val="00A420FD"/>
    <w:rsid w:val="00A42125"/>
    <w:rsid w:val="00A423FF"/>
    <w:rsid w:val="00A424AA"/>
    <w:rsid w:val="00A42852"/>
    <w:rsid w:val="00A4296A"/>
    <w:rsid w:val="00A42A81"/>
    <w:rsid w:val="00A42AF1"/>
    <w:rsid w:val="00A42B47"/>
    <w:rsid w:val="00A42C19"/>
    <w:rsid w:val="00A42C22"/>
    <w:rsid w:val="00A42D65"/>
    <w:rsid w:val="00A42E70"/>
    <w:rsid w:val="00A42EDE"/>
    <w:rsid w:val="00A42F7D"/>
    <w:rsid w:val="00A42F7F"/>
    <w:rsid w:val="00A42FAC"/>
    <w:rsid w:val="00A42FD9"/>
    <w:rsid w:val="00A43109"/>
    <w:rsid w:val="00A43139"/>
    <w:rsid w:val="00A431EB"/>
    <w:rsid w:val="00A4323B"/>
    <w:rsid w:val="00A433E4"/>
    <w:rsid w:val="00A437F2"/>
    <w:rsid w:val="00A43897"/>
    <w:rsid w:val="00A438C0"/>
    <w:rsid w:val="00A438E9"/>
    <w:rsid w:val="00A439FF"/>
    <w:rsid w:val="00A43B4E"/>
    <w:rsid w:val="00A43B94"/>
    <w:rsid w:val="00A43BB9"/>
    <w:rsid w:val="00A43CEE"/>
    <w:rsid w:val="00A43DB9"/>
    <w:rsid w:val="00A43E83"/>
    <w:rsid w:val="00A43F1F"/>
    <w:rsid w:val="00A44035"/>
    <w:rsid w:val="00A4443B"/>
    <w:rsid w:val="00A445A6"/>
    <w:rsid w:val="00A4470F"/>
    <w:rsid w:val="00A44782"/>
    <w:rsid w:val="00A447B8"/>
    <w:rsid w:val="00A44822"/>
    <w:rsid w:val="00A44830"/>
    <w:rsid w:val="00A448E8"/>
    <w:rsid w:val="00A4499F"/>
    <w:rsid w:val="00A44AAE"/>
    <w:rsid w:val="00A44B02"/>
    <w:rsid w:val="00A44DBD"/>
    <w:rsid w:val="00A44E0C"/>
    <w:rsid w:val="00A44E84"/>
    <w:rsid w:val="00A44E8F"/>
    <w:rsid w:val="00A44F30"/>
    <w:rsid w:val="00A4518E"/>
    <w:rsid w:val="00A45235"/>
    <w:rsid w:val="00A45391"/>
    <w:rsid w:val="00A4547E"/>
    <w:rsid w:val="00A455FC"/>
    <w:rsid w:val="00A45660"/>
    <w:rsid w:val="00A45725"/>
    <w:rsid w:val="00A458CA"/>
    <w:rsid w:val="00A45BFE"/>
    <w:rsid w:val="00A45CB4"/>
    <w:rsid w:val="00A45E4F"/>
    <w:rsid w:val="00A45F4D"/>
    <w:rsid w:val="00A45FCB"/>
    <w:rsid w:val="00A46059"/>
    <w:rsid w:val="00A461BE"/>
    <w:rsid w:val="00A46297"/>
    <w:rsid w:val="00A46599"/>
    <w:rsid w:val="00A466B0"/>
    <w:rsid w:val="00A46B14"/>
    <w:rsid w:val="00A46B9A"/>
    <w:rsid w:val="00A46BCD"/>
    <w:rsid w:val="00A46C13"/>
    <w:rsid w:val="00A46D4C"/>
    <w:rsid w:val="00A46F74"/>
    <w:rsid w:val="00A46F7F"/>
    <w:rsid w:val="00A4709B"/>
    <w:rsid w:val="00A470F0"/>
    <w:rsid w:val="00A47105"/>
    <w:rsid w:val="00A472E9"/>
    <w:rsid w:val="00A4734C"/>
    <w:rsid w:val="00A475BA"/>
    <w:rsid w:val="00A47842"/>
    <w:rsid w:val="00A47911"/>
    <w:rsid w:val="00A47A8B"/>
    <w:rsid w:val="00A47B9E"/>
    <w:rsid w:val="00A47D5D"/>
    <w:rsid w:val="00A47DC8"/>
    <w:rsid w:val="00A47E66"/>
    <w:rsid w:val="00A47F18"/>
    <w:rsid w:val="00A47F83"/>
    <w:rsid w:val="00A47FB7"/>
    <w:rsid w:val="00A5011D"/>
    <w:rsid w:val="00A50317"/>
    <w:rsid w:val="00A504E9"/>
    <w:rsid w:val="00A50577"/>
    <w:rsid w:val="00A50627"/>
    <w:rsid w:val="00A50708"/>
    <w:rsid w:val="00A507F9"/>
    <w:rsid w:val="00A5082E"/>
    <w:rsid w:val="00A50908"/>
    <w:rsid w:val="00A50950"/>
    <w:rsid w:val="00A50B5A"/>
    <w:rsid w:val="00A50C9F"/>
    <w:rsid w:val="00A511B2"/>
    <w:rsid w:val="00A51218"/>
    <w:rsid w:val="00A513A8"/>
    <w:rsid w:val="00A513AA"/>
    <w:rsid w:val="00A513DE"/>
    <w:rsid w:val="00A5149F"/>
    <w:rsid w:val="00A514CA"/>
    <w:rsid w:val="00A5151F"/>
    <w:rsid w:val="00A515DF"/>
    <w:rsid w:val="00A5162A"/>
    <w:rsid w:val="00A51661"/>
    <w:rsid w:val="00A51853"/>
    <w:rsid w:val="00A51856"/>
    <w:rsid w:val="00A5188B"/>
    <w:rsid w:val="00A51954"/>
    <w:rsid w:val="00A5195B"/>
    <w:rsid w:val="00A51A17"/>
    <w:rsid w:val="00A51A20"/>
    <w:rsid w:val="00A51AA4"/>
    <w:rsid w:val="00A51C04"/>
    <w:rsid w:val="00A51C07"/>
    <w:rsid w:val="00A51F5C"/>
    <w:rsid w:val="00A51FBD"/>
    <w:rsid w:val="00A52034"/>
    <w:rsid w:val="00A52074"/>
    <w:rsid w:val="00A52183"/>
    <w:rsid w:val="00A523E9"/>
    <w:rsid w:val="00A524B1"/>
    <w:rsid w:val="00A525BD"/>
    <w:rsid w:val="00A52689"/>
    <w:rsid w:val="00A52729"/>
    <w:rsid w:val="00A52ADF"/>
    <w:rsid w:val="00A52B6C"/>
    <w:rsid w:val="00A52B74"/>
    <w:rsid w:val="00A52BCC"/>
    <w:rsid w:val="00A52C3D"/>
    <w:rsid w:val="00A52D51"/>
    <w:rsid w:val="00A52E24"/>
    <w:rsid w:val="00A52EA5"/>
    <w:rsid w:val="00A53078"/>
    <w:rsid w:val="00A5312E"/>
    <w:rsid w:val="00A53200"/>
    <w:rsid w:val="00A5338B"/>
    <w:rsid w:val="00A5340E"/>
    <w:rsid w:val="00A5343C"/>
    <w:rsid w:val="00A5345E"/>
    <w:rsid w:val="00A5363E"/>
    <w:rsid w:val="00A538F9"/>
    <w:rsid w:val="00A53962"/>
    <w:rsid w:val="00A539CC"/>
    <w:rsid w:val="00A53B91"/>
    <w:rsid w:val="00A53EB2"/>
    <w:rsid w:val="00A53EF1"/>
    <w:rsid w:val="00A53F16"/>
    <w:rsid w:val="00A53F2E"/>
    <w:rsid w:val="00A53F51"/>
    <w:rsid w:val="00A53FF1"/>
    <w:rsid w:val="00A5406B"/>
    <w:rsid w:val="00A540BD"/>
    <w:rsid w:val="00A5428F"/>
    <w:rsid w:val="00A5429E"/>
    <w:rsid w:val="00A54375"/>
    <w:rsid w:val="00A543D8"/>
    <w:rsid w:val="00A54496"/>
    <w:rsid w:val="00A54580"/>
    <w:rsid w:val="00A545C6"/>
    <w:rsid w:val="00A545EB"/>
    <w:rsid w:val="00A545FA"/>
    <w:rsid w:val="00A54698"/>
    <w:rsid w:val="00A54712"/>
    <w:rsid w:val="00A54935"/>
    <w:rsid w:val="00A549CD"/>
    <w:rsid w:val="00A549D0"/>
    <w:rsid w:val="00A54A43"/>
    <w:rsid w:val="00A54A7C"/>
    <w:rsid w:val="00A54B24"/>
    <w:rsid w:val="00A54BB1"/>
    <w:rsid w:val="00A54C27"/>
    <w:rsid w:val="00A54C30"/>
    <w:rsid w:val="00A54DA5"/>
    <w:rsid w:val="00A54DCD"/>
    <w:rsid w:val="00A54DED"/>
    <w:rsid w:val="00A54EE2"/>
    <w:rsid w:val="00A54F10"/>
    <w:rsid w:val="00A54F5E"/>
    <w:rsid w:val="00A54FE7"/>
    <w:rsid w:val="00A550E3"/>
    <w:rsid w:val="00A55173"/>
    <w:rsid w:val="00A5552C"/>
    <w:rsid w:val="00A5554C"/>
    <w:rsid w:val="00A555A8"/>
    <w:rsid w:val="00A55620"/>
    <w:rsid w:val="00A55757"/>
    <w:rsid w:val="00A55821"/>
    <w:rsid w:val="00A5585E"/>
    <w:rsid w:val="00A55872"/>
    <w:rsid w:val="00A559B5"/>
    <w:rsid w:val="00A55BDC"/>
    <w:rsid w:val="00A55DC3"/>
    <w:rsid w:val="00A55DE9"/>
    <w:rsid w:val="00A55E78"/>
    <w:rsid w:val="00A56132"/>
    <w:rsid w:val="00A56310"/>
    <w:rsid w:val="00A56579"/>
    <w:rsid w:val="00A566B8"/>
    <w:rsid w:val="00A56833"/>
    <w:rsid w:val="00A56A79"/>
    <w:rsid w:val="00A56ADB"/>
    <w:rsid w:val="00A56CA1"/>
    <w:rsid w:val="00A56CD8"/>
    <w:rsid w:val="00A56CF4"/>
    <w:rsid w:val="00A56DD8"/>
    <w:rsid w:val="00A56F1C"/>
    <w:rsid w:val="00A56F73"/>
    <w:rsid w:val="00A57030"/>
    <w:rsid w:val="00A5703B"/>
    <w:rsid w:val="00A57177"/>
    <w:rsid w:val="00A571EC"/>
    <w:rsid w:val="00A57318"/>
    <w:rsid w:val="00A57465"/>
    <w:rsid w:val="00A576FD"/>
    <w:rsid w:val="00A577E6"/>
    <w:rsid w:val="00A578A2"/>
    <w:rsid w:val="00A579BE"/>
    <w:rsid w:val="00A57CA0"/>
    <w:rsid w:val="00A57D0A"/>
    <w:rsid w:val="00A57DF2"/>
    <w:rsid w:val="00A57E43"/>
    <w:rsid w:val="00A57F8B"/>
    <w:rsid w:val="00A6029D"/>
    <w:rsid w:val="00A602DA"/>
    <w:rsid w:val="00A6039E"/>
    <w:rsid w:val="00A603D8"/>
    <w:rsid w:val="00A60456"/>
    <w:rsid w:val="00A6054B"/>
    <w:rsid w:val="00A605CC"/>
    <w:rsid w:val="00A6063A"/>
    <w:rsid w:val="00A6064B"/>
    <w:rsid w:val="00A6071D"/>
    <w:rsid w:val="00A607A2"/>
    <w:rsid w:val="00A607C0"/>
    <w:rsid w:val="00A6080C"/>
    <w:rsid w:val="00A60B01"/>
    <w:rsid w:val="00A60B1B"/>
    <w:rsid w:val="00A60F48"/>
    <w:rsid w:val="00A6128B"/>
    <w:rsid w:val="00A612BB"/>
    <w:rsid w:val="00A61365"/>
    <w:rsid w:val="00A613D9"/>
    <w:rsid w:val="00A61509"/>
    <w:rsid w:val="00A6185E"/>
    <w:rsid w:val="00A619A0"/>
    <w:rsid w:val="00A619C8"/>
    <w:rsid w:val="00A619CB"/>
    <w:rsid w:val="00A619DE"/>
    <w:rsid w:val="00A61A73"/>
    <w:rsid w:val="00A61AEB"/>
    <w:rsid w:val="00A61C4D"/>
    <w:rsid w:val="00A61CB4"/>
    <w:rsid w:val="00A61D31"/>
    <w:rsid w:val="00A61DA7"/>
    <w:rsid w:val="00A61F17"/>
    <w:rsid w:val="00A6203D"/>
    <w:rsid w:val="00A62092"/>
    <w:rsid w:val="00A62163"/>
    <w:rsid w:val="00A621A3"/>
    <w:rsid w:val="00A6231B"/>
    <w:rsid w:val="00A6265B"/>
    <w:rsid w:val="00A6269A"/>
    <w:rsid w:val="00A6281F"/>
    <w:rsid w:val="00A62836"/>
    <w:rsid w:val="00A6284C"/>
    <w:rsid w:val="00A628C1"/>
    <w:rsid w:val="00A62A1F"/>
    <w:rsid w:val="00A62A5B"/>
    <w:rsid w:val="00A62C07"/>
    <w:rsid w:val="00A62C3D"/>
    <w:rsid w:val="00A62FFB"/>
    <w:rsid w:val="00A63030"/>
    <w:rsid w:val="00A6330F"/>
    <w:rsid w:val="00A635DE"/>
    <w:rsid w:val="00A6360A"/>
    <w:rsid w:val="00A63646"/>
    <w:rsid w:val="00A63968"/>
    <w:rsid w:val="00A63ACE"/>
    <w:rsid w:val="00A63E86"/>
    <w:rsid w:val="00A63EBA"/>
    <w:rsid w:val="00A6436E"/>
    <w:rsid w:val="00A6443C"/>
    <w:rsid w:val="00A644D7"/>
    <w:rsid w:val="00A644F8"/>
    <w:rsid w:val="00A6462D"/>
    <w:rsid w:val="00A64700"/>
    <w:rsid w:val="00A64876"/>
    <w:rsid w:val="00A648E4"/>
    <w:rsid w:val="00A6493A"/>
    <w:rsid w:val="00A649F1"/>
    <w:rsid w:val="00A64B14"/>
    <w:rsid w:val="00A64B53"/>
    <w:rsid w:val="00A64E24"/>
    <w:rsid w:val="00A64E78"/>
    <w:rsid w:val="00A64FCE"/>
    <w:rsid w:val="00A650A6"/>
    <w:rsid w:val="00A650DB"/>
    <w:rsid w:val="00A650FD"/>
    <w:rsid w:val="00A651A9"/>
    <w:rsid w:val="00A65211"/>
    <w:rsid w:val="00A6522B"/>
    <w:rsid w:val="00A6523E"/>
    <w:rsid w:val="00A652FC"/>
    <w:rsid w:val="00A65378"/>
    <w:rsid w:val="00A65392"/>
    <w:rsid w:val="00A654DC"/>
    <w:rsid w:val="00A65508"/>
    <w:rsid w:val="00A6555B"/>
    <w:rsid w:val="00A65586"/>
    <w:rsid w:val="00A65592"/>
    <w:rsid w:val="00A65637"/>
    <w:rsid w:val="00A6576F"/>
    <w:rsid w:val="00A657B7"/>
    <w:rsid w:val="00A65810"/>
    <w:rsid w:val="00A6585B"/>
    <w:rsid w:val="00A65869"/>
    <w:rsid w:val="00A658F1"/>
    <w:rsid w:val="00A65958"/>
    <w:rsid w:val="00A65ABB"/>
    <w:rsid w:val="00A65B7B"/>
    <w:rsid w:val="00A65C95"/>
    <w:rsid w:val="00A65EA2"/>
    <w:rsid w:val="00A65FE6"/>
    <w:rsid w:val="00A66116"/>
    <w:rsid w:val="00A6617D"/>
    <w:rsid w:val="00A66319"/>
    <w:rsid w:val="00A66399"/>
    <w:rsid w:val="00A66441"/>
    <w:rsid w:val="00A66482"/>
    <w:rsid w:val="00A664F0"/>
    <w:rsid w:val="00A666D8"/>
    <w:rsid w:val="00A66703"/>
    <w:rsid w:val="00A6675E"/>
    <w:rsid w:val="00A66763"/>
    <w:rsid w:val="00A66767"/>
    <w:rsid w:val="00A668BA"/>
    <w:rsid w:val="00A668E3"/>
    <w:rsid w:val="00A66986"/>
    <w:rsid w:val="00A66999"/>
    <w:rsid w:val="00A669FC"/>
    <w:rsid w:val="00A66A45"/>
    <w:rsid w:val="00A66B68"/>
    <w:rsid w:val="00A66C00"/>
    <w:rsid w:val="00A66CB7"/>
    <w:rsid w:val="00A66CDF"/>
    <w:rsid w:val="00A66D9C"/>
    <w:rsid w:val="00A67138"/>
    <w:rsid w:val="00A67147"/>
    <w:rsid w:val="00A6715F"/>
    <w:rsid w:val="00A672F3"/>
    <w:rsid w:val="00A672F9"/>
    <w:rsid w:val="00A673B4"/>
    <w:rsid w:val="00A674FD"/>
    <w:rsid w:val="00A6756A"/>
    <w:rsid w:val="00A676E9"/>
    <w:rsid w:val="00A67703"/>
    <w:rsid w:val="00A67710"/>
    <w:rsid w:val="00A67780"/>
    <w:rsid w:val="00A6785D"/>
    <w:rsid w:val="00A678F7"/>
    <w:rsid w:val="00A67908"/>
    <w:rsid w:val="00A679AD"/>
    <w:rsid w:val="00A67AE1"/>
    <w:rsid w:val="00A67B1A"/>
    <w:rsid w:val="00A67B3B"/>
    <w:rsid w:val="00A67BE6"/>
    <w:rsid w:val="00A67C61"/>
    <w:rsid w:val="00A67CA4"/>
    <w:rsid w:val="00A67D86"/>
    <w:rsid w:val="00A7001B"/>
    <w:rsid w:val="00A7012F"/>
    <w:rsid w:val="00A70206"/>
    <w:rsid w:val="00A7022E"/>
    <w:rsid w:val="00A703CA"/>
    <w:rsid w:val="00A703EF"/>
    <w:rsid w:val="00A70598"/>
    <w:rsid w:val="00A705ED"/>
    <w:rsid w:val="00A706CE"/>
    <w:rsid w:val="00A706D9"/>
    <w:rsid w:val="00A7070D"/>
    <w:rsid w:val="00A7071C"/>
    <w:rsid w:val="00A707D4"/>
    <w:rsid w:val="00A70867"/>
    <w:rsid w:val="00A70A0E"/>
    <w:rsid w:val="00A70A97"/>
    <w:rsid w:val="00A70ADF"/>
    <w:rsid w:val="00A70C5A"/>
    <w:rsid w:val="00A70CCC"/>
    <w:rsid w:val="00A70CCF"/>
    <w:rsid w:val="00A70D82"/>
    <w:rsid w:val="00A70E75"/>
    <w:rsid w:val="00A70E99"/>
    <w:rsid w:val="00A70EFD"/>
    <w:rsid w:val="00A70F01"/>
    <w:rsid w:val="00A70FCB"/>
    <w:rsid w:val="00A710F5"/>
    <w:rsid w:val="00A7111F"/>
    <w:rsid w:val="00A7136F"/>
    <w:rsid w:val="00A71416"/>
    <w:rsid w:val="00A714DE"/>
    <w:rsid w:val="00A71533"/>
    <w:rsid w:val="00A71540"/>
    <w:rsid w:val="00A7164A"/>
    <w:rsid w:val="00A71769"/>
    <w:rsid w:val="00A717A5"/>
    <w:rsid w:val="00A7181C"/>
    <w:rsid w:val="00A7182E"/>
    <w:rsid w:val="00A718A8"/>
    <w:rsid w:val="00A71972"/>
    <w:rsid w:val="00A71A82"/>
    <w:rsid w:val="00A71AD7"/>
    <w:rsid w:val="00A71CDA"/>
    <w:rsid w:val="00A71EB6"/>
    <w:rsid w:val="00A71EC8"/>
    <w:rsid w:val="00A720B6"/>
    <w:rsid w:val="00A721DF"/>
    <w:rsid w:val="00A72302"/>
    <w:rsid w:val="00A72330"/>
    <w:rsid w:val="00A72431"/>
    <w:rsid w:val="00A72448"/>
    <w:rsid w:val="00A7245F"/>
    <w:rsid w:val="00A7260F"/>
    <w:rsid w:val="00A7283A"/>
    <w:rsid w:val="00A72912"/>
    <w:rsid w:val="00A729E5"/>
    <w:rsid w:val="00A72A3A"/>
    <w:rsid w:val="00A72B5A"/>
    <w:rsid w:val="00A72B90"/>
    <w:rsid w:val="00A72B9B"/>
    <w:rsid w:val="00A72BA3"/>
    <w:rsid w:val="00A72BE1"/>
    <w:rsid w:val="00A72BF8"/>
    <w:rsid w:val="00A72D3B"/>
    <w:rsid w:val="00A72F68"/>
    <w:rsid w:val="00A73067"/>
    <w:rsid w:val="00A7319F"/>
    <w:rsid w:val="00A73200"/>
    <w:rsid w:val="00A732E3"/>
    <w:rsid w:val="00A73423"/>
    <w:rsid w:val="00A735D8"/>
    <w:rsid w:val="00A7395E"/>
    <w:rsid w:val="00A73A01"/>
    <w:rsid w:val="00A73DA6"/>
    <w:rsid w:val="00A73DAF"/>
    <w:rsid w:val="00A74340"/>
    <w:rsid w:val="00A743CC"/>
    <w:rsid w:val="00A744D9"/>
    <w:rsid w:val="00A745A3"/>
    <w:rsid w:val="00A747C8"/>
    <w:rsid w:val="00A74861"/>
    <w:rsid w:val="00A74996"/>
    <w:rsid w:val="00A749BF"/>
    <w:rsid w:val="00A74C5A"/>
    <w:rsid w:val="00A74CB3"/>
    <w:rsid w:val="00A74CF4"/>
    <w:rsid w:val="00A74DA3"/>
    <w:rsid w:val="00A74DEF"/>
    <w:rsid w:val="00A74FC2"/>
    <w:rsid w:val="00A74FCF"/>
    <w:rsid w:val="00A75101"/>
    <w:rsid w:val="00A751E6"/>
    <w:rsid w:val="00A751F5"/>
    <w:rsid w:val="00A753A3"/>
    <w:rsid w:val="00A7541E"/>
    <w:rsid w:val="00A75568"/>
    <w:rsid w:val="00A755EF"/>
    <w:rsid w:val="00A75674"/>
    <w:rsid w:val="00A7582C"/>
    <w:rsid w:val="00A75871"/>
    <w:rsid w:val="00A7588C"/>
    <w:rsid w:val="00A75A75"/>
    <w:rsid w:val="00A75BC3"/>
    <w:rsid w:val="00A75C2E"/>
    <w:rsid w:val="00A75CE8"/>
    <w:rsid w:val="00A75EE8"/>
    <w:rsid w:val="00A75F13"/>
    <w:rsid w:val="00A75F41"/>
    <w:rsid w:val="00A76143"/>
    <w:rsid w:val="00A76207"/>
    <w:rsid w:val="00A76394"/>
    <w:rsid w:val="00A7639E"/>
    <w:rsid w:val="00A763BD"/>
    <w:rsid w:val="00A7659D"/>
    <w:rsid w:val="00A76633"/>
    <w:rsid w:val="00A7664F"/>
    <w:rsid w:val="00A766A5"/>
    <w:rsid w:val="00A766B3"/>
    <w:rsid w:val="00A76937"/>
    <w:rsid w:val="00A769A4"/>
    <w:rsid w:val="00A769FA"/>
    <w:rsid w:val="00A76A20"/>
    <w:rsid w:val="00A76B50"/>
    <w:rsid w:val="00A76C6B"/>
    <w:rsid w:val="00A76CC8"/>
    <w:rsid w:val="00A76CEA"/>
    <w:rsid w:val="00A76E28"/>
    <w:rsid w:val="00A76E64"/>
    <w:rsid w:val="00A76EBE"/>
    <w:rsid w:val="00A76F08"/>
    <w:rsid w:val="00A76F8E"/>
    <w:rsid w:val="00A77083"/>
    <w:rsid w:val="00A770D5"/>
    <w:rsid w:val="00A7735E"/>
    <w:rsid w:val="00A77632"/>
    <w:rsid w:val="00A77682"/>
    <w:rsid w:val="00A776BB"/>
    <w:rsid w:val="00A77721"/>
    <w:rsid w:val="00A7774F"/>
    <w:rsid w:val="00A77762"/>
    <w:rsid w:val="00A7785C"/>
    <w:rsid w:val="00A778C0"/>
    <w:rsid w:val="00A7799B"/>
    <w:rsid w:val="00A779CB"/>
    <w:rsid w:val="00A77A80"/>
    <w:rsid w:val="00A77D04"/>
    <w:rsid w:val="00A77E10"/>
    <w:rsid w:val="00A77F4E"/>
    <w:rsid w:val="00A801BB"/>
    <w:rsid w:val="00A802E5"/>
    <w:rsid w:val="00A80332"/>
    <w:rsid w:val="00A80555"/>
    <w:rsid w:val="00A8056D"/>
    <w:rsid w:val="00A80624"/>
    <w:rsid w:val="00A806A9"/>
    <w:rsid w:val="00A806D1"/>
    <w:rsid w:val="00A80707"/>
    <w:rsid w:val="00A8079E"/>
    <w:rsid w:val="00A80882"/>
    <w:rsid w:val="00A808AD"/>
    <w:rsid w:val="00A80922"/>
    <w:rsid w:val="00A80B63"/>
    <w:rsid w:val="00A80BC2"/>
    <w:rsid w:val="00A80C39"/>
    <w:rsid w:val="00A80C8F"/>
    <w:rsid w:val="00A80C91"/>
    <w:rsid w:val="00A80E28"/>
    <w:rsid w:val="00A80F16"/>
    <w:rsid w:val="00A80F92"/>
    <w:rsid w:val="00A81173"/>
    <w:rsid w:val="00A811F8"/>
    <w:rsid w:val="00A81225"/>
    <w:rsid w:val="00A812BB"/>
    <w:rsid w:val="00A812F4"/>
    <w:rsid w:val="00A81333"/>
    <w:rsid w:val="00A81535"/>
    <w:rsid w:val="00A81674"/>
    <w:rsid w:val="00A818B0"/>
    <w:rsid w:val="00A8190C"/>
    <w:rsid w:val="00A8194B"/>
    <w:rsid w:val="00A81977"/>
    <w:rsid w:val="00A81C96"/>
    <w:rsid w:val="00A81D21"/>
    <w:rsid w:val="00A81D5B"/>
    <w:rsid w:val="00A82137"/>
    <w:rsid w:val="00A8215F"/>
    <w:rsid w:val="00A8227B"/>
    <w:rsid w:val="00A82355"/>
    <w:rsid w:val="00A82478"/>
    <w:rsid w:val="00A825B1"/>
    <w:rsid w:val="00A82656"/>
    <w:rsid w:val="00A82670"/>
    <w:rsid w:val="00A8271B"/>
    <w:rsid w:val="00A82780"/>
    <w:rsid w:val="00A82844"/>
    <w:rsid w:val="00A82B19"/>
    <w:rsid w:val="00A82B74"/>
    <w:rsid w:val="00A82BD1"/>
    <w:rsid w:val="00A82C02"/>
    <w:rsid w:val="00A82E42"/>
    <w:rsid w:val="00A82E90"/>
    <w:rsid w:val="00A8323E"/>
    <w:rsid w:val="00A832BD"/>
    <w:rsid w:val="00A832DD"/>
    <w:rsid w:val="00A8332E"/>
    <w:rsid w:val="00A8339D"/>
    <w:rsid w:val="00A833B4"/>
    <w:rsid w:val="00A8345B"/>
    <w:rsid w:val="00A83569"/>
    <w:rsid w:val="00A8356E"/>
    <w:rsid w:val="00A835B8"/>
    <w:rsid w:val="00A835E0"/>
    <w:rsid w:val="00A83611"/>
    <w:rsid w:val="00A837AF"/>
    <w:rsid w:val="00A837C1"/>
    <w:rsid w:val="00A839A1"/>
    <w:rsid w:val="00A83B31"/>
    <w:rsid w:val="00A83E75"/>
    <w:rsid w:val="00A83F33"/>
    <w:rsid w:val="00A83F61"/>
    <w:rsid w:val="00A83F8B"/>
    <w:rsid w:val="00A83FB3"/>
    <w:rsid w:val="00A84153"/>
    <w:rsid w:val="00A84200"/>
    <w:rsid w:val="00A8426E"/>
    <w:rsid w:val="00A842E9"/>
    <w:rsid w:val="00A84528"/>
    <w:rsid w:val="00A8463F"/>
    <w:rsid w:val="00A84654"/>
    <w:rsid w:val="00A847C1"/>
    <w:rsid w:val="00A847E0"/>
    <w:rsid w:val="00A847EE"/>
    <w:rsid w:val="00A84891"/>
    <w:rsid w:val="00A84911"/>
    <w:rsid w:val="00A84AB5"/>
    <w:rsid w:val="00A84AF1"/>
    <w:rsid w:val="00A84B15"/>
    <w:rsid w:val="00A84BE6"/>
    <w:rsid w:val="00A84BF3"/>
    <w:rsid w:val="00A84C3C"/>
    <w:rsid w:val="00A84E83"/>
    <w:rsid w:val="00A84F01"/>
    <w:rsid w:val="00A85032"/>
    <w:rsid w:val="00A85103"/>
    <w:rsid w:val="00A85129"/>
    <w:rsid w:val="00A851A5"/>
    <w:rsid w:val="00A853DC"/>
    <w:rsid w:val="00A854AB"/>
    <w:rsid w:val="00A855B6"/>
    <w:rsid w:val="00A85752"/>
    <w:rsid w:val="00A85809"/>
    <w:rsid w:val="00A858DC"/>
    <w:rsid w:val="00A85B1D"/>
    <w:rsid w:val="00A85B33"/>
    <w:rsid w:val="00A85BFE"/>
    <w:rsid w:val="00A85EF9"/>
    <w:rsid w:val="00A85FAB"/>
    <w:rsid w:val="00A85FC1"/>
    <w:rsid w:val="00A8601A"/>
    <w:rsid w:val="00A86182"/>
    <w:rsid w:val="00A863AA"/>
    <w:rsid w:val="00A86411"/>
    <w:rsid w:val="00A865EA"/>
    <w:rsid w:val="00A8661D"/>
    <w:rsid w:val="00A866BE"/>
    <w:rsid w:val="00A86770"/>
    <w:rsid w:val="00A86855"/>
    <w:rsid w:val="00A868AD"/>
    <w:rsid w:val="00A8698B"/>
    <w:rsid w:val="00A86FCA"/>
    <w:rsid w:val="00A87029"/>
    <w:rsid w:val="00A87086"/>
    <w:rsid w:val="00A871CB"/>
    <w:rsid w:val="00A87298"/>
    <w:rsid w:val="00A8740B"/>
    <w:rsid w:val="00A87488"/>
    <w:rsid w:val="00A874B2"/>
    <w:rsid w:val="00A87597"/>
    <w:rsid w:val="00A875B0"/>
    <w:rsid w:val="00A875BD"/>
    <w:rsid w:val="00A87843"/>
    <w:rsid w:val="00A879E4"/>
    <w:rsid w:val="00A879FC"/>
    <w:rsid w:val="00A87A16"/>
    <w:rsid w:val="00A87B58"/>
    <w:rsid w:val="00A87C40"/>
    <w:rsid w:val="00A87C6D"/>
    <w:rsid w:val="00A87DDE"/>
    <w:rsid w:val="00A87FEC"/>
    <w:rsid w:val="00A901B2"/>
    <w:rsid w:val="00A901B4"/>
    <w:rsid w:val="00A9047B"/>
    <w:rsid w:val="00A90673"/>
    <w:rsid w:val="00A90809"/>
    <w:rsid w:val="00A90832"/>
    <w:rsid w:val="00A90887"/>
    <w:rsid w:val="00A90958"/>
    <w:rsid w:val="00A909AC"/>
    <w:rsid w:val="00A90A55"/>
    <w:rsid w:val="00A90A81"/>
    <w:rsid w:val="00A90A8D"/>
    <w:rsid w:val="00A90AC2"/>
    <w:rsid w:val="00A90B0C"/>
    <w:rsid w:val="00A90BEB"/>
    <w:rsid w:val="00A90C05"/>
    <w:rsid w:val="00A90C2C"/>
    <w:rsid w:val="00A90D9F"/>
    <w:rsid w:val="00A90E3E"/>
    <w:rsid w:val="00A91205"/>
    <w:rsid w:val="00A91241"/>
    <w:rsid w:val="00A912A7"/>
    <w:rsid w:val="00A91345"/>
    <w:rsid w:val="00A913BE"/>
    <w:rsid w:val="00A9143D"/>
    <w:rsid w:val="00A9155B"/>
    <w:rsid w:val="00A91572"/>
    <w:rsid w:val="00A915D9"/>
    <w:rsid w:val="00A91630"/>
    <w:rsid w:val="00A91684"/>
    <w:rsid w:val="00A916E2"/>
    <w:rsid w:val="00A917D4"/>
    <w:rsid w:val="00A91845"/>
    <w:rsid w:val="00A91849"/>
    <w:rsid w:val="00A918C7"/>
    <w:rsid w:val="00A918EE"/>
    <w:rsid w:val="00A919AD"/>
    <w:rsid w:val="00A919BA"/>
    <w:rsid w:val="00A919DA"/>
    <w:rsid w:val="00A919DC"/>
    <w:rsid w:val="00A91AE6"/>
    <w:rsid w:val="00A91B37"/>
    <w:rsid w:val="00A91C78"/>
    <w:rsid w:val="00A91C9F"/>
    <w:rsid w:val="00A91CEC"/>
    <w:rsid w:val="00A91CFD"/>
    <w:rsid w:val="00A91D46"/>
    <w:rsid w:val="00A91ED1"/>
    <w:rsid w:val="00A92060"/>
    <w:rsid w:val="00A920EC"/>
    <w:rsid w:val="00A923E7"/>
    <w:rsid w:val="00A9246B"/>
    <w:rsid w:val="00A924F3"/>
    <w:rsid w:val="00A9251F"/>
    <w:rsid w:val="00A928A9"/>
    <w:rsid w:val="00A929C1"/>
    <w:rsid w:val="00A92A57"/>
    <w:rsid w:val="00A92AEC"/>
    <w:rsid w:val="00A92CA6"/>
    <w:rsid w:val="00A92CB0"/>
    <w:rsid w:val="00A92D36"/>
    <w:rsid w:val="00A92F08"/>
    <w:rsid w:val="00A92F26"/>
    <w:rsid w:val="00A92F6B"/>
    <w:rsid w:val="00A93019"/>
    <w:rsid w:val="00A9307B"/>
    <w:rsid w:val="00A93219"/>
    <w:rsid w:val="00A93245"/>
    <w:rsid w:val="00A93445"/>
    <w:rsid w:val="00A934B1"/>
    <w:rsid w:val="00A9359D"/>
    <w:rsid w:val="00A93638"/>
    <w:rsid w:val="00A937F4"/>
    <w:rsid w:val="00A93959"/>
    <w:rsid w:val="00A939F7"/>
    <w:rsid w:val="00A93A56"/>
    <w:rsid w:val="00A93B39"/>
    <w:rsid w:val="00A93B5A"/>
    <w:rsid w:val="00A93B8F"/>
    <w:rsid w:val="00A93B94"/>
    <w:rsid w:val="00A93DC5"/>
    <w:rsid w:val="00A93F29"/>
    <w:rsid w:val="00A93F2C"/>
    <w:rsid w:val="00A93FD0"/>
    <w:rsid w:val="00A9401C"/>
    <w:rsid w:val="00A94066"/>
    <w:rsid w:val="00A942A3"/>
    <w:rsid w:val="00A942FE"/>
    <w:rsid w:val="00A94436"/>
    <w:rsid w:val="00A944E0"/>
    <w:rsid w:val="00A9493B"/>
    <w:rsid w:val="00A94981"/>
    <w:rsid w:val="00A94A3A"/>
    <w:rsid w:val="00A94A99"/>
    <w:rsid w:val="00A94B5F"/>
    <w:rsid w:val="00A94C92"/>
    <w:rsid w:val="00A94E7D"/>
    <w:rsid w:val="00A94EEC"/>
    <w:rsid w:val="00A94F32"/>
    <w:rsid w:val="00A94F56"/>
    <w:rsid w:val="00A95032"/>
    <w:rsid w:val="00A951AD"/>
    <w:rsid w:val="00A9520F"/>
    <w:rsid w:val="00A953D9"/>
    <w:rsid w:val="00A954E7"/>
    <w:rsid w:val="00A954F3"/>
    <w:rsid w:val="00A9553F"/>
    <w:rsid w:val="00A958A0"/>
    <w:rsid w:val="00A959F3"/>
    <w:rsid w:val="00A95B0B"/>
    <w:rsid w:val="00A95B1E"/>
    <w:rsid w:val="00A95B95"/>
    <w:rsid w:val="00A95C0A"/>
    <w:rsid w:val="00A95C7A"/>
    <w:rsid w:val="00A95DF1"/>
    <w:rsid w:val="00A961A4"/>
    <w:rsid w:val="00A96215"/>
    <w:rsid w:val="00A962AA"/>
    <w:rsid w:val="00A96349"/>
    <w:rsid w:val="00A9681A"/>
    <w:rsid w:val="00A969C0"/>
    <w:rsid w:val="00A969D8"/>
    <w:rsid w:val="00A96AE1"/>
    <w:rsid w:val="00A970D1"/>
    <w:rsid w:val="00A97125"/>
    <w:rsid w:val="00A97186"/>
    <w:rsid w:val="00A97206"/>
    <w:rsid w:val="00A9744C"/>
    <w:rsid w:val="00A9747F"/>
    <w:rsid w:val="00A97481"/>
    <w:rsid w:val="00A97B1A"/>
    <w:rsid w:val="00A97B9C"/>
    <w:rsid w:val="00A97C6D"/>
    <w:rsid w:val="00A97D0E"/>
    <w:rsid w:val="00A97D72"/>
    <w:rsid w:val="00A97D8F"/>
    <w:rsid w:val="00A97DF3"/>
    <w:rsid w:val="00A97E60"/>
    <w:rsid w:val="00A97EA8"/>
    <w:rsid w:val="00A97EBC"/>
    <w:rsid w:val="00AA009E"/>
    <w:rsid w:val="00AA00CB"/>
    <w:rsid w:val="00AA0192"/>
    <w:rsid w:val="00AA0193"/>
    <w:rsid w:val="00AA032E"/>
    <w:rsid w:val="00AA0341"/>
    <w:rsid w:val="00AA0383"/>
    <w:rsid w:val="00AA03E6"/>
    <w:rsid w:val="00AA045E"/>
    <w:rsid w:val="00AA0460"/>
    <w:rsid w:val="00AA0657"/>
    <w:rsid w:val="00AA0995"/>
    <w:rsid w:val="00AA0A33"/>
    <w:rsid w:val="00AA0B7A"/>
    <w:rsid w:val="00AA0BC8"/>
    <w:rsid w:val="00AA0BCE"/>
    <w:rsid w:val="00AA0BFD"/>
    <w:rsid w:val="00AA0C08"/>
    <w:rsid w:val="00AA0CF8"/>
    <w:rsid w:val="00AA0D05"/>
    <w:rsid w:val="00AA0F66"/>
    <w:rsid w:val="00AA0FAF"/>
    <w:rsid w:val="00AA105B"/>
    <w:rsid w:val="00AA128E"/>
    <w:rsid w:val="00AA13B0"/>
    <w:rsid w:val="00AA1423"/>
    <w:rsid w:val="00AA14E4"/>
    <w:rsid w:val="00AA152B"/>
    <w:rsid w:val="00AA158F"/>
    <w:rsid w:val="00AA15D2"/>
    <w:rsid w:val="00AA16B8"/>
    <w:rsid w:val="00AA17C3"/>
    <w:rsid w:val="00AA17D2"/>
    <w:rsid w:val="00AA1826"/>
    <w:rsid w:val="00AA1869"/>
    <w:rsid w:val="00AA18D9"/>
    <w:rsid w:val="00AA1942"/>
    <w:rsid w:val="00AA1982"/>
    <w:rsid w:val="00AA19B6"/>
    <w:rsid w:val="00AA1A96"/>
    <w:rsid w:val="00AA1AE0"/>
    <w:rsid w:val="00AA1B81"/>
    <w:rsid w:val="00AA1C81"/>
    <w:rsid w:val="00AA1CC7"/>
    <w:rsid w:val="00AA1DA6"/>
    <w:rsid w:val="00AA1E28"/>
    <w:rsid w:val="00AA1E80"/>
    <w:rsid w:val="00AA1E98"/>
    <w:rsid w:val="00AA1EFA"/>
    <w:rsid w:val="00AA1FF7"/>
    <w:rsid w:val="00AA207F"/>
    <w:rsid w:val="00AA226D"/>
    <w:rsid w:val="00AA239A"/>
    <w:rsid w:val="00AA2497"/>
    <w:rsid w:val="00AA251C"/>
    <w:rsid w:val="00AA2652"/>
    <w:rsid w:val="00AA28D1"/>
    <w:rsid w:val="00AA29D3"/>
    <w:rsid w:val="00AA29FD"/>
    <w:rsid w:val="00AA2A5F"/>
    <w:rsid w:val="00AA2A66"/>
    <w:rsid w:val="00AA2B64"/>
    <w:rsid w:val="00AA2B85"/>
    <w:rsid w:val="00AA2B93"/>
    <w:rsid w:val="00AA2CA7"/>
    <w:rsid w:val="00AA2D1B"/>
    <w:rsid w:val="00AA2D9D"/>
    <w:rsid w:val="00AA2E30"/>
    <w:rsid w:val="00AA2E5D"/>
    <w:rsid w:val="00AA2F97"/>
    <w:rsid w:val="00AA2FCD"/>
    <w:rsid w:val="00AA304F"/>
    <w:rsid w:val="00AA3064"/>
    <w:rsid w:val="00AA308E"/>
    <w:rsid w:val="00AA3168"/>
    <w:rsid w:val="00AA318F"/>
    <w:rsid w:val="00AA334A"/>
    <w:rsid w:val="00AA34FD"/>
    <w:rsid w:val="00AA352B"/>
    <w:rsid w:val="00AA35EB"/>
    <w:rsid w:val="00AA360E"/>
    <w:rsid w:val="00AA3632"/>
    <w:rsid w:val="00AA372E"/>
    <w:rsid w:val="00AA39DE"/>
    <w:rsid w:val="00AA39E1"/>
    <w:rsid w:val="00AA39EA"/>
    <w:rsid w:val="00AA39F7"/>
    <w:rsid w:val="00AA3BCB"/>
    <w:rsid w:val="00AA3BDD"/>
    <w:rsid w:val="00AA3E9D"/>
    <w:rsid w:val="00AA3ECB"/>
    <w:rsid w:val="00AA3FA6"/>
    <w:rsid w:val="00AA4143"/>
    <w:rsid w:val="00AA45BB"/>
    <w:rsid w:val="00AA4975"/>
    <w:rsid w:val="00AA49E5"/>
    <w:rsid w:val="00AA4A0E"/>
    <w:rsid w:val="00AA4A0F"/>
    <w:rsid w:val="00AA4D13"/>
    <w:rsid w:val="00AA4E13"/>
    <w:rsid w:val="00AA5041"/>
    <w:rsid w:val="00AA517B"/>
    <w:rsid w:val="00AA52E3"/>
    <w:rsid w:val="00AA52E7"/>
    <w:rsid w:val="00AA5566"/>
    <w:rsid w:val="00AA55F5"/>
    <w:rsid w:val="00AA569E"/>
    <w:rsid w:val="00AA5727"/>
    <w:rsid w:val="00AA5778"/>
    <w:rsid w:val="00AA596A"/>
    <w:rsid w:val="00AA5A35"/>
    <w:rsid w:val="00AA5A70"/>
    <w:rsid w:val="00AA5B63"/>
    <w:rsid w:val="00AA5BDE"/>
    <w:rsid w:val="00AA5E57"/>
    <w:rsid w:val="00AA60CB"/>
    <w:rsid w:val="00AA6124"/>
    <w:rsid w:val="00AA628B"/>
    <w:rsid w:val="00AA62B2"/>
    <w:rsid w:val="00AA62BA"/>
    <w:rsid w:val="00AA6369"/>
    <w:rsid w:val="00AA6646"/>
    <w:rsid w:val="00AA6695"/>
    <w:rsid w:val="00AA67A0"/>
    <w:rsid w:val="00AA6907"/>
    <w:rsid w:val="00AA69E5"/>
    <w:rsid w:val="00AA6E16"/>
    <w:rsid w:val="00AA6EFA"/>
    <w:rsid w:val="00AA6F03"/>
    <w:rsid w:val="00AA6FE3"/>
    <w:rsid w:val="00AA706A"/>
    <w:rsid w:val="00AA743F"/>
    <w:rsid w:val="00AA74AA"/>
    <w:rsid w:val="00AA74C0"/>
    <w:rsid w:val="00AA7588"/>
    <w:rsid w:val="00AA76EA"/>
    <w:rsid w:val="00AA7899"/>
    <w:rsid w:val="00AA7B7C"/>
    <w:rsid w:val="00AA7BFD"/>
    <w:rsid w:val="00AA7E03"/>
    <w:rsid w:val="00AA7E8A"/>
    <w:rsid w:val="00AA7EE9"/>
    <w:rsid w:val="00AA7F8A"/>
    <w:rsid w:val="00AA7F93"/>
    <w:rsid w:val="00AB010E"/>
    <w:rsid w:val="00AB01DD"/>
    <w:rsid w:val="00AB0392"/>
    <w:rsid w:val="00AB04AC"/>
    <w:rsid w:val="00AB0527"/>
    <w:rsid w:val="00AB05A7"/>
    <w:rsid w:val="00AB060F"/>
    <w:rsid w:val="00AB067F"/>
    <w:rsid w:val="00AB0722"/>
    <w:rsid w:val="00AB0787"/>
    <w:rsid w:val="00AB0819"/>
    <w:rsid w:val="00AB0918"/>
    <w:rsid w:val="00AB0A62"/>
    <w:rsid w:val="00AB0AE8"/>
    <w:rsid w:val="00AB0AEE"/>
    <w:rsid w:val="00AB0FA1"/>
    <w:rsid w:val="00AB0FCE"/>
    <w:rsid w:val="00AB1070"/>
    <w:rsid w:val="00AB108F"/>
    <w:rsid w:val="00AB1090"/>
    <w:rsid w:val="00AB10F0"/>
    <w:rsid w:val="00AB113C"/>
    <w:rsid w:val="00AB1154"/>
    <w:rsid w:val="00AB1194"/>
    <w:rsid w:val="00AB11D9"/>
    <w:rsid w:val="00AB11F7"/>
    <w:rsid w:val="00AB13C8"/>
    <w:rsid w:val="00AB1458"/>
    <w:rsid w:val="00AB1492"/>
    <w:rsid w:val="00AB15B8"/>
    <w:rsid w:val="00AB160B"/>
    <w:rsid w:val="00AB178B"/>
    <w:rsid w:val="00AB18A3"/>
    <w:rsid w:val="00AB19C5"/>
    <w:rsid w:val="00AB1AC9"/>
    <w:rsid w:val="00AB1AE2"/>
    <w:rsid w:val="00AB1C21"/>
    <w:rsid w:val="00AB1C59"/>
    <w:rsid w:val="00AB1D24"/>
    <w:rsid w:val="00AB1F13"/>
    <w:rsid w:val="00AB1FC5"/>
    <w:rsid w:val="00AB2035"/>
    <w:rsid w:val="00AB2043"/>
    <w:rsid w:val="00AB210B"/>
    <w:rsid w:val="00AB2137"/>
    <w:rsid w:val="00AB2471"/>
    <w:rsid w:val="00AB24AF"/>
    <w:rsid w:val="00AB24BF"/>
    <w:rsid w:val="00AB251C"/>
    <w:rsid w:val="00AB2521"/>
    <w:rsid w:val="00AB2594"/>
    <w:rsid w:val="00AB264D"/>
    <w:rsid w:val="00AB26CE"/>
    <w:rsid w:val="00AB26D9"/>
    <w:rsid w:val="00AB26DF"/>
    <w:rsid w:val="00AB27C6"/>
    <w:rsid w:val="00AB2857"/>
    <w:rsid w:val="00AB297B"/>
    <w:rsid w:val="00AB29F7"/>
    <w:rsid w:val="00AB2A47"/>
    <w:rsid w:val="00AB2B10"/>
    <w:rsid w:val="00AB2BD9"/>
    <w:rsid w:val="00AB2DD6"/>
    <w:rsid w:val="00AB2E4A"/>
    <w:rsid w:val="00AB2E67"/>
    <w:rsid w:val="00AB2E73"/>
    <w:rsid w:val="00AB2E75"/>
    <w:rsid w:val="00AB2F0C"/>
    <w:rsid w:val="00AB301D"/>
    <w:rsid w:val="00AB3135"/>
    <w:rsid w:val="00AB319B"/>
    <w:rsid w:val="00AB31C7"/>
    <w:rsid w:val="00AB32D6"/>
    <w:rsid w:val="00AB3631"/>
    <w:rsid w:val="00AB39A3"/>
    <w:rsid w:val="00AB3A47"/>
    <w:rsid w:val="00AB3D54"/>
    <w:rsid w:val="00AB3D67"/>
    <w:rsid w:val="00AB3E0E"/>
    <w:rsid w:val="00AB3E23"/>
    <w:rsid w:val="00AB41FF"/>
    <w:rsid w:val="00AB4221"/>
    <w:rsid w:val="00AB4266"/>
    <w:rsid w:val="00AB431C"/>
    <w:rsid w:val="00AB4489"/>
    <w:rsid w:val="00AB454C"/>
    <w:rsid w:val="00AB45D4"/>
    <w:rsid w:val="00AB45E2"/>
    <w:rsid w:val="00AB4846"/>
    <w:rsid w:val="00AB48A9"/>
    <w:rsid w:val="00AB4910"/>
    <w:rsid w:val="00AB4942"/>
    <w:rsid w:val="00AB4A03"/>
    <w:rsid w:val="00AB4A21"/>
    <w:rsid w:val="00AB4C44"/>
    <w:rsid w:val="00AB4CDC"/>
    <w:rsid w:val="00AB4FCD"/>
    <w:rsid w:val="00AB500B"/>
    <w:rsid w:val="00AB50DC"/>
    <w:rsid w:val="00AB52D1"/>
    <w:rsid w:val="00AB5311"/>
    <w:rsid w:val="00AB537C"/>
    <w:rsid w:val="00AB56D6"/>
    <w:rsid w:val="00AB56E6"/>
    <w:rsid w:val="00AB57D5"/>
    <w:rsid w:val="00AB580F"/>
    <w:rsid w:val="00AB599B"/>
    <w:rsid w:val="00AB5A83"/>
    <w:rsid w:val="00AB5B16"/>
    <w:rsid w:val="00AB5B99"/>
    <w:rsid w:val="00AB5C58"/>
    <w:rsid w:val="00AB5C6F"/>
    <w:rsid w:val="00AB5CE2"/>
    <w:rsid w:val="00AB5F70"/>
    <w:rsid w:val="00AB5FE9"/>
    <w:rsid w:val="00AB5FFE"/>
    <w:rsid w:val="00AB604A"/>
    <w:rsid w:val="00AB61A6"/>
    <w:rsid w:val="00AB6463"/>
    <w:rsid w:val="00AB656B"/>
    <w:rsid w:val="00AB658C"/>
    <w:rsid w:val="00AB65A7"/>
    <w:rsid w:val="00AB67FC"/>
    <w:rsid w:val="00AB6918"/>
    <w:rsid w:val="00AB69C3"/>
    <w:rsid w:val="00AB69CF"/>
    <w:rsid w:val="00AB6A24"/>
    <w:rsid w:val="00AB6B42"/>
    <w:rsid w:val="00AB6BD6"/>
    <w:rsid w:val="00AB6DBD"/>
    <w:rsid w:val="00AB6E3D"/>
    <w:rsid w:val="00AB6EB8"/>
    <w:rsid w:val="00AB6F74"/>
    <w:rsid w:val="00AB736D"/>
    <w:rsid w:val="00AB7418"/>
    <w:rsid w:val="00AB75E7"/>
    <w:rsid w:val="00AB7770"/>
    <w:rsid w:val="00AB796B"/>
    <w:rsid w:val="00AB7B82"/>
    <w:rsid w:val="00AB7C90"/>
    <w:rsid w:val="00AB7C93"/>
    <w:rsid w:val="00AB7E51"/>
    <w:rsid w:val="00AB7F09"/>
    <w:rsid w:val="00AB7F11"/>
    <w:rsid w:val="00AB7F51"/>
    <w:rsid w:val="00AB7FA7"/>
    <w:rsid w:val="00AB7FCC"/>
    <w:rsid w:val="00AC0061"/>
    <w:rsid w:val="00AC006D"/>
    <w:rsid w:val="00AC01FA"/>
    <w:rsid w:val="00AC0269"/>
    <w:rsid w:val="00AC02CF"/>
    <w:rsid w:val="00AC037F"/>
    <w:rsid w:val="00AC03B9"/>
    <w:rsid w:val="00AC03C6"/>
    <w:rsid w:val="00AC03F3"/>
    <w:rsid w:val="00AC048B"/>
    <w:rsid w:val="00AC05EC"/>
    <w:rsid w:val="00AC05F8"/>
    <w:rsid w:val="00AC0641"/>
    <w:rsid w:val="00AC0695"/>
    <w:rsid w:val="00AC06A5"/>
    <w:rsid w:val="00AC0949"/>
    <w:rsid w:val="00AC09AE"/>
    <w:rsid w:val="00AC0A2C"/>
    <w:rsid w:val="00AC0E42"/>
    <w:rsid w:val="00AC0E7F"/>
    <w:rsid w:val="00AC0EC4"/>
    <w:rsid w:val="00AC0ED4"/>
    <w:rsid w:val="00AC0F22"/>
    <w:rsid w:val="00AC0FF6"/>
    <w:rsid w:val="00AC0FFF"/>
    <w:rsid w:val="00AC1390"/>
    <w:rsid w:val="00AC13E4"/>
    <w:rsid w:val="00AC14C0"/>
    <w:rsid w:val="00AC1626"/>
    <w:rsid w:val="00AC166A"/>
    <w:rsid w:val="00AC16ED"/>
    <w:rsid w:val="00AC178C"/>
    <w:rsid w:val="00AC17AC"/>
    <w:rsid w:val="00AC17F7"/>
    <w:rsid w:val="00AC1814"/>
    <w:rsid w:val="00AC1868"/>
    <w:rsid w:val="00AC190B"/>
    <w:rsid w:val="00AC1B29"/>
    <w:rsid w:val="00AC1CE7"/>
    <w:rsid w:val="00AC1D77"/>
    <w:rsid w:val="00AC1D83"/>
    <w:rsid w:val="00AC1E01"/>
    <w:rsid w:val="00AC2083"/>
    <w:rsid w:val="00AC2086"/>
    <w:rsid w:val="00AC2112"/>
    <w:rsid w:val="00AC2138"/>
    <w:rsid w:val="00AC21A2"/>
    <w:rsid w:val="00AC2213"/>
    <w:rsid w:val="00AC22BB"/>
    <w:rsid w:val="00AC24D4"/>
    <w:rsid w:val="00AC2696"/>
    <w:rsid w:val="00AC26A9"/>
    <w:rsid w:val="00AC2726"/>
    <w:rsid w:val="00AC2874"/>
    <w:rsid w:val="00AC28BC"/>
    <w:rsid w:val="00AC2BB0"/>
    <w:rsid w:val="00AC2C70"/>
    <w:rsid w:val="00AC2CA2"/>
    <w:rsid w:val="00AC2CC0"/>
    <w:rsid w:val="00AC2E56"/>
    <w:rsid w:val="00AC2EAD"/>
    <w:rsid w:val="00AC2F63"/>
    <w:rsid w:val="00AC2FBB"/>
    <w:rsid w:val="00AC317C"/>
    <w:rsid w:val="00AC33BC"/>
    <w:rsid w:val="00AC34F1"/>
    <w:rsid w:val="00AC365F"/>
    <w:rsid w:val="00AC3A28"/>
    <w:rsid w:val="00AC3A45"/>
    <w:rsid w:val="00AC3AB4"/>
    <w:rsid w:val="00AC3AB9"/>
    <w:rsid w:val="00AC3D54"/>
    <w:rsid w:val="00AC3DD7"/>
    <w:rsid w:val="00AC3E95"/>
    <w:rsid w:val="00AC3F29"/>
    <w:rsid w:val="00AC4103"/>
    <w:rsid w:val="00AC41EB"/>
    <w:rsid w:val="00AC4401"/>
    <w:rsid w:val="00AC45ED"/>
    <w:rsid w:val="00AC46D6"/>
    <w:rsid w:val="00AC47FC"/>
    <w:rsid w:val="00AC484D"/>
    <w:rsid w:val="00AC48C0"/>
    <w:rsid w:val="00AC497B"/>
    <w:rsid w:val="00AC49FA"/>
    <w:rsid w:val="00AC4A91"/>
    <w:rsid w:val="00AC4AC6"/>
    <w:rsid w:val="00AC4C3F"/>
    <w:rsid w:val="00AC4DD9"/>
    <w:rsid w:val="00AC500E"/>
    <w:rsid w:val="00AC5129"/>
    <w:rsid w:val="00AC5352"/>
    <w:rsid w:val="00AC5413"/>
    <w:rsid w:val="00AC55E6"/>
    <w:rsid w:val="00AC594E"/>
    <w:rsid w:val="00AC5B2F"/>
    <w:rsid w:val="00AC5E6E"/>
    <w:rsid w:val="00AC5EB8"/>
    <w:rsid w:val="00AC5FCC"/>
    <w:rsid w:val="00AC617A"/>
    <w:rsid w:val="00AC640D"/>
    <w:rsid w:val="00AC6477"/>
    <w:rsid w:val="00AC6478"/>
    <w:rsid w:val="00AC64F6"/>
    <w:rsid w:val="00AC6597"/>
    <w:rsid w:val="00AC6646"/>
    <w:rsid w:val="00AC6669"/>
    <w:rsid w:val="00AC68C4"/>
    <w:rsid w:val="00AC6934"/>
    <w:rsid w:val="00AC6B0E"/>
    <w:rsid w:val="00AC6C4B"/>
    <w:rsid w:val="00AC6C9A"/>
    <w:rsid w:val="00AC6CBF"/>
    <w:rsid w:val="00AC6D80"/>
    <w:rsid w:val="00AC6DB0"/>
    <w:rsid w:val="00AC6E23"/>
    <w:rsid w:val="00AC7235"/>
    <w:rsid w:val="00AC73C3"/>
    <w:rsid w:val="00AC7550"/>
    <w:rsid w:val="00AC77C1"/>
    <w:rsid w:val="00AC7838"/>
    <w:rsid w:val="00AC7A54"/>
    <w:rsid w:val="00AC7C5E"/>
    <w:rsid w:val="00AC7C97"/>
    <w:rsid w:val="00AC7CCC"/>
    <w:rsid w:val="00AC7E58"/>
    <w:rsid w:val="00AC7EEB"/>
    <w:rsid w:val="00AD0234"/>
    <w:rsid w:val="00AD030D"/>
    <w:rsid w:val="00AD03F9"/>
    <w:rsid w:val="00AD0448"/>
    <w:rsid w:val="00AD047F"/>
    <w:rsid w:val="00AD04D8"/>
    <w:rsid w:val="00AD050B"/>
    <w:rsid w:val="00AD0513"/>
    <w:rsid w:val="00AD0632"/>
    <w:rsid w:val="00AD067A"/>
    <w:rsid w:val="00AD0777"/>
    <w:rsid w:val="00AD0AC3"/>
    <w:rsid w:val="00AD0BCD"/>
    <w:rsid w:val="00AD0C20"/>
    <w:rsid w:val="00AD0E39"/>
    <w:rsid w:val="00AD0EE4"/>
    <w:rsid w:val="00AD113E"/>
    <w:rsid w:val="00AD11C8"/>
    <w:rsid w:val="00AD11CE"/>
    <w:rsid w:val="00AD1225"/>
    <w:rsid w:val="00AD1247"/>
    <w:rsid w:val="00AD12B2"/>
    <w:rsid w:val="00AD13BD"/>
    <w:rsid w:val="00AD157B"/>
    <w:rsid w:val="00AD158A"/>
    <w:rsid w:val="00AD161E"/>
    <w:rsid w:val="00AD178B"/>
    <w:rsid w:val="00AD18BF"/>
    <w:rsid w:val="00AD196B"/>
    <w:rsid w:val="00AD19FF"/>
    <w:rsid w:val="00AD1B36"/>
    <w:rsid w:val="00AD1B60"/>
    <w:rsid w:val="00AD1C10"/>
    <w:rsid w:val="00AD1E86"/>
    <w:rsid w:val="00AD1F20"/>
    <w:rsid w:val="00AD1FFF"/>
    <w:rsid w:val="00AD20BB"/>
    <w:rsid w:val="00AD227A"/>
    <w:rsid w:val="00AD22FE"/>
    <w:rsid w:val="00AD2355"/>
    <w:rsid w:val="00AD2395"/>
    <w:rsid w:val="00AD2410"/>
    <w:rsid w:val="00AD2414"/>
    <w:rsid w:val="00AD24CE"/>
    <w:rsid w:val="00AD26A2"/>
    <w:rsid w:val="00AD2856"/>
    <w:rsid w:val="00AD2B1D"/>
    <w:rsid w:val="00AD2B34"/>
    <w:rsid w:val="00AD2B60"/>
    <w:rsid w:val="00AD2C8C"/>
    <w:rsid w:val="00AD2D18"/>
    <w:rsid w:val="00AD2D43"/>
    <w:rsid w:val="00AD2E2A"/>
    <w:rsid w:val="00AD2F1E"/>
    <w:rsid w:val="00AD2F5E"/>
    <w:rsid w:val="00AD2F61"/>
    <w:rsid w:val="00AD30FD"/>
    <w:rsid w:val="00AD31A9"/>
    <w:rsid w:val="00AD3213"/>
    <w:rsid w:val="00AD3294"/>
    <w:rsid w:val="00AD32C4"/>
    <w:rsid w:val="00AD3326"/>
    <w:rsid w:val="00AD333A"/>
    <w:rsid w:val="00AD34B6"/>
    <w:rsid w:val="00AD34E2"/>
    <w:rsid w:val="00AD359B"/>
    <w:rsid w:val="00AD391F"/>
    <w:rsid w:val="00AD3AB4"/>
    <w:rsid w:val="00AD3AB6"/>
    <w:rsid w:val="00AD3B44"/>
    <w:rsid w:val="00AD3BE4"/>
    <w:rsid w:val="00AD3BFE"/>
    <w:rsid w:val="00AD3C37"/>
    <w:rsid w:val="00AD3DC1"/>
    <w:rsid w:val="00AD3F01"/>
    <w:rsid w:val="00AD3FD8"/>
    <w:rsid w:val="00AD3FE6"/>
    <w:rsid w:val="00AD4145"/>
    <w:rsid w:val="00AD4214"/>
    <w:rsid w:val="00AD42C7"/>
    <w:rsid w:val="00AD43CB"/>
    <w:rsid w:val="00AD43FB"/>
    <w:rsid w:val="00AD4411"/>
    <w:rsid w:val="00AD4573"/>
    <w:rsid w:val="00AD463F"/>
    <w:rsid w:val="00AD46EE"/>
    <w:rsid w:val="00AD4A5D"/>
    <w:rsid w:val="00AD4A65"/>
    <w:rsid w:val="00AD4AE7"/>
    <w:rsid w:val="00AD50AF"/>
    <w:rsid w:val="00AD51DD"/>
    <w:rsid w:val="00AD52FB"/>
    <w:rsid w:val="00AD5313"/>
    <w:rsid w:val="00AD549B"/>
    <w:rsid w:val="00AD54F2"/>
    <w:rsid w:val="00AD5508"/>
    <w:rsid w:val="00AD554C"/>
    <w:rsid w:val="00AD57F7"/>
    <w:rsid w:val="00AD57FD"/>
    <w:rsid w:val="00AD5921"/>
    <w:rsid w:val="00AD593D"/>
    <w:rsid w:val="00AD5980"/>
    <w:rsid w:val="00AD5AD9"/>
    <w:rsid w:val="00AD5B14"/>
    <w:rsid w:val="00AD5B90"/>
    <w:rsid w:val="00AD5BDA"/>
    <w:rsid w:val="00AD5C66"/>
    <w:rsid w:val="00AD5CDB"/>
    <w:rsid w:val="00AD5D30"/>
    <w:rsid w:val="00AD5E40"/>
    <w:rsid w:val="00AD5ECD"/>
    <w:rsid w:val="00AD5F2C"/>
    <w:rsid w:val="00AD5F50"/>
    <w:rsid w:val="00AD5F8B"/>
    <w:rsid w:val="00AD5F8D"/>
    <w:rsid w:val="00AD601A"/>
    <w:rsid w:val="00AD60CE"/>
    <w:rsid w:val="00AD613F"/>
    <w:rsid w:val="00AD61AF"/>
    <w:rsid w:val="00AD648F"/>
    <w:rsid w:val="00AD64B0"/>
    <w:rsid w:val="00AD64FD"/>
    <w:rsid w:val="00AD652A"/>
    <w:rsid w:val="00AD6683"/>
    <w:rsid w:val="00AD6695"/>
    <w:rsid w:val="00AD669F"/>
    <w:rsid w:val="00AD66E0"/>
    <w:rsid w:val="00AD671F"/>
    <w:rsid w:val="00AD6721"/>
    <w:rsid w:val="00AD69D4"/>
    <w:rsid w:val="00AD69DE"/>
    <w:rsid w:val="00AD6AB7"/>
    <w:rsid w:val="00AD6CD4"/>
    <w:rsid w:val="00AD6E04"/>
    <w:rsid w:val="00AD6E0C"/>
    <w:rsid w:val="00AD7007"/>
    <w:rsid w:val="00AD7140"/>
    <w:rsid w:val="00AD718E"/>
    <w:rsid w:val="00AD735A"/>
    <w:rsid w:val="00AD7676"/>
    <w:rsid w:val="00AD7763"/>
    <w:rsid w:val="00AD77C1"/>
    <w:rsid w:val="00AD794C"/>
    <w:rsid w:val="00AD7AB2"/>
    <w:rsid w:val="00AD7AB6"/>
    <w:rsid w:val="00AD7BFB"/>
    <w:rsid w:val="00AD7CBC"/>
    <w:rsid w:val="00AD7CD7"/>
    <w:rsid w:val="00AD7D29"/>
    <w:rsid w:val="00AD7D98"/>
    <w:rsid w:val="00AD7E43"/>
    <w:rsid w:val="00AD7E92"/>
    <w:rsid w:val="00AD7FC6"/>
    <w:rsid w:val="00AE0065"/>
    <w:rsid w:val="00AE0133"/>
    <w:rsid w:val="00AE0165"/>
    <w:rsid w:val="00AE023D"/>
    <w:rsid w:val="00AE0330"/>
    <w:rsid w:val="00AE0344"/>
    <w:rsid w:val="00AE0445"/>
    <w:rsid w:val="00AE045F"/>
    <w:rsid w:val="00AE05BC"/>
    <w:rsid w:val="00AE05E2"/>
    <w:rsid w:val="00AE066D"/>
    <w:rsid w:val="00AE06B9"/>
    <w:rsid w:val="00AE07A1"/>
    <w:rsid w:val="00AE07CD"/>
    <w:rsid w:val="00AE0841"/>
    <w:rsid w:val="00AE0944"/>
    <w:rsid w:val="00AE0ADC"/>
    <w:rsid w:val="00AE0D42"/>
    <w:rsid w:val="00AE0E68"/>
    <w:rsid w:val="00AE0F5A"/>
    <w:rsid w:val="00AE1061"/>
    <w:rsid w:val="00AE11F8"/>
    <w:rsid w:val="00AE1240"/>
    <w:rsid w:val="00AE1299"/>
    <w:rsid w:val="00AE15AF"/>
    <w:rsid w:val="00AE1608"/>
    <w:rsid w:val="00AE16A7"/>
    <w:rsid w:val="00AE16F3"/>
    <w:rsid w:val="00AE1756"/>
    <w:rsid w:val="00AE17D1"/>
    <w:rsid w:val="00AE18E3"/>
    <w:rsid w:val="00AE1D3F"/>
    <w:rsid w:val="00AE1E3E"/>
    <w:rsid w:val="00AE2378"/>
    <w:rsid w:val="00AE24DC"/>
    <w:rsid w:val="00AE2631"/>
    <w:rsid w:val="00AE2791"/>
    <w:rsid w:val="00AE2793"/>
    <w:rsid w:val="00AE27E7"/>
    <w:rsid w:val="00AE2A06"/>
    <w:rsid w:val="00AE2A62"/>
    <w:rsid w:val="00AE2C1F"/>
    <w:rsid w:val="00AE2CBE"/>
    <w:rsid w:val="00AE2CD0"/>
    <w:rsid w:val="00AE2DD7"/>
    <w:rsid w:val="00AE2EF3"/>
    <w:rsid w:val="00AE30E8"/>
    <w:rsid w:val="00AE316F"/>
    <w:rsid w:val="00AE32B2"/>
    <w:rsid w:val="00AE3356"/>
    <w:rsid w:val="00AE34DA"/>
    <w:rsid w:val="00AE3509"/>
    <w:rsid w:val="00AE3594"/>
    <w:rsid w:val="00AE36CB"/>
    <w:rsid w:val="00AE3812"/>
    <w:rsid w:val="00AE3938"/>
    <w:rsid w:val="00AE3946"/>
    <w:rsid w:val="00AE3A90"/>
    <w:rsid w:val="00AE3C45"/>
    <w:rsid w:val="00AE3E03"/>
    <w:rsid w:val="00AE408F"/>
    <w:rsid w:val="00AE41CF"/>
    <w:rsid w:val="00AE422F"/>
    <w:rsid w:val="00AE42C4"/>
    <w:rsid w:val="00AE43B2"/>
    <w:rsid w:val="00AE43CB"/>
    <w:rsid w:val="00AE4452"/>
    <w:rsid w:val="00AE45CB"/>
    <w:rsid w:val="00AE4694"/>
    <w:rsid w:val="00AE46B4"/>
    <w:rsid w:val="00AE477E"/>
    <w:rsid w:val="00AE479E"/>
    <w:rsid w:val="00AE4873"/>
    <w:rsid w:val="00AE48A0"/>
    <w:rsid w:val="00AE48C8"/>
    <w:rsid w:val="00AE49A8"/>
    <w:rsid w:val="00AE49BF"/>
    <w:rsid w:val="00AE49D3"/>
    <w:rsid w:val="00AE49D9"/>
    <w:rsid w:val="00AE4AFE"/>
    <w:rsid w:val="00AE4B39"/>
    <w:rsid w:val="00AE4B7D"/>
    <w:rsid w:val="00AE4C2D"/>
    <w:rsid w:val="00AE4C43"/>
    <w:rsid w:val="00AE4D0C"/>
    <w:rsid w:val="00AE4DD4"/>
    <w:rsid w:val="00AE4E66"/>
    <w:rsid w:val="00AE4EAF"/>
    <w:rsid w:val="00AE4FFD"/>
    <w:rsid w:val="00AE516A"/>
    <w:rsid w:val="00AE518F"/>
    <w:rsid w:val="00AE5267"/>
    <w:rsid w:val="00AE5363"/>
    <w:rsid w:val="00AE53BB"/>
    <w:rsid w:val="00AE5572"/>
    <w:rsid w:val="00AE55A5"/>
    <w:rsid w:val="00AE5627"/>
    <w:rsid w:val="00AE565A"/>
    <w:rsid w:val="00AE56BE"/>
    <w:rsid w:val="00AE58E7"/>
    <w:rsid w:val="00AE5B34"/>
    <w:rsid w:val="00AE5B52"/>
    <w:rsid w:val="00AE5B54"/>
    <w:rsid w:val="00AE5B65"/>
    <w:rsid w:val="00AE5B8C"/>
    <w:rsid w:val="00AE5CC6"/>
    <w:rsid w:val="00AE5FEC"/>
    <w:rsid w:val="00AE60CD"/>
    <w:rsid w:val="00AE634A"/>
    <w:rsid w:val="00AE6388"/>
    <w:rsid w:val="00AE6432"/>
    <w:rsid w:val="00AE6485"/>
    <w:rsid w:val="00AE6491"/>
    <w:rsid w:val="00AE6523"/>
    <w:rsid w:val="00AE6560"/>
    <w:rsid w:val="00AE657D"/>
    <w:rsid w:val="00AE65EC"/>
    <w:rsid w:val="00AE6703"/>
    <w:rsid w:val="00AE6705"/>
    <w:rsid w:val="00AE67C6"/>
    <w:rsid w:val="00AE686D"/>
    <w:rsid w:val="00AE694B"/>
    <w:rsid w:val="00AE6C32"/>
    <w:rsid w:val="00AE6D03"/>
    <w:rsid w:val="00AE6EF4"/>
    <w:rsid w:val="00AE6FE5"/>
    <w:rsid w:val="00AE703D"/>
    <w:rsid w:val="00AE718B"/>
    <w:rsid w:val="00AE71D7"/>
    <w:rsid w:val="00AE71F4"/>
    <w:rsid w:val="00AE7273"/>
    <w:rsid w:val="00AE7285"/>
    <w:rsid w:val="00AE7330"/>
    <w:rsid w:val="00AE7370"/>
    <w:rsid w:val="00AE73A4"/>
    <w:rsid w:val="00AE7440"/>
    <w:rsid w:val="00AE74D9"/>
    <w:rsid w:val="00AE74DC"/>
    <w:rsid w:val="00AE7741"/>
    <w:rsid w:val="00AE7A9F"/>
    <w:rsid w:val="00AE7CE3"/>
    <w:rsid w:val="00AE7E9F"/>
    <w:rsid w:val="00AE7EE9"/>
    <w:rsid w:val="00AE7F4F"/>
    <w:rsid w:val="00AE7FA3"/>
    <w:rsid w:val="00AE7FA8"/>
    <w:rsid w:val="00AE7FBB"/>
    <w:rsid w:val="00AF0168"/>
    <w:rsid w:val="00AF03AB"/>
    <w:rsid w:val="00AF0499"/>
    <w:rsid w:val="00AF04AE"/>
    <w:rsid w:val="00AF0543"/>
    <w:rsid w:val="00AF08D9"/>
    <w:rsid w:val="00AF0A06"/>
    <w:rsid w:val="00AF0A29"/>
    <w:rsid w:val="00AF0D03"/>
    <w:rsid w:val="00AF0D55"/>
    <w:rsid w:val="00AF0EAA"/>
    <w:rsid w:val="00AF103A"/>
    <w:rsid w:val="00AF112B"/>
    <w:rsid w:val="00AF1235"/>
    <w:rsid w:val="00AF128C"/>
    <w:rsid w:val="00AF12BC"/>
    <w:rsid w:val="00AF1438"/>
    <w:rsid w:val="00AF1557"/>
    <w:rsid w:val="00AF1643"/>
    <w:rsid w:val="00AF16DC"/>
    <w:rsid w:val="00AF188A"/>
    <w:rsid w:val="00AF18C7"/>
    <w:rsid w:val="00AF18D7"/>
    <w:rsid w:val="00AF1A65"/>
    <w:rsid w:val="00AF1A92"/>
    <w:rsid w:val="00AF1B82"/>
    <w:rsid w:val="00AF1E9D"/>
    <w:rsid w:val="00AF1EB8"/>
    <w:rsid w:val="00AF20C7"/>
    <w:rsid w:val="00AF213F"/>
    <w:rsid w:val="00AF237D"/>
    <w:rsid w:val="00AF237F"/>
    <w:rsid w:val="00AF2415"/>
    <w:rsid w:val="00AF2461"/>
    <w:rsid w:val="00AF2485"/>
    <w:rsid w:val="00AF2505"/>
    <w:rsid w:val="00AF2538"/>
    <w:rsid w:val="00AF2570"/>
    <w:rsid w:val="00AF2673"/>
    <w:rsid w:val="00AF270D"/>
    <w:rsid w:val="00AF2772"/>
    <w:rsid w:val="00AF2B09"/>
    <w:rsid w:val="00AF2BA3"/>
    <w:rsid w:val="00AF2C76"/>
    <w:rsid w:val="00AF2D1B"/>
    <w:rsid w:val="00AF2D49"/>
    <w:rsid w:val="00AF2DF3"/>
    <w:rsid w:val="00AF2F5B"/>
    <w:rsid w:val="00AF2FBF"/>
    <w:rsid w:val="00AF3025"/>
    <w:rsid w:val="00AF314D"/>
    <w:rsid w:val="00AF31BE"/>
    <w:rsid w:val="00AF32CF"/>
    <w:rsid w:val="00AF3399"/>
    <w:rsid w:val="00AF33C1"/>
    <w:rsid w:val="00AF33D2"/>
    <w:rsid w:val="00AF3435"/>
    <w:rsid w:val="00AF35AB"/>
    <w:rsid w:val="00AF3662"/>
    <w:rsid w:val="00AF373B"/>
    <w:rsid w:val="00AF3888"/>
    <w:rsid w:val="00AF389D"/>
    <w:rsid w:val="00AF3923"/>
    <w:rsid w:val="00AF393B"/>
    <w:rsid w:val="00AF39ED"/>
    <w:rsid w:val="00AF3AD9"/>
    <w:rsid w:val="00AF3E69"/>
    <w:rsid w:val="00AF3E7F"/>
    <w:rsid w:val="00AF4194"/>
    <w:rsid w:val="00AF428C"/>
    <w:rsid w:val="00AF4379"/>
    <w:rsid w:val="00AF4497"/>
    <w:rsid w:val="00AF45EF"/>
    <w:rsid w:val="00AF46C2"/>
    <w:rsid w:val="00AF46F9"/>
    <w:rsid w:val="00AF4937"/>
    <w:rsid w:val="00AF495B"/>
    <w:rsid w:val="00AF4988"/>
    <w:rsid w:val="00AF4A10"/>
    <w:rsid w:val="00AF4A82"/>
    <w:rsid w:val="00AF4B0C"/>
    <w:rsid w:val="00AF4C5A"/>
    <w:rsid w:val="00AF4C6B"/>
    <w:rsid w:val="00AF4DE0"/>
    <w:rsid w:val="00AF4E2E"/>
    <w:rsid w:val="00AF4EC7"/>
    <w:rsid w:val="00AF4F4B"/>
    <w:rsid w:val="00AF4FBB"/>
    <w:rsid w:val="00AF5000"/>
    <w:rsid w:val="00AF500C"/>
    <w:rsid w:val="00AF539C"/>
    <w:rsid w:val="00AF5562"/>
    <w:rsid w:val="00AF5597"/>
    <w:rsid w:val="00AF55D1"/>
    <w:rsid w:val="00AF5736"/>
    <w:rsid w:val="00AF57A0"/>
    <w:rsid w:val="00AF5833"/>
    <w:rsid w:val="00AF5946"/>
    <w:rsid w:val="00AF5A0E"/>
    <w:rsid w:val="00AF5BBF"/>
    <w:rsid w:val="00AF5E92"/>
    <w:rsid w:val="00AF5EAB"/>
    <w:rsid w:val="00AF5F0F"/>
    <w:rsid w:val="00AF62E4"/>
    <w:rsid w:val="00AF6671"/>
    <w:rsid w:val="00AF6695"/>
    <w:rsid w:val="00AF6706"/>
    <w:rsid w:val="00AF67DF"/>
    <w:rsid w:val="00AF6840"/>
    <w:rsid w:val="00AF68A7"/>
    <w:rsid w:val="00AF6B79"/>
    <w:rsid w:val="00AF6BAB"/>
    <w:rsid w:val="00AF6D6F"/>
    <w:rsid w:val="00AF6E14"/>
    <w:rsid w:val="00AF6FD1"/>
    <w:rsid w:val="00AF7177"/>
    <w:rsid w:val="00AF7294"/>
    <w:rsid w:val="00AF72D0"/>
    <w:rsid w:val="00AF7366"/>
    <w:rsid w:val="00AF7510"/>
    <w:rsid w:val="00AF76EB"/>
    <w:rsid w:val="00AF76F6"/>
    <w:rsid w:val="00AF7717"/>
    <w:rsid w:val="00AF77A0"/>
    <w:rsid w:val="00AF7C80"/>
    <w:rsid w:val="00AF7C9C"/>
    <w:rsid w:val="00AF7CD9"/>
    <w:rsid w:val="00AF7E04"/>
    <w:rsid w:val="00AF7E63"/>
    <w:rsid w:val="00AF7E97"/>
    <w:rsid w:val="00AF7F65"/>
    <w:rsid w:val="00B0006D"/>
    <w:rsid w:val="00B000A8"/>
    <w:rsid w:val="00B00201"/>
    <w:rsid w:val="00B00225"/>
    <w:rsid w:val="00B0024F"/>
    <w:rsid w:val="00B0065F"/>
    <w:rsid w:val="00B0073F"/>
    <w:rsid w:val="00B00743"/>
    <w:rsid w:val="00B00911"/>
    <w:rsid w:val="00B00969"/>
    <w:rsid w:val="00B009C4"/>
    <w:rsid w:val="00B00A70"/>
    <w:rsid w:val="00B00A72"/>
    <w:rsid w:val="00B00AD2"/>
    <w:rsid w:val="00B00D93"/>
    <w:rsid w:val="00B00D94"/>
    <w:rsid w:val="00B00F5C"/>
    <w:rsid w:val="00B0110F"/>
    <w:rsid w:val="00B012C0"/>
    <w:rsid w:val="00B012C7"/>
    <w:rsid w:val="00B01331"/>
    <w:rsid w:val="00B01626"/>
    <w:rsid w:val="00B01826"/>
    <w:rsid w:val="00B01D70"/>
    <w:rsid w:val="00B01F72"/>
    <w:rsid w:val="00B01F9D"/>
    <w:rsid w:val="00B02092"/>
    <w:rsid w:val="00B02094"/>
    <w:rsid w:val="00B0210A"/>
    <w:rsid w:val="00B02153"/>
    <w:rsid w:val="00B021EC"/>
    <w:rsid w:val="00B02209"/>
    <w:rsid w:val="00B02346"/>
    <w:rsid w:val="00B0269C"/>
    <w:rsid w:val="00B02718"/>
    <w:rsid w:val="00B02883"/>
    <w:rsid w:val="00B028B1"/>
    <w:rsid w:val="00B028DA"/>
    <w:rsid w:val="00B028F8"/>
    <w:rsid w:val="00B02AAA"/>
    <w:rsid w:val="00B02B85"/>
    <w:rsid w:val="00B02E8E"/>
    <w:rsid w:val="00B03020"/>
    <w:rsid w:val="00B03036"/>
    <w:rsid w:val="00B03070"/>
    <w:rsid w:val="00B03081"/>
    <w:rsid w:val="00B03187"/>
    <w:rsid w:val="00B0324A"/>
    <w:rsid w:val="00B0327D"/>
    <w:rsid w:val="00B032EF"/>
    <w:rsid w:val="00B0348A"/>
    <w:rsid w:val="00B0365E"/>
    <w:rsid w:val="00B03870"/>
    <w:rsid w:val="00B03979"/>
    <w:rsid w:val="00B03A4E"/>
    <w:rsid w:val="00B03B02"/>
    <w:rsid w:val="00B03B99"/>
    <w:rsid w:val="00B03CB1"/>
    <w:rsid w:val="00B03E5F"/>
    <w:rsid w:val="00B03E64"/>
    <w:rsid w:val="00B03E8F"/>
    <w:rsid w:val="00B03EFE"/>
    <w:rsid w:val="00B03FBB"/>
    <w:rsid w:val="00B03FD1"/>
    <w:rsid w:val="00B0403C"/>
    <w:rsid w:val="00B04078"/>
    <w:rsid w:val="00B040CF"/>
    <w:rsid w:val="00B041AE"/>
    <w:rsid w:val="00B042B3"/>
    <w:rsid w:val="00B0461E"/>
    <w:rsid w:val="00B046EE"/>
    <w:rsid w:val="00B04868"/>
    <w:rsid w:val="00B048BB"/>
    <w:rsid w:val="00B04973"/>
    <w:rsid w:val="00B04B5D"/>
    <w:rsid w:val="00B04B6A"/>
    <w:rsid w:val="00B04C88"/>
    <w:rsid w:val="00B04D86"/>
    <w:rsid w:val="00B04DB4"/>
    <w:rsid w:val="00B04EC9"/>
    <w:rsid w:val="00B04FAE"/>
    <w:rsid w:val="00B050A1"/>
    <w:rsid w:val="00B05195"/>
    <w:rsid w:val="00B051C2"/>
    <w:rsid w:val="00B051E7"/>
    <w:rsid w:val="00B05518"/>
    <w:rsid w:val="00B057A4"/>
    <w:rsid w:val="00B0595C"/>
    <w:rsid w:val="00B05B76"/>
    <w:rsid w:val="00B05D86"/>
    <w:rsid w:val="00B05F99"/>
    <w:rsid w:val="00B061FA"/>
    <w:rsid w:val="00B06383"/>
    <w:rsid w:val="00B06431"/>
    <w:rsid w:val="00B064DD"/>
    <w:rsid w:val="00B06659"/>
    <w:rsid w:val="00B06704"/>
    <w:rsid w:val="00B06718"/>
    <w:rsid w:val="00B0682F"/>
    <w:rsid w:val="00B0687D"/>
    <w:rsid w:val="00B069B4"/>
    <w:rsid w:val="00B06B01"/>
    <w:rsid w:val="00B06B5F"/>
    <w:rsid w:val="00B06C18"/>
    <w:rsid w:val="00B06C93"/>
    <w:rsid w:val="00B06D78"/>
    <w:rsid w:val="00B06DC8"/>
    <w:rsid w:val="00B06DF7"/>
    <w:rsid w:val="00B06E4F"/>
    <w:rsid w:val="00B06FCF"/>
    <w:rsid w:val="00B06FE6"/>
    <w:rsid w:val="00B06FFD"/>
    <w:rsid w:val="00B070D6"/>
    <w:rsid w:val="00B072AA"/>
    <w:rsid w:val="00B073A5"/>
    <w:rsid w:val="00B07432"/>
    <w:rsid w:val="00B07496"/>
    <w:rsid w:val="00B075F7"/>
    <w:rsid w:val="00B076E9"/>
    <w:rsid w:val="00B0772A"/>
    <w:rsid w:val="00B077FB"/>
    <w:rsid w:val="00B078C3"/>
    <w:rsid w:val="00B078DE"/>
    <w:rsid w:val="00B0790D"/>
    <w:rsid w:val="00B07A06"/>
    <w:rsid w:val="00B07A31"/>
    <w:rsid w:val="00B07A6F"/>
    <w:rsid w:val="00B07BFF"/>
    <w:rsid w:val="00B07CCB"/>
    <w:rsid w:val="00B07CEB"/>
    <w:rsid w:val="00B07DF6"/>
    <w:rsid w:val="00B07ED7"/>
    <w:rsid w:val="00B07F51"/>
    <w:rsid w:val="00B1004E"/>
    <w:rsid w:val="00B100D0"/>
    <w:rsid w:val="00B10117"/>
    <w:rsid w:val="00B102E1"/>
    <w:rsid w:val="00B108F6"/>
    <w:rsid w:val="00B10913"/>
    <w:rsid w:val="00B1094D"/>
    <w:rsid w:val="00B10A5F"/>
    <w:rsid w:val="00B10B3B"/>
    <w:rsid w:val="00B10B62"/>
    <w:rsid w:val="00B10E94"/>
    <w:rsid w:val="00B10EB3"/>
    <w:rsid w:val="00B10F03"/>
    <w:rsid w:val="00B10F43"/>
    <w:rsid w:val="00B1106F"/>
    <w:rsid w:val="00B11192"/>
    <w:rsid w:val="00B1119B"/>
    <w:rsid w:val="00B112AC"/>
    <w:rsid w:val="00B113D2"/>
    <w:rsid w:val="00B11447"/>
    <w:rsid w:val="00B11586"/>
    <w:rsid w:val="00B116F3"/>
    <w:rsid w:val="00B1174B"/>
    <w:rsid w:val="00B11B12"/>
    <w:rsid w:val="00B11B77"/>
    <w:rsid w:val="00B11B79"/>
    <w:rsid w:val="00B11C9E"/>
    <w:rsid w:val="00B11CC9"/>
    <w:rsid w:val="00B11DAE"/>
    <w:rsid w:val="00B11DB6"/>
    <w:rsid w:val="00B11F91"/>
    <w:rsid w:val="00B12038"/>
    <w:rsid w:val="00B120C2"/>
    <w:rsid w:val="00B120F7"/>
    <w:rsid w:val="00B12169"/>
    <w:rsid w:val="00B12281"/>
    <w:rsid w:val="00B12499"/>
    <w:rsid w:val="00B125E6"/>
    <w:rsid w:val="00B12765"/>
    <w:rsid w:val="00B127F3"/>
    <w:rsid w:val="00B12819"/>
    <w:rsid w:val="00B128AB"/>
    <w:rsid w:val="00B128F4"/>
    <w:rsid w:val="00B1295F"/>
    <w:rsid w:val="00B12980"/>
    <w:rsid w:val="00B12994"/>
    <w:rsid w:val="00B129DA"/>
    <w:rsid w:val="00B129F1"/>
    <w:rsid w:val="00B12A01"/>
    <w:rsid w:val="00B12A4A"/>
    <w:rsid w:val="00B12DB6"/>
    <w:rsid w:val="00B12F26"/>
    <w:rsid w:val="00B12FF5"/>
    <w:rsid w:val="00B130E1"/>
    <w:rsid w:val="00B13246"/>
    <w:rsid w:val="00B132CF"/>
    <w:rsid w:val="00B134DD"/>
    <w:rsid w:val="00B1350F"/>
    <w:rsid w:val="00B135CC"/>
    <w:rsid w:val="00B1371E"/>
    <w:rsid w:val="00B1372F"/>
    <w:rsid w:val="00B13738"/>
    <w:rsid w:val="00B137EB"/>
    <w:rsid w:val="00B13854"/>
    <w:rsid w:val="00B139F7"/>
    <w:rsid w:val="00B13A19"/>
    <w:rsid w:val="00B13E8B"/>
    <w:rsid w:val="00B13F3C"/>
    <w:rsid w:val="00B13FAD"/>
    <w:rsid w:val="00B141E7"/>
    <w:rsid w:val="00B14452"/>
    <w:rsid w:val="00B14583"/>
    <w:rsid w:val="00B146AD"/>
    <w:rsid w:val="00B14744"/>
    <w:rsid w:val="00B1474E"/>
    <w:rsid w:val="00B147CC"/>
    <w:rsid w:val="00B14922"/>
    <w:rsid w:val="00B149D3"/>
    <w:rsid w:val="00B14BCF"/>
    <w:rsid w:val="00B14C2B"/>
    <w:rsid w:val="00B14C91"/>
    <w:rsid w:val="00B14D3F"/>
    <w:rsid w:val="00B14DA0"/>
    <w:rsid w:val="00B14E16"/>
    <w:rsid w:val="00B14F49"/>
    <w:rsid w:val="00B151F3"/>
    <w:rsid w:val="00B1524B"/>
    <w:rsid w:val="00B15250"/>
    <w:rsid w:val="00B15261"/>
    <w:rsid w:val="00B152C1"/>
    <w:rsid w:val="00B15382"/>
    <w:rsid w:val="00B1547B"/>
    <w:rsid w:val="00B154D8"/>
    <w:rsid w:val="00B15548"/>
    <w:rsid w:val="00B1570B"/>
    <w:rsid w:val="00B157A4"/>
    <w:rsid w:val="00B158A0"/>
    <w:rsid w:val="00B15941"/>
    <w:rsid w:val="00B15A4C"/>
    <w:rsid w:val="00B15A55"/>
    <w:rsid w:val="00B15A82"/>
    <w:rsid w:val="00B15ADA"/>
    <w:rsid w:val="00B15B12"/>
    <w:rsid w:val="00B15B45"/>
    <w:rsid w:val="00B15B91"/>
    <w:rsid w:val="00B15DC3"/>
    <w:rsid w:val="00B15F18"/>
    <w:rsid w:val="00B15F71"/>
    <w:rsid w:val="00B161E7"/>
    <w:rsid w:val="00B16251"/>
    <w:rsid w:val="00B162C7"/>
    <w:rsid w:val="00B16429"/>
    <w:rsid w:val="00B16455"/>
    <w:rsid w:val="00B16484"/>
    <w:rsid w:val="00B165EA"/>
    <w:rsid w:val="00B1674C"/>
    <w:rsid w:val="00B1682E"/>
    <w:rsid w:val="00B16830"/>
    <w:rsid w:val="00B1684A"/>
    <w:rsid w:val="00B16A81"/>
    <w:rsid w:val="00B16D22"/>
    <w:rsid w:val="00B16D59"/>
    <w:rsid w:val="00B16D73"/>
    <w:rsid w:val="00B16F74"/>
    <w:rsid w:val="00B17152"/>
    <w:rsid w:val="00B17295"/>
    <w:rsid w:val="00B1736B"/>
    <w:rsid w:val="00B174C0"/>
    <w:rsid w:val="00B174D2"/>
    <w:rsid w:val="00B174F8"/>
    <w:rsid w:val="00B175DD"/>
    <w:rsid w:val="00B17672"/>
    <w:rsid w:val="00B17A32"/>
    <w:rsid w:val="00B17A5F"/>
    <w:rsid w:val="00B17DAE"/>
    <w:rsid w:val="00B17F43"/>
    <w:rsid w:val="00B1A333"/>
    <w:rsid w:val="00B2013F"/>
    <w:rsid w:val="00B202D0"/>
    <w:rsid w:val="00B20337"/>
    <w:rsid w:val="00B20540"/>
    <w:rsid w:val="00B205BE"/>
    <w:rsid w:val="00B2067F"/>
    <w:rsid w:val="00B2073F"/>
    <w:rsid w:val="00B207B6"/>
    <w:rsid w:val="00B20A25"/>
    <w:rsid w:val="00B20B43"/>
    <w:rsid w:val="00B20C29"/>
    <w:rsid w:val="00B20C36"/>
    <w:rsid w:val="00B20D5D"/>
    <w:rsid w:val="00B20DF3"/>
    <w:rsid w:val="00B20E08"/>
    <w:rsid w:val="00B20E3B"/>
    <w:rsid w:val="00B20F02"/>
    <w:rsid w:val="00B21158"/>
    <w:rsid w:val="00B211AD"/>
    <w:rsid w:val="00B211DD"/>
    <w:rsid w:val="00B211F8"/>
    <w:rsid w:val="00B21200"/>
    <w:rsid w:val="00B21743"/>
    <w:rsid w:val="00B21812"/>
    <w:rsid w:val="00B21A37"/>
    <w:rsid w:val="00B21B99"/>
    <w:rsid w:val="00B21C7F"/>
    <w:rsid w:val="00B21F92"/>
    <w:rsid w:val="00B22231"/>
    <w:rsid w:val="00B2228A"/>
    <w:rsid w:val="00B2238F"/>
    <w:rsid w:val="00B223A9"/>
    <w:rsid w:val="00B2252B"/>
    <w:rsid w:val="00B22792"/>
    <w:rsid w:val="00B227E0"/>
    <w:rsid w:val="00B228A7"/>
    <w:rsid w:val="00B228FC"/>
    <w:rsid w:val="00B22A2C"/>
    <w:rsid w:val="00B22AF4"/>
    <w:rsid w:val="00B22BD8"/>
    <w:rsid w:val="00B22C4A"/>
    <w:rsid w:val="00B22C84"/>
    <w:rsid w:val="00B22CBE"/>
    <w:rsid w:val="00B22CE3"/>
    <w:rsid w:val="00B22CF2"/>
    <w:rsid w:val="00B22DC2"/>
    <w:rsid w:val="00B22E52"/>
    <w:rsid w:val="00B23011"/>
    <w:rsid w:val="00B2301E"/>
    <w:rsid w:val="00B2312D"/>
    <w:rsid w:val="00B231E0"/>
    <w:rsid w:val="00B2335D"/>
    <w:rsid w:val="00B23402"/>
    <w:rsid w:val="00B23496"/>
    <w:rsid w:val="00B234B5"/>
    <w:rsid w:val="00B2353F"/>
    <w:rsid w:val="00B2368F"/>
    <w:rsid w:val="00B23807"/>
    <w:rsid w:val="00B2383F"/>
    <w:rsid w:val="00B2387A"/>
    <w:rsid w:val="00B23941"/>
    <w:rsid w:val="00B23A0C"/>
    <w:rsid w:val="00B23A5D"/>
    <w:rsid w:val="00B23AF0"/>
    <w:rsid w:val="00B23AFF"/>
    <w:rsid w:val="00B23BB1"/>
    <w:rsid w:val="00B23DFD"/>
    <w:rsid w:val="00B24205"/>
    <w:rsid w:val="00B24353"/>
    <w:rsid w:val="00B24553"/>
    <w:rsid w:val="00B2461A"/>
    <w:rsid w:val="00B247D7"/>
    <w:rsid w:val="00B24804"/>
    <w:rsid w:val="00B2493E"/>
    <w:rsid w:val="00B24D68"/>
    <w:rsid w:val="00B24E12"/>
    <w:rsid w:val="00B24E33"/>
    <w:rsid w:val="00B24E36"/>
    <w:rsid w:val="00B24E8D"/>
    <w:rsid w:val="00B24EB5"/>
    <w:rsid w:val="00B25183"/>
    <w:rsid w:val="00B252DB"/>
    <w:rsid w:val="00B253C2"/>
    <w:rsid w:val="00B253D0"/>
    <w:rsid w:val="00B25442"/>
    <w:rsid w:val="00B25579"/>
    <w:rsid w:val="00B25639"/>
    <w:rsid w:val="00B25729"/>
    <w:rsid w:val="00B2577F"/>
    <w:rsid w:val="00B257A2"/>
    <w:rsid w:val="00B25891"/>
    <w:rsid w:val="00B25A3F"/>
    <w:rsid w:val="00B25AC6"/>
    <w:rsid w:val="00B25B6C"/>
    <w:rsid w:val="00B25C19"/>
    <w:rsid w:val="00B25DF0"/>
    <w:rsid w:val="00B25EED"/>
    <w:rsid w:val="00B25F92"/>
    <w:rsid w:val="00B26031"/>
    <w:rsid w:val="00B2615F"/>
    <w:rsid w:val="00B261E1"/>
    <w:rsid w:val="00B2629A"/>
    <w:rsid w:val="00B262A8"/>
    <w:rsid w:val="00B26307"/>
    <w:rsid w:val="00B2637B"/>
    <w:rsid w:val="00B26491"/>
    <w:rsid w:val="00B265FC"/>
    <w:rsid w:val="00B266B0"/>
    <w:rsid w:val="00B2672E"/>
    <w:rsid w:val="00B267A6"/>
    <w:rsid w:val="00B2686B"/>
    <w:rsid w:val="00B26895"/>
    <w:rsid w:val="00B2695E"/>
    <w:rsid w:val="00B26992"/>
    <w:rsid w:val="00B26A69"/>
    <w:rsid w:val="00B26B5B"/>
    <w:rsid w:val="00B26B97"/>
    <w:rsid w:val="00B26BFC"/>
    <w:rsid w:val="00B26D52"/>
    <w:rsid w:val="00B26D63"/>
    <w:rsid w:val="00B26D64"/>
    <w:rsid w:val="00B26E0C"/>
    <w:rsid w:val="00B26E31"/>
    <w:rsid w:val="00B26F34"/>
    <w:rsid w:val="00B26FF6"/>
    <w:rsid w:val="00B2707A"/>
    <w:rsid w:val="00B27131"/>
    <w:rsid w:val="00B27297"/>
    <w:rsid w:val="00B272AE"/>
    <w:rsid w:val="00B27369"/>
    <w:rsid w:val="00B274D8"/>
    <w:rsid w:val="00B275FD"/>
    <w:rsid w:val="00B27608"/>
    <w:rsid w:val="00B27630"/>
    <w:rsid w:val="00B27752"/>
    <w:rsid w:val="00B27803"/>
    <w:rsid w:val="00B27818"/>
    <w:rsid w:val="00B27886"/>
    <w:rsid w:val="00B27894"/>
    <w:rsid w:val="00B27961"/>
    <w:rsid w:val="00B27A21"/>
    <w:rsid w:val="00B27A28"/>
    <w:rsid w:val="00B27A78"/>
    <w:rsid w:val="00B27B78"/>
    <w:rsid w:val="00B27D3B"/>
    <w:rsid w:val="00B27E3D"/>
    <w:rsid w:val="00B27ED2"/>
    <w:rsid w:val="00B27EE4"/>
    <w:rsid w:val="00B27F64"/>
    <w:rsid w:val="00B30072"/>
    <w:rsid w:val="00B300F7"/>
    <w:rsid w:val="00B30145"/>
    <w:rsid w:val="00B3022E"/>
    <w:rsid w:val="00B30240"/>
    <w:rsid w:val="00B302EC"/>
    <w:rsid w:val="00B3041E"/>
    <w:rsid w:val="00B3052E"/>
    <w:rsid w:val="00B3058E"/>
    <w:rsid w:val="00B305C2"/>
    <w:rsid w:val="00B306D0"/>
    <w:rsid w:val="00B30964"/>
    <w:rsid w:val="00B30B1F"/>
    <w:rsid w:val="00B30B37"/>
    <w:rsid w:val="00B30B77"/>
    <w:rsid w:val="00B30B92"/>
    <w:rsid w:val="00B30BBC"/>
    <w:rsid w:val="00B30BD1"/>
    <w:rsid w:val="00B30C74"/>
    <w:rsid w:val="00B30E06"/>
    <w:rsid w:val="00B30E16"/>
    <w:rsid w:val="00B31147"/>
    <w:rsid w:val="00B3120D"/>
    <w:rsid w:val="00B3144F"/>
    <w:rsid w:val="00B31566"/>
    <w:rsid w:val="00B315E4"/>
    <w:rsid w:val="00B31600"/>
    <w:rsid w:val="00B31B53"/>
    <w:rsid w:val="00B31D11"/>
    <w:rsid w:val="00B31D14"/>
    <w:rsid w:val="00B31D5B"/>
    <w:rsid w:val="00B31E44"/>
    <w:rsid w:val="00B31F19"/>
    <w:rsid w:val="00B32045"/>
    <w:rsid w:val="00B321E1"/>
    <w:rsid w:val="00B324A6"/>
    <w:rsid w:val="00B3264C"/>
    <w:rsid w:val="00B3267D"/>
    <w:rsid w:val="00B32696"/>
    <w:rsid w:val="00B32770"/>
    <w:rsid w:val="00B327D5"/>
    <w:rsid w:val="00B3285A"/>
    <w:rsid w:val="00B328FF"/>
    <w:rsid w:val="00B329AA"/>
    <w:rsid w:val="00B32B13"/>
    <w:rsid w:val="00B32B60"/>
    <w:rsid w:val="00B32BBF"/>
    <w:rsid w:val="00B32BF9"/>
    <w:rsid w:val="00B32D4C"/>
    <w:rsid w:val="00B32E57"/>
    <w:rsid w:val="00B32E97"/>
    <w:rsid w:val="00B32EF4"/>
    <w:rsid w:val="00B32F2A"/>
    <w:rsid w:val="00B33046"/>
    <w:rsid w:val="00B33130"/>
    <w:rsid w:val="00B331A8"/>
    <w:rsid w:val="00B33292"/>
    <w:rsid w:val="00B3341E"/>
    <w:rsid w:val="00B335EF"/>
    <w:rsid w:val="00B336A6"/>
    <w:rsid w:val="00B337DD"/>
    <w:rsid w:val="00B33850"/>
    <w:rsid w:val="00B33942"/>
    <w:rsid w:val="00B33A1F"/>
    <w:rsid w:val="00B33AA2"/>
    <w:rsid w:val="00B33B0C"/>
    <w:rsid w:val="00B33CE3"/>
    <w:rsid w:val="00B33CFB"/>
    <w:rsid w:val="00B33D1D"/>
    <w:rsid w:val="00B33D37"/>
    <w:rsid w:val="00B33D49"/>
    <w:rsid w:val="00B33D4A"/>
    <w:rsid w:val="00B33EB1"/>
    <w:rsid w:val="00B33F16"/>
    <w:rsid w:val="00B3402D"/>
    <w:rsid w:val="00B340BB"/>
    <w:rsid w:val="00B340F6"/>
    <w:rsid w:val="00B34257"/>
    <w:rsid w:val="00B3429B"/>
    <w:rsid w:val="00B34315"/>
    <w:rsid w:val="00B344B0"/>
    <w:rsid w:val="00B344D3"/>
    <w:rsid w:val="00B344F4"/>
    <w:rsid w:val="00B345CB"/>
    <w:rsid w:val="00B34658"/>
    <w:rsid w:val="00B348B0"/>
    <w:rsid w:val="00B348D7"/>
    <w:rsid w:val="00B349A1"/>
    <w:rsid w:val="00B349DD"/>
    <w:rsid w:val="00B349F9"/>
    <w:rsid w:val="00B34B84"/>
    <w:rsid w:val="00B34C37"/>
    <w:rsid w:val="00B34F9C"/>
    <w:rsid w:val="00B35022"/>
    <w:rsid w:val="00B3507F"/>
    <w:rsid w:val="00B35080"/>
    <w:rsid w:val="00B3527D"/>
    <w:rsid w:val="00B35353"/>
    <w:rsid w:val="00B35443"/>
    <w:rsid w:val="00B354BD"/>
    <w:rsid w:val="00B35591"/>
    <w:rsid w:val="00B3567E"/>
    <w:rsid w:val="00B358B0"/>
    <w:rsid w:val="00B359B0"/>
    <w:rsid w:val="00B359C6"/>
    <w:rsid w:val="00B35A6E"/>
    <w:rsid w:val="00B35C15"/>
    <w:rsid w:val="00B35C36"/>
    <w:rsid w:val="00B35C4A"/>
    <w:rsid w:val="00B35CCF"/>
    <w:rsid w:val="00B35CEA"/>
    <w:rsid w:val="00B36015"/>
    <w:rsid w:val="00B3623E"/>
    <w:rsid w:val="00B36270"/>
    <w:rsid w:val="00B362F0"/>
    <w:rsid w:val="00B36545"/>
    <w:rsid w:val="00B36658"/>
    <w:rsid w:val="00B36740"/>
    <w:rsid w:val="00B367D6"/>
    <w:rsid w:val="00B3687C"/>
    <w:rsid w:val="00B36960"/>
    <w:rsid w:val="00B36A3E"/>
    <w:rsid w:val="00B36AD6"/>
    <w:rsid w:val="00B36AE9"/>
    <w:rsid w:val="00B36B59"/>
    <w:rsid w:val="00B36B9B"/>
    <w:rsid w:val="00B36C98"/>
    <w:rsid w:val="00B36E9F"/>
    <w:rsid w:val="00B36EC6"/>
    <w:rsid w:val="00B3736E"/>
    <w:rsid w:val="00B374C7"/>
    <w:rsid w:val="00B376B0"/>
    <w:rsid w:val="00B3788C"/>
    <w:rsid w:val="00B37AFE"/>
    <w:rsid w:val="00B37B4C"/>
    <w:rsid w:val="00B37C1C"/>
    <w:rsid w:val="00B37C1D"/>
    <w:rsid w:val="00B37D6C"/>
    <w:rsid w:val="00B37D92"/>
    <w:rsid w:val="00B37EA3"/>
    <w:rsid w:val="00B37ED0"/>
    <w:rsid w:val="00B37F06"/>
    <w:rsid w:val="00B37F73"/>
    <w:rsid w:val="00B4004C"/>
    <w:rsid w:val="00B401A7"/>
    <w:rsid w:val="00B4024E"/>
    <w:rsid w:val="00B40477"/>
    <w:rsid w:val="00B40521"/>
    <w:rsid w:val="00B4056C"/>
    <w:rsid w:val="00B405F6"/>
    <w:rsid w:val="00B40609"/>
    <w:rsid w:val="00B4063B"/>
    <w:rsid w:val="00B40789"/>
    <w:rsid w:val="00B40823"/>
    <w:rsid w:val="00B4091C"/>
    <w:rsid w:val="00B409BE"/>
    <w:rsid w:val="00B40B0B"/>
    <w:rsid w:val="00B40B8A"/>
    <w:rsid w:val="00B40C4B"/>
    <w:rsid w:val="00B40DDE"/>
    <w:rsid w:val="00B410EA"/>
    <w:rsid w:val="00B41234"/>
    <w:rsid w:val="00B4125E"/>
    <w:rsid w:val="00B412F4"/>
    <w:rsid w:val="00B41309"/>
    <w:rsid w:val="00B413CA"/>
    <w:rsid w:val="00B41564"/>
    <w:rsid w:val="00B415F3"/>
    <w:rsid w:val="00B41767"/>
    <w:rsid w:val="00B417BA"/>
    <w:rsid w:val="00B4181D"/>
    <w:rsid w:val="00B418BD"/>
    <w:rsid w:val="00B41A15"/>
    <w:rsid w:val="00B41A20"/>
    <w:rsid w:val="00B41B98"/>
    <w:rsid w:val="00B41C7E"/>
    <w:rsid w:val="00B41F66"/>
    <w:rsid w:val="00B41FE6"/>
    <w:rsid w:val="00B421A7"/>
    <w:rsid w:val="00B42332"/>
    <w:rsid w:val="00B4234A"/>
    <w:rsid w:val="00B423CD"/>
    <w:rsid w:val="00B423E8"/>
    <w:rsid w:val="00B4246F"/>
    <w:rsid w:val="00B42545"/>
    <w:rsid w:val="00B425D1"/>
    <w:rsid w:val="00B42613"/>
    <w:rsid w:val="00B426C5"/>
    <w:rsid w:val="00B426FB"/>
    <w:rsid w:val="00B42750"/>
    <w:rsid w:val="00B42978"/>
    <w:rsid w:val="00B42A58"/>
    <w:rsid w:val="00B42A95"/>
    <w:rsid w:val="00B42ABE"/>
    <w:rsid w:val="00B42B35"/>
    <w:rsid w:val="00B42B7A"/>
    <w:rsid w:val="00B42B8C"/>
    <w:rsid w:val="00B42BA6"/>
    <w:rsid w:val="00B42CDA"/>
    <w:rsid w:val="00B42DF0"/>
    <w:rsid w:val="00B42EB7"/>
    <w:rsid w:val="00B4305B"/>
    <w:rsid w:val="00B432B9"/>
    <w:rsid w:val="00B4345C"/>
    <w:rsid w:val="00B43835"/>
    <w:rsid w:val="00B43840"/>
    <w:rsid w:val="00B4396A"/>
    <w:rsid w:val="00B439D1"/>
    <w:rsid w:val="00B43AC6"/>
    <w:rsid w:val="00B43AD6"/>
    <w:rsid w:val="00B43ADD"/>
    <w:rsid w:val="00B43B0A"/>
    <w:rsid w:val="00B43B32"/>
    <w:rsid w:val="00B43CA6"/>
    <w:rsid w:val="00B43D41"/>
    <w:rsid w:val="00B43DD2"/>
    <w:rsid w:val="00B43EB8"/>
    <w:rsid w:val="00B440EB"/>
    <w:rsid w:val="00B4425C"/>
    <w:rsid w:val="00B44288"/>
    <w:rsid w:val="00B444D9"/>
    <w:rsid w:val="00B4451E"/>
    <w:rsid w:val="00B44590"/>
    <w:rsid w:val="00B445CE"/>
    <w:rsid w:val="00B44609"/>
    <w:rsid w:val="00B446C5"/>
    <w:rsid w:val="00B44BC3"/>
    <w:rsid w:val="00B44BD8"/>
    <w:rsid w:val="00B44EC2"/>
    <w:rsid w:val="00B4506D"/>
    <w:rsid w:val="00B450F4"/>
    <w:rsid w:val="00B45115"/>
    <w:rsid w:val="00B4523A"/>
    <w:rsid w:val="00B4531F"/>
    <w:rsid w:val="00B455E0"/>
    <w:rsid w:val="00B4562A"/>
    <w:rsid w:val="00B45862"/>
    <w:rsid w:val="00B45932"/>
    <w:rsid w:val="00B45949"/>
    <w:rsid w:val="00B45983"/>
    <w:rsid w:val="00B45A4D"/>
    <w:rsid w:val="00B45B09"/>
    <w:rsid w:val="00B45BDA"/>
    <w:rsid w:val="00B45D62"/>
    <w:rsid w:val="00B45F0A"/>
    <w:rsid w:val="00B45F34"/>
    <w:rsid w:val="00B4625B"/>
    <w:rsid w:val="00B462C4"/>
    <w:rsid w:val="00B4641F"/>
    <w:rsid w:val="00B46458"/>
    <w:rsid w:val="00B464C4"/>
    <w:rsid w:val="00B46546"/>
    <w:rsid w:val="00B46822"/>
    <w:rsid w:val="00B4686B"/>
    <w:rsid w:val="00B46883"/>
    <w:rsid w:val="00B46AC3"/>
    <w:rsid w:val="00B46AD5"/>
    <w:rsid w:val="00B46B21"/>
    <w:rsid w:val="00B46C68"/>
    <w:rsid w:val="00B46C74"/>
    <w:rsid w:val="00B46DF7"/>
    <w:rsid w:val="00B46E24"/>
    <w:rsid w:val="00B46FC1"/>
    <w:rsid w:val="00B470A6"/>
    <w:rsid w:val="00B47237"/>
    <w:rsid w:val="00B4728C"/>
    <w:rsid w:val="00B472C0"/>
    <w:rsid w:val="00B4735C"/>
    <w:rsid w:val="00B473D6"/>
    <w:rsid w:val="00B47683"/>
    <w:rsid w:val="00B4769D"/>
    <w:rsid w:val="00B476E8"/>
    <w:rsid w:val="00B4779D"/>
    <w:rsid w:val="00B477D8"/>
    <w:rsid w:val="00B47800"/>
    <w:rsid w:val="00B47886"/>
    <w:rsid w:val="00B47A19"/>
    <w:rsid w:val="00B47AC8"/>
    <w:rsid w:val="00B47E06"/>
    <w:rsid w:val="00B501A7"/>
    <w:rsid w:val="00B50454"/>
    <w:rsid w:val="00B504AA"/>
    <w:rsid w:val="00B504CB"/>
    <w:rsid w:val="00B505B5"/>
    <w:rsid w:val="00B505CB"/>
    <w:rsid w:val="00B506F9"/>
    <w:rsid w:val="00B50707"/>
    <w:rsid w:val="00B507B3"/>
    <w:rsid w:val="00B5087C"/>
    <w:rsid w:val="00B50948"/>
    <w:rsid w:val="00B50A9D"/>
    <w:rsid w:val="00B50B22"/>
    <w:rsid w:val="00B50BBA"/>
    <w:rsid w:val="00B50C57"/>
    <w:rsid w:val="00B50E47"/>
    <w:rsid w:val="00B51173"/>
    <w:rsid w:val="00B511A6"/>
    <w:rsid w:val="00B512EF"/>
    <w:rsid w:val="00B51354"/>
    <w:rsid w:val="00B51693"/>
    <w:rsid w:val="00B516BD"/>
    <w:rsid w:val="00B516BE"/>
    <w:rsid w:val="00B5176C"/>
    <w:rsid w:val="00B518B9"/>
    <w:rsid w:val="00B518E6"/>
    <w:rsid w:val="00B5196B"/>
    <w:rsid w:val="00B5196F"/>
    <w:rsid w:val="00B51C0A"/>
    <w:rsid w:val="00B51CC3"/>
    <w:rsid w:val="00B51CC4"/>
    <w:rsid w:val="00B51D3C"/>
    <w:rsid w:val="00B51DC6"/>
    <w:rsid w:val="00B51E0C"/>
    <w:rsid w:val="00B51E19"/>
    <w:rsid w:val="00B51F27"/>
    <w:rsid w:val="00B51F54"/>
    <w:rsid w:val="00B51F58"/>
    <w:rsid w:val="00B51F5E"/>
    <w:rsid w:val="00B51FDC"/>
    <w:rsid w:val="00B52141"/>
    <w:rsid w:val="00B521A3"/>
    <w:rsid w:val="00B5221C"/>
    <w:rsid w:val="00B5227C"/>
    <w:rsid w:val="00B5240F"/>
    <w:rsid w:val="00B524C0"/>
    <w:rsid w:val="00B52566"/>
    <w:rsid w:val="00B5256C"/>
    <w:rsid w:val="00B5265B"/>
    <w:rsid w:val="00B52792"/>
    <w:rsid w:val="00B528F0"/>
    <w:rsid w:val="00B5293E"/>
    <w:rsid w:val="00B52C4D"/>
    <w:rsid w:val="00B52CB0"/>
    <w:rsid w:val="00B52E72"/>
    <w:rsid w:val="00B52EAC"/>
    <w:rsid w:val="00B52F27"/>
    <w:rsid w:val="00B52F7E"/>
    <w:rsid w:val="00B52FCB"/>
    <w:rsid w:val="00B5315D"/>
    <w:rsid w:val="00B531E0"/>
    <w:rsid w:val="00B53302"/>
    <w:rsid w:val="00B53328"/>
    <w:rsid w:val="00B533D2"/>
    <w:rsid w:val="00B5367E"/>
    <w:rsid w:val="00B536EE"/>
    <w:rsid w:val="00B536FE"/>
    <w:rsid w:val="00B53721"/>
    <w:rsid w:val="00B5374F"/>
    <w:rsid w:val="00B53771"/>
    <w:rsid w:val="00B53AF0"/>
    <w:rsid w:val="00B53B46"/>
    <w:rsid w:val="00B53B93"/>
    <w:rsid w:val="00B53BA6"/>
    <w:rsid w:val="00B53BB6"/>
    <w:rsid w:val="00B53D2A"/>
    <w:rsid w:val="00B53E97"/>
    <w:rsid w:val="00B53F40"/>
    <w:rsid w:val="00B53F8A"/>
    <w:rsid w:val="00B53FA5"/>
    <w:rsid w:val="00B5419A"/>
    <w:rsid w:val="00B5435A"/>
    <w:rsid w:val="00B543B0"/>
    <w:rsid w:val="00B543BC"/>
    <w:rsid w:val="00B543E4"/>
    <w:rsid w:val="00B5440D"/>
    <w:rsid w:val="00B544C0"/>
    <w:rsid w:val="00B544D5"/>
    <w:rsid w:val="00B5453D"/>
    <w:rsid w:val="00B545EF"/>
    <w:rsid w:val="00B545F5"/>
    <w:rsid w:val="00B546C5"/>
    <w:rsid w:val="00B54740"/>
    <w:rsid w:val="00B5484E"/>
    <w:rsid w:val="00B54958"/>
    <w:rsid w:val="00B54A42"/>
    <w:rsid w:val="00B54A55"/>
    <w:rsid w:val="00B54A6A"/>
    <w:rsid w:val="00B54B16"/>
    <w:rsid w:val="00B54B25"/>
    <w:rsid w:val="00B54BD9"/>
    <w:rsid w:val="00B54C6A"/>
    <w:rsid w:val="00B54E34"/>
    <w:rsid w:val="00B54E6F"/>
    <w:rsid w:val="00B54F4F"/>
    <w:rsid w:val="00B550A3"/>
    <w:rsid w:val="00B553BF"/>
    <w:rsid w:val="00B556B9"/>
    <w:rsid w:val="00B556F4"/>
    <w:rsid w:val="00B5570A"/>
    <w:rsid w:val="00B5575D"/>
    <w:rsid w:val="00B557E9"/>
    <w:rsid w:val="00B5593C"/>
    <w:rsid w:val="00B55992"/>
    <w:rsid w:val="00B55B6B"/>
    <w:rsid w:val="00B55C73"/>
    <w:rsid w:val="00B55CFB"/>
    <w:rsid w:val="00B55E64"/>
    <w:rsid w:val="00B56113"/>
    <w:rsid w:val="00B56153"/>
    <w:rsid w:val="00B562CC"/>
    <w:rsid w:val="00B56381"/>
    <w:rsid w:val="00B56444"/>
    <w:rsid w:val="00B5648A"/>
    <w:rsid w:val="00B565EC"/>
    <w:rsid w:val="00B5669B"/>
    <w:rsid w:val="00B5678A"/>
    <w:rsid w:val="00B5679A"/>
    <w:rsid w:val="00B568E6"/>
    <w:rsid w:val="00B56965"/>
    <w:rsid w:val="00B56AAC"/>
    <w:rsid w:val="00B570BD"/>
    <w:rsid w:val="00B571C9"/>
    <w:rsid w:val="00B57242"/>
    <w:rsid w:val="00B57319"/>
    <w:rsid w:val="00B573D2"/>
    <w:rsid w:val="00B57405"/>
    <w:rsid w:val="00B5771C"/>
    <w:rsid w:val="00B57995"/>
    <w:rsid w:val="00B57A05"/>
    <w:rsid w:val="00B57B9C"/>
    <w:rsid w:val="00B57BC6"/>
    <w:rsid w:val="00B57C51"/>
    <w:rsid w:val="00B57CDE"/>
    <w:rsid w:val="00B57CEC"/>
    <w:rsid w:val="00B57CED"/>
    <w:rsid w:val="00B57D3E"/>
    <w:rsid w:val="00B57E31"/>
    <w:rsid w:val="00B57E6D"/>
    <w:rsid w:val="00B57E7A"/>
    <w:rsid w:val="00B57F2F"/>
    <w:rsid w:val="00B60172"/>
    <w:rsid w:val="00B603B8"/>
    <w:rsid w:val="00B604C2"/>
    <w:rsid w:val="00B6059C"/>
    <w:rsid w:val="00B605A8"/>
    <w:rsid w:val="00B606F6"/>
    <w:rsid w:val="00B60727"/>
    <w:rsid w:val="00B60760"/>
    <w:rsid w:val="00B6083F"/>
    <w:rsid w:val="00B60928"/>
    <w:rsid w:val="00B60E30"/>
    <w:rsid w:val="00B60FE4"/>
    <w:rsid w:val="00B61129"/>
    <w:rsid w:val="00B614E1"/>
    <w:rsid w:val="00B6159D"/>
    <w:rsid w:val="00B61696"/>
    <w:rsid w:val="00B616EE"/>
    <w:rsid w:val="00B6172A"/>
    <w:rsid w:val="00B61984"/>
    <w:rsid w:val="00B619B6"/>
    <w:rsid w:val="00B61A23"/>
    <w:rsid w:val="00B61AB8"/>
    <w:rsid w:val="00B61CC9"/>
    <w:rsid w:val="00B61D1C"/>
    <w:rsid w:val="00B61D2A"/>
    <w:rsid w:val="00B61D5F"/>
    <w:rsid w:val="00B61DAC"/>
    <w:rsid w:val="00B61E55"/>
    <w:rsid w:val="00B61E75"/>
    <w:rsid w:val="00B61FE5"/>
    <w:rsid w:val="00B6203C"/>
    <w:rsid w:val="00B6203E"/>
    <w:rsid w:val="00B62041"/>
    <w:rsid w:val="00B621D8"/>
    <w:rsid w:val="00B62217"/>
    <w:rsid w:val="00B62418"/>
    <w:rsid w:val="00B624A7"/>
    <w:rsid w:val="00B62522"/>
    <w:rsid w:val="00B62536"/>
    <w:rsid w:val="00B6259D"/>
    <w:rsid w:val="00B6272E"/>
    <w:rsid w:val="00B62834"/>
    <w:rsid w:val="00B62859"/>
    <w:rsid w:val="00B62A7A"/>
    <w:rsid w:val="00B62B03"/>
    <w:rsid w:val="00B62B8F"/>
    <w:rsid w:val="00B62BD2"/>
    <w:rsid w:val="00B62C1B"/>
    <w:rsid w:val="00B62CEB"/>
    <w:rsid w:val="00B62DF3"/>
    <w:rsid w:val="00B62EFC"/>
    <w:rsid w:val="00B631F2"/>
    <w:rsid w:val="00B63316"/>
    <w:rsid w:val="00B63624"/>
    <w:rsid w:val="00B6370F"/>
    <w:rsid w:val="00B63890"/>
    <w:rsid w:val="00B63897"/>
    <w:rsid w:val="00B639DB"/>
    <w:rsid w:val="00B63BA5"/>
    <w:rsid w:val="00B63BAE"/>
    <w:rsid w:val="00B63EA4"/>
    <w:rsid w:val="00B63F1A"/>
    <w:rsid w:val="00B63F5A"/>
    <w:rsid w:val="00B63F8D"/>
    <w:rsid w:val="00B64020"/>
    <w:rsid w:val="00B64043"/>
    <w:rsid w:val="00B6405D"/>
    <w:rsid w:val="00B64117"/>
    <w:rsid w:val="00B64326"/>
    <w:rsid w:val="00B6433C"/>
    <w:rsid w:val="00B6434D"/>
    <w:rsid w:val="00B644C6"/>
    <w:rsid w:val="00B6458D"/>
    <w:rsid w:val="00B64912"/>
    <w:rsid w:val="00B6495A"/>
    <w:rsid w:val="00B64A5B"/>
    <w:rsid w:val="00B64BE6"/>
    <w:rsid w:val="00B64C7C"/>
    <w:rsid w:val="00B64CA2"/>
    <w:rsid w:val="00B64DA0"/>
    <w:rsid w:val="00B64E4C"/>
    <w:rsid w:val="00B64F37"/>
    <w:rsid w:val="00B64F9A"/>
    <w:rsid w:val="00B65016"/>
    <w:rsid w:val="00B650E8"/>
    <w:rsid w:val="00B65107"/>
    <w:rsid w:val="00B653E7"/>
    <w:rsid w:val="00B65447"/>
    <w:rsid w:val="00B655C7"/>
    <w:rsid w:val="00B6569F"/>
    <w:rsid w:val="00B656FA"/>
    <w:rsid w:val="00B65720"/>
    <w:rsid w:val="00B65935"/>
    <w:rsid w:val="00B65A1E"/>
    <w:rsid w:val="00B65AD8"/>
    <w:rsid w:val="00B65CC5"/>
    <w:rsid w:val="00B65CD0"/>
    <w:rsid w:val="00B65DEC"/>
    <w:rsid w:val="00B65E07"/>
    <w:rsid w:val="00B65E5B"/>
    <w:rsid w:val="00B65ECE"/>
    <w:rsid w:val="00B65ED7"/>
    <w:rsid w:val="00B65F45"/>
    <w:rsid w:val="00B660FB"/>
    <w:rsid w:val="00B661B5"/>
    <w:rsid w:val="00B66214"/>
    <w:rsid w:val="00B66348"/>
    <w:rsid w:val="00B663BA"/>
    <w:rsid w:val="00B6646A"/>
    <w:rsid w:val="00B664FC"/>
    <w:rsid w:val="00B6667F"/>
    <w:rsid w:val="00B666AA"/>
    <w:rsid w:val="00B666D6"/>
    <w:rsid w:val="00B66745"/>
    <w:rsid w:val="00B66763"/>
    <w:rsid w:val="00B667BC"/>
    <w:rsid w:val="00B667F4"/>
    <w:rsid w:val="00B66802"/>
    <w:rsid w:val="00B6685E"/>
    <w:rsid w:val="00B669FE"/>
    <w:rsid w:val="00B66BE2"/>
    <w:rsid w:val="00B66C04"/>
    <w:rsid w:val="00B66C8B"/>
    <w:rsid w:val="00B66C93"/>
    <w:rsid w:val="00B66CD5"/>
    <w:rsid w:val="00B66CF2"/>
    <w:rsid w:val="00B66EAF"/>
    <w:rsid w:val="00B66F20"/>
    <w:rsid w:val="00B66FE9"/>
    <w:rsid w:val="00B6708F"/>
    <w:rsid w:val="00B67104"/>
    <w:rsid w:val="00B671E8"/>
    <w:rsid w:val="00B6726E"/>
    <w:rsid w:val="00B674C8"/>
    <w:rsid w:val="00B6752C"/>
    <w:rsid w:val="00B675FC"/>
    <w:rsid w:val="00B676CF"/>
    <w:rsid w:val="00B67723"/>
    <w:rsid w:val="00B677EB"/>
    <w:rsid w:val="00B677ED"/>
    <w:rsid w:val="00B677F1"/>
    <w:rsid w:val="00B678D0"/>
    <w:rsid w:val="00B678E2"/>
    <w:rsid w:val="00B679B0"/>
    <w:rsid w:val="00B67D3C"/>
    <w:rsid w:val="00B67DB2"/>
    <w:rsid w:val="00B67E0B"/>
    <w:rsid w:val="00B67E23"/>
    <w:rsid w:val="00B67E28"/>
    <w:rsid w:val="00B67F39"/>
    <w:rsid w:val="00B67F6C"/>
    <w:rsid w:val="00B67F7A"/>
    <w:rsid w:val="00B700AF"/>
    <w:rsid w:val="00B701E0"/>
    <w:rsid w:val="00B70214"/>
    <w:rsid w:val="00B70390"/>
    <w:rsid w:val="00B7046E"/>
    <w:rsid w:val="00B70500"/>
    <w:rsid w:val="00B705C6"/>
    <w:rsid w:val="00B706BD"/>
    <w:rsid w:val="00B70755"/>
    <w:rsid w:val="00B708AB"/>
    <w:rsid w:val="00B70970"/>
    <w:rsid w:val="00B70A2C"/>
    <w:rsid w:val="00B70C1A"/>
    <w:rsid w:val="00B70D51"/>
    <w:rsid w:val="00B710B0"/>
    <w:rsid w:val="00B7114B"/>
    <w:rsid w:val="00B711C2"/>
    <w:rsid w:val="00B71535"/>
    <w:rsid w:val="00B715EA"/>
    <w:rsid w:val="00B71638"/>
    <w:rsid w:val="00B7182A"/>
    <w:rsid w:val="00B7195B"/>
    <w:rsid w:val="00B71C41"/>
    <w:rsid w:val="00B71CFF"/>
    <w:rsid w:val="00B71DBA"/>
    <w:rsid w:val="00B71FCA"/>
    <w:rsid w:val="00B720B8"/>
    <w:rsid w:val="00B721BA"/>
    <w:rsid w:val="00B721E2"/>
    <w:rsid w:val="00B721F4"/>
    <w:rsid w:val="00B7228E"/>
    <w:rsid w:val="00B722C5"/>
    <w:rsid w:val="00B722E5"/>
    <w:rsid w:val="00B72399"/>
    <w:rsid w:val="00B72571"/>
    <w:rsid w:val="00B725B1"/>
    <w:rsid w:val="00B726DB"/>
    <w:rsid w:val="00B7298B"/>
    <w:rsid w:val="00B72A0E"/>
    <w:rsid w:val="00B72BE2"/>
    <w:rsid w:val="00B72BF9"/>
    <w:rsid w:val="00B72C02"/>
    <w:rsid w:val="00B72C27"/>
    <w:rsid w:val="00B72C4D"/>
    <w:rsid w:val="00B72CD2"/>
    <w:rsid w:val="00B72E03"/>
    <w:rsid w:val="00B72E3C"/>
    <w:rsid w:val="00B72E6E"/>
    <w:rsid w:val="00B73265"/>
    <w:rsid w:val="00B73275"/>
    <w:rsid w:val="00B7333B"/>
    <w:rsid w:val="00B7336B"/>
    <w:rsid w:val="00B73476"/>
    <w:rsid w:val="00B73487"/>
    <w:rsid w:val="00B73512"/>
    <w:rsid w:val="00B735B4"/>
    <w:rsid w:val="00B737DD"/>
    <w:rsid w:val="00B738AE"/>
    <w:rsid w:val="00B73983"/>
    <w:rsid w:val="00B73CF8"/>
    <w:rsid w:val="00B73D16"/>
    <w:rsid w:val="00B73E84"/>
    <w:rsid w:val="00B73F3B"/>
    <w:rsid w:val="00B73F87"/>
    <w:rsid w:val="00B73FBB"/>
    <w:rsid w:val="00B73FDB"/>
    <w:rsid w:val="00B74088"/>
    <w:rsid w:val="00B74096"/>
    <w:rsid w:val="00B740F5"/>
    <w:rsid w:val="00B74176"/>
    <w:rsid w:val="00B74201"/>
    <w:rsid w:val="00B74553"/>
    <w:rsid w:val="00B7455D"/>
    <w:rsid w:val="00B747E0"/>
    <w:rsid w:val="00B74879"/>
    <w:rsid w:val="00B7492E"/>
    <w:rsid w:val="00B74B93"/>
    <w:rsid w:val="00B74CA1"/>
    <w:rsid w:val="00B74D8D"/>
    <w:rsid w:val="00B74E87"/>
    <w:rsid w:val="00B74E8F"/>
    <w:rsid w:val="00B74F0B"/>
    <w:rsid w:val="00B74F77"/>
    <w:rsid w:val="00B750D1"/>
    <w:rsid w:val="00B752CC"/>
    <w:rsid w:val="00B753CA"/>
    <w:rsid w:val="00B75724"/>
    <w:rsid w:val="00B7584B"/>
    <w:rsid w:val="00B75856"/>
    <w:rsid w:val="00B758E2"/>
    <w:rsid w:val="00B7591B"/>
    <w:rsid w:val="00B759CF"/>
    <w:rsid w:val="00B759DB"/>
    <w:rsid w:val="00B75D3D"/>
    <w:rsid w:val="00B75D3E"/>
    <w:rsid w:val="00B75D8A"/>
    <w:rsid w:val="00B75E64"/>
    <w:rsid w:val="00B75F25"/>
    <w:rsid w:val="00B7619B"/>
    <w:rsid w:val="00B7625A"/>
    <w:rsid w:val="00B76364"/>
    <w:rsid w:val="00B765B3"/>
    <w:rsid w:val="00B76741"/>
    <w:rsid w:val="00B7687B"/>
    <w:rsid w:val="00B769C5"/>
    <w:rsid w:val="00B76AB5"/>
    <w:rsid w:val="00B76AFA"/>
    <w:rsid w:val="00B76B38"/>
    <w:rsid w:val="00B76C29"/>
    <w:rsid w:val="00B76C5C"/>
    <w:rsid w:val="00B76D66"/>
    <w:rsid w:val="00B76ECA"/>
    <w:rsid w:val="00B7706D"/>
    <w:rsid w:val="00B771D2"/>
    <w:rsid w:val="00B773F5"/>
    <w:rsid w:val="00B7756E"/>
    <w:rsid w:val="00B776FB"/>
    <w:rsid w:val="00B778EF"/>
    <w:rsid w:val="00B7795A"/>
    <w:rsid w:val="00B77A1D"/>
    <w:rsid w:val="00B77B21"/>
    <w:rsid w:val="00B77BF9"/>
    <w:rsid w:val="00B77D2A"/>
    <w:rsid w:val="00B77D80"/>
    <w:rsid w:val="00B77D9F"/>
    <w:rsid w:val="00B77DC7"/>
    <w:rsid w:val="00B77E2B"/>
    <w:rsid w:val="00B8014F"/>
    <w:rsid w:val="00B80333"/>
    <w:rsid w:val="00B80492"/>
    <w:rsid w:val="00B804F9"/>
    <w:rsid w:val="00B805B1"/>
    <w:rsid w:val="00B80661"/>
    <w:rsid w:val="00B80755"/>
    <w:rsid w:val="00B80A3B"/>
    <w:rsid w:val="00B80A69"/>
    <w:rsid w:val="00B80ACC"/>
    <w:rsid w:val="00B80AF1"/>
    <w:rsid w:val="00B80B4C"/>
    <w:rsid w:val="00B80BB9"/>
    <w:rsid w:val="00B80BCB"/>
    <w:rsid w:val="00B80E80"/>
    <w:rsid w:val="00B80FA4"/>
    <w:rsid w:val="00B80FB5"/>
    <w:rsid w:val="00B81177"/>
    <w:rsid w:val="00B813A2"/>
    <w:rsid w:val="00B814E0"/>
    <w:rsid w:val="00B81579"/>
    <w:rsid w:val="00B8167F"/>
    <w:rsid w:val="00B81731"/>
    <w:rsid w:val="00B81A88"/>
    <w:rsid w:val="00B81AA9"/>
    <w:rsid w:val="00B81BA2"/>
    <w:rsid w:val="00B81BE2"/>
    <w:rsid w:val="00B81D54"/>
    <w:rsid w:val="00B81D75"/>
    <w:rsid w:val="00B81D7B"/>
    <w:rsid w:val="00B81DD4"/>
    <w:rsid w:val="00B81FD7"/>
    <w:rsid w:val="00B820A1"/>
    <w:rsid w:val="00B820C8"/>
    <w:rsid w:val="00B820DA"/>
    <w:rsid w:val="00B82140"/>
    <w:rsid w:val="00B8215E"/>
    <w:rsid w:val="00B82181"/>
    <w:rsid w:val="00B8219B"/>
    <w:rsid w:val="00B82327"/>
    <w:rsid w:val="00B82426"/>
    <w:rsid w:val="00B82561"/>
    <w:rsid w:val="00B825F2"/>
    <w:rsid w:val="00B82676"/>
    <w:rsid w:val="00B82813"/>
    <w:rsid w:val="00B82857"/>
    <w:rsid w:val="00B82A3E"/>
    <w:rsid w:val="00B82D00"/>
    <w:rsid w:val="00B82D5C"/>
    <w:rsid w:val="00B82EDF"/>
    <w:rsid w:val="00B82F40"/>
    <w:rsid w:val="00B83037"/>
    <w:rsid w:val="00B8307F"/>
    <w:rsid w:val="00B83166"/>
    <w:rsid w:val="00B83259"/>
    <w:rsid w:val="00B83538"/>
    <w:rsid w:val="00B83633"/>
    <w:rsid w:val="00B836C6"/>
    <w:rsid w:val="00B83953"/>
    <w:rsid w:val="00B83B5A"/>
    <w:rsid w:val="00B83D80"/>
    <w:rsid w:val="00B83D81"/>
    <w:rsid w:val="00B83DE8"/>
    <w:rsid w:val="00B83E84"/>
    <w:rsid w:val="00B84067"/>
    <w:rsid w:val="00B840B0"/>
    <w:rsid w:val="00B840F4"/>
    <w:rsid w:val="00B8411B"/>
    <w:rsid w:val="00B844BA"/>
    <w:rsid w:val="00B845C0"/>
    <w:rsid w:val="00B847C0"/>
    <w:rsid w:val="00B8490F"/>
    <w:rsid w:val="00B84915"/>
    <w:rsid w:val="00B8492E"/>
    <w:rsid w:val="00B84984"/>
    <w:rsid w:val="00B84A8D"/>
    <w:rsid w:val="00B84AD7"/>
    <w:rsid w:val="00B84C95"/>
    <w:rsid w:val="00B84CB4"/>
    <w:rsid w:val="00B84D06"/>
    <w:rsid w:val="00B84DF2"/>
    <w:rsid w:val="00B84FF2"/>
    <w:rsid w:val="00B853BF"/>
    <w:rsid w:val="00B85414"/>
    <w:rsid w:val="00B8554F"/>
    <w:rsid w:val="00B85650"/>
    <w:rsid w:val="00B857E8"/>
    <w:rsid w:val="00B85AC3"/>
    <w:rsid w:val="00B85B7B"/>
    <w:rsid w:val="00B85C8C"/>
    <w:rsid w:val="00B85D20"/>
    <w:rsid w:val="00B8612C"/>
    <w:rsid w:val="00B86388"/>
    <w:rsid w:val="00B86597"/>
    <w:rsid w:val="00B86612"/>
    <w:rsid w:val="00B86895"/>
    <w:rsid w:val="00B86A13"/>
    <w:rsid w:val="00B86A4F"/>
    <w:rsid w:val="00B86B39"/>
    <w:rsid w:val="00B86BC1"/>
    <w:rsid w:val="00B86C01"/>
    <w:rsid w:val="00B86DF8"/>
    <w:rsid w:val="00B86FFD"/>
    <w:rsid w:val="00B87228"/>
    <w:rsid w:val="00B874D7"/>
    <w:rsid w:val="00B87534"/>
    <w:rsid w:val="00B875B2"/>
    <w:rsid w:val="00B8769C"/>
    <w:rsid w:val="00B87713"/>
    <w:rsid w:val="00B877B4"/>
    <w:rsid w:val="00B877D8"/>
    <w:rsid w:val="00B878B6"/>
    <w:rsid w:val="00B878DF"/>
    <w:rsid w:val="00B878E2"/>
    <w:rsid w:val="00B8798F"/>
    <w:rsid w:val="00B87CA5"/>
    <w:rsid w:val="00B87CFE"/>
    <w:rsid w:val="00B87DF4"/>
    <w:rsid w:val="00B87E0E"/>
    <w:rsid w:val="00B9003D"/>
    <w:rsid w:val="00B90195"/>
    <w:rsid w:val="00B90384"/>
    <w:rsid w:val="00B90391"/>
    <w:rsid w:val="00B9044D"/>
    <w:rsid w:val="00B905CC"/>
    <w:rsid w:val="00B90626"/>
    <w:rsid w:val="00B9062C"/>
    <w:rsid w:val="00B90676"/>
    <w:rsid w:val="00B90697"/>
    <w:rsid w:val="00B90706"/>
    <w:rsid w:val="00B90855"/>
    <w:rsid w:val="00B9092B"/>
    <w:rsid w:val="00B90A30"/>
    <w:rsid w:val="00B90A63"/>
    <w:rsid w:val="00B90BD1"/>
    <w:rsid w:val="00B90BF1"/>
    <w:rsid w:val="00B90C02"/>
    <w:rsid w:val="00B90CB3"/>
    <w:rsid w:val="00B90D33"/>
    <w:rsid w:val="00B90D46"/>
    <w:rsid w:val="00B90DC3"/>
    <w:rsid w:val="00B90E1C"/>
    <w:rsid w:val="00B90FB4"/>
    <w:rsid w:val="00B91077"/>
    <w:rsid w:val="00B91112"/>
    <w:rsid w:val="00B91135"/>
    <w:rsid w:val="00B9122B"/>
    <w:rsid w:val="00B91381"/>
    <w:rsid w:val="00B91417"/>
    <w:rsid w:val="00B91628"/>
    <w:rsid w:val="00B91A36"/>
    <w:rsid w:val="00B91AAF"/>
    <w:rsid w:val="00B91B25"/>
    <w:rsid w:val="00B91BBE"/>
    <w:rsid w:val="00B91BC0"/>
    <w:rsid w:val="00B91C8F"/>
    <w:rsid w:val="00B91CB3"/>
    <w:rsid w:val="00B91D20"/>
    <w:rsid w:val="00B91F41"/>
    <w:rsid w:val="00B91F57"/>
    <w:rsid w:val="00B92352"/>
    <w:rsid w:val="00B92533"/>
    <w:rsid w:val="00B927AB"/>
    <w:rsid w:val="00B927C8"/>
    <w:rsid w:val="00B927E2"/>
    <w:rsid w:val="00B927FB"/>
    <w:rsid w:val="00B928C5"/>
    <w:rsid w:val="00B928E8"/>
    <w:rsid w:val="00B928F2"/>
    <w:rsid w:val="00B92997"/>
    <w:rsid w:val="00B929BA"/>
    <w:rsid w:val="00B92A7A"/>
    <w:rsid w:val="00B92BB1"/>
    <w:rsid w:val="00B92C24"/>
    <w:rsid w:val="00B92E3F"/>
    <w:rsid w:val="00B93100"/>
    <w:rsid w:val="00B9316B"/>
    <w:rsid w:val="00B93242"/>
    <w:rsid w:val="00B9333A"/>
    <w:rsid w:val="00B93507"/>
    <w:rsid w:val="00B9356C"/>
    <w:rsid w:val="00B93608"/>
    <w:rsid w:val="00B9360A"/>
    <w:rsid w:val="00B93B31"/>
    <w:rsid w:val="00B93BBF"/>
    <w:rsid w:val="00B93C6B"/>
    <w:rsid w:val="00B93C9F"/>
    <w:rsid w:val="00B93D38"/>
    <w:rsid w:val="00B93E5D"/>
    <w:rsid w:val="00B93FBA"/>
    <w:rsid w:val="00B94107"/>
    <w:rsid w:val="00B9418C"/>
    <w:rsid w:val="00B941A2"/>
    <w:rsid w:val="00B94309"/>
    <w:rsid w:val="00B94352"/>
    <w:rsid w:val="00B94367"/>
    <w:rsid w:val="00B943C0"/>
    <w:rsid w:val="00B944DC"/>
    <w:rsid w:val="00B94683"/>
    <w:rsid w:val="00B94831"/>
    <w:rsid w:val="00B94834"/>
    <w:rsid w:val="00B948F5"/>
    <w:rsid w:val="00B94922"/>
    <w:rsid w:val="00B949A6"/>
    <w:rsid w:val="00B94B1D"/>
    <w:rsid w:val="00B94B44"/>
    <w:rsid w:val="00B94C28"/>
    <w:rsid w:val="00B94C6F"/>
    <w:rsid w:val="00B94EEA"/>
    <w:rsid w:val="00B94F25"/>
    <w:rsid w:val="00B94F5E"/>
    <w:rsid w:val="00B94FE1"/>
    <w:rsid w:val="00B95057"/>
    <w:rsid w:val="00B95158"/>
    <w:rsid w:val="00B951E1"/>
    <w:rsid w:val="00B9579E"/>
    <w:rsid w:val="00B95935"/>
    <w:rsid w:val="00B9593B"/>
    <w:rsid w:val="00B95A2A"/>
    <w:rsid w:val="00B95A61"/>
    <w:rsid w:val="00B95A84"/>
    <w:rsid w:val="00B95BC3"/>
    <w:rsid w:val="00B95DA3"/>
    <w:rsid w:val="00B95E35"/>
    <w:rsid w:val="00B95F70"/>
    <w:rsid w:val="00B95FA8"/>
    <w:rsid w:val="00B95FF2"/>
    <w:rsid w:val="00B96022"/>
    <w:rsid w:val="00B96157"/>
    <w:rsid w:val="00B9623B"/>
    <w:rsid w:val="00B9628E"/>
    <w:rsid w:val="00B96375"/>
    <w:rsid w:val="00B9637D"/>
    <w:rsid w:val="00B96520"/>
    <w:rsid w:val="00B965B4"/>
    <w:rsid w:val="00B96679"/>
    <w:rsid w:val="00B96796"/>
    <w:rsid w:val="00B967A9"/>
    <w:rsid w:val="00B967FC"/>
    <w:rsid w:val="00B96990"/>
    <w:rsid w:val="00B969C0"/>
    <w:rsid w:val="00B96BB6"/>
    <w:rsid w:val="00B96E97"/>
    <w:rsid w:val="00B96F08"/>
    <w:rsid w:val="00B96F11"/>
    <w:rsid w:val="00B96F8E"/>
    <w:rsid w:val="00B97038"/>
    <w:rsid w:val="00B9714B"/>
    <w:rsid w:val="00B97271"/>
    <w:rsid w:val="00B97290"/>
    <w:rsid w:val="00B972C0"/>
    <w:rsid w:val="00B973FF"/>
    <w:rsid w:val="00B97438"/>
    <w:rsid w:val="00B976DD"/>
    <w:rsid w:val="00B97806"/>
    <w:rsid w:val="00B97892"/>
    <w:rsid w:val="00B97A06"/>
    <w:rsid w:val="00B97A08"/>
    <w:rsid w:val="00B97AC3"/>
    <w:rsid w:val="00B97B3D"/>
    <w:rsid w:val="00B97BDC"/>
    <w:rsid w:val="00B97D07"/>
    <w:rsid w:val="00B97D81"/>
    <w:rsid w:val="00B97E1B"/>
    <w:rsid w:val="00BA00AB"/>
    <w:rsid w:val="00BA0263"/>
    <w:rsid w:val="00BA026D"/>
    <w:rsid w:val="00BA02B8"/>
    <w:rsid w:val="00BA03AC"/>
    <w:rsid w:val="00BA04AD"/>
    <w:rsid w:val="00BA0568"/>
    <w:rsid w:val="00BA05B0"/>
    <w:rsid w:val="00BA07F1"/>
    <w:rsid w:val="00BA0855"/>
    <w:rsid w:val="00BA0872"/>
    <w:rsid w:val="00BA0A54"/>
    <w:rsid w:val="00BA0C55"/>
    <w:rsid w:val="00BA0D31"/>
    <w:rsid w:val="00BA0DC7"/>
    <w:rsid w:val="00BA0E3B"/>
    <w:rsid w:val="00BA0F45"/>
    <w:rsid w:val="00BA0F63"/>
    <w:rsid w:val="00BA102F"/>
    <w:rsid w:val="00BA1322"/>
    <w:rsid w:val="00BA1450"/>
    <w:rsid w:val="00BA145F"/>
    <w:rsid w:val="00BA168D"/>
    <w:rsid w:val="00BA1768"/>
    <w:rsid w:val="00BA1783"/>
    <w:rsid w:val="00BA17B8"/>
    <w:rsid w:val="00BA17FC"/>
    <w:rsid w:val="00BA1826"/>
    <w:rsid w:val="00BA18DD"/>
    <w:rsid w:val="00BA1ABF"/>
    <w:rsid w:val="00BA1BF0"/>
    <w:rsid w:val="00BA1CC6"/>
    <w:rsid w:val="00BA1D8C"/>
    <w:rsid w:val="00BA1F11"/>
    <w:rsid w:val="00BA1F12"/>
    <w:rsid w:val="00BA1F9E"/>
    <w:rsid w:val="00BA1FD4"/>
    <w:rsid w:val="00BA2225"/>
    <w:rsid w:val="00BA22C5"/>
    <w:rsid w:val="00BA2302"/>
    <w:rsid w:val="00BA2591"/>
    <w:rsid w:val="00BA269C"/>
    <w:rsid w:val="00BA26FF"/>
    <w:rsid w:val="00BA2776"/>
    <w:rsid w:val="00BA277A"/>
    <w:rsid w:val="00BA27FB"/>
    <w:rsid w:val="00BA28F3"/>
    <w:rsid w:val="00BA29B7"/>
    <w:rsid w:val="00BA2AA1"/>
    <w:rsid w:val="00BA2AA8"/>
    <w:rsid w:val="00BA2B94"/>
    <w:rsid w:val="00BA2BE2"/>
    <w:rsid w:val="00BA2BFF"/>
    <w:rsid w:val="00BA2E54"/>
    <w:rsid w:val="00BA2FE7"/>
    <w:rsid w:val="00BA300F"/>
    <w:rsid w:val="00BA3156"/>
    <w:rsid w:val="00BA3268"/>
    <w:rsid w:val="00BA335E"/>
    <w:rsid w:val="00BA3650"/>
    <w:rsid w:val="00BA36AD"/>
    <w:rsid w:val="00BA36D9"/>
    <w:rsid w:val="00BA3A97"/>
    <w:rsid w:val="00BA3ABF"/>
    <w:rsid w:val="00BA3AC8"/>
    <w:rsid w:val="00BA3AF2"/>
    <w:rsid w:val="00BA3CC4"/>
    <w:rsid w:val="00BA3DD0"/>
    <w:rsid w:val="00BA3F9D"/>
    <w:rsid w:val="00BA3FE0"/>
    <w:rsid w:val="00BA4012"/>
    <w:rsid w:val="00BA4047"/>
    <w:rsid w:val="00BA4256"/>
    <w:rsid w:val="00BA42DC"/>
    <w:rsid w:val="00BA436B"/>
    <w:rsid w:val="00BA43C2"/>
    <w:rsid w:val="00BA4488"/>
    <w:rsid w:val="00BA44FC"/>
    <w:rsid w:val="00BA4557"/>
    <w:rsid w:val="00BA459F"/>
    <w:rsid w:val="00BA45A4"/>
    <w:rsid w:val="00BA46EF"/>
    <w:rsid w:val="00BA47DE"/>
    <w:rsid w:val="00BA487F"/>
    <w:rsid w:val="00BA499F"/>
    <w:rsid w:val="00BA49DA"/>
    <w:rsid w:val="00BA4B60"/>
    <w:rsid w:val="00BA4B77"/>
    <w:rsid w:val="00BA4C1A"/>
    <w:rsid w:val="00BA4D4D"/>
    <w:rsid w:val="00BA4F1B"/>
    <w:rsid w:val="00BA4F59"/>
    <w:rsid w:val="00BA5126"/>
    <w:rsid w:val="00BA5142"/>
    <w:rsid w:val="00BA519F"/>
    <w:rsid w:val="00BA5281"/>
    <w:rsid w:val="00BA5454"/>
    <w:rsid w:val="00BA5474"/>
    <w:rsid w:val="00BA54B1"/>
    <w:rsid w:val="00BA5555"/>
    <w:rsid w:val="00BA5A4B"/>
    <w:rsid w:val="00BA5BA4"/>
    <w:rsid w:val="00BA5BC4"/>
    <w:rsid w:val="00BA5CBA"/>
    <w:rsid w:val="00BA5CEF"/>
    <w:rsid w:val="00BA5E7C"/>
    <w:rsid w:val="00BA5F02"/>
    <w:rsid w:val="00BA605C"/>
    <w:rsid w:val="00BA60CE"/>
    <w:rsid w:val="00BA62D2"/>
    <w:rsid w:val="00BA638A"/>
    <w:rsid w:val="00BA63BC"/>
    <w:rsid w:val="00BA63D8"/>
    <w:rsid w:val="00BA6663"/>
    <w:rsid w:val="00BA67A7"/>
    <w:rsid w:val="00BA6801"/>
    <w:rsid w:val="00BA6848"/>
    <w:rsid w:val="00BA684C"/>
    <w:rsid w:val="00BA6905"/>
    <w:rsid w:val="00BA6AC9"/>
    <w:rsid w:val="00BA6BC1"/>
    <w:rsid w:val="00BA6BE0"/>
    <w:rsid w:val="00BA6D8D"/>
    <w:rsid w:val="00BA6ECF"/>
    <w:rsid w:val="00BA6F64"/>
    <w:rsid w:val="00BA7183"/>
    <w:rsid w:val="00BA7378"/>
    <w:rsid w:val="00BA7402"/>
    <w:rsid w:val="00BA74B4"/>
    <w:rsid w:val="00BA7562"/>
    <w:rsid w:val="00BA7606"/>
    <w:rsid w:val="00BA7631"/>
    <w:rsid w:val="00BA764A"/>
    <w:rsid w:val="00BA76B3"/>
    <w:rsid w:val="00BA76ED"/>
    <w:rsid w:val="00BA7868"/>
    <w:rsid w:val="00BA7870"/>
    <w:rsid w:val="00BA7884"/>
    <w:rsid w:val="00BA7B9E"/>
    <w:rsid w:val="00BA7C35"/>
    <w:rsid w:val="00BA7C97"/>
    <w:rsid w:val="00BA7D30"/>
    <w:rsid w:val="00BA7D6E"/>
    <w:rsid w:val="00BA7EAC"/>
    <w:rsid w:val="00BA7F21"/>
    <w:rsid w:val="00BB019E"/>
    <w:rsid w:val="00BB02E6"/>
    <w:rsid w:val="00BB0640"/>
    <w:rsid w:val="00BB06D7"/>
    <w:rsid w:val="00BB076D"/>
    <w:rsid w:val="00BB0838"/>
    <w:rsid w:val="00BB08F1"/>
    <w:rsid w:val="00BB0961"/>
    <w:rsid w:val="00BB0B48"/>
    <w:rsid w:val="00BB0B76"/>
    <w:rsid w:val="00BB0CF3"/>
    <w:rsid w:val="00BB0D27"/>
    <w:rsid w:val="00BB0D96"/>
    <w:rsid w:val="00BB0DDD"/>
    <w:rsid w:val="00BB0E33"/>
    <w:rsid w:val="00BB0E4F"/>
    <w:rsid w:val="00BB121D"/>
    <w:rsid w:val="00BB1390"/>
    <w:rsid w:val="00BB1404"/>
    <w:rsid w:val="00BB140A"/>
    <w:rsid w:val="00BB14F5"/>
    <w:rsid w:val="00BB1596"/>
    <w:rsid w:val="00BB15A0"/>
    <w:rsid w:val="00BB1702"/>
    <w:rsid w:val="00BB1713"/>
    <w:rsid w:val="00BB1754"/>
    <w:rsid w:val="00BB1B97"/>
    <w:rsid w:val="00BB1C75"/>
    <w:rsid w:val="00BB1D2B"/>
    <w:rsid w:val="00BB1DF8"/>
    <w:rsid w:val="00BB1E09"/>
    <w:rsid w:val="00BB1E0B"/>
    <w:rsid w:val="00BB1F1C"/>
    <w:rsid w:val="00BB204A"/>
    <w:rsid w:val="00BB23D0"/>
    <w:rsid w:val="00BB23FB"/>
    <w:rsid w:val="00BB24D5"/>
    <w:rsid w:val="00BB254F"/>
    <w:rsid w:val="00BB26FE"/>
    <w:rsid w:val="00BB2718"/>
    <w:rsid w:val="00BB27FA"/>
    <w:rsid w:val="00BB28C5"/>
    <w:rsid w:val="00BB29A6"/>
    <w:rsid w:val="00BB29C4"/>
    <w:rsid w:val="00BB2B16"/>
    <w:rsid w:val="00BB2B5D"/>
    <w:rsid w:val="00BB2C5B"/>
    <w:rsid w:val="00BB2CC8"/>
    <w:rsid w:val="00BB2D59"/>
    <w:rsid w:val="00BB2EAB"/>
    <w:rsid w:val="00BB2EE6"/>
    <w:rsid w:val="00BB2F90"/>
    <w:rsid w:val="00BB2FF9"/>
    <w:rsid w:val="00BB3109"/>
    <w:rsid w:val="00BB31D1"/>
    <w:rsid w:val="00BB31E7"/>
    <w:rsid w:val="00BB324A"/>
    <w:rsid w:val="00BB329A"/>
    <w:rsid w:val="00BB33DC"/>
    <w:rsid w:val="00BB34BE"/>
    <w:rsid w:val="00BB3585"/>
    <w:rsid w:val="00BB35C0"/>
    <w:rsid w:val="00BB3800"/>
    <w:rsid w:val="00BB392A"/>
    <w:rsid w:val="00BB3A67"/>
    <w:rsid w:val="00BB3A89"/>
    <w:rsid w:val="00BB3CF4"/>
    <w:rsid w:val="00BB3D57"/>
    <w:rsid w:val="00BB3DEA"/>
    <w:rsid w:val="00BB3E9B"/>
    <w:rsid w:val="00BB4019"/>
    <w:rsid w:val="00BB4181"/>
    <w:rsid w:val="00BB425F"/>
    <w:rsid w:val="00BB43F6"/>
    <w:rsid w:val="00BB453F"/>
    <w:rsid w:val="00BB4760"/>
    <w:rsid w:val="00BB47FD"/>
    <w:rsid w:val="00BB4822"/>
    <w:rsid w:val="00BB490C"/>
    <w:rsid w:val="00BB4929"/>
    <w:rsid w:val="00BB4A72"/>
    <w:rsid w:val="00BB4A88"/>
    <w:rsid w:val="00BB4ACE"/>
    <w:rsid w:val="00BB4B00"/>
    <w:rsid w:val="00BB4CC3"/>
    <w:rsid w:val="00BB4D7F"/>
    <w:rsid w:val="00BB4DE3"/>
    <w:rsid w:val="00BB4E3C"/>
    <w:rsid w:val="00BB4F07"/>
    <w:rsid w:val="00BB50A0"/>
    <w:rsid w:val="00BB50DF"/>
    <w:rsid w:val="00BB5132"/>
    <w:rsid w:val="00BB52EA"/>
    <w:rsid w:val="00BB5329"/>
    <w:rsid w:val="00BB5452"/>
    <w:rsid w:val="00BB547C"/>
    <w:rsid w:val="00BB561B"/>
    <w:rsid w:val="00BB5624"/>
    <w:rsid w:val="00BB5718"/>
    <w:rsid w:val="00BB57ED"/>
    <w:rsid w:val="00BB5901"/>
    <w:rsid w:val="00BB59E8"/>
    <w:rsid w:val="00BB5A51"/>
    <w:rsid w:val="00BB5A89"/>
    <w:rsid w:val="00BB5AD2"/>
    <w:rsid w:val="00BB5B21"/>
    <w:rsid w:val="00BB5D04"/>
    <w:rsid w:val="00BB5DD3"/>
    <w:rsid w:val="00BB5F8D"/>
    <w:rsid w:val="00BB5FB6"/>
    <w:rsid w:val="00BB5FCD"/>
    <w:rsid w:val="00BB60EF"/>
    <w:rsid w:val="00BB60F3"/>
    <w:rsid w:val="00BB610A"/>
    <w:rsid w:val="00BB6177"/>
    <w:rsid w:val="00BB6183"/>
    <w:rsid w:val="00BB61B5"/>
    <w:rsid w:val="00BB6251"/>
    <w:rsid w:val="00BB6305"/>
    <w:rsid w:val="00BB649F"/>
    <w:rsid w:val="00BB6589"/>
    <w:rsid w:val="00BB6644"/>
    <w:rsid w:val="00BB6685"/>
    <w:rsid w:val="00BB6813"/>
    <w:rsid w:val="00BB6B5E"/>
    <w:rsid w:val="00BB6CA8"/>
    <w:rsid w:val="00BB6F38"/>
    <w:rsid w:val="00BB7077"/>
    <w:rsid w:val="00BB7191"/>
    <w:rsid w:val="00BB71B9"/>
    <w:rsid w:val="00BB7343"/>
    <w:rsid w:val="00BB7345"/>
    <w:rsid w:val="00BB7459"/>
    <w:rsid w:val="00BB747E"/>
    <w:rsid w:val="00BB77DC"/>
    <w:rsid w:val="00BB79B8"/>
    <w:rsid w:val="00BB79CE"/>
    <w:rsid w:val="00BB7A5D"/>
    <w:rsid w:val="00BB7AC3"/>
    <w:rsid w:val="00BB7BC4"/>
    <w:rsid w:val="00BB7C60"/>
    <w:rsid w:val="00BB7C7F"/>
    <w:rsid w:val="00BB7CF0"/>
    <w:rsid w:val="00BB7E67"/>
    <w:rsid w:val="00BC00E8"/>
    <w:rsid w:val="00BC023A"/>
    <w:rsid w:val="00BC0537"/>
    <w:rsid w:val="00BC05B5"/>
    <w:rsid w:val="00BC06AD"/>
    <w:rsid w:val="00BC0775"/>
    <w:rsid w:val="00BC092E"/>
    <w:rsid w:val="00BC09BD"/>
    <w:rsid w:val="00BC0A28"/>
    <w:rsid w:val="00BC0B92"/>
    <w:rsid w:val="00BC0C0D"/>
    <w:rsid w:val="00BC0C9A"/>
    <w:rsid w:val="00BC0D58"/>
    <w:rsid w:val="00BC0F16"/>
    <w:rsid w:val="00BC0F3C"/>
    <w:rsid w:val="00BC0FAB"/>
    <w:rsid w:val="00BC0FE9"/>
    <w:rsid w:val="00BC101E"/>
    <w:rsid w:val="00BC1064"/>
    <w:rsid w:val="00BC1083"/>
    <w:rsid w:val="00BC112E"/>
    <w:rsid w:val="00BC198F"/>
    <w:rsid w:val="00BC1A5C"/>
    <w:rsid w:val="00BC1A6F"/>
    <w:rsid w:val="00BC1AF6"/>
    <w:rsid w:val="00BC1E8C"/>
    <w:rsid w:val="00BC1EA0"/>
    <w:rsid w:val="00BC1EF2"/>
    <w:rsid w:val="00BC1F22"/>
    <w:rsid w:val="00BC206B"/>
    <w:rsid w:val="00BC20B4"/>
    <w:rsid w:val="00BC2118"/>
    <w:rsid w:val="00BC215F"/>
    <w:rsid w:val="00BC21E1"/>
    <w:rsid w:val="00BC2235"/>
    <w:rsid w:val="00BC2254"/>
    <w:rsid w:val="00BC234C"/>
    <w:rsid w:val="00BC23C3"/>
    <w:rsid w:val="00BC2538"/>
    <w:rsid w:val="00BC269B"/>
    <w:rsid w:val="00BC26B5"/>
    <w:rsid w:val="00BC2836"/>
    <w:rsid w:val="00BC2874"/>
    <w:rsid w:val="00BC297B"/>
    <w:rsid w:val="00BC299A"/>
    <w:rsid w:val="00BC29AE"/>
    <w:rsid w:val="00BC29FE"/>
    <w:rsid w:val="00BC2A2D"/>
    <w:rsid w:val="00BC2B74"/>
    <w:rsid w:val="00BC2E19"/>
    <w:rsid w:val="00BC2E4F"/>
    <w:rsid w:val="00BC2E77"/>
    <w:rsid w:val="00BC302D"/>
    <w:rsid w:val="00BC32F3"/>
    <w:rsid w:val="00BC33B3"/>
    <w:rsid w:val="00BC34F8"/>
    <w:rsid w:val="00BC3514"/>
    <w:rsid w:val="00BC35D3"/>
    <w:rsid w:val="00BC398F"/>
    <w:rsid w:val="00BC39DA"/>
    <w:rsid w:val="00BC39FF"/>
    <w:rsid w:val="00BC3BE7"/>
    <w:rsid w:val="00BC3C7D"/>
    <w:rsid w:val="00BC3CC5"/>
    <w:rsid w:val="00BC3D01"/>
    <w:rsid w:val="00BC3D2E"/>
    <w:rsid w:val="00BC3E0C"/>
    <w:rsid w:val="00BC3F50"/>
    <w:rsid w:val="00BC3F5C"/>
    <w:rsid w:val="00BC4025"/>
    <w:rsid w:val="00BC4114"/>
    <w:rsid w:val="00BC415F"/>
    <w:rsid w:val="00BC416E"/>
    <w:rsid w:val="00BC443D"/>
    <w:rsid w:val="00BC4596"/>
    <w:rsid w:val="00BC4598"/>
    <w:rsid w:val="00BC45EB"/>
    <w:rsid w:val="00BC45FC"/>
    <w:rsid w:val="00BC485E"/>
    <w:rsid w:val="00BC48BA"/>
    <w:rsid w:val="00BC4A53"/>
    <w:rsid w:val="00BC4AE0"/>
    <w:rsid w:val="00BC4BAD"/>
    <w:rsid w:val="00BC4CA1"/>
    <w:rsid w:val="00BC4CD6"/>
    <w:rsid w:val="00BC4E78"/>
    <w:rsid w:val="00BC4F00"/>
    <w:rsid w:val="00BC502C"/>
    <w:rsid w:val="00BC50B3"/>
    <w:rsid w:val="00BC5189"/>
    <w:rsid w:val="00BC5569"/>
    <w:rsid w:val="00BC569C"/>
    <w:rsid w:val="00BC590E"/>
    <w:rsid w:val="00BC592A"/>
    <w:rsid w:val="00BC5945"/>
    <w:rsid w:val="00BC5AED"/>
    <w:rsid w:val="00BC5BDC"/>
    <w:rsid w:val="00BC5BF7"/>
    <w:rsid w:val="00BC5CB7"/>
    <w:rsid w:val="00BC5D61"/>
    <w:rsid w:val="00BC5DFE"/>
    <w:rsid w:val="00BC5E12"/>
    <w:rsid w:val="00BC5FBC"/>
    <w:rsid w:val="00BC6152"/>
    <w:rsid w:val="00BC651D"/>
    <w:rsid w:val="00BC69E8"/>
    <w:rsid w:val="00BC6A09"/>
    <w:rsid w:val="00BC6AAB"/>
    <w:rsid w:val="00BC6AC0"/>
    <w:rsid w:val="00BC6AD7"/>
    <w:rsid w:val="00BC6B38"/>
    <w:rsid w:val="00BC6C3D"/>
    <w:rsid w:val="00BC6C48"/>
    <w:rsid w:val="00BC6CB8"/>
    <w:rsid w:val="00BC6D27"/>
    <w:rsid w:val="00BC6FD5"/>
    <w:rsid w:val="00BC723D"/>
    <w:rsid w:val="00BC72CF"/>
    <w:rsid w:val="00BC740E"/>
    <w:rsid w:val="00BC7518"/>
    <w:rsid w:val="00BC7646"/>
    <w:rsid w:val="00BC7740"/>
    <w:rsid w:val="00BC7879"/>
    <w:rsid w:val="00BC7921"/>
    <w:rsid w:val="00BC7B47"/>
    <w:rsid w:val="00BC7B50"/>
    <w:rsid w:val="00BC7C6B"/>
    <w:rsid w:val="00BC7CDF"/>
    <w:rsid w:val="00BC7D7D"/>
    <w:rsid w:val="00BC7E95"/>
    <w:rsid w:val="00BC7EBA"/>
    <w:rsid w:val="00BC7ECC"/>
    <w:rsid w:val="00BD0126"/>
    <w:rsid w:val="00BD01AD"/>
    <w:rsid w:val="00BD0279"/>
    <w:rsid w:val="00BD02A4"/>
    <w:rsid w:val="00BD0335"/>
    <w:rsid w:val="00BD03C4"/>
    <w:rsid w:val="00BD06BB"/>
    <w:rsid w:val="00BD074B"/>
    <w:rsid w:val="00BD0783"/>
    <w:rsid w:val="00BD090C"/>
    <w:rsid w:val="00BD0931"/>
    <w:rsid w:val="00BD0A8D"/>
    <w:rsid w:val="00BD0C86"/>
    <w:rsid w:val="00BD0CA4"/>
    <w:rsid w:val="00BD0CDA"/>
    <w:rsid w:val="00BD0DBB"/>
    <w:rsid w:val="00BD0E45"/>
    <w:rsid w:val="00BD11BD"/>
    <w:rsid w:val="00BD1293"/>
    <w:rsid w:val="00BD16EA"/>
    <w:rsid w:val="00BD185C"/>
    <w:rsid w:val="00BD19D5"/>
    <w:rsid w:val="00BD1A27"/>
    <w:rsid w:val="00BD1CA0"/>
    <w:rsid w:val="00BD1CDC"/>
    <w:rsid w:val="00BD1F1D"/>
    <w:rsid w:val="00BD1F93"/>
    <w:rsid w:val="00BD2073"/>
    <w:rsid w:val="00BD20B7"/>
    <w:rsid w:val="00BD2120"/>
    <w:rsid w:val="00BD21BD"/>
    <w:rsid w:val="00BD227A"/>
    <w:rsid w:val="00BD2324"/>
    <w:rsid w:val="00BD236B"/>
    <w:rsid w:val="00BD23C4"/>
    <w:rsid w:val="00BD2530"/>
    <w:rsid w:val="00BD2725"/>
    <w:rsid w:val="00BD2A6E"/>
    <w:rsid w:val="00BD2AE8"/>
    <w:rsid w:val="00BD2B30"/>
    <w:rsid w:val="00BD2B46"/>
    <w:rsid w:val="00BD2B9F"/>
    <w:rsid w:val="00BD2C07"/>
    <w:rsid w:val="00BD2CFA"/>
    <w:rsid w:val="00BD2E55"/>
    <w:rsid w:val="00BD3094"/>
    <w:rsid w:val="00BD31CC"/>
    <w:rsid w:val="00BD31CE"/>
    <w:rsid w:val="00BD31E4"/>
    <w:rsid w:val="00BD3285"/>
    <w:rsid w:val="00BD328B"/>
    <w:rsid w:val="00BD3662"/>
    <w:rsid w:val="00BD369B"/>
    <w:rsid w:val="00BD3740"/>
    <w:rsid w:val="00BD3750"/>
    <w:rsid w:val="00BD37BE"/>
    <w:rsid w:val="00BD3B53"/>
    <w:rsid w:val="00BD3CC7"/>
    <w:rsid w:val="00BD3CD9"/>
    <w:rsid w:val="00BD3D33"/>
    <w:rsid w:val="00BD3DA6"/>
    <w:rsid w:val="00BD3ECB"/>
    <w:rsid w:val="00BD4088"/>
    <w:rsid w:val="00BD40D2"/>
    <w:rsid w:val="00BD416E"/>
    <w:rsid w:val="00BD4273"/>
    <w:rsid w:val="00BD4345"/>
    <w:rsid w:val="00BD43A0"/>
    <w:rsid w:val="00BD4464"/>
    <w:rsid w:val="00BD44AA"/>
    <w:rsid w:val="00BD45B9"/>
    <w:rsid w:val="00BD45BE"/>
    <w:rsid w:val="00BD46E1"/>
    <w:rsid w:val="00BD46EF"/>
    <w:rsid w:val="00BD46FA"/>
    <w:rsid w:val="00BD4703"/>
    <w:rsid w:val="00BD483C"/>
    <w:rsid w:val="00BD48E1"/>
    <w:rsid w:val="00BD4B33"/>
    <w:rsid w:val="00BD4C2E"/>
    <w:rsid w:val="00BD4D09"/>
    <w:rsid w:val="00BD5075"/>
    <w:rsid w:val="00BD5188"/>
    <w:rsid w:val="00BD5313"/>
    <w:rsid w:val="00BD531D"/>
    <w:rsid w:val="00BD5417"/>
    <w:rsid w:val="00BD548D"/>
    <w:rsid w:val="00BD550E"/>
    <w:rsid w:val="00BD5561"/>
    <w:rsid w:val="00BD573E"/>
    <w:rsid w:val="00BD57B5"/>
    <w:rsid w:val="00BD5806"/>
    <w:rsid w:val="00BD58DE"/>
    <w:rsid w:val="00BD59D7"/>
    <w:rsid w:val="00BD5ABE"/>
    <w:rsid w:val="00BD5D01"/>
    <w:rsid w:val="00BD5D30"/>
    <w:rsid w:val="00BD5F72"/>
    <w:rsid w:val="00BD5F9E"/>
    <w:rsid w:val="00BD6050"/>
    <w:rsid w:val="00BD6265"/>
    <w:rsid w:val="00BD628F"/>
    <w:rsid w:val="00BD6392"/>
    <w:rsid w:val="00BD63B8"/>
    <w:rsid w:val="00BD6403"/>
    <w:rsid w:val="00BD6457"/>
    <w:rsid w:val="00BD64AE"/>
    <w:rsid w:val="00BD655F"/>
    <w:rsid w:val="00BD66A6"/>
    <w:rsid w:val="00BD6886"/>
    <w:rsid w:val="00BD6950"/>
    <w:rsid w:val="00BD6A33"/>
    <w:rsid w:val="00BD6C86"/>
    <w:rsid w:val="00BD6E44"/>
    <w:rsid w:val="00BD6EAC"/>
    <w:rsid w:val="00BD6EB6"/>
    <w:rsid w:val="00BD700D"/>
    <w:rsid w:val="00BD71AD"/>
    <w:rsid w:val="00BD7336"/>
    <w:rsid w:val="00BD7344"/>
    <w:rsid w:val="00BD73CF"/>
    <w:rsid w:val="00BD76D9"/>
    <w:rsid w:val="00BD7798"/>
    <w:rsid w:val="00BD77B9"/>
    <w:rsid w:val="00BD7913"/>
    <w:rsid w:val="00BD7963"/>
    <w:rsid w:val="00BD797B"/>
    <w:rsid w:val="00BD7998"/>
    <w:rsid w:val="00BD7AD5"/>
    <w:rsid w:val="00BD7AE6"/>
    <w:rsid w:val="00BD7B67"/>
    <w:rsid w:val="00BD7CF5"/>
    <w:rsid w:val="00BD7D2C"/>
    <w:rsid w:val="00BD7D73"/>
    <w:rsid w:val="00BD7E9C"/>
    <w:rsid w:val="00BD7FD2"/>
    <w:rsid w:val="00BE00CE"/>
    <w:rsid w:val="00BE0107"/>
    <w:rsid w:val="00BE0127"/>
    <w:rsid w:val="00BE01AA"/>
    <w:rsid w:val="00BE035A"/>
    <w:rsid w:val="00BE040E"/>
    <w:rsid w:val="00BE0474"/>
    <w:rsid w:val="00BE0494"/>
    <w:rsid w:val="00BE06BB"/>
    <w:rsid w:val="00BE06DB"/>
    <w:rsid w:val="00BE073A"/>
    <w:rsid w:val="00BE086C"/>
    <w:rsid w:val="00BE0873"/>
    <w:rsid w:val="00BE08CF"/>
    <w:rsid w:val="00BE0970"/>
    <w:rsid w:val="00BE0A3A"/>
    <w:rsid w:val="00BE0B32"/>
    <w:rsid w:val="00BE0CF5"/>
    <w:rsid w:val="00BE0D5F"/>
    <w:rsid w:val="00BE0DA3"/>
    <w:rsid w:val="00BE0E1A"/>
    <w:rsid w:val="00BE1046"/>
    <w:rsid w:val="00BE11F6"/>
    <w:rsid w:val="00BE12ED"/>
    <w:rsid w:val="00BE14D2"/>
    <w:rsid w:val="00BE1562"/>
    <w:rsid w:val="00BE1608"/>
    <w:rsid w:val="00BE163B"/>
    <w:rsid w:val="00BE167F"/>
    <w:rsid w:val="00BE16B5"/>
    <w:rsid w:val="00BE17D1"/>
    <w:rsid w:val="00BE1802"/>
    <w:rsid w:val="00BE194A"/>
    <w:rsid w:val="00BE1966"/>
    <w:rsid w:val="00BE1A60"/>
    <w:rsid w:val="00BE1ADD"/>
    <w:rsid w:val="00BE1BDD"/>
    <w:rsid w:val="00BE1BF7"/>
    <w:rsid w:val="00BE1D71"/>
    <w:rsid w:val="00BE1E8A"/>
    <w:rsid w:val="00BE2053"/>
    <w:rsid w:val="00BE2171"/>
    <w:rsid w:val="00BE23E3"/>
    <w:rsid w:val="00BE23F3"/>
    <w:rsid w:val="00BE262A"/>
    <w:rsid w:val="00BE277B"/>
    <w:rsid w:val="00BE2861"/>
    <w:rsid w:val="00BE29A8"/>
    <w:rsid w:val="00BE2A2E"/>
    <w:rsid w:val="00BE2BBE"/>
    <w:rsid w:val="00BE2C0A"/>
    <w:rsid w:val="00BE2C9F"/>
    <w:rsid w:val="00BE2DC3"/>
    <w:rsid w:val="00BE2F46"/>
    <w:rsid w:val="00BE2F4D"/>
    <w:rsid w:val="00BE2FA6"/>
    <w:rsid w:val="00BE31BB"/>
    <w:rsid w:val="00BE3305"/>
    <w:rsid w:val="00BE34F7"/>
    <w:rsid w:val="00BE3541"/>
    <w:rsid w:val="00BE359E"/>
    <w:rsid w:val="00BE35EF"/>
    <w:rsid w:val="00BE36C8"/>
    <w:rsid w:val="00BE38AD"/>
    <w:rsid w:val="00BE390B"/>
    <w:rsid w:val="00BE392F"/>
    <w:rsid w:val="00BE39DA"/>
    <w:rsid w:val="00BE3B32"/>
    <w:rsid w:val="00BE3B5F"/>
    <w:rsid w:val="00BE3BEE"/>
    <w:rsid w:val="00BE3C65"/>
    <w:rsid w:val="00BE3EAB"/>
    <w:rsid w:val="00BE3FDC"/>
    <w:rsid w:val="00BE400B"/>
    <w:rsid w:val="00BE4018"/>
    <w:rsid w:val="00BE4025"/>
    <w:rsid w:val="00BE4184"/>
    <w:rsid w:val="00BE41BC"/>
    <w:rsid w:val="00BE4308"/>
    <w:rsid w:val="00BE4310"/>
    <w:rsid w:val="00BE434A"/>
    <w:rsid w:val="00BE45F5"/>
    <w:rsid w:val="00BE47B0"/>
    <w:rsid w:val="00BE47C4"/>
    <w:rsid w:val="00BE47FF"/>
    <w:rsid w:val="00BE489E"/>
    <w:rsid w:val="00BE497D"/>
    <w:rsid w:val="00BE49BB"/>
    <w:rsid w:val="00BE4B23"/>
    <w:rsid w:val="00BE4C32"/>
    <w:rsid w:val="00BE4E13"/>
    <w:rsid w:val="00BE4E5D"/>
    <w:rsid w:val="00BE4EB4"/>
    <w:rsid w:val="00BE4ED5"/>
    <w:rsid w:val="00BE50B5"/>
    <w:rsid w:val="00BE50B7"/>
    <w:rsid w:val="00BE50C8"/>
    <w:rsid w:val="00BE5113"/>
    <w:rsid w:val="00BE5146"/>
    <w:rsid w:val="00BE5264"/>
    <w:rsid w:val="00BE5396"/>
    <w:rsid w:val="00BE54C7"/>
    <w:rsid w:val="00BE54D6"/>
    <w:rsid w:val="00BE5571"/>
    <w:rsid w:val="00BE5699"/>
    <w:rsid w:val="00BE56C7"/>
    <w:rsid w:val="00BE570B"/>
    <w:rsid w:val="00BE571E"/>
    <w:rsid w:val="00BE585C"/>
    <w:rsid w:val="00BE5949"/>
    <w:rsid w:val="00BE5ABD"/>
    <w:rsid w:val="00BE5AE7"/>
    <w:rsid w:val="00BE5B3B"/>
    <w:rsid w:val="00BE5BF8"/>
    <w:rsid w:val="00BE5D7B"/>
    <w:rsid w:val="00BE5EB1"/>
    <w:rsid w:val="00BE5F13"/>
    <w:rsid w:val="00BE5F1D"/>
    <w:rsid w:val="00BE6219"/>
    <w:rsid w:val="00BE625C"/>
    <w:rsid w:val="00BE628C"/>
    <w:rsid w:val="00BE62C4"/>
    <w:rsid w:val="00BE62DE"/>
    <w:rsid w:val="00BE6308"/>
    <w:rsid w:val="00BE6381"/>
    <w:rsid w:val="00BE65CE"/>
    <w:rsid w:val="00BE6768"/>
    <w:rsid w:val="00BE6802"/>
    <w:rsid w:val="00BE6812"/>
    <w:rsid w:val="00BE6949"/>
    <w:rsid w:val="00BE694F"/>
    <w:rsid w:val="00BE6B81"/>
    <w:rsid w:val="00BE6CF1"/>
    <w:rsid w:val="00BE6D84"/>
    <w:rsid w:val="00BE6EAA"/>
    <w:rsid w:val="00BE6ED5"/>
    <w:rsid w:val="00BE6EE3"/>
    <w:rsid w:val="00BE71E1"/>
    <w:rsid w:val="00BE72E3"/>
    <w:rsid w:val="00BE72F7"/>
    <w:rsid w:val="00BE7400"/>
    <w:rsid w:val="00BE740A"/>
    <w:rsid w:val="00BE7707"/>
    <w:rsid w:val="00BE7816"/>
    <w:rsid w:val="00BE78F4"/>
    <w:rsid w:val="00BE79C8"/>
    <w:rsid w:val="00BE79F0"/>
    <w:rsid w:val="00BE7A01"/>
    <w:rsid w:val="00BE7BAD"/>
    <w:rsid w:val="00BE7E81"/>
    <w:rsid w:val="00BE7EAD"/>
    <w:rsid w:val="00BE7F00"/>
    <w:rsid w:val="00BEACB8"/>
    <w:rsid w:val="00BF02CA"/>
    <w:rsid w:val="00BF0338"/>
    <w:rsid w:val="00BF03C2"/>
    <w:rsid w:val="00BF03D3"/>
    <w:rsid w:val="00BF03FE"/>
    <w:rsid w:val="00BF040D"/>
    <w:rsid w:val="00BF0624"/>
    <w:rsid w:val="00BF08AF"/>
    <w:rsid w:val="00BF092F"/>
    <w:rsid w:val="00BF0957"/>
    <w:rsid w:val="00BF0A24"/>
    <w:rsid w:val="00BF0A75"/>
    <w:rsid w:val="00BF0A7B"/>
    <w:rsid w:val="00BF0B02"/>
    <w:rsid w:val="00BF0B92"/>
    <w:rsid w:val="00BF0C86"/>
    <w:rsid w:val="00BF0CE3"/>
    <w:rsid w:val="00BF0CE4"/>
    <w:rsid w:val="00BF0E22"/>
    <w:rsid w:val="00BF0E9A"/>
    <w:rsid w:val="00BF0F9C"/>
    <w:rsid w:val="00BF100A"/>
    <w:rsid w:val="00BF1045"/>
    <w:rsid w:val="00BF1130"/>
    <w:rsid w:val="00BF11BA"/>
    <w:rsid w:val="00BF1221"/>
    <w:rsid w:val="00BF122A"/>
    <w:rsid w:val="00BF1321"/>
    <w:rsid w:val="00BF1360"/>
    <w:rsid w:val="00BF1471"/>
    <w:rsid w:val="00BF1940"/>
    <w:rsid w:val="00BF1979"/>
    <w:rsid w:val="00BF1A49"/>
    <w:rsid w:val="00BF1A75"/>
    <w:rsid w:val="00BF1C3F"/>
    <w:rsid w:val="00BF1CEC"/>
    <w:rsid w:val="00BF1DF2"/>
    <w:rsid w:val="00BF1E02"/>
    <w:rsid w:val="00BF1E05"/>
    <w:rsid w:val="00BF1E72"/>
    <w:rsid w:val="00BF1FB7"/>
    <w:rsid w:val="00BF206D"/>
    <w:rsid w:val="00BF23DC"/>
    <w:rsid w:val="00BF2518"/>
    <w:rsid w:val="00BF264C"/>
    <w:rsid w:val="00BF2691"/>
    <w:rsid w:val="00BF2698"/>
    <w:rsid w:val="00BF27BE"/>
    <w:rsid w:val="00BF27C7"/>
    <w:rsid w:val="00BF2972"/>
    <w:rsid w:val="00BF29D5"/>
    <w:rsid w:val="00BF29E5"/>
    <w:rsid w:val="00BF2A75"/>
    <w:rsid w:val="00BF2AFA"/>
    <w:rsid w:val="00BF2B18"/>
    <w:rsid w:val="00BF2B96"/>
    <w:rsid w:val="00BF2BE4"/>
    <w:rsid w:val="00BF2C73"/>
    <w:rsid w:val="00BF2D51"/>
    <w:rsid w:val="00BF2DE3"/>
    <w:rsid w:val="00BF2ED1"/>
    <w:rsid w:val="00BF2FB4"/>
    <w:rsid w:val="00BF31E6"/>
    <w:rsid w:val="00BF32D2"/>
    <w:rsid w:val="00BF3349"/>
    <w:rsid w:val="00BF379E"/>
    <w:rsid w:val="00BF3824"/>
    <w:rsid w:val="00BF38E1"/>
    <w:rsid w:val="00BF3BC5"/>
    <w:rsid w:val="00BF3C78"/>
    <w:rsid w:val="00BF3C7A"/>
    <w:rsid w:val="00BF3D3F"/>
    <w:rsid w:val="00BF3E2C"/>
    <w:rsid w:val="00BF3FC0"/>
    <w:rsid w:val="00BF4174"/>
    <w:rsid w:val="00BF41B9"/>
    <w:rsid w:val="00BF42F2"/>
    <w:rsid w:val="00BF4309"/>
    <w:rsid w:val="00BF4393"/>
    <w:rsid w:val="00BF43DB"/>
    <w:rsid w:val="00BF43F1"/>
    <w:rsid w:val="00BF4514"/>
    <w:rsid w:val="00BF4579"/>
    <w:rsid w:val="00BF45A4"/>
    <w:rsid w:val="00BF46DA"/>
    <w:rsid w:val="00BF48A0"/>
    <w:rsid w:val="00BF48A7"/>
    <w:rsid w:val="00BF48C1"/>
    <w:rsid w:val="00BF4A54"/>
    <w:rsid w:val="00BF4A76"/>
    <w:rsid w:val="00BF4B28"/>
    <w:rsid w:val="00BF4E90"/>
    <w:rsid w:val="00BF4E96"/>
    <w:rsid w:val="00BF4EA1"/>
    <w:rsid w:val="00BF4FE0"/>
    <w:rsid w:val="00BF5002"/>
    <w:rsid w:val="00BF52BE"/>
    <w:rsid w:val="00BF5378"/>
    <w:rsid w:val="00BF5484"/>
    <w:rsid w:val="00BF5581"/>
    <w:rsid w:val="00BF56E0"/>
    <w:rsid w:val="00BF56E6"/>
    <w:rsid w:val="00BF57C5"/>
    <w:rsid w:val="00BF5A7F"/>
    <w:rsid w:val="00BF5A92"/>
    <w:rsid w:val="00BF5CC2"/>
    <w:rsid w:val="00BF5F2A"/>
    <w:rsid w:val="00BF5F33"/>
    <w:rsid w:val="00BF5F73"/>
    <w:rsid w:val="00BF5F9E"/>
    <w:rsid w:val="00BF6090"/>
    <w:rsid w:val="00BF61D8"/>
    <w:rsid w:val="00BF6229"/>
    <w:rsid w:val="00BF6252"/>
    <w:rsid w:val="00BF63B0"/>
    <w:rsid w:val="00BF6481"/>
    <w:rsid w:val="00BF6527"/>
    <w:rsid w:val="00BF6591"/>
    <w:rsid w:val="00BF6636"/>
    <w:rsid w:val="00BF66C2"/>
    <w:rsid w:val="00BF6748"/>
    <w:rsid w:val="00BF688F"/>
    <w:rsid w:val="00BF6893"/>
    <w:rsid w:val="00BF68F4"/>
    <w:rsid w:val="00BF696E"/>
    <w:rsid w:val="00BF6AB7"/>
    <w:rsid w:val="00BF6B8F"/>
    <w:rsid w:val="00BF6E61"/>
    <w:rsid w:val="00BF6EB7"/>
    <w:rsid w:val="00BF6EE9"/>
    <w:rsid w:val="00BF710C"/>
    <w:rsid w:val="00BF71B1"/>
    <w:rsid w:val="00BF71D3"/>
    <w:rsid w:val="00BF71DE"/>
    <w:rsid w:val="00BF71F5"/>
    <w:rsid w:val="00BF7289"/>
    <w:rsid w:val="00BF72AB"/>
    <w:rsid w:val="00BF73BA"/>
    <w:rsid w:val="00BF749A"/>
    <w:rsid w:val="00BF75D5"/>
    <w:rsid w:val="00BF77EE"/>
    <w:rsid w:val="00BF7874"/>
    <w:rsid w:val="00BF7917"/>
    <w:rsid w:val="00BF7929"/>
    <w:rsid w:val="00BF79CD"/>
    <w:rsid w:val="00BF7B53"/>
    <w:rsid w:val="00BF7C51"/>
    <w:rsid w:val="00BF7D5E"/>
    <w:rsid w:val="00BF7DBC"/>
    <w:rsid w:val="00C00269"/>
    <w:rsid w:val="00C002AE"/>
    <w:rsid w:val="00C0035C"/>
    <w:rsid w:val="00C00582"/>
    <w:rsid w:val="00C006EA"/>
    <w:rsid w:val="00C0090D"/>
    <w:rsid w:val="00C00973"/>
    <w:rsid w:val="00C00A6F"/>
    <w:rsid w:val="00C00B43"/>
    <w:rsid w:val="00C00BEA"/>
    <w:rsid w:val="00C00C66"/>
    <w:rsid w:val="00C00CDA"/>
    <w:rsid w:val="00C00D32"/>
    <w:rsid w:val="00C00E11"/>
    <w:rsid w:val="00C00E4D"/>
    <w:rsid w:val="00C00E57"/>
    <w:rsid w:val="00C00EF6"/>
    <w:rsid w:val="00C010D6"/>
    <w:rsid w:val="00C0125C"/>
    <w:rsid w:val="00C01286"/>
    <w:rsid w:val="00C0141A"/>
    <w:rsid w:val="00C01451"/>
    <w:rsid w:val="00C01454"/>
    <w:rsid w:val="00C0153A"/>
    <w:rsid w:val="00C01574"/>
    <w:rsid w:val="00C015B3"/>
    <w:rsid w:val="00C016EE"/>
    <w:rsid w:val="00C0186F"/>
    <w:rsid w:val="00C01C85"/>
    <w:rsid w:val="00C01D08"/>
    <w:rsid w:val="00C01EF9"/>
    <w:rsid w:val="00C01F38"/>
    <w:rsid w:val="00C020CD"/>
    <w:rsid w:val="00C02108"/>
    <w:rsid w:val="00C02197"/>
    <w:rsid w:val="00C021D7"/>
    <w:rsid w:val="00C02218"/>
    <w:rsid w:val="00C02278"/>
    <w:rsid w:val="00C02291"/>
    <w:rsid w:val="00C02321"/>
    <w:rsid w:val="00C0255F"/>
    <w:rsid w:val="00C025C5"/>
    <w:rsid w:val="00C02705"/>
    <w:rsid w:val="00C02750"/>
    <w:rsid w:val="00C02786"/>
    <w:rsid w:val="00C02892"/>
    <w:rsid w:val="00C029CE"/>
    <w:rsid w:val="00C02B3C"/>
    <w:rsid w:val="00C02C29"/>
    <w:rsid w:val="00C02F63"/>
    <w:rsid w:val="00C030EB"/>
    <w:rsid w:val="00C0325D"/>
    <w:rsid w:val="00C033F5"/>
    <w:rsid w:val="00C034E3"/>
    <w:rsid w:val="00C03549"/>
    <w:rsid w:val="00C0358E"/>
    <w:rsid w:val="00C036B1"/>
    <w:rsid w:val="00C03719"/>
    <w:rsid w:val="00C03941"/>
    <w:rsid w:val="00C039FE"/>
    <w:rsid w:val="00C03A58"/>
    <w:rsid w:val="00C03ACE"/>
    <w:rsid w:val="00C03B2E"/>
    <w:rsid w:val="00C03B43"/>
    <w:rsid w:val="00C03B78"/>
    <w:rsid w:val="00C03BDC"/>
    <w:rsid w:val="00C03BF5"/>
    <w:rsid w:val="00C03CB2"/>
    <w:rsid w:val="00C03D9C"/>
    <w:rsid w:val="00C03DB3"/>
    <w:rsid w:val="00C03E66"/>
    <w:rsid w:val="00C03F14"/>
    <w:rsid w:val="00C03F74"/>
    <w:rsid w:val="00C04014"/>
    <w:rsid w:val="00C04069"/>
    <w:rsid w:val="00C04268"/>
    <w:rsid w:val="00C04338"/>
    <w:rsid w:val="00C04436"/>
    <w:rsid w:val="00C04447"/>
    <w:rsid w:val="00C0449E"/>
    <w:rsid w:val="00C044EE"/>
    <w:rsid w:val="00C0455C"/>
    <w:rsid w:val="00C0476F"/>
    <w:rsid w:val="00C04825"/>
    <w:rsid w:val="00C04A06"/>
    <w:rsid w:val="00C04C90"/>
    <w:rsid w:val="00C04CD1"/>
    <w:rsid w:val="00C04D2D"/>
    <w:rsid w:val="00C04DFF"/>
    <w:rsid w:val="00C04E0D"/>
    <w:rsid w:val="00C04E3B"/>
    <w:rsid w:val="00C04ECC"/>
    <w:rsid w:val="00C04F9D"/>
    <w:rsid w:val="00C05068"/>
    <w:rsid w:val="00C052A2"/>
    <w:rsid w:val="00C052F5"/>
    <w:rsid w:val="00C05504"/>
    <w:rsid w:val="00C058A8"/>
    <w:rsid w:val="00C05994"/>
    <w:rsid w:val="00C05B66"/>
    <w:rsid w:val="00C05BE1"/>
    <w:rsid w:val="00C05D3B"/>
    <w:rsid w:val="00C05D4D"/>
    <w:rsid w:val="00C05E00"/>
    <w:rsid w:val="00C06008"/>
    <w:rsid w:val="00C06079"/>
    <w:rsid w:val="00C060F6"/>
    <w:rsid w:val="00C06302"/>
    <w:rsid w:val="00C0632B"/>
    <w:rsid w:val="00C06371"/>
    <w:rsid w:val="00C06373"/>
    <w:rsid w:val="00C063B1"/>
    <w:rsid w:val="00C06402"/>
    <w:rsid w:val="00C06451"/>
    <w:rsid w:val="00C0651E"/>
    <w:rsid w:val="00C0678C"/>
    <w:rsid w:val="00C068C2"/>
    <w:rsid w:val="00C06C4C"/>
    <w:rsid w:val="00C06D7C"/>
    <w:rsid w:val="00C06D7E"/>
    <w:rsid w:val="00C06D7F"/>
    <w:rsid w:val="00C06E59"/>
    <w:rsid w:val="00C06E6D"/>
    <w:rsid w:val="00C06F59"/>
    <w:rsid w:val="00C06FEA"/>
    <w:rsid w:val="00C06FF5"/>
    <w:rsid w:val="00C0714B"/>
    <w:rsid w:val="00C072D1"/>
    <w:rsid w:val="00C07575"/>
    <w:rsid w:val="00C076B8"/>
    <w:rsid w:val="00C076C2"/>
    <w:rsid w:val="00C079D1"/>
    <w:rsid w:val="00C07AAE"/>
    <w:rsid w:val="00C07B0B"/>
    <w:rsid w:val="00C07C01"/>
    <w:rsid w:val="00C07D22"/>
    <w:rsid w:val="00C07DFA"/>
    <w:rsid w:val="00C10011"/>
    <w:rsid w:val="00C1011D"/>
    <w:rsid w:val="00C101C2"/>
    <w:rsid w:val="00C103AF"/>
    <w:rsid w:val="00C10528"/>
    <w:rsid w:val="00C10B17"/>
    <w:rsid w:val="00C10B31"/>
    <w:rsid w:val="00C10E2B"/>
    <w:rsid w:val="00C10EAD"/>
    <w:rsid w:val="00C10EEF"/>
    <w:rsid w:val="00C10F1B"/>
    <w:rsid w:val="00C110F6"/>
    <w:rsid w:val="00C11220"/>
    <w:rsid w:val="00C1125C"/>
    <w:rsid w:val="00C11331"/>
    <w:rsid w:val="00C11439"/>
    <w:rsid w:val="00C1157F"/>
    <w:rsid w:val="00C115C9"/>
    <w:rsid w:val="00C11602"/>
    <w:rsid w:val="00C11662"/>
    <w:rsid w:val="00C11862"/>
    <w:rsid w:val="00C118CF"/>
    <w:rsid w:val="00C119BB"/>
    <w:rsid w:val="00C119F0"/>
    <w:rsid w:val="00C11ABA"/>
    <w:rsid w:val="00C11B6B"/>
    <w:rsid w:val="00C11B9D"/>
    <w:rsid w:val="00C11CCD"/>
    <w:rsid w:val="00C11D08"/>
    <w:rsid w:val="00C11D14"/>
    <w:rsid w:val="00C11D5D"/>
    <w:rsid w:val="00C11EB2"/>
    <w:rsid w:val="00C120C2"/>
    <w:rsid w:val="00C1210E"/>
    <w:rsid w:val="00C12301"/>
    <w:rsid w:val="00C12330"/>
    <w:rsid w:val="00C12392"/>
    <w:rsid w:val="00C1252E"/>
    <w:rsid w:val="00C12570"/>
    <w:rsid w:val="00C12591"/>
    <w:rsid w:val="00C12722"/>
    <w:rsid w:val="00C12735"/>
    <w:rsid w:val="00C1275B"/>
    <w:rsid w:val="00C128E2"/>
    <w:rsid w:val="00C12A57"/>
    <w:rsid w:val="00C12AE5"/>
    <w:rsid w:val="00C12B35"/>
    <w:rsid w:val="00C12B62"/>
    <w:rsid w:val="00C12C72"/>
    <w:rsid w:val="00C12CA2"/>
    <w:rsid w:val="00C12D61"/>
    <w:rsid w:val="00C12E5B"/>
    <w:rsid w:val="00C12ED9"/>
    <w:rsid w:val="00C13143"/>
    <w:rsid w:val="00C1320E"/>
    <w:rsid w:val="00C13273"/>
    <w:rsid w:val="00C13291"/>
    <w:rsid w:val="00C13349"/>
    <w:rsid w:val="00C1350B"/>
    <w:rsid w:val="00C135F9"/>
    <w:rsid w:val="00C13677"/>
    <w:rsid w:val="00C13810"/>
    <w:rsid w:val="00C13846"/>
    <w:rsid w:val="00C13943"/>
    <w:rsid w:val="00C13997"/>
    <w:rsid w:val="00C13A43"/>
    <w:rsid w:val="00C13A6F"/>
    <w:rsid w:val="00C13B04"/>
    <w:rsid w:val="00C13DC5"/>
    <w:rsid w:val="00C13E50"/>
    <w:rsid w:val="00C13EEF"/>
    <w:rsid w:val="00C13F69"/>
    <w:rsid w:val="00C1407F"/>
    <w:rsid w:val="00C1416C"/>
    <w:rsid w:val="00C141F5"/>
    <w:rsid w:val="00C14288"/>
    <w:rsid w:val="00C143F3"/>
    <w:rsid w:val="00C14458"/>
    <w:rsid w:val="00C145A7"/>
    <w:rsid w:val="00C1478D"/>
    <w:rsid w:val="00C14832"/>
    <w:rsid w:val="00C14A93"/>
    <w:rsid w:val="00C14B40"/>
    <w:rsid w:val="00C14C54"/>
    <w:rsid w:val="00C14CA3"/>
    <w:rsid w:val="00C14D49"/>
    <w:rsid w:val="00C1503A"/>
    <w:rsid w:val="00C151CE"/>
    <w:rsid w:val="00C151D1"/>
    <w:rsid w:val="00C1538F"/>
    <w:rsid w:val="00C15499"/>
    <w:rsid w:val="00C154A6"/>
    <w:rsid w:val="00C15552"/>
    <w:rsid w:val="00C1555E"/>
    <w:rsid w:val="00C155B4"/>
    <w:rsid w:val="00C155E7"/>
    <w:rsid w:val="00C157CC"/>
    <w:rsid w:val="00C1587D"/>
    <w:rsid w:val="00C1593E"/>
    <w:rsid w:val="00C159E7"/>
    <w:rsid w:val="00C15A63"/>
    <w:rsid w:val="00C15BFF"/>
    <w:rsid w:val="00C15C06"/>
    <w:rsid w:val="00C15DB6"/>
    <w:rsid w:val="00C15EB0"/>
    <w:rsid w:val="00C15F29"/>
    <w:rsid w:val="00C16214"/>
    <w:rsid w:val="00C165B0"/>
    <w:rsid w:val="00C16609"/>
    <w:rsid w:val="00C16682"/>
    <w:rsid w:val="00C166A9"/>
    <w:rsid w:val="00C1682E"/>
    <w:rsid w:val="00C1685C"/>
    <w:rsid w:val="00C169FA"/>
    <w:rsid w:val="00C16A95"/>
    <w:rsid w:val="00C170EC"/>
    <w:rsid w:val="00C17158"/>
    <w:rsid w:val="00C17173"/>
    <w:rsid w:val="00C17207"/>
    <w:rsid w:val="00C17292"/>
    <w:rsid w:val="00C1732F"/>
    <w:rsid w:val="00C17330"/>
    <w:rsid w:val="00C17410"/>
    <w:rsid w:val="00C1741E"/>
    <w:rsid w:val="00C174B5"/>
    <w:rsid w:val="00C17595"/>
    <w:rsid w:val="00C175C1"/>
    <w:rsid w:val="00C175CC"/>
    <w:rsid w:val="00C17635"/>
    <w:rsid w:val="00C17760"/>
    <w:rsid w:val="00C17899"/>
    <w:rsid w:val="00C178E2"/>
    <w:rsid w:val="00C1796E"/>
    <w:rsid w:val="00C17A5F"/>
    <w:rsid w:val="00C17B56"/>
    <w:rsid w:val="00C17BC6"/>
    <w:rsid w:val="00C17D19"/>
    <w:rsid w:val="00C17DCA"/>
    <w:rsid w:val="00C17EA6"/>
    <w:rsid w:val="00C2014D"/>
    <w:rsid w:val="00C20159"/>
    <w:rsid w:val="00C202CA"/>
    <w:rsid w:val="00C2033A"/>
    <w:rsid w:val="00C20395"/>
    <w:rsid w:val="00C203B0"/>
    <w:rsid w:val="00C203E1"/>
    <w:rsid w:val="00C204F1"/>
    <w:rsid w:val="00C206AD"/>
    <w:rsid w:val="00C20755"/>
    <w:rsid w:val="00C2099F"/>
    <w:rsid w:val="00C209A3"/>
    <w:rsid w:val="00C209BA"/>
    <w:rsid w:val="00C209FE"/>
    <w:rsid w:val="00C20A09"/>
    <w:rsid w:val="00C20AAC"/>
    <w:rsid w:val="00C20B2C"/>
    <w:rsid w:val="00C20BDB"/>
    <w:rsid w:val="00C20C44"/>
    <w:rsid w:val="00C20E1F"/>
    <w:rsid w:val="00C20E37"/>
    <w:rsid w:val="00C20F63"/>
    <w:rsid w:val="00C20F6E"/>
    <w:rsid w:val="00C20F92"/>
    <w:rsid w:val="00C2101D"/>
    <w:rsid w:val="00C21158"/>
    <w:rsid w:val="00C2134F"/>
    <w:rsid w:val="00C21579"/>
    <w:rsid w:val="00C21717"/>
    <w:rsid w:val="00C21767"/>
    <w:rsid w:val="00C2178E"/>
    <w:rsid w:val="00C217C0"/>
    <w:rsid w:val="00C218EA"/>
    <w:rsid w:val="00C21A57"/>
    <w:rsid w:val="00C21A93"/>
    <w:rsid w:val="00C21A95"/>
    <w:rsid w:val="00C21B41"/>
    <w:rsid w:val="00C21C2A"/>
    <w:rsid w:val="00C21DF0"/>
    <w:rsid w:val="00C21FCA"/>
    <w:rsid w:val="00C22054"/>
    <w:rsid w:val="00C22185"/>
    <w:rsid w:val="00C224D4"/>
    <w:rsid w:val="00C2253C"/>
    <w:rsid w:val="00C22605"/>
    <w:rsid w:val="00C22652"/>
    <w:rsid w:val="00C226B4"/>
    <w:rsid w:val="00C2272B"/>
    <w:rsid w:val="00C22813"/>
    <w:rsid w:val="00C228D3"/>
    <w:rsid w:val="00C22A74"/>
    <w:rsid w:val="00C22BBB"/>
    <w:rsid w:val="00C22C3A"/>
    <w:rsid w:val="00C22C6C"/>
    <w:rsid w:val="00C22ED5"/>
    <w:rsid w:val="00C23055"/>
    <w:rsid w:val="00C23144"/>
    <w:rsid w:val="00C23365"/>
    <w:rsid w:val="00C234D0"/>
    <w:rsid w:val="00C235D9"/>
    <w:rsid w:val="00C237E8"/>
    <w:rsid w:val="00C2383F"/>
    <w:rsid w:val="00C238E6"/>
    <w:rsid w:val="00C238EE"/>
    <w:rsid w:val="00C23A44"/>
    <w:rsid w:val="00C23A7E"/>
    <w:rsid w:val="00C23C4B"/>
    <w:rsid w:val="00C23DE8"/>
    <w:rsid w:val="00C23E73"/>
    <w:rsid w:val="00C23F80"/>
    <w:rsid w:val="00C2418E"/>
    <w:rsid w:val="00C241C0"/>
    <w:rsid w:val="00C24339"/>
    <w:rsid w:val="00C243FA"/>
    <w:rsid w:val="00C24472"/>
    <w:rsid w:val="00C24498"/>
    <w:rsid w:val="00C24655"/>
    <w:rsid w:val="00C2478A"/>
    <w:rsid w:val="00C24801"/>
    <w:rsid w:val="00C24A06"/>
    <w:rsid w:val="00C24B13"/>
    <w:rsid w:val="00C24B18"/>
    <w:rsid w:val="00C24C4C"/>
    <w:rsid w:val="00C24CC2"/>
    <w:rsid w:val="00C24CDC"/>
    <w:rsid w:val="00C24D44"/>
    <w:rsid w:val="00C24F04"/>
    <w:rsid w:val="00C25102"/>
    <w:rsid w:val="00C25123"/>
    <w:rsid w:val="00C2518D"/>
    <w:rsid w:val="00C25265"/>
    <w:rsid w:val="00C252A8"/>
    <w:rsid w:val="00C25319"/>
    <w:rsid w:val="00C2537B"/>
    <w:rsid w:val="00C25406"/>
    <w:rsid w:val="00C2553F"/>
    <w:rsid w:val="00C25593"/>
    <w:rsid w:val="00C2579E"/>
    <w:rsid w:val="00C2580D"/>
    <w:rsid w:val="00C25856"/>
    <w:rsid w:val="00C25889"/>
    <w:rsid w:val="00C258CF"/>
    <w:rsid w:val="00C25907"/>
    <w:rsid w:val="00C2595C"/>
    <w:rsid w:val="00C25A52"/>
    <w:rsid w:val="00C25C3A"/>
    <w:rsid w:val="00C25D24"/>
    <w:rsid w:val="00C25E6E"/>
    <w:rsid w:val="00C25EE6"/>
    <w:rsid w:val="00C25F0A"/>
    <w:rsid w:val="00C26039"/>
    <w:rsid w:val="00C26326"/>
    <w:rsid w:val="00C264C0"/>
    <w:rsid w:val="00C26631"/>
    <w:rsid w:val="00C26636"/>
    <w:rsid w:val="00C266CB"/>
    <w:rsid w:val="00C266EE"/>
    <w:rsid w:val="00C26875"/>
    <w:rsid w:val="00C26C17"/>
    <w:rsid w:val="00C26C59"/>
    <w:rsid w:val="00C26CB2"/>
    <w:rsid w:val="00C26D2F"/>
    <w:rsid w:val="00C26E6B"/>
    <w:rsid w:val="00C26F70"/>
    <w:rsid w:val="00C273B6"/>
    <w:rsid w:val="00C27590"/>
    <w:rsid w:val="00C275D7"/>
    <w:rsid w:val="00C275EE"/>
    <w:rsid w:val="00C276B7"/>
    <w:rsid w:val="00C2770F"/>
    <w:rsid w:val="00C27812"/>
    <w:rsid w:val="00C279DF"/>
    <w:rsid w:val="00C27AF6"/>
    <w:rsid w:val="00C27B38"/>
    <w:rsid w:val="00C27B67"/>
    <w:rsid w:val="00C27C0A"/>
    <w:rsid w:val="00C27C55"/>
    <w:rsid w:val="00C27D82"/>
    <w:rsid w:val="00C27DBF"/>
    <w:rsid w:val="00C27E69"/>
    <w:rsid w:val="00C27ECD"/>
    <w:rsid w:val="00C27F08"/>
    <w:rsid w:val="00C27FB9"/>
    <w:rsid w:val="00C30245"/>
    <w:rsid w:val="00C303AE"/>
    <w:rsid w:val="00C303CD"/>
    <w:rsid w:val="00C304B6"/>
    <w:rsid w:val="00C30699"/>
    <w:rsid w:val="00C30721"/>
    <w:rsid w:val="00C308CC"/>
    <w:rsid w:val="00C30923"/>
    <w:rsid w:val="00C30A03"/>
    <w:rsid w:val="00C30A0F"/>
    <w:rsid w:val="00C30A3C"/>
    <w:rsid w:val="00C30A5F"/>
    <w:rsid w:val="00C30A70"/>
    <w:rsid w:val="00C30BDE"/>
    <w:rsid w:val="00C30C05"/>
    <w:rsid w:val="00C30D55"/>
    <w:rsid w:val="00C30E6F"/>
    <w:rsid w:val="00C30EB6"/>
    <w:rsid w:val="00C30F8C"/>
    <w:rsid w:val="00C31114"/>
    <w:rsid w:val="00C31173"/>
    <w:rsid w:val="00C312A3"/>
    <w:rsid w:val="00C313D0"/>
    <w:rsid w:val="00C31529"/>
    <w:rsid w:val="00C316E2"/>
    <w:rsid w:val="00C31730"/>
    <w:rsid w:val="00C317BE"/>
    <w:rsid w:val="00C31817"/>
    <w:rsid w:val="00C31918"/>
    <w:rsid w:val="00C31B2E"/>
    <w:rsid w:val="00C31D1E"/>
    <w:rsid w:val="00C31DBF"/>
    <w:rsid w:val="00C31DDE"/>
    <w:rsid w:val="00C31E47"/>
    <w:rsid w:val="00C31E9C"/>
    <w:rsid w:val="00C31F71"/>
    <w:rsid w:val="00C31FC5"/>
    <w:rsid w:val="00C31FED"/>
    <w:rsid w:val="00C3212F"/>
    <w:rsid w:val="00C32303"/>
    <w:rsid w:val="00C32386"/>
    <w:rsid w:val="00C32464"/>
    <w:rsid w:val="00C32486"/>
    <w:rsid w:val="00C3254B"/>
    <w:rsid w:val="00C325E3"/>
    <w:rsid w:val="00C3276F"/>
    <w:rsid w:val="00C32896"/>
    <w:rsid w:val="00C32A28"/>
    <w:rsid w:val="00C32AB1"/>
    <w:rsid w:val="00C32B0B"/>
    <w:rsid w:val="00C32B5D"/>
    <w:rsid w:val="00C32BBB"/>
    <w:rsid w:val="00C32C09"/>
    <w:rsid w:val="00C32C7D"/>
    <w:rsid w:val="00C32DAA"/>
    <w:rsid w:val="00C32ECC"/>
    <w:rsid w:val="00C32EF3"/>
    <w:rsid w:val="00C32FD2"/>
    <w:rsid w:val="00C33033"/>
    <w:rsid w:val="00C3305B"/>
    <w:rsid w:val="00C33229"/>
    <w:rsid w:val="00C332C2"/>
    <w:rsid w:val="00C333CC"/>
    <w:rsid w:val="00C3340B"/>
    <w:rsid w:val="00C33422"/>
    <w:rsid w:val="00C3344A"/>
    <w:rsid w:val="00C334CF"/>
    <w:rsid w:val="00C33789"/>
    <w:rsid w:val="00C337D9"/>
    <w:rsid w:val="00C3381A"/>
    <w:rsid w:val="00C3386E"/>
    <w:rsid w:val="00C33A2E"/>
    <w:rsid w:val="00C33A62"/>
    <w:rsid w:val="00C33CB8"/>
    <w:rsid w:val="00C33EDE"/>
    <w:rsid w:val="00C33FA7"/>
    <w:rsid w:val="00C3415D"/>
    <w:rsid w:val="00C3418B"/>
    <w:rsid w:val="00C34289"/>
    <w:rsid w:val="00C342CB"/>
    <w:rsid w:val="00C34597"/>
    <w:rsid w:val="00C3474F"/>
    <w:rsid w:val="00C3475A"/>
    <w:rsid w:val="00C348F8"/>
    <w:rsid w:val="00C34A08"/>
    <w:rsid w:val="00C34A24"/>
    <w:rsid w:val="00C34AD6"/>
    <w:rsid w:val="00C34B13"/>
    <w:rsid w:val="00C34C68"/>
    <w:rsid w:val="00C34E3D"/>
    <w:rsid w:val="00C34F70"/>
    <w:rsid w:val="00C355FA"/>
    <w:rsid w:val="00C35663"/>
    <w:rsid w:val="00C356B0"/>
    <w:rsid w:val="00C3571F"/>
    <w:rsid w:val="00C35888"/>
    <w:rsid w:val="00C358A7"/>
    <w:rsid w:val="00C358B7"/>
    <w:rsid w:val="00C358F1"/>
    <w:rsid w:val="00C35959"/>
    <w:rsid w:val="00C3599C"/>
    <w:rsid w:val="00C35A54"/>
    <w:rsid w:val="00C35BB5"/>
    <w:rsid w:val="00C35C2E"/>
    <w:rsid w:val="00C35D36"/>
    <w:rsid w:val="00C35DA9"/>
    <w:rsid w:val="00C35F24"/>
    <w:rsid w:val="00C36221"/>
    <w:rsid w:val="00C36238"/>
    <w:rsid w:val="00C3624B"/>
    <w:rsid w:val="00C362EF"/>
    <w:rsid w:val="00C3635E"/>
    <w:rsid w:val="00C3638D"/>
    <w:rsid w:val="00C363BF"/>
    <w:rsid w:val="00C363C4"/>
    <w:rsid w:val="00C364EB"/>
    <w:rsid w:val="00C365BB"/>
    <w:rsid w:val="00C36660"/>
    <w:rsid w:val="00C366E9"/>
    <w:rsid w:val="00C36716"/>
    <w:rsid w:val="00C3673F"/>
    <w:rsid w:val="00C3683E"/>
    <w:rsid w:val="00C368C5"/>
    <w:rsid w:val="00C36911"/>
    <w:rsid w:val="00C36A6D"/>
    <w:rsid w:val="00C36D83"/>
    <w:rsid w:val="00C36DC6"/>
    <w:rsid w:val="00C36DE2"/>
    <w:rsid w:val="00C36DED"/>
    <w:rsid w:val="00C36FC3"/>
    <w:rsid w:val="00C37027"/>
    <w:rsid w:val="00C37107"/>
    <w:rsid w:val="00C371D2"/>
    <w:rsid w:val="00C372C4"/>
    <w:rsid w:val="00C37397"/>
    <w:rsid w:val="00C375D5"/>
    <w:rsid w:val="00C37619"/>
    <w:rsid w:val="00C37731"/>
    <w:rsid w:val="00C3797F"/>
    <w:rsid w:val="00C37B81"/>
    <w:rsid w:val="00C37D04"/>
    <w:rsid w:val="00C37D3A"/>
    <w:rsid w:val="00C37F91"/>
    <w:rsid w:val="00C37F95"/>
    <w:rsid w:val="00C400B8"/>
    <w:rsid w:val="00C400EE"/>
    <w:rsid w:val="00C40189"/>
    <w:rsid w:val="00C401B6"/>
    <w:rsid w:val="00C40296"/>
    <w:rsid w:val="00C402F4"/>
    <w:rsid w:val="00C4031C"/>
    <w:rsid w:val="00C4034A"/>
    <w:rsid w:val="00C40527"/>
    <w:rsid w:val="00C406D5"/>
    <w:rsid w:val="00C4086C"/>
    <w:rsid w:val="00C40906"/>
    <w:rsid w:val="00C40937"/>
    <w:rsid w:val="00C40974"/>
    <w:rsid w:val="00C40B8D"/>
    <w:rsid w:val="00C40C10"/>
    <w:rsid w:val="00C40C80"/>
    <w:rsid w:val="00C40CAB"/>
    <w:rsid w:val="00C40D1F"/>
    <w:rsid w:val="00C40E6C"/>
    <w:rsid w:val="00C40EAF"/>
    <w:rsid w:val="00C40F7C"/>
    <w:rsid w:val="00C40F87"/>
    <w:rsid w:val="00C40FDD"/>
    <w:rsid w:val="00C412A4"/>
    <w:rsid w:val="00C412B7"/>
    <w:rsid w:val="00C412D5"/>
    <w:rsid w:val="00C41332"/>
    <w:rsid w:val="00C41346"/>
    <w:rsid w:val="00C413C9"/>
    <w:rsid w:val="00C4145C"/>
    <w:rsid w:val="00C417A4"/>
    <w:rsid w:val="00C419D5"/>
    <w:rsid w:val="00C41A55"/>
    <w:rsid w:val="00C41AA2"/>
    <w:rsid w:val="00C41B26"/>
    <w:rsid w:val="00C41B84"/>
    <w:rsid w:val="00C41C31"/>
    <w:rsid w:val="00C41C6F"/>
    <w:rsid w:val="00C41CF3"/>
    <w:rsid w:val="00C41D80"/>
    <w:rsid w:val="00C421A3"/>
    <w:rsid w:val="00C421C9"/>
    <w:rsid w:val="00C42227"/>
    <w:rsid w:val="00C4223F"/>
    <w:rsid w:val="00C4239A"/>
    <w:rsid w:val="00C42503"/>
    <w:rsid w:val="00C425CD"/>
    <w:rsid w:val="00C4264E"/>
    <w:rsid w:val="00C4268C"/>
    <w:rsid w:val="00C4271B"/>
    <w:rsid w:val="00C42775"/>
    <w:rsid w:val="00C42904"/>
    <w:rsid w:val="00C42961"/>
    <w:rsid w:val="00C429AE"/>
    <w:rsid w:val="00C42AE9"/>
    <w:rsid w:val="00C42BFB"/>
    <w:rsid w:val="00C42CCD"/>
    <w:rsid w:val="00C42DBB"/>
    <w:rsid w:val="00C42E62"/>
    <w:rsid w:val="00C42FEE"/>
    <w:rsid w:val="00C43007"/>
    <w:rsid w:val="00C43095"/>
    <w:rsid w:val="00C430FD"/>
    <w:rsid w:val="00C431A2"/>
    <w:rsid w:val="00C433A6"/>
    <w:rsid w:val="00C43497"/>
    <w:rsid w:val="00C434B6"/>
    <w:rsid w:val="00C43578"/>
    <w:rsid w:val="00C43615"/>
    <w:rsid w:val="00C438A8"/>
    <w:rsid w:val="00C43B91"/>
    <w:rsid w:val="00C43C6D"/>
    <w:rsid w:val="00C43CDA"/>
    <w:rsid w:val="00C43E29"/>
    <w:rsid w:val="00C43EF9"/>
    <w:rsid w:val="00C43F18"/>
    <w:rsid w:val="00C44002"/>
    <w:rsid w:val="00C440CC"/>
    <w:rsid w:val="00C441D2"/>
    <w:rsid w:val="00C442F2"/>
    <w:rsid w:val="00C44366"/>
    <w:rsid w:val="00C443E2"/>
    <w:rsid w:val="00C445AE"/>
    <w:rsid w:val="00C44672"/>
    <w:rsid w:val="00C446A8"/>
    <w:rsid w:val="00C447A0"/>
    <w:rsid w:val="00C44945"/>
    <w:rsid w:val="00C44A49"/>
    <w:rsid w:val="00C44A84"/>
    <w:rsid w:val="00C44B9A"/>
    <w:rsid w:val="00C44BDA"/>
    <w:rsid w:val="00C450BA"/>
    <w:rsid w:val="00C45163"/>
    <w:rsid w:val="00C451DD"/>
    <w:rsid w:val="00C45251"/>
    <w:rsid w:val="00C454FF"/>
    <w:rsid w:val="00C45542"/>
    <w:rsid w:val="00C4560C"/>
    <w:rsid w:val="00C45637"/>
    <w:rsid w:val="00C45649"/>
    <w:rsid w:val="00C457A5"/>
    <w:rsid w:val="00C458A2"/>
    <w:rsid w:val="00C45BD1"/>
    <w:rsid w:val="00C45C28"/>
    <w:rsid w:val="00C45D5F"/>
    <w:rsid w:val="00C45E22"/>
    <w:rsid w:val="00C45E85"/>
    <w:rsid w:val="00C45EA3"/>
    <w:rsid w:val="00C45FB7"/>
    <w:rsid w:val="00C45FE7"/>
    <w:rsid w:val="00C460AE"/>
    <w:rsid w:val="00C46185"/>
    <w:rsid w:val="00C4621C"/>
    <w:rsid w:val="00C4631F"/>
    <w:rsid w:val="00C46320"/>
    <w:rsid w:val="00C463A5"/>
    <w:rsid w:val="00C463F2"/>
    <w:rsid w:val="00C464B8"/>
    <w:rsid w:val="00C4660C"/>
    <w:rsid w:val="00C4684B"/>
    <w:rsid w:val="00C46871"/>
    <w:rsid w:val="00C468C0"/>
    <w:rsid w:val="00C468EB"/>
    <w:rsid w:val="00C468F9"/>
    <w:rsid w:val="00C46957"/>
    <w:rsid w:val="00C46AC5"/>
    <w:rsid w:val="00C46C3C"/>
    <w:rsid w:val="00C46DD7"/>
    <w:rsid w:val="00C46E9C"/>
    <w:rsid w:val="00C47067"/>
    <w:rsid w:val="00C471D0"/>
    <w:rsid w:val="00C47220"/>
    <w:rsid w:val="00C47468"/>
    <w:rsid w:val="00C474BB"/>
    <w:rsid w:val="00C47534"/>
    <w:rsid w:val="00C47617"/>
    <w:rsid w:val="00C477A6"/>
    <w:rsid w:val="00C4780A"/>
    <w:rsid w:val="00C47A23"/>
    <w:rsid w:val="00C47A2B"/>
    <w:rsid w:val="00C47B71"/>
    <w:rsid w:val="00C47D11"/>
    <w:rsid w:val="00C47E75"/>
    <w:rsid w:val="00C47F07"/>
    <w:rsid w:val="00C47F37"/>
    <w:rsid w:val="00C50103"/>
    <w:rsid w:val="00C5011D"/>
    <w:rsid w:val="00C501A2"/>
    <w:rsid w:val="00C5030A"/>
    <w:rsid w:val="00C5039D"/>
    <w:rsid w:val="00C50630"/>
    <w:rsid w:val="00C50700"/>
    <w:rsid w:val="00C50816"/>
    <w:rsid w:val="00C50842"/>
    <w:rsid w:val="00C508B6"/>
    <w:rsid w:val="00C5091E"/>
    <w:rsid w:val="00C50A30"/>
    <w:rsid w:val="00C50A39"/>
    <w:rsid w:val="00C50ABC"/>
    <w:rsid w:val="00C50AC5"/>
    <w:rsid w:val="00C50C1C"/>
    <w:rsid w:val="00C50C50"/>
    <w:rsid w:val="00C50C51"/>
    <w:rsid w:val="00C50D8C"/>
    <w:rsid w:val="00C50E8A"/>
    <w:rsid w:val="00C50FA9"/>
    <w:rsid w:val="00C5105F"/>
    <w:rsid w:val="00C51195"/>
    <w:rsid w:val="00C512BC"/>
    <w:rsid w:val="00C5145D"/>
    <w:rsid w:val="00C514C8"/>
    <w:rsid w:val="00C516E4"/>
    <w:rsid w:val="00C51844"/>
    <w:rsid w:val="00C51E4D"/>
    <w:rsid w:val="00C5201C"/>
    <w:rsid w:val="00C521E3"/>
    <w:rsid w:val="00C521F2"/>
    <w:rsid w:val="00C52299"/>
    <w:rsid w:val="00C522D8"/>
    <w:rsid w:val="00C5239F"/>
    <w:rsid w:val="00C523FA"/>
    <w:rsid w:val="00C5261A"/>
    <w:rsid w:val="00C527AD"/>
    <w:rsid w:val="00C52915"/>
    <w:rsid w:val="00C52955"/>
    <w:rsid w:val="00C529EE"/>
    <w:rsid w:val="00C52B14"/>
    <w:rsid w:val="00C52B15"/>
    <w:rsid w:val="00C52B50"/>
    <w:rsid w:val="00C52CD5"/>
    <w:rsid w:val="00C52D67"/>
    <w:rsid w:val="00C52D7C"/>
    <w:rsid w:val="00C52DF4"/>
    <w:rsid w:val="00C52EEA"/>
    <w:rsid w:val="00C52F9C"/>
    <w:rsid w:val="00C530AF"/>
    <w:rsid w:val="00C530C1"/>
    <w:rsid w:val="00C53138"/>
    <w:rsid w:val="00C53183"/>
    <w:rsid w:val="00C531EE"/>
    <w:rsid w:val="00C53205"/>
    <w:rsid w:val="00C53683"/>
    <w:rsid w:val="00C53893"/>
    <w:rsid w:val="00C53B40"/>
    <w:rsid w:val="00C53B6A"/>
    <w:rsid w:val="00C53C4C"/>
    <w:rsid w:val="00C53DE6"/>
    <w:rsid w:val="00C53EFE"/>
    <w:rsid w:val="00C53F49"/>
    <w:rsid w:val="00C53F50"/>
    <w:rsid w:val="00C53FC5"/>
    <w:rsid w:val="00C540A8"/>
    <w:rsid w:val="00C54259"/>
    <w:rsid w:val="00C5431B"/>
    <w:rsid w:val="00C5435B"/>
    <w:rsid w:val="00C54365"/>
    <w:rsid w:val="00C543A7"/>
    <w:rsid w:val="00C54685"/>
    <w:rsid w:val="00C54799"/>
    <w:rsid w:val="00C54888"/>
    <w:rsid w:val="00C549F6"/>
    <w:rsid w:val="00C54B4D"/>
    <w:rsid w:val="00C54DAE"/>
    <w:rsid w:val="00C54DC9"/>
    <w:rsid w:val="00C5510D"/>
    <w:rsid w:val="00C551D5"/>
    <w:rsid w:val="00C553DB"/>
    <w:rsid w:val="00C55580"/>
    <w:rsid w:val="00C5565A"/>
    <w:rsid w:val="00C55670"/>
    <w:rsid w:val="00C556F4"/>
    <w:rsid w:val="00C55703"/>
    <w:rsid w:val="00C55720"/>
    <w:rsid w:val="00C5576B"/>
    <w:rsid w:val="00C5597C"/>
    <w:rsid w:val="00C559F8"/>
    <w:rsid w:val="00C55A14"/>
    <w:rsid w:val="00C55A53"/>
    <w:rsid w:val="00C55AC0"/>
    <w:rsid w:val="00C55B03"/>
    <w:rsid w:val="00C55BB7"/>
    <w:rsid w:val="00C55CA2"/>
    <w:rsid w:val="00C55CF7"/>
    <w:rsid w:val="00C55D0B"/>
    <w:rsid w:val="00C55EE7"/>
    <w:rsid w:val="00C55F0F"/>
    <w:rsid w:val="00C55F5D"/>
    <w:rsid w:val="00C56073"/>
    <w:rsid w:val="00C560D3"/>
    <w:rsid w:val="00C560E8"/>
    <w:rsid w:val="00C561E2"/>
    <w:rsid w:val="00C56206"/>
    <w:rsid w:val="00C5621B"/>
    <w:rsid w:val="00C56296"/>
    <w:rsid w:val="00C5629F"/>
    <w:rsid w:val="00C562CA"/>
    <w:rsid w:val="00C563E0"/>
    <w:rsid w:val="00C56583"/>
    <w:rsid w:val="00C56657"/>
    <w:rsid w:val="00C5670B"/>
    <w:rsid w:val="00C569AE"/>
    <w:rsid w:val="00C56B97"/>
    <w:rsid w:val="00C56CF8"/>
    <w:rsid w:val="00C56E49"/>
    <w:rsid w:val="00C56E66"/>
    <w:rsid w:val="00C56F3B"/>
    <w:rsid w:val="00C56FCF"/>
    <w:rsid w:val="00C57078"/>
    <w:rsid w:val="00C57130"/>
    <w:rsid w:val="00C5715D"/>
    <w:rsid w:val="00C571CD"/>
    <w:rsid w:val="00C571D2"/>
    <w:rsid w:val="00C572E2"/>
    <w:rsid w:val="00C5747E"/>
    <w:rsid w:val="00C57505"/>
    <w:rsid w:val="00C57519"/>
    <w:rsid w:val="00C5754A"/>
    <w:rsid w:val="00C5759D"/>
    <w:rsid w:val="00C57609"/>
    <w:rsid w:val="00C57743"/>
    <w:rsid w:val="00C5777C"/>
    <w:rsid w:val="00C577A6"/>
    <w:rsid w:val="00C5781B"/>
    <w:rsid w:val="00C578C2"/>
    <w:rsid w:val="00C579DB"/>
    <w:rsid w:val="00C57ACD"/>
    <w:rsid w:val="00C57B2B"/>
    <w:rsid w:val="00C57B72"/>
    <w:rsid w:val="00C57C39"/>
    <w:rsid w:val="00C57C50"/>
    <w:rsid w:val="00C57C56"/>
    <w:rsid w:val="00C57D5D"/>
    <w:rsid w:val="00C57D94"/>
    <w:rsid w:val="00C57E69"/>
    <w:rsid w:val="00C57F71"/>
    <w:rsid w:val="00C57FA2"/>
    <w:rsid w:val="00C57FAE"/>
    <w:rsid w:val="00C600CA"/>
    <w:rsid w:val="00C60229"/>
    <w:rsid w:val="00C60241"/>
    <w:rsid w:val="00C603C6"/>
    <w:rsid w:val="00C6045A"/>
    <w:rsid w:val="00C604FD"/>
    <w:rsid w:val="00C60697"/>
    <w:rsid w:val="00C60731"/>
    <w:rsid w:val="00C60788"/>
    <w:rsid w:val="00C608CB"/>
    <w:rsid w:val="00C60979"/>
    <w:rsid w:val="00C609B8"/>
    <w:rsid w:val="00C609E0"/>
    <w:rsid w:val="00C60A65"/>
    <w:rsid w:val="00C60BAD"/>
    <w:rsid w:val="00C60D6D"/>
    <w:rsid w:val="00C60DB4"/>
    <w:rsid w:val="00C60DC0"/>
    <w:rsid w:val="00C60DF3"/>
    <w:rsid w:val="00C60DFB"/>
    <w:rsid w:val="00C60F71"/>
    <w:rsid w:val="00C61156"/>
    <w:rsid w:val="00C612E2"/>
    <w:rsid w:val="00C614BB"/>
    <w:rsid w:val="00C6181C"/>
    <w:rsid w:val="00C61952"/>
    <w:rsid w:val="00C61C29"/>
    <w:rsid w:val="00C61C35"/>
    <w:rsid w:val="00C61D2C"/>
    <w:rsid w:val="00C61E72"/>
    <w:rsid w:val="00C61F34"/>
    <w:rsid w:val="00C61FC8"/>
    <w:rsid w:val="00C61FF5"/>
    <w:rsid w:val="00C621CA"/>
    <w:rsid w:val="00C62437"/>
    <w:rsid w:val="00C627AB"/>
    <w:rsid w:val="00C62954"/>
    <w:rsid w:val="00C62979"/>
    <w:rsid w:val="00C62A0F"/>
    <w:rsid w:val="00C62B83"/>
    <w:rsid w:val="00C62B85"/>
    <w:rsid w:val="00C62D28"/>
    <w:rsid w:val="00C62DCC"/>
    <w:rsid w:val="00C62DD9"/>
    <w:rsid w:val="00C62DFE"/>
    <w:rsid w:val="00C63152"/>
    <w:rsid w:val="00C63189"/>
    <w:rsid w:val="00C63227"/>
    <w:rsid w:val="00C6326C"/>
    <w:rsid w:val="00C63306"/>
    <w:rsid w:val="00C633F8"/>
    <w:rsid w:val="00C635EA"/>
    <w:rsid w:val="00C635EF"/>
    <w:rsid w:val="00C6373C"/>
    <w:rsid w:val="00C638D9"/>
    <w:rsid w:val="00C63976"/>
    <w:rsid w:val="00C63A82"/>
    <w:rsid w:val="00C63AB9"/>
    <w:rsid w:val="00C63B35"/>
    <w:rsid w:val="00C63C03"/>
    <w:rsid w:val="00C63C6B"/>
    <w:rsid w:val="00C63D29"/>
    <w:rsid w:val="00C63DC8"/>
    <w:rsid w:val="00C63DE8"/>
    <w:rsid w:val="00C63F39"/>
    <w:rsid w:val="00C63F4A"/>
    <w:rsid w:val="00C63F5B"/>
    <w:rsid w:val="00C6410C"/>
    <w:rsid w:val="00C64181"/>
    <w:rsid w:val="00C64341"/>
    <w:rsid w:val="00C644D9"/>
    <w:rsid w:val="00C6471E"/>
    <w:rsid w:val="00C64738"/>
    <w:rsid w:val="00C64911"/>
    <w:rsid w:val="00C649E1"/>
    <w:rsid w:val="00C64A99"/>
    <w:rsid w:val="00C64A9F"/>
    <w:rsid w:val="00C64B46"/>
    <w:rsid w:val="00C64BB9"/>
    <w:rsid w:val="00C64CE2"/>
    <w:rsid w:val="00C64CF8"/>
    <w:rsid w:val="00C64DCC"/>
    <w:rsid w:val="00C64E20"/>
    <w:rsid w:val="00C64E71"/>
    <w:rsid w:val="00C6528A"/>
    <w:rsid w:val="00C65379"/>
    <w:rsid w:val="00C65607"/>
    <w:rsid w:val="00C65648"/>
    <w:rsid w:val="00C65846"/>
    <w:rsid w:val="00C658E8"/>
    <w:rsid w:val="00C65921"/>
    <w:rsid w:val="00C659EF"/>
    <w:rsid w:val="00C65C30"/>
    <w:rsid w:val="00C65C43"/>
    <w:rsid w:val="00C65CA1"/>
    <w:rsid w:val="00C65D1B"/>
    <w:rsid w:val="00C65EC8"/>
    <w:rsid w:val="00C65F9A"/>
    <w:rsid w:val="00C65FB6"/>
    <w:rsid w:val="00C65FF3"/>
    <w:rsid w:val="00C66017"/>
    <w:rsid w:val="00C661A8"/>
    <w:rsid w:val="00C662E4"/>
    <w:rsid w:val="00C663FE"/>
    <w:rsid w:val="00C6653E"/>
    <w:rsid w:val="00C665F5"/>
    <w:rsid w:val="00C667F1"/>
    <w:rsid w:val="00C66955"/>
    <w:rsid w:val="00C66A54"/>
    <w:rsid w:val="00C66AFD"/>
    <w:rsid w:val="00C6708C"/>
    <w:rsid w:val="00C670C6"/>
    <w:rsid w:val="00C67207"/>
    <w:rsid w:val="00C672C9"/>
    <w:rsid w:val="00C672F3"/>
    <w:rsid w:val="00C67419"/>
    <w:rsid w:val="00C675C3"/>
    <w:rsid w:val="00C675E7"/>
    <w:rsid w:val="00C67605"/>
    <w:rsid w:val="00C676AB"/>
    <w:rsid w:val="00C678F1"/>
    <w:rsid w:val="00C6792D"/>
    <w:rsid w:val="00C67940"/>
    <w:rsid w:val="00C679CF"/>
    <w:rsid w:val="00C67AD3"/>
    <w:rsid w:val="00C67BB1"/>
    <w:rsid w:val="00C67BDD"/>
    <w:rsid w:val="00C67BFB"/>
    <w:rsid w:val="00C67C25"/>
    <w:rsid w:val="00C67D67"/>
    <w:rsid w:val="00C67E58"/>
    <w:rsid w:val="00C67EFA"/>
    <w:rsid w:val="00C67F03"/>
    <w:rsid w:val="00C67F81"/>
    <w:rsid w:val="00C6D44E"/>
    <w:rsid w:val="00C70135"/>
    <w:rsid w:val="00C70192"/>
    <w:rsid w:val="00C702EA"/>
    <w:rsid w:val="00C7037F"/>
    <w:rsid w:val="00C704CC"/>
    <w:rsid w:val="00C70553"/>
    <w:rsid w:val="00C706DD"/>
    <w:rsid w:val="00C70706"/>
    <w:rsid w:val="00C70973"/>
    <w:rsid w:val="00C70BF0"/>
    <w:rsid w:val="00C70BFC"/>
    <w:rsid w:val="00C70C1A"/>
    <w:rsid w:val="00C70C26"/>
    <w:rsid w:val="00C70C9D"/>
    <w:rsid w:val="00C70F67"/>
    <w:rsid w:val="00C71032"/>
    <w:rsid w:val="00C7107B"/>
    <w:rsid w:val="00C7107C"/>
    <w:rsid w:val="00C7108E"/>
    <w:rsid w:val="00C71156"/>
    <w:rsid w:val="00C71164"/>
    <w:rsid w:val="00C71274"/>
    <w:rsid w:val="00C7135D"/>
    <w:rsid w:val="00C7137D"/>
    <w:rsid w:val="00C715DE"/>
    <w:rsid w:val="00C7162B"/>
    <w:rsid w:val="00C7165C"/>
    <w:rsid w:val="00C716F7"/>
    <w:rsid w:val="00C71747"/>
    <w:rsid w:val="00C71762"/>
    <w:rsid w:val="00C71893"/>
    <w:rsid w:val="00C71AD3"/>
    <w:rsid w:val="00C71AF3"/>
    <w:rsid w:val="00C71B8C"/>
    <w:rsid w:val="00C71C41"/>
    <w:rsid w:val="00C71E7E"/>
    <w:rsid w:val="00C71F03"/>
    <w:rsid w:val="00C72041"/>
    <w:rsid w:val="00C72066"/>
    <w:rsid w:val="00C72165"/>
    <w:rsid w:val="00C721EB"/>
    <w:rsid w:val="00C72205"/>
    <w:rsid w:val="00C72218"/>
    <w:rsid w:val="00C7232D"/>
    <w:rsid w:val="00C724DC"/>
    <w:rsid w:val="00C72642"/>
    <w:rsid w:val="00C7278A"/>
    <w:rsid w:val="00C72796"/>
    <w:rsid w:val="00C727A7"/>
    <w:rsid w:val="00C728BD"/>
    <w:rsid w:val="00C729D0"/>
    <w:rsid w:val="00C72B6D"/>
    <w:rsid w:val="00C72C1E"/>
    <w:rsid w:val="00C72D13"/>
    <w:rsid w:val="00C72D28"/>
    <w:rsid w:val="00C72D3F"/>
    <w:rsid w:val="00C72D47"/>
    <w:rsid w:val="00C72D64"/>
    <w:rsid w:val="00C72DE8"/>
    <w:rsid w:val="00C72E67"/>
    <w:rsid w:val="00C731AA"/>
    <w:rsid w:val="00C731E6"/>
    <w:rsid w:val="00C7320B"/>
    <w:rsid w:val="00C73424"/>
    <w:rsid w:val="00C734A6"/>
    <w:rsid w:val="00C734BA"/>
    <w:rsid w:val="00C73596"/>
    <w:rsid w:val="00C73650"/>
    <w:rsid w:val="00C736FC"/>
    <w:rsid w:val="00C7396B"/>
    <w:rsid w:val="00C7398E"/>
    <w:rsid w:val="00C73ADD"/>
    <w:rsid w:val="00C73EAE"/>
    <w:rsid w:val="00C73EC2"/>
    <w:rsid w:val="00C73F50"/>
    <w:rsid w:val="00C740D2"/>
    <w:rsid w:val="00C74177"/>
    <w:rsid w:val="00C741C3"/>
    <w:rsid w:val="00C74287"/>
    <w:rsid w:val="00C74301"/>
    <w:rsid w:val="00C743C0"/>
    <w:rsid w:val="00C7453B"/>
    <w:rsid w:val="00C7456A"/>
    <w:rsid w:val="00C74580"/>
    <w:rsid w:val="00C746C2"/>
    <w:rsid w:val="00C747A9"/>
    <w:rsid w:val="00C7480E"/>
    <w:rsid w:val="00C74828"/>
    <w:rsid w:val="00C7484A"/>
    <w:rsid w:val="00C748A6"/>
    <w:rsid w:val="00C74932"/>
    <w:rsid w:val="00C74BA9"/>
    <w:rsid w:val="00C74BD1"/>
    <w:rsid w:val="00C74CA4"/>
    <w:rsid w:val="00C74CB7"/>
    <w:rsid w:val="00C74CDE"/>
    <w:rsid w:val="00C74E19"/>
    <w:rsid w:val="00C74EB7"/>
    <w:rsid w:val="00C74F74"/>
    <w:rsid w:val="00C7505B"/>
    <w:rsid w:val="00C750F1"/>
    <w:rsid w:val="00C75102"/>
    <w:rsid w:val="00C75200"/>
    <w:rsid w:val="00C753E5"/>
    <w:rsid w:val="00C75449"/>
    <w:rsid w:val="00C754AE"/>
    <w:rsid w:val="00C754CF"/>
    <w:rsid w:val="00C7567D"/>
    <w:rsid w:val="00C75781"/>
    <w:rsid w:val="00C75794"/>
    <w:rsid w:val="00C7585C"/>
    <w:rsid w:val="00C7593E"/>
    <w:rsid w:val="00C75B71"/>
    <w:rsid w:val="00C75B74"/>
    <w:rsid w:val="00C75B8E"/>
    <w:rsid w:val="00C75BDC"/>
    <w:rsid w:val="00C75BFE"/>
    <w:rsid w:val="00C75C3A"/>
    <w:rsid w:val="00C75C5D"/>
    <w:rsid w:val="00C75F96"/>
    <w:rsid w:val="00C76091"/>
    <w:rsid w:val="00C76092"/>
    <w:rsid w:val="00C760D8"/>
    <w:rsid w:val="00C761CD"/>
    <w:rsid w:val="00C7628F"/>
    <w:rsid w:val="00C762A2"/>
    <w:rsid w:val="00C763C5"/>
    <w:rsid w:val="00C764C3"/>
    <w:rsid w:val="00C764F9"/>
    <w:rsid w:val="00C76720"/>
    <w:rsid w:val="00C76905"/>
    <w:rsid w:val="00C76B23"/>
    <w:rsid w:val="00C76C7A"/>
    <w:rsid w:val="00C76CE3"/>
    <w:rsid w:val="00C76CFC"/>
    <w:rsid w:val="00C76F3E"/>
    <w:rsid w:val="00C76FEC"/>
    <w:rsid w:val="00C77031"/>
    <w:rsid w:val="00C77151"/>
    <w:rsid w:val="00C7717A"/>
    <w:rsid w:val="00C772EA"/>
    <w:rsid w:val="00C773D3"/>
    <w:rsid w:val="00C77415"/>
    <w:rsid w:val="00C774D4"/>
    <w:rsid w:val="00C7769A"/>
    <w:rsid w:val="00C77895"/>
    <w:rsid w:val="00C77948"/>
    <w:rsid w:val="00C77BF8"/>
    <w:rsid w:val="00C77C39"/>
    <w:rsid w:val="00C77EA0"/>
    <w:rsid w:val="00C77EBC"/>
    <w:rsid w:val="00C77ECE"/>
    <w:rsid w:val="00C77EED"/>
    <w:rsid w:val="00C802A7"/>
    <w:rsid w:val="00C8038D"/>
    <w:rsid w:val="00C80579"/>
    <w:rsid w:val="00C80596"/>
    <w:rsid w:val="00C805E9"/>
    <w:rsid w:val="00C807BD"/>
    <w:rsid w:val="00C8096D"/>
    <w:rsid w:val="00C8098B"/>
    <w:rsid w:val="00C80A1E"/>
    <w:rsid w:val="00C80A23"/>
    <w:rsid w:val="00C80A60"/>
    <w:rsid w:val="00C80A98"/>
    <w:rsid w:val="00C80B48"/>
    <w:rsid w:val="00C80CA9"/>
    <w:rsid w:val="00C80DBD"/>
    <w:rsid w:val="00C80ED4"/>
    <w:rsid w:val="00C80F50"/>
    <w:rsid w:val="00C80FD3"/>
    <w:rsid w:val="00C81005"/>
    <w:rsid w:val="00C81021"/>
    <w:rsid w:val="00C8103C"/>
    <w:rsid w:val="00C813DF"/>
    <w:rsid w:val="00C8158A"/>
    <w:rsid w:val="00C815E8"/>
    <w:rsid w:val="00C81749"/>
    <w:rsid w:val="00C818AB"/>
    <w:rsid w:val="00C81910"/>
    <w:rsid w:val="00C81911"/>
    <w:rsid w:val="00C8194B"/>
    <w:rsid w:val="00C819DF"/>
    <w:rsid w:val="00C81A2F"/>
    <w:rsid w:val="00C81BB2"/>
    <w:rsid w:val="00C81F41"/>
    <w:rsid w:val="00C8210E"/>
    <w:rsid w:val="00C8220B"/>
    <w:rsid w:val="00C8223A"/>
    <w:rsid w:val="00C82473"/>
    <w:rsid w:val="00C824EF"/>
    <w:rsid w:val="00C82546"/>
    <w:rsid w:val="00C826DF"/>
    <w:rsid w:val="00C8274F"/>
    <w:rsid w:val="00C8276C"/>
    <w:rsid w:val="00C827DC"/>
    <w:rsid w:val="00C8292A"/>
    <w:rsid w:val="00C8292E"/>
    <w:rsid w:val="00C8294F"/>
    <w:rsid w:val="00C82AB4"/>
    <w:rsid w:val="00C82CD9"/>
    <w:rsid w:val="00C82D2F"/>
    <w:rsid w:val="00C82DF6"/>
    <w:rsid w:val="00C830FA"/>
    <w:rsid w:val="00C83166"/>
    <w:rsid w:val="00C83248"/>
    <w:rsid w:val="00C8333C"/>
    <w:rsid w:val="00C83429"/>
    <w:rsid w:val="00C834B4"/>
    <w:rsid w:val="00C83666"/>
    <w:rsid w:val="00C836AD"/>
    <w:rsid w:val="00C836D0"/>
    <w:rsid w:val="00C836DC"/>
    <w:rsid w:val="00C838BE"/>
    <w:rsid w:val="00C83907"/>
    <w:rsid w:val="00C83944"/>
    <w:rsid w:val="00C83989"/>
    <w:rsid w:val="00C83A55"/>
    <w:rsid w:val="00C83AB6"/>
    <w:rsid w:val="00C83CBF"/>
    <w:rsid w:val="00C83CDB"/>
    <w:rsid w:val="00C83CEE"/>
    <w:rsid w:val="00C83D80"/>
    <w:rsid w:val="00C83DE0"/>
    <w:rsid w:val="00C83F59"/>
    <w:rsid w:val="00C83FFD"/>
    <w:rsid w:val="00C8413C"/>
    <w:rsid w:val="00C841E0"/>
    <w:rsid w:val="00C84273"/>
    <w:rsid w:val="00C842CC"/>
    <w:rsid w:val="00C842CD"/>
    <w:rsid w:val="00C842D6"/>
    <w:rsid w:val="00C843D9"/>
    <w:rsid w:val="00C843F3"/>
    <w:rsid w:val="00C8467F"/>
    <w:rsid w:val="00C846BA"/>
    <w:rsid w:val="00C846E9"/>
    <w:rsid w:val="00C84752"/>
    <w:rsid w:val="00C84795"/>
    <w:rsid w:val="00C847C8"/>
    <w:rsid w:val="00C847DF"/>
    <w:rsid w:val="00C847F4"/>
    <w:rsid w:val="00C8489A"/>
    <w:rsid w:val="00C848A7"/>
    <w:rsid w:val="00C849CA"/>
    <w:rsid w:val="00C84A7C"/>
    <w:rsid w:val="00C84B00"/>
    <w:rsid w:val="00C84B6B"/>
    <w:rsid w:val="00C84CF6"/>
    <w:rsid w:val="00C84D79"/>
    <w:rsid w:val="00C84DEB"/>
    <w:rsid w:val="00C84EDA"/>
    <w:rsid w:val="00C84FC0"/>
    <w:rsid w:val="00C84FD9"/>
    <w:rsid w:val="00C8504A"/>
    <w:rsid w:val="00C85366"/>
    <w:rsid w:val="00C853A8"/>
    <w:rsid w:val="00C85432"/>
    <w:rsid w:val="00C8546B"/>
    <w:rsid w:val="00C85621"/>
    <w:rsid w:val="00C85834"/>
    <w:rsid w:val="00C85882"/>
    <w:rsid w:val="00C85A80"/>
    <w:rsid w:val="00C85AAB"/>
    <w:rsid w:val="00C85D18"/>
    <w:rsid w:val="00C85DAB"/>
    <w:rsid w:val="00C85FFC"/>
    <w:rsid w:val="00C86131"/>
    <w:rsid w:val="00C86161"/>
    <w:rsid w:val="00C86270"/>
    <w:rsid w:val="00C86338"/>
    <w:rsid w:val="00C863A3"/>
    <w:rsid w:val="00C86553"/>
    <w:rsid w:val="00C86586"/>
    <w:rsid w:val="00C867D4"/>
    <w:rsid w:val="00C86862"/>
    <w:rsid w:val="00C8692B"/>
    <w:rsid w:val="00C8693F"/>
    <w:rsid w:val="00C86A28"/>
    <w:rsid w:val="00C86B86"/>
    <w:rsid w:val="00C86C39"/>
    <w:rsid w:val="00C86C5B"/>
    <w:rsid w:val="00C86D3C"/>
    <w:rsid w:val="00C86D61"/>
    <w:rsid w:val="00C86DAB"/>
    <w:rsid w:val="00C86DE5"/>
    <w:rsid w:val="00C86DFA"/>
    <w:rsid w:val="00C86DFE"/>
    <w:rsid w:val="00C86EDF"/>
    <w:rsid w:val="00C87187"/>
    <w:rsid w:val="00C871B1"/>
    <w:rsid w:val="00C87271"/>
    <w:rsid w:val="00C872FF"/>
    <w:rsid w:val="00C873A5"/>
    <w:rsid w:val="00C87440"/>
    <w:rsid w:val="00C8757A"/>
    <w:rsid w:val="00C875EB"/>
    <w:rsid w:val="00C87864"/>
    <w:rsid w:val="00C87A5C"/>
    <w:rsid w:val="00C87B92"/>
    <w:rsid w:val="00C87BA9"/>
    <w:rsid w:val="00C87BD1"/>
    <w:rsid w:val="00C87BD9"/>
    <w:rsid w:val="00C87E0C"/>
    <w:rsid w:val="00C9012D"/>
    <w:rsid w:val="00C9018D"/>
    <w:rsid w:val="00C9022E"/>
    <w:rsid w:val="00C90283"/>
    <w:rsid w:val="00C9028D"/>
    <w:rsid w:val="00C902D9"/>
    <w:rsid w:val="00C904B4"/>
    <w:rsid w:val="00C9051A"/>
    <w:rsid w:val="00C90529"/>
    <w:rsid w:val="00C905A3"/>
    <w:rsid w:val="00C905A9"/>
    <w:rsid w:val="00C905DC"/>
    <w:rsid w:val="00C9076B"/>
    <w:rsid w:val="00C90816"/>
    <w:rsid w:val="00C908B4"/>
    <w:rsid w:val="00C908C6"/>
    <w:rsid w:val="00C90931"/>
    <w:rsid w:val="00C90A06"/>
    <w:rsid w:val="00C90A6E"/>
    <w:rsid w:val="00C90B48"/>
    <w:rsid w:val="00C90D9C"/>
    <w:rsid w:val="00C90DF3"/>
    <w:rsid w:val="00C90E0D"/>
    <w:rsid w:val="00C91119"/>
    <w:rsid w:val="00C911EC"/>
    <w:rsid w:val="00C91686"/>
    <w:rsid w:val="00C916D2"/>
    <w:rsid w:val="00C916F2"/>
    <w:rsid w:val="00C91703"/>
    <w:rsid w:val="00C9178C"/>
    <w:rsid w:val="00C91791"/>
    <w:rsid w:val="00C91805"/>
    <w:rsid w:val="00C9187F"/>
    <w:rsid w:val="00C91930"/>
    <w:rsid w:val="00C919C3"/>
    <w:rsid w:val="00C91AC8"/>
    <w:rsid w:val="00C91E1E"/>
    <w:rsid w:val="00C91F54"/>
    <w:rsid w:val="00C91F73"/>
    <w:rsid w:val="00C9208E"/>
    <w:rsid w:val="00C920CD"/>
    <w:rsid w:val="00C922F3"/>
    <w:rsid w:val="00C9233D"/>
    <w:rsid w:val="00C92342"/>
    <w:rsid w:val="00C92349"/>
    <w:rsid w:val="00C9242A"/>
    <w:rsid w:val="00C924F8"/>
    <w:rsid w:val="00C925E8"/>
    <w:rsid w:val="00C9277E"/>
    <w:rsid w:val="00C9280A"/>
    <w:rsid w:val="00C928D7"/>
    <w:rsid w:val="00C928FC"/>
    <w:rsid w:val="00C92932"/>
    <w:rsid w:val="00C92951"/>
    <w:rsid w:val="00C92978"/>
    <w:rsid w:val="00C92A1A"/>
    <w:rsid w:val="00C92BBE"/>
    <w:rsid w:val="00C92C2C"/>
    <w:rsid w:val="00C92D57"/>
    <w:rsid w:val="00C92D6F"/>
    <w:rsid w:val="00C92E90"/>
    <w:rsid w:val="00C92F9D"/>
    <w:rsid w:val="00C92FBC"/>
    <w:rsid w:val="00C9303A"/>
    <w:rsid w:val="00C932A0"/>
    <w:rsid w:val="00C9331F"/>
    <w:rsid w:val="00C93329"/>
    <w:rsid w:val="00C9337B"/>
    <w:rsid w:val="00C93409"/>
    <w:rsid w:val="00C934AB"/>
    <w:rsid w:val="00C936F4"/>
    <w:rsid w:val="00C93721"/>
    <w:rsid w:val="00C93926"/>
    <w:rsid w:val="00C9394A"/>
    <w:rsid w:val="00C939E9"/>
    <w:rsid w:val="00C93A79"/>
    <w:rsid w:val="00C93AE7"/>
    <w:rsid w:val="00C93B84"/>
    <w:rsid w:val="00C93C07"/>
    <w:rsid w:val="00C93E00"/>
    <w:rsid w:val="00C93E0D"/>
    <w:rsid w:val="00C93FA6"/>
    <w:rsid w:val="00C9435D"/>
    <w:rsid w:val="00C945AB"/>
    <w:rsid w:val="00C945B8"/>
    <w:rsid w:val="00C94AD9"/>
    <w:rsid w:val="00C94B01"/>
    <w:rsid w:val="00C94B12"/>
    <w:rsid w:val="00C94B2F"/>
    <w:rsid w:val="00C94B81"/>
    <w:rsid w:val="00C94F3C"/>
    <w:rsid w:val="00C94F9E"/>
    <w:rsid w:val="00C94FE9"/>
    <w:rsid w:val="00C9504C"/>
    <w:rsid w:val="00C9509B"/>
    <w:rsid w:val="00C95282"/>
    <w:rsid w:val="00C952A2"/>
    <w:rsid w:val="00C9538B"/>
    <w:rsid w:val="00C953BB"/>
    <w:rsid w:val="00C953CF"/>
    <w:rsid w:val="00C953D9"/>
    <w:rsid w:val="00C953DF"/>
    <w:rsid w:val="00C95407"/>
    <w:rsid w:val="00C95499"/>
    <w:rsid w:val="00C9567A"/>
    <w:rsid w:val="00C95783"/>
    <w:rsid w:val="00C95828"/>
    <w:rsid w:val="00C9596E"/>
    <w:rsid w:val="00C95A12"/>
    <w:rsid w:val="00C95AD5"/>
    <w:rsid w:val="00C95B08"/>
    <w:rsid w:val="00C95C49"/>
    <w:rsid w:val="00C95C8D"/>
    <w:rsid w:val="00C95DFB"/>
    <w:rsid w:val="00C95E1C"/>
    <w:rsid w:val="00C95E57"/>
    <w:rsid w:val="00C95E75"/>
    <w:rsid w:val="00C95FAC"/>
    <w:rsid w:val="00C96233"/>
    <w:rsid w:val="00C9623C"/>
    <w:rsid w:val="00C963AA"/>
    <w:rsid w:val="00C96424"/>
    <w:rsid w:val="00C96554"/>
    <w:rsid w:val="00C965A1"/>
    <w:rsid w:val="00C96650"/>
    <w:rsid w:val="00C96759"/>
    <w:rsid w:val="00C9692F"/>
    <w:rsid w:val="00C96A0E"/>
    <w:rsid w:val="00C96AC3"/>
    <w:rsid w:val="00C96D65"/>
    <w:rsid w:val="00C96E5C"/>
    <w:rsid w:val="00C96E88"/>
    <w:rsid w:val="00C96FDC"/>
    <w:rsid w:val="00C97046"/>
    <w:rsid w:val="00C970E1"/>
    <w:rsid w:val="00C9711B"/>
    <w:rsid w:val="00C973F4"/>
    <w:rsid w:val="00C9748A"/>
    <w:rsid w:val="00C974CC"/>
    <w:rsid w:val="00C974F9"/>
    <w:rsid w:val="00C9756C"/>
    <w:rsid w:val="00C975DF"/>
    <w:rsid w:val="00C976CB"/>
    <w:rsid w:val="00C97797"/>
    <w:rsid w:val="00C977B2"/>
    <w:rsid w:val="00C977BF"/>
    <w:rsid w:val="00C978A8"/>
    <w:rsid w:val="00C978F1"/>
    <w:rsid w:val="00C97A4F"/>
    <w:rsid w:val="00C97B86"/>
    <w:rsid w:val="00C97D57"/>
    <w:rsid w:val="00C97EFB"/>
    <w:rsid w:val="00C97FCF"/>
    <w:rsid w:val="00CA006F"/>
    <w:rsid w:val="00CA0085"/>
    <w:rsid w:val="00CA01C1"/>
    <w:rsid w:val="00CA030D"/>
    <w:rsid w:val="00CA0358"/>
    <w:rsid w:val="00CA0879"/>
    <w:rsid w:val="00CA08D7"/>
    <w:rsid w:val="00CA08F4"/>
    <w:rsid w:val="00CA098A"/>
    <w:rsid w:val="00CA09D2"/>
    <w:rsid w:val="00CA09FE"/>
    <w:rsid w:val="00CA09FF"/>
    <w:rsid w:val="00CA0A49"/>
    <w:rsid w:val="00CA0BE2"/>
    <w:rsid w:val="00CA0BF6"/>
    <w:rsid w:val="00CA0C01"/>
    <w:rsid w:val="00CA0C64"/>
    <w:rsid w:val="00CA0CD3"/>
    <w:rsid w:val="00CA0E02"/>
    <w:rsid w:val="00CA0E6D"/>
    <w:rsid w:val="00CA0E7E"/>
    <w:rsid w:val="00CA0F1C"/>
    <w:rsid w:val="00CA1064"/>
    <w:rsid w:val="00CA118C"/>
    <w:rsid w:val="00CA11A4"/>
    <w:rsid w:val="00CA1315"/>
    <w:rsid w:val="00CA13C2"/>
    <w:rsid w:val="00CA1428"/>
    <w:rsid w:val="00CA1459"/>
    <w:rsid w:val="00CA16D1"/>
    <w:rsid w:val="00CA1774"/>
    <w:rsid w:val="00CA1BB3"/>
    <w:rsid w:val="00CA1CC2"/>
    <w:rsid w:val="00CA1E63"/>
    <w:rsid w:val="00CA1EC3"/>
    <w:rsid w:val="00CA1F18"/>
    <w:rsid w:val="00CA1F30"/>
    <w:rsid w:val="00CA215B"/>
    <w:rsid w:val="00CA21F4"/>
    <w:rsid w:val="00CA21F8"/>
    <w:rsid w:val="00CA23E7"/>
    <w:rsid w:val="00CA25D4"/>
    <w:rsid w:val="00CA266F"/>
    <w:rsid w:val="00CA2681"/>
    <w:rsid w:val="00CA27E1"/>
    <w:rsid w:val="00CA2803"/>
    <w:rsid w:val="00CA283D"/>
    <w:rsid w:val="00CA2842"/>
    <w:rsid w:val="00CA2895"/>
    <w:rsid w:val="00CA28F3"/>
    <w:rsid w:val="00CA2AF6"/>
    <w:rsid w:val="00CA2BE9"/>
    <w:rsid w:val="00CA2D18"/>
    <w:rsid w:val="00CA2D77"/>
    <w:rsid w:val="00CA2F4B"/>
    <w:rsid w:val="00CA2FE3"/>
    <w:rsid w:val="00CA30C0"/>
    <w:rsid w:val="00CA30CC"/>
    <w:rsid w:val="00CA3339"/>
    <w:rsid w:val="00CA33D1"/>
    <w:rsid w:val="00CA33D5"/>
    <w:rsid w:val="00CA3527"/>
    <w:rsid w:val="00CA378A"/>
    <w:rsid w:val="00CA3AAB"/>
    <w:rsid w:val="00CA3B27"/>
    <w:rsid w:val="00CA3B58"/>
    <w:rsid w:val="00CA3B78"/>
    <w:rsid w:val="00CA3B8E"/>
    <w:rsid w:val="00CA3BFA"/>
    <w:rsid w:val="00CA3DF9"/>
    <w:rsid w:val="00CA3EC9"/>
    <w:rsid w:val="00CA4118"/>
    <w:rsid w:val="00CA4138"/>
    <w:rsid w:val="00CA4218"/>
    <w:rsid w:val="00CA429A"/>
    <w:rsid w:val="00CA439B"/>
    <w:rsid w:val="00CA44DF"/>
    <w:rsid w:val="00CA4603"/>
    <w:rsid w:val="00CA48B9"/>
    <w:rsid w:val="00CA490E"/>
    <w:rsid w:val="00CA497E"/>
    <w:rsid w:val="00CA49E4"/>
    <w:rsid w:val="00CA4B0B"/>
    <w:rsid w:val="00CA4B45"/>
    <w:rsid w:val="00CA4B78"/>
    <w:rsid w:val="00CA4E12"/>
    <w:rsid w:val="00CA4E39"/>
    <w:rsid w:val="00CA4E91"/>
    <w:rsid w:val="00CA4F1B"/>
    <w:rsid w:val="00CA4FF9"/>
    <w:rsid w:val="00CA51D7"/>
    <w:rsid w:val="00CA5243"/>
    <w:rsid w:val="00CA53B6"/>
    <w:rsid w:val="00CA54D3"/>
    <w:rsid w:val="00CA5625"/>
    <w:rsid w:val="00CA572B"/>
    <w:rsid w:val="00CA577E"/>
    <w:rsid w:val="00CA5A1E"/>
    <w:rsid w:val="00CA5A95"/>
    <w:rsid w:val="00CA5B27"/>
    <w:rsid w:val="00CA5BDE"/>
    <w:rsid w:val="00CA5C0E"/>
    <w:rsid w:val="00CA5D28"/>
    <w:rsid w:val="00CA5E8F"/>
    <w:rsid w:val="00CA5F8E"/>
    <w:rsid w:val="00CA6104"/>
    <w:rsid w:val="00CA614F"/>
    <w:rsid w:val="00CA62AA"/>
    <w:rsid w:val="00CA62F3"/>
    <w:rsid w:val="00CA6331"/>
    <w:rsid w:val="00CA63AF"/>
    <w:rsid w:val="00CA64AA"/>
    <w:rsid w:val="00CA6535"/>
    <w:rsid w:val="00CA6660"/>
    <w:rsid w:val="00CA6671"/>
    <w:rsid w:val="00CA68CD"/>
    <w:rsid w:val="00CA6901"/>
    <w:rsid w:val="00CA6915"/>
    <w:rsid w:val="00CA6A3B"/>
    <w:rsid w:val="00CA6AC0"/>
    <w:rsid w:val="00CA6ACC"/>
    <w:rsid w:val="00CA6AED"/>
    <w:rsid w:val="00CA6B46"/>
    <w:rsid w:val="00CA6C3E"/>
    <w:rsid w:val="00CA6CB1"/>
    <w:rsid w:val="00CA6D54"/>
    <w:rsid w:val="00CA6EFA"/>
    <w:rsid w:val="00CA7020"/>
    <w:rsid w:val="00CA7359"/>
    <w:rsid w:val="00CA74C8"/>
    <w:rsid w:val="00CA7C98"/>
    <w:rsid w:val="00CA7D48"/>
    <w:rsid w:val="00CA7EC1"/>
    <w:rsid w:val="00CA7F3D"/>
    <w:rsid w:val="00CB00CF"/>
    <w:rsid w:val="00CB00FC"/>
    <w:rsid w:val="00CB0279"/>
    <w:rsid w:val="00CB036B"/>
    <w:rsid w:val="00CB055D"/>
    <w:rsid w:val="00CB0602"/>
    <w:rsid w:val="00CB0639"/>
    <w:rsid w:val="00CB084D"/>
    <w:rsid w:val="00CB0889"/>
    <w:rsid w:val="00CB08AA"/>
    <w:rsid w:val="00CB0991"/>
    <w:rsid w:val="00CB09E0"/>
    <w:rsid w:val="00CB0A5B"/>
    <w:rsid w:val="00CB0A9A"/>
    <w:rsid w:val="00CB0C3E"/>
    <w:rsid w:val="00CB0C91"/>
    <w:rsid w:val="00CB0D08"/>
    <w:rsid w:val="00CB0E88"/>
    <w:rsid w:val="00CB0F10"/>
    <w:rsid w:val="00CB128D"/>
    <w:rsid w:val="00CB1360"/>
    <w:rsid w:val="00CB150F"/>
    <w:rsid w:val="00CB175E"/>
    <w:rsid w:val="00CB1790"/>
    <w:rsid w:val="00CB1947"/>
    <w:rsid w:val="00CB19A9"/>
    <w:rsid w:val="00CB1A24"/>
    <w:rsid w:val="00CB1BAD"/>
    <w:rsid w:val="00CB1D28"/>
    <w:rsid w:val="00CB1D67"/>
    <w:rsid w:val="00CB1DC5"/>
    <w:rsid w:val="00CB1E99"/>
    <w:rsid w:val="00CB20F0"/>
    <w:rsid w:val="00CB2120"/>
    <w:rsid w:val="00CB2208"/>
    <w:rsid w:val="00CB24B7"/>
    <w:rsid w:val="00CB24BD"/>
    <w:rsid w:val="00CB26E3"/>
    <w:rsid w:val="00CB2807"/>
    <w:rsid w:val="00CB2AA3"/>
    <w:rsid w:val="00CB2B68"/>
    <w:rsid w:val="00CB2C04"/>
    <w:rsid w:val="00CB2D42"/>
    <w:rsid w:val="00CB2E29"/>
    <w:rsid w:val="00CB2E52"/>
    <w:rsid w:val="00CB2F81"/>
    <w:rsid w:val="00CB3081"/>
    <w:rsid w:val="00CB3152"/>
    <w:rsid w:val="00CB31D7"/>
    <w:rsid w:val="00CB3237"/>
    <w:rsid w:val="00CB3381"/>
    <w:rsid w:val="00CB3399"/>
    <w:rsid w:val="00CB33C7"/>
    <w:rsid w:val="00CB33CF"/>
    <w:rsid w:val="00CB349D"/>
    <w:rsid w:val="00CB36AF"/>
    <w:rsid w:val="00CB36E8"/>
    <w:rsid w:val="00CB373A"/>
    <w:rsid w:val="00CB37B3"/>
    <w:rsid w:val="00CB37C3"/>
    <w:rsid w:val="00CB38B8"/>
    <w:rsid w:val="00CB3A28"/>
    <w:rsid w:val="00CB3A32"/>
    <w:rsid w:val="00CB3A3A"/>
    <w:rsid w:val="00CB3B3A"/>
    <w:rsid w:val="00CB3CDB"/>
    <w:rsid w:val="00CB3D2F"/>
    <w:rsid w:val="00CB3D45"/>
    <w:rsid w:val="00CB3D76"/>
    <w:rsid w:val="00CB3D7D"/>
    <w:rsid w:val="00CB3EB0"/>
    <w:rsid w:val="00CB40B6"/>
    <w:rsid w:val="00CB418E"/>
    <w:rsid w:val="00CB425A"/>
    <w:rsid w:val="00CB427F"/>
    <w:rsid w:val="00CB4337"/>
    <w:rsid w:val="00CB43DC"/>
    <w:rsid w:val="00CB4450"/>
    <w:rsid w:val="00CB4493"/>
    <w:rsid w:val="00CB4558"/>
    <w:rsid w:val="00CB455D"/>
    <w:rsid w:val="00CB4597"/>
    <w:rsid w:val="00CB45AE"/>
    <w:rsid w:val="00CB46C3"/>
    <w:rsid w:val="00CB474B"/>
    <w:rsid w:val="00CB4799"/>
    <w:rsid w:val="00CB4B2D"/>
    <w:rsid w:val="00CB4B54"/>
    <w:rsid w:val="00CB4B6E"/>
    <w:rsid w:val="00CB4D8E"/>
    <w:rsid w:val="00CB4DBD"/>
    <w:rsid w:val="00CB5023"/>
    <w:rsid w:val="00CB5083"/>
    <w:rsid w:val="00CB508F"/>
    <w:rsid w:val="00CB51A2"/>
    <w:rsid w:val="00CB529B"/>
    <w:rsid w:val="00CB5350"/>
    <w:rsid w:val="00CB53E3"/>
    <w:rsid w:val="00CB561B"/>
    <w:rsid w:val="00CB56A0"/>
    <w:rsid w:val="00CB570D"/>
    <w:rsid w:val="00CB57F3"/>
    <w:rsid w:val="00CB5B32"/>
    <w:rsid w:val="00CB5B46"/>
    <w:rsid w:val="00CB5BE0"/>
    <w:rsid w:val="00CB5C19"/>
    <w:rsid w:val="00CB5E00"/>
    <w:rsid w:val="00CB5E8D"/>
    <w:rsid w:val="00CB5ECB"/>
    <w:rsid w:val="00CB602D"/>
    <w:rsid w:val="00CB6117"/>
    <w:rsid w:val="00CB611E"/>
    <w:rsid w:val="00CB6235"/>
    <w:rsid w:val="00CB62F0"/>
    <w:rsid w:val="00CB636C"/>
    <w:rsid w:val="00CB640A"/>
    <w:rsid w:val="00CB6467"/>
    <w:rsid w:val="00CB654F"/>
    <w:rsid w:val="00CB6760"/>
    <w:rsid w:val="00CB67CA"/>
    <w:rsid w:val="00CB69A7"/>
    <w:rsid w:val="00CB69D0"/>
    <w:rsid w:val="00CB6A04"/>
    <w:rsid w:val="00CB6A40"/>
    <w:rsid w:val="00CB6D1A"/>
    <w:rsid w:val="00CB6E90"/>
    <w:rsid w:val="00CB6F85"/>
    <w:rsid w:val="00CB6FA8"/>
    <w:rsid w:val="00CB709B"/>
    <w:rsid w:val="00CB70A8"/>
    <w:rsid w:val="00CB70D7"/>
    <w:rsid w:val="00CB713C"/>
    <w:rsid w:val="00CB7193"/>
    <w:rsid w:val="00CB73E7"/>
    <w:rsid w:val="00CB7433"/>
    <w:rsid w:val="00CB74E9"/>
    <w:rsid w:val="00CB7507"/>
    <w:rsid w:val="00CB755B"/>
    <w:rsid w:val="00CB7561"/>
    <w:rsid w:val="00CB7B21"/>
    <w:rsid w:val="00CB7BB0"/>
    <w:rsid w:val="00CB7BC6"/>
    <w:rsid w:val="00CB7C8B"/>
    <w:rsid w:val="00CB7D8D"/>
    <w:rsid w:val="00CB7E29"/>
    <w:rsid w:val="00CB7E76"/>
    <w:rsid w:val="00CC05DC"/>
    <w:rsid w:val="00CC074B"/>
    <w:rsid w:val="00CC07BE"/>
    <w:rsid w:val="00CC0885"/>
    <w:rsid w:val="00CC08D7"/>
    <w:rsid w:val="00CC0A04"/>
    <w:rsid w:val="00CC0A15"/>
    <w:rsid w:val="00CC0A29"/>
    <w:rsid w:val="00CC0AB4"/>
    <w:rsid w:val="00CC0B89"/>
    <w:rsid w:val="00CC0C5E"/>
    <w:rsid w:val="00CC0C77"/>
    <w:rsid w:val="00CC0CB4"/>
    <w:rsid w:val="00CC0E12"/>
    <w:rsid w:val="00CC1109"/>
    <w:rsid w:val="00CC119F"/>
    <w:rsid w:val="00CC1293"/>
    <w:rsid w:val="00CC1316"/>
    <w:rsid w:val="00CC1366"/>
    <w:rsid w:val="00CC13D9"/>
    <w:rsid w:val="00CC15C5"/>
    <w:rsid w:val="00CC1628"/>
    <w:rsid w:val="00CC1713"/>
    <w:rsid w:val="00CC17D6"/>
    <w:rsid w:val="00CC1997"/>
    <w:rsid w:val="00CC19AF"/>
    <w:rsid w:val="00CC1A87"/>
    <w:rsid w:val="00CC1BFC"/>
    <w:rsid w:val="00CC1C2E"/>
    <w:rsid w:val="00CC1CCB"/>
    <w:rsid w:val="00CC1F80"/>
    <w:rsid w:val="00CC2071"/>
    <w:rsid w:val="00CC2167"/>
    <w:rsid w:val="00CC22B3"/>
    <w:rsid w:val="00CC2582"/>
    <w:rsid w:val="00CC259A"/>
    <w:rsid w:val="00CC26BE"/>
    <w:rsid w:val="00CC27B1"/>
    <w:rsid w:val="00CC28CD"/>
    <w:rsid w:val="00CC2AC1"/>
    <w:rsid w:val="00CC2AC8"/>
    <w:rsid w:val="00CC2C6D"/>
    <w:rsid w:val="00CC2C9D"/>
    <w:rsid w:val="00CC2D7F"/>
    <w:rsid w:val="00CC2DDD"/>
    <w:rsid w:val="00CC2DF5"/>
    <w:rsid w:val="00CC2E50"/>
    <w:rsid w:val="00CC3050"/>
    <w:rsid w:val="00CC30DB"/>
    <w:rsid w:val="00CC33BD"/>
    <w:rsid w:val="00CC3493"/>
    <w:rsid w:val="00CC34E4"/>
    <w:rsid w:val="00CC3510"/>
    <w:rsid w:val="00CC36ED"/>
    <w:rsid w:val="00CC3744"/>
    <w:rsid w:val="00CC37A0"/>
    <w:rsid w:val="00CC388D"/>
    <w:rsid w:val="00CC39EA"/>
    <w:rsid w:val="00CC3ACA"/>
    <w:rsid w:val="00CC3AFB"/>
    <w:rsid w:val="00CC3B9A"/>
    <w:rsid w:val="00CC3BE4"/>
    <w:rsid w:val="00CC3C66"/>
    <w:rsid w:val="00CC3D18"/>
    <w:rsid w:val="00CC3D5B"/>
    <w:rsid w:val="00CC3DDE"/>
    <w:rsid w:val="00CC3E01"/>
    <w:rsid w:val="00CC3FEA"/>
    <w:rsid w:val="00CC4000"/>
    <w:rsid w:val="00CC4203"/>
    <w:rsid w:val="00CC4227"/>
    <w:rsid w:val="00CC424B"/>
    <w:rsid w:val="00CC428E"/>
    <w:rsid w:val="00CC4345"/>
    <w:rsid w:val="00CC4394"/>
    <w:rsid w:val="00CC4523"/>
    <w:rsid w:val="00CC4626"/>
    <w:rsid w:val="00CC4641"/>
    <w:rsid w:val="00CC465C"/>
    <w:rsid w:val="00CC465E"/>
    <w:rsid w:val="00CC4695"/>
    <w:rsid w:val="00CC4740"/>
    <w:rsid w:val="00CC4A81"/>
    <w:rsid w:val="00CC4A99"/>
    <w:rsid w:val="00CC4B00"/>
    <w:rsid w:val="00CC4B99"/>
    <w:rsid w:val="00CC4DC6"/>
    <w:rsid w:val="00CC4E91"/>
    <w:rsid w:val="00CC501D"/>
    <w:rsid w:val="00CC5031"/>
    <w:rsid w:val="00CC5079"/>
    <w:rsid w:val="00CC50E9"/>
    <w:rsid w:val="00CC510E"/>
    <w:rsid w:val="00CC524A"/>
    <w:rsid w:val="00CC52D6"/>
    <w:rsid w:val="00CC536E"/>
    <w:rsid w:val="00CC551E"/>
    <w:rsid w:val="00CC5549"/>
    <w:rsid w:val="00CC5791"/>
    <w:rsid w:val="00CC593F"/>
    <w:rsid w:val="00CC5A80"/>
    <w:rsid w:val="00CC5AAB"/>
    <w:rsid w:val="00CC5AC6"/>
    <w:rsid w:val="00CC5B79"/>
    <w:rsid w:val="00CC5C1B"/>
    <w:rsid w:val="00CC5CA1"/>
    <w:rsid w:val="00CC5D06"/>
    <w:rsid w:val="00CC5D77"/>
    <w:rsid w:val="00CC5F71"/>
    <w:rsid w:val="00CC5FB5"/>
    <w:rsid w:val="00CC60BF"/>
    <w:rsid w:val="00CC6225"/>
    <w:rsid w:val="00CC640A"/>
    <w:rsid w:val="00CC6489"/>
    <w:rsid w:val="00CC650A"/>
    <w:rsid w:val="00CC668F"/>
    <w:rsid w:val="00CC6734"/>
    <w:rsid w:val="00CC68BF"/>
    <w:rsid w:val="00CC696E"/>
    <w:rsid w:val="00CC6A90"/>
    <w:rsid w:val="00CC6ABF"/>
    <w:rsid w:val="00CC6DE9"/>
    <w:rsid w:val="00CC6EA1"/>
    <w:rsid w:val="00CC6EC4"/>
    <w:rsid w:val="00CC70BA"/>
    <w:rsid w:val="00CC70DC"/>
    <w:rsid w:val="00CC71D2"/>
    <w:rsid w:val="00CC72F1"/>
    <w:rsid w:val="00CC730C"/>
    <w:rsid w:val="00CC7353"/>
    <w:rsid w:val="00CC73DB"/>
    <w:rsid w:val="00CC74FC"/>
    <w:rsid w:val="00CC76F5"/>
    <w:rsid w:val="00CC7719"/>
    <w:rsid w:val="00CC7A7C"/>
    <w:rsid w:val="00CC7CB6"/>
    <w:rsid w:val="00CC7E09"/>
    <w:rsid w:val="00CC7F2A"/>
    <w:rsid w:val="00CD0204"/>
    <w:rsid w:val="00CD02A5"/>
    <w:rsid w:val="00CD02B7"/>
    <w:rsid w:val="00CD0559"/>
    <w:rsid w:val="00CD05E6"/>
    <w:rsid w:val="00CD069B"/>
    <w:rsid w:val="00CD06C9"/>
    <w:rsid w:val="00CD06DF"/>
    <w:rsid w:val="00CD070C"/>
    <w:rsid w:val="00CD072F"/>
    <w:rsid w:val="00CD0A2E"/>
    <w:rsid w:val="00CD0A2F"/>
    <w:rsid w:val="00CD0B5F"/>
    <w:rsid w:val="00CD0C25"/>
    <w:rsid w:val="00CD0C29"/>
    <w:rsid w:val="00CD0E21"/>
    <w:rsid w:val="00CD0E37"/>
    <w:rsid w:val="00CD0EE0"/>
    <w:rsid w:val="00CD1125"/>
    <w:rsid w:val="00CD1242"/>
    <w:rsid w:val="00CD126E"/>
    <w:rsid w:val="00CD1318"/>
    <w:rsid w:val="00CD140C"/>
    <w:rsid w:val="00CD16BE"/>
    <w:rsid w:val="00CD190B"/>
    <w:rsid w:val="00CD192B"/>
    <w:rsid w:val="00CD19C1"/>
    <w:rsid w:val="00CD1A09"/>
    <w:rsid w:val="00CD1A1A"/>
    <w:rsid w:val="00CD1B30"/>
    <w:rsid w:val="00CD1D4D"/>
    <w:rsid w:val="00CD1F31"/>
    <w:rsid w:val="00CD20D5"/>
    <w:rsid w:val="00CD2177"/>
    <w:rsid w:val="00CD2268"/>
    <w:rsid w:val="00CD230E"/>
    <w:rsid w:val="00CD23D9"/>
    <w:rsid w:val="00CD2482"/>
    <w:rsid w:val="00CD24D5"/>
    <w:rsid w:val="00CD24E4"/>
    <w:rsid w:val="00CD259C"/>
    <w:rsid w:val="00CD25D5"/>
    <w:rsid w:val="00CD26DA"/>
    <w:rsid w:val="00CD26E2"/>
    <w:rsid w:val="00CD2752"/>
    <w:rsid w:val="00CD2928"/>
    <w:rsid w:val="00CD2929"/>
    <w:rsid w:val="00CD2BD0"/>
    <w:rsid w:val="00CD2C2B"/>
    <w:rsid w:val="00CD2C41"/>
    <w:rsid w:val="00CD2CEC"/>
    <w:rsid w:val="00CD2E6A"/>
    <w:rsid w:val="00CD2EFF"/>
    <w:rsid w:val="00CD2F10"/>
    <w:rsid w:val="00CD313D"/>
    <w:rsid w:val="00CD3242"/>
    <w:rsid w:val="00CD3483"/>
    <w:rsid w:val="00CD352B"/>
    <w:rsid w:val="00CD3588"/>
    <w:rsid w:val="00CD362A"/>
    <w:rsid w:val="00CD36DB"/>
    <w:rsid w:val="00CD37FA"/>
    <w:rsid w:val="00CD38EB"/>
    <w:rsid w:val="00CD399B"/>
    <w:rsid w:val="00CD39C5"/>
    <w:rsid w:val="00CD3B96"/>
    <w:rsid w:val="00CD3BEA"/>
    <w:rsid w:val="00CD3C96"/>
    <w:rsid w:val="00CD3DDF"/>
    <w:rsid w:val="00CD4011"/>
    <w:rsid w:val="00CD422D"/>
    <w:rsid w:val="00CD42A3"/>
    <w:rsid w:val="00CD42FC"/>
    <w:rsid w:val="00CD44B1"/>
    <w:rsid w:val="00CD4514"/>
    <w:rsid w:val="00CD454B"/>
    <w:rsid w:val="00CD4832"/>
    <w:rsid w:val="00CD4AC3"/>
    <w:rsid w:val="00CD4B4C"/>
    <w:rsid w:val="00CD4B77"/>
    <w:rsid w:val="00CD4D29"/>
    <w:rsid w:val="00CD4E51"/>
    <w:rsid w:val="00CD4F6B"/>
    <w:rsid w:val="00CD53E0"/>
    <w:rsid w:val="00CD54FF"/>
    <w:rsid w:val="00CD57C7"/>
    <w:rsid w:val="00CD57F7"/>
    <w:rsid w:val="00CD585D"/>
    <w:rsid w:val="00CD59B6"/>
    <w:rsid w:val="00CD5A39"/>
    <w:rsid w:val="00CD5AAA"/>
    <w:rsid w:val="00CD5AC0"/>
    <w:rsid w:val="00CD5AF7"/>
    <w:rsid w:val="00CD5B46"/>
    <w:rsid w:val="00CD5CFE"/>
    <w:rsid w:val="00CD5EBF"/>
    <w:rsid w:val="00CD5ECF"/>
    <w:rsid w:val="00CD5F2B"/>
    <w:rsid w:val="00CD5F74"/>
    <w:rsid w:val="00CD5F96"/>
    <w:rsid w:val="00CD5FBE"/>
    <w:rsid w:val="00CD625C"/>
    <w:rsid w:val="00CD6298"/>
    <w:rsid w:val="00CD629D"/>
    <w:rsid w:val="00CD634A"/>
    <w:rsid w:val="00CD63C7"/>
    <w:rsid w:val="00CD6594"/>
    <w:rsid w:val="00CD6627"/>
    <w:rsid w:val="00CD675B"/>
    <w:rsid w:val="00CD6762"/>
    <w:rsid w:val="00CD6856"/>
    <w:rsid w:val="00CD6A3C"/>
    <w:rsid w:val="00CD6A7C"/>
    <w:rsid w:val="00CD6AEC"/>
    <w:rsid w:val="00CD6C69"/>
    <w:rsid w:val="00CD6CF5"/>
    <w:rsid w:val="00CD6D85"/>
    <w:rsid w:val="00CD6E89"/>
    <w:rsid w:val="00CD6F9F"/>
    <w:rsid w:val="00CD727E"/>
    <w:rsid w:val="00CD7329"/>
    <w:rsid w:val="00CD732C"/>
    <w:rsid w:val="00CD73CC"/>
    <w:rsid w:val="00CD7518"/>
    <w:rsid w:val="00CD76F3"/>
    <w:rsid w:val="00CD787C"/>
    <w:rsid w:val="00CD78F9"/>
    <w:rsid w:val="00CD7907"/>
    <w:rsid w:val="00CD7A76"/>
    <w:rsid w:val="00CD7B3B"/>
    <w:rsid w:val="00CD7C63"/>
    <w:rsid w:val="00CD7C84"/>
    <w:rsid w:val="00CD7E18"/>
    <w:rsid w:val="00CE0072"/>
    <w:rsid w:val="00CE03A6"/>
    <w:rsid w:val="00CE04B2"/>
    <w:rsid w:val="00CE07A9"/>
    <w:rsid w:val="00CE086A"/>
    <w:rsid w:val="00CE089A"/>
    <w:rsid w:val="00CE08DA"/>
    <w:rsid w:val="00CE0A63"/>
    <w:rsid w:val="00CE0A97"/>
    <w:rsid w:val="00CE0A9D"/>
    <w:rsid w:val="00CE0AC2"/>
    <w:rsid w:val="00CE0BF9"/>
    <w:rsid w:val="00CE0CA8"/>
    <w:rsid w:val="00CE0F0E"/>
    <w:rsid w:val="00CE1032"/>
    <w:rsid w:val="00CE10C8"/>
    <w:rsid w:val="00CE120E"/>
    <w:rsid w:val="00CE12C3"/>
    <w:rsid w:val="00CE12D9"/>
    <w:rsid w:val="00CE141D"/>
    <w:rsid w:val="00CE14B4"/>
    <w:rsid w:val="00CE14B6"/>
    <w:rsid w:val="00CE1539"/>
    <w:rsid w:val="00CE174A"/>
    <w:rsid w:val="00CE1753"/>
    <w:rsid w:val="00CE1850"/>
    <w:rsid w:val="00CE1BDF"/>
    <w:rsid w:val="00CE1BE0"/>
    <w:rsid w:val="00CE1CA4"/>
    <w:rsid w:val="00CE204B"/>
    <w:rsid w:val="00CE22BA"/>
    <w:rsid w:val="00CE22EB"/>
    <w:rsid w:val="00CE2302"/>
    <w:rsid w:val="00CE2365"/>
    <w:rsid w:val="00CE2468"/>
    <w:rsid w:val="00CE2594"/>
    <w:rsid w:val="00CE2595"/>
    <w:rsid w:val="00CE26A2"/>
    <w:rsid w:val="00CE2ADD"/>
    <w:rsid w:val="00CE2B75"/>
    <w:rsid w:val="00CE2D77"/>
    <w:rsid w:val="00CE2DEC"/>
    <w:rsid w:val="00CE2E7E"/>
    <w:rsid w:val="00CE2FC9"/>
    <w:rsid w:val="00CE301B"/>
    <w:rsid w:val="00CE310A"/>
    <w:rsid w:val="00CE31CC"/>
    <w:rsid w:val="00CE3301"/>
    <w:rsid w:val="00CE33EB"/>
    <w:rsid w:val="00CE33F0"/>
    <w:rsid w:val="00CE3546"/>
    <w:rsid w:val="00CE358E"/>
    <w:rsid w:val="00CE35E9"/>
    <w:rsid w:val="00CE36CC"/>
    <w:rsid w:val="00CE371F"/>
    <w:rsid w:val="00CE373D"/>
    <w:rsid w:val="00CE3743"/>
    <w:rsid w:val="00CE3796"/>
    <w:rsid w:val="00CE3927"/>
    <w:rsid w:val="00CE394C"/>
    <w:rsid w:val="00CE39CC"/>
    <w:rsid w:val="00CE3B50"/>
    <w:rsid w:val="00CE3BA5"/>
    <w:rsid w:val="00CE3DB9"/>
    <w:rsid w:val="00CE3DD4"/>
    <w:rsid w:val="00CE3E57"/>
    <w:rsid w:val="00CE3F4F"/>
    <w:rsid w:val="00CE3FA0"/>
    <w:rsid w:val="00CE40F0"/>
    <w:rsid w:val="00CE41E4"/>
    <w:rsid w:val="00CE41EB"/>
    <w:rsid w:val="00CE4209"/>
    <w:rsid w:val="00CE4534"/>
    <w:rsid w:val="00CE4681"/>
    <w:rsid w:val="00CE46B3"/>
    <w:rsid w:val="00CE46C9"/>
    <w:rsid w:val="00CE4740"/>
    <w:rsid w:val="00CE4760"/>
    <w:rsid w:val="00CE483E"/>
    <w:rsid w:val="00CE49C5"/>
    <w:rsid w:val="00CE4BD8"/>
    <w:rsid w:val="00CE4C32"/>
    <w:rsid w:val="00CE4E26"/>
    <w:rsid w:val="00CE4E63"/>
    <w:rsid w:val="00CE5063"/>
    <w:rsid w:val="00CE5250"/>
    <w:rsid w:val="00CE526C"/>
    <w:rsid w:val="00CE5287"/>
    <w:rsid w:val="00CE52D4"/>
    <w:rsid w:val="00CE5424"/>
    <w:rsid w:val="00CE556C"/>
    <w:rsid w:val="00CE586F"/>
    <w:rsid w:val="00CE5965"/>
    <w:rsid w:val="00CE59DD"/>
    <w:rsid w:val="00CE59EA"/>
    <w:rsid w:val="00CE59FD"/>
    <w:rsid w:val="00CE5A74"/>
    <w:rsid w:val="00CE5ADA"/>
    <w:rsid w:val="00CE5B01"/>
    <w:rsid w:val="00CE5B92"/>
    <w:rsid w:val="00CE5BA3"/>
    <w:rsid w:val="00CE5BB7"/>
    <w:rsid w:val="00CE5CA9"/>
    <w:rsid w:val="00CE5DCB"/>
    <w:rsid w:val="00CE5DD8"/>
    <w:rsid w:val="00CE5E7F"/>
    <w:rsid w:val="00CE5F07"/>
    <w:rsid w:val="00CE5FA6"/>
    <w:rsid w:val="00CE5FC3"/>
    <w:rsid w:val="00CE6234"/>
    <w:rsid w:val="00CE6445"/>
    <w:rsid w:val="00CE656B"/>
    <w:rsid w:val="00CE65D9"/>
    <w:rsid w:val="00CE663D"/>
    <w:rsid w:val="00CE66E6"/>
    <w:rsid w:val="00CE6847"/>
    <w:rsid w:val="00CE68A6"/>
    <w:rsid w:val="00CE6E9C"/>
    <w:rsid w:val="00CE6EF5"/>
    <w:rsid w:val="00CE7012"/>
    <w:rsid w:val="00CE7034"/>
    <w:rsid w:val="00CE7239"/>
    <w:rsid w:val="00CE735C"/>
    <w:rsid w:val="00CE741D"/>
    <w:rsid w:val="00CE7422"/>
    <w:rsid w:val="00CE7541"/>
    <w:rsid w:val="00CE7611"/>
    <w:rsid w:val="00CE7619"/>
    <w:rsid w:val="00CE778A"/>
    <w:rsid w:val="00CE778B"/>
    <w:rsid w:val="00CE7963"/>
    <w:rsid w:val="00CE7A2E"/>
    <w:rsid w:val="00CE7A54"/>
    <w:rsid w:val="00CE7A9D"/>
    <w:rsid w:val="00CE7ACB"/>
    <w:rsid w:val="00CE7B28"/>
    <w:rsid w:val="00CE7E24"/>
    <w:rsid w:val="00CE7F1D"/>
    <w:rsid w:val="00CF0094"/>
    <w:rsid w:val="00CF00C4"/>
    <w:rsid w:val="00CF013C"/>
    <w:rsid w:val="00CF01FE"/>
    <w:rsid w:val="00CF0580"/>
    <w:rsid w:val="00CF062B"/>
    <w:rsid w:val="00CF096C"/>
    <w:rsid w:val="00CF09B2"/>
    <w:rsid w:val="00CF0AAB"/>
    <w:rsid w:val="00CF0B3F"/>
    <w:rsid w:val="00CF0C3E"/>
    <w:rsid w:val="00CF0C45"/>
    <w:rsid w:val="00CF0CE1"/>
    <w:rsid w:val="00CF0E1A"/>
    <w:rsid w:val="00CF0EB6"/>
    <w:rsid w:val="00CF102D"/>
    <w:rsid w:val="00CF104D"/>
    <w:rsid w:val="00CF109F"/>
    <w:rsid w:val="00CF10A6"/>
    <w:rsid w:val="00CF1165"/>
    <w:rsid w:val="00CF13C6"/>
    <w:rsid w:val="00CF151E"/>
    <w:rsid w:val="00CF16A6"/>
    <w:rsid w:val="00CF184B"/>
    <w:rsid w:val="00CF18D2"/>
    <w:rsid w:val="00CF1973"/>
    <w:rsid w:val="00CF19E5"/>
    <w:rsid w:val="00CF1B97"/>
    <w:rsid w:val="00CF1C35"/>
    <w:rsid w:val="00CF1D66"/>
    <w:rsid w:val="00CF1D6A"/>
    <w:rsid w:val="00CF1D7E"/>
    <w:rsid w:val="00CF1D88"/>
    <w:rsid w:val="00CF1D8B"/>
    <w:rsid w:val="00CF1DF4"/>
    <w:rsid w:val="00CF1E7B"/>
    <w:rsid w:val="00CF1F12"/>
    <w:rsid w:val="00CF1F2E"/>
    <w:rsid w:val="00CF1F59"/>
    <w:rsid w:val="00CF2014"/>
    <w:rsid w:val="00CF209A"/>
    <w:rsid w:val="00CF21D7"/>
    <w:rsid w:val="00CF2300"/>
    <w:rsid w:val="00CF2361"/>
    <w:rsid w:val="00CF23C9"/>
    <w:rsid w:val="00CF244A"/>
    <w:rsid w:val="00CF24AF"/>
    <w:rsid w:val="00CF24C9"/>
    <w:rsid w:val="00CF26C9"/>
    <w:rsid w:val="00CF271D"/>
    <w:rsid w:val="00CF2927"/>
    <w:rsid w:val="00CF2938"/>
    <w:rsid w:val="00CF29C1"/>
    <w:rsid w:val="00CF2BF6"/>
    <w:rsid w:val="00CF2CD6"/>
    <w:rsid w:val="00CF2DB5"/>
    <w:rsid w:val="00CF2EF7"/>
    <w:rsid w:val="00CF33A3"/>
    <w:rsid w:val="00CF33E9"/>
    <w:rsid w:val="00CF346D"/>
    <w:rsid w:val="00CF34CF"/>
    <w:rsid w:val="00CF3510"/>
    <w:rsid w:val="00CF355E"/>
    <w:rsid w:val="00CF35B8"/>
    <w:rsid w:val="00CF3610"/>
    <w:rsid w:val="00CF37DF"/>
    <w:rsid w:val="00CF3851"/>
    <w:rsid w:val="00CF3942"/>
    <w:rsid w:val="00CF3955"/>
    <w:rsid w:val="00CF3958"/>
    <w:rsid w:val="00CF3B3F"/>
    <w:rsid w:val="00CF3E49"/>
    <w:rsid w:val="00CF3F91"/>
    <w:rsid w:val="00CF3FAA"/>
    <w:rsid w:val="00CF40CC"/>
    <w:rsid w:val="00CF410C"/>
    <w:rsid w:val="00CF4171"/>
    <w:rsid w:val="00CF4254"/>
    <w:rsid w:val="00CF442F"/>
    <w:rsid w:val="00CF4511"/>
    <w:rsid w:val="00CF45BC"/>
    <w:rsid w:val="00CF4919"/>
    <w:rsid w:val="00CF4A8D"/>
    <w:rsid w:val="00CF4A96"/>
    <w:rsid w:val="00CF4B9D"/>
    <w:rsid w:val="00CF4C1D"/>
    <w:rsid w:val="00CF4C91"/>
    <w:rsid w:val="00CF4C94"/>
    <w:rsid w:val="00CF4CA5"/>
    <w:rsid w:val="00CF4DEA"/>
    <w:rsid w:val="00CF4F96"/>
    <w:rsid w:val="00CF50B8"/>
    <w:rsid w:val="00CF50EC"/>
    <w:rsid w:val="00CF523E"/>
    <w:rsid w:val="00CF5253"/>
    <w:rsid w:val="00CF5848"/>
    <w:rsid w:val="00CF59AA"/>
    <w:rsid w:val="00CF5C54"/>
    <w:rsid w:val="00CF5DB8"/>
    <w:rsid w:val="00CF5E06"/>
    <w:rsid w:val="00CF5E23"/>
    <w:rsid w:val="00CF5E9B"/>
    <w:rsid w:val="00CF5EBB"/>
    <w:rsid w:val="00CF5EF4"/>
    <w:rsid w:val="00CF6537"/>
    <w:rsid w:val="00CF6594"/>
    <w:rsid w:val="00CF661C"/>
    <w:rsid w:val="00CF667F"/>
    <w:rsid w:val="00CF68D2"/>
    <w:rsid w:val="00CF6B37"/>
    <w:rsid w:val="00CF70DC"/>
    <w:rsid w:val="00CF70DF"/>
    <w:rsid w:val="00CF731F"/>
    <w:rsid w:val="00CF75B7"/>
    <w:rsid w:val="00CF763F"/>
    <w:rsid w:val="00CF76CA"/>
    <w:rsid w:val="00CF780C"/>
    <w:rsid w:val="00CF7D47"/>
    <w:rsid w:val="00CF7D9F"/>
    <w:rsid w:val="00CF7E31"/>
    <w:rsid w:val="00CF7E96"/>
    <w:rsid w:val="00CF7EA4"/>
    <w:rsid w:val="00D001AC"/>
    <w:rsid w:val="00D001F2"/>
    <w:rsid w:val="00D00331"/>
    <w:rsid w:val="00D00348"/>
    <w:rsid w:val="00D00580"/>
    <w:rsid w:val="00D0071E"/>
    <w:rsid w:val="00D00723"/>
    <w:rsid w:val="00D00738"/>
    <w:rsid w:val="00D00915"/>
    <w:rsid w:val="00D00CF0"/>
    <w:rsid w:val="00D00D7E"/>
    <w:rsid w:val="00D00DAB"/>
    <w:rsid w:val="00D00EC2"/>
    <w:rsid w:val="00D00F74"/>
    <w:rsid w:val="00D01056"/>
    <w:rsid w:val="00D0108D"/>
    <w:rsid w:val="00D01129"/>
    <w:rsid w:val="00D011F6"/>
    <w:rsid w:val="00D012E0"/>
    <w:rsid w:val="00D012FE"/>
    <w:rsid w:val="00D013AD"/>
    <w:rsid w:val="00D014E8"/>
    <w:rsid w:val="00D0162B"/>
    <w:rsid w:val="00D01751"/>
    <w:rsid w:val="00D01783"/>
    <w:rsid w:val="00D01906"/>
    <w:rsid w:val="00D01AEA"/>
    <w:rsid w:val="00D01BBE"/>
    <w:rsid w:val="00D01C6F"/>
    <w:rsid w:val="00D01CAE"/>
    <w:rsid w:val="00D01D15"/>
    <w:rsid w:val="00D01D52"/>
    <w:rsid w:val="00D01D6A"/>
    <w:rsid w:val="00D01DA7"/>
    <w:rsid w:val="00D01E69"/>
    <w:rsid w:val="00D01F22"/>
    <w:rsid w:val="00D01FCD"/>
    <w:rsid w:val="00D0207E"/>
    <w:rsid w:val="00D020C7"/>
    <w:rsid w:val="00D02215"/>
    <w:rsid w:val="00D022BB"/>
    <w:rsid w:val="00D022DD"/>
    <w:rsid w:val="00D022E8"/>
    <w:rsid w:val="00D023B2"/>
    <w:rsid w:val="00D024C6"/>
    <w:rsid w:val="00D026F0"/>
    <w:rsid w:val="00D02852"/>
    <w:rsid w:val="00D029C0"/>
    <w:rsid w:val="00D02C47"/>
    <w:rsid w:val="00D02CA2"/>
    <w:rsid w:val="00D02D23"/>
    <w:rsid w:val="00D02D28"/>
    <w:rsid w:val="00D02D7D"/>
    <w:rsid w:val="00D03035"/>
    <w:rsid w:val="00D031DE"/>
    <w:rsid w:val="00D033AC"/>
    <w:rsid w:val="00D034DD"/>
    <w:rsid w:val="00D036B7"/>
    <w:rsid w:val="00D039D5"/>
    <w:rsid w:val="00D03A65"/>
    <w:rsid w:val="00D03CB7"/>
    <w:rsid w:val="00D03CFB"/>
    <w:rsid w:val="00D03D39"/>
    <w:rsid w:val="00D03D56"/>
    <w:rsid w:val="00D03D8E"/>
    <w:rsid w:val="00D03E4A"/>
    <w:rsid w:val="00D03F14"/>
    <w:rsid w:val="00D03F3D"/>
    <w:rsid w:val="00D03F60"/>
    <w:rsid w:val="00D04012"/>
    <w:rsid w:val="00D040EA"/>
    <w:rsid w:val="00D04233"/>
    <w:rsid w:val="00D04262"/>
    <w:rsid w:val="00D042D0"/>
    <w:rsid w:val="00D043EF"/>
    <w:rsid w:val="00D0451E"/>
    <w:rsid w:val="00D04793"/>
    <w:rsid w:val="00D04B07"/>
    <w:rsid w:val="00D04B24"/>
    <w:rsid w:val="00D04D72"/>
    <w:rsid w:val="00D04E1F"/>
    <w:rsid w:val="00D04E39"/>
    <w:rsid w:val="00D04EA3"/>
    <w:rsid w:val="00D04ECB"/>
    <w:rsid w:val="00D04F62"/>
    <w:rsid w:val="00D05007"/>
    <w:rsid w:val="00D052D4"/>
    <w:rsid w:val="00D053C2"/>
    <w:rsid w:val="00D05422"/>
    <w:rsid w:val="00D05830"/>
    <w:rsid w:val="00D05865"/>
    <w:rsid w:val="00D058EE"/>
    <w:rsid w:val="00D05A1B"/>
    <w:rsid w:val="00D05B06"/>
    <w:rsid w:val="00D05C3A"/>
    <w:rsid w:val="00D05C85"/>
    <w:rsid w:val="00D05CD0"/>
    <w:rsid w:val="00D05D92"/>
    <w:rsid w:val="00D05DE1"/>
    <w:rsid w:val="00D05DF9"/>
    <w:rsid w:val="00D05E22"/>
    <w:rsid w:val="00D05E68"/>
    <w:rsid w:val="00D05EF6"/>
    <w:rsid w:val="00D0620B"/>
    <w:rsid w:val="00D06263"/>
    <w:rsid w:val="00D0654F"/>
    <w:rsid w:val="00D0655B"/>
    <w:rsid w:val="00D06621"/>
    <w:rsid w:val="00D068F6"/>
    <w:rsid w:val="00D0691E"/>
    <w:rsid w:val="00D0695A"/>
    <w:rsid w:val="00D06A17"/>
    <w:rsid w:val="00D06CC3"/>
    <w:rsid w:val="00D06CDE"/>
    <w:rsid w:val="00D06CEA"/>
    <w:rsid w:val="00D071FD"/>
    <w:rsid w:val="00D07200"/>
    <w:rsid w:val="00D0734B"/>
    <w:rsid w:val="00D073F5"/>
    <w:rsid w:val="00D07417"/>
    <w:rsid w:val="00D07545"/>
    <w:rsid w:val="00D075C4"/>
    <w:rsid w:val="00D0779A"/>
    <w:rsid w:val="00D07879"/>
    <w:rsid w:val="00D100DF"/>
    <w:rsid w:val="00D101D7"/>
    <w:rsid w:val="00D103A8"/>
    <w:rsid w:val="00D10586"/>
    <w:rsid w:val="00D105AB"/>
    <w:rsid w:val="00D10605"/>
    <w:rsid w:val="00D10958"/>
    <w:rsid w:val="00D109C6"/>
    <w:rsid w:val="00D10A6D"/>
    <w:rsid w:val="00D10B14"/>
    <w:rsid w:val="00D10B5C"/>
    <w:rsid w:val="00D10D51"/>
    <w:rsid w:val="00D10D8A"/>
    <w:rsid w:val="00D10DA7"/>
    <w:rsid w:val="00D10E94"/>
    <w:rsid w:val="00D11034"/>
    <w:rsid w:val="00D110F2"/>
    <w:rsid w:val="00D111BD"/>
    <w:rsid w:val="00D11295"/>
    <w:rsid w:val="00D112A4"/>
    <w:rsid w:val="00D1147E"/>
    <w:rsid w:val="00D115C6"/>
    <w:rsid w:val="00D11641"/>
    <w:rsid w:val="00D11645"/>
    <w:rsid w:val="00D116AD"/>
    <w:rsid w:val="00D1171D"/>
    <w:rsid w:val="00D11781"/>
    <w:rsid w:val="00D118D7"/>
    <w:rsid w:val="00D11909"/>
    <w:rsid w:val="00D1193C"/>
    <w:rsid w:val="00D1194C"/>
    <w:rsid w:val="00D11AA9"/>
    <w:rsid w:val="00D11ACC"/>
    <w:rsid w:val="00D11DE2"/>
    <w:rsid w:val="00D11EAF"/>
    <w:rsid w:val="00D11EC4"/>
    <w:rsid w:val="00D11ED2"/>
    <w:rsid w:val="00D11F01"/>
    <w:rsid w:val="00D1218F"/>
    <w:rsid w:val="00D12205"/>
    <w:rsid w:val="00D12339"/>
    <w:rsid w:val="00D1235C"/>
    <w:rsid w:val="00D1263D"/>
    <w:rsid w:val="00D12644"/>
    <w:rsid w:val="00D12A08"/>
    <w:rsid w:val="00D12AA7"/>
    <w:rsid w:val="00D12B02"/>
    <w:rsid w:val="00D12B07"/>
    <w:rsid w:val="00D12B7E"/>
    <w:rsid w:val="00D12C54"/>
    <w:rsid w:val="00D12CE1"/>
    <w:rsid w:val="00D12D0E"/>
    <w:rsid w:val="00D12DDA"/>
    <w:rsid w:val="00D12F8F"/>
    <w:rsid w:val="00D13094"/>
    <w:rsid w:val="00D132BD"/>
    <w:rsid w:val="00D133BF"/>
    <w:rsid w:val="00D1348A"/>
    <w:rsid w:val="00D1373C"/>
    <w:rsid w:val="00D1373E"/>
    <w:rsid w:val="00D13955"/>
    <w:rsid w:val="00D13999"/>
    <w:rsid w:val="00D139CA"/>
    <w:rsid w:val="00D13A06"/>
    <w:rsid w:val="00D13B5B"/>
    <w:rsid w:val="00D13C89"/>
    <w:rsid w:val="00D13DDE"/>
    <w:rsid w:val="00D13E9C"/>
    <w:rsid w:val="00D14136"/>
    <w:rsid w:val="00D141C5"/>
    <w:rsid w:val="00D14243"/>
    <w:rsid w:val="00D142ED"/>
    <w:rsid w:val="00D14305"/>
    <w:rsid w:val="00D14308"/>
    <w:rsid w:val="00D143C9"/>
    <w:rsid w:val="00D14406"/>
    <w:rsid w:val="00D14447"/>
    <w:rsid w:val="00D1451B"/>
    <w:rsid w:val="00D1473E"/>
    <w:rsid w:val="00D1477A"/>
    <w:rsid w:val="00D14921"/>
    <w:rsid w:val="00D14A38"/>
    <w:rsid w:val="00D14B1D"/>
    <w:rsid w:val="00D14C09"/>
    <w:rsid w:val="00D14C31"/>
    <w:rsid w:val="00D14E8C"/>
    <w:rsid w:val="00D150EC"/>
    <w:rsid w:val="00D15245"/>
    <w:rsid w:val="00D153B6"/>
    <w:rsid w:val="00D1548C"/>
    <w:rsid w:val="00D154DA"/>
    <w:rsid w:val="00D154F7"/>
    <w:rsid w:val="00D1558A"/>
    <w:rsid w:val="00D155E2"/>
    <w:rsid w:val="00D15788"/>
    <w:rsid w:val="00D15917"/>
    <w:rsid w:val="00D15B9C"/>
    <w:rsid w:val="00D15BCB"/>
    <w:rsid w:val="00D15D3F"/>
    <w:rsid w:val="00D15E6E"/>
    <w:rsid w:val="00D1609B"/>
    <w:rsid w:val="00D16285"/>
    <w:rsid w:val="00D162A9"/>
    <w:rsid w:val="00D162EB"/>
    <w:rsid w:val="00D16322"/>
    <w:rsid w:val="00D16414"/>
    <w:rsid w:val="00D1643A"/>
    <w:rsid w:val="00D165B5"/>
    <w:rsid w:val="00D1684D"/>
    <w:rsid w:val="00D16872"/>
    <w:rsid w:val="00D16A2C"/>
    <w:rsid w:val="00D16A95"/>
    <w:rsid w:val="00D16B86"/>
    <w:rsid w:val="00D16D21"/>
    <w:rsid w:val="00D16DF2"/>
    <w:rsid w:val="00D16E6F"/>
    <w:rsid w:val="00D16F02"/>
    <w:rsid w:val="00D16F28"/>
    <w:rsid w:val="00D1711C"/>
    <w:rsid w:val="00D171CD"/>
    <w:rsid w:val="00D171E4"/>
    <w:rsid w:val="00D17331"/>
    <w:rsid w:val="00D17348"/>
    <w:rsid w:val="00D1734C"/>
    <w:rsid w:val="00D17418"/>
    <w:rsid w:val="00D1741B"/>
    <w:rsid w:val="00D175C2"/>
    <w:rsid w:val="00D1763D"/>
    <w:rsid w:val="00D1763E"/>
    <w:rsid w:val="00D17640"/>
    <w:rsid w:val="00D17677"/>
    <w:rsid w:val="00D176D2"/>
    <w:rsid w:val="00D17735"/>
    <w:rsid w:val="00D177DD"/>
    <w:rsid w:val="00D178FC"/>
    <w:rsid w:val="00D179E9"/>
    <w:rsid w:val="00D17AA8"/>
    <w:rsid w:val="00D17B12"/>
    <w:rsid w:val="00D17BE0"/>
    <w:rsid w:val="00D17C4D"/>
    <w:rsid w:val="00D17C7D"/>
    <w:rsid w:val="00D17EAF"/>
    <w:rsid w:val="00D17EED"/>
    <w:rsid w:val="00D200F7"/>
    <w:rsid w:val="00D20141"/>
    <w:rsid w:val="00D2029D"/>
    <w:rsid w:val="00D20322"/>
    <w:rsid w:val="00D203DB"/>
    <w:rsid w:val="00D20739"/>
    <w:rsid w:val="00D208F4"/>
    <w:rsid w:val="00D20AEA"/>
    <w:rsid w:val="00D20B8C"/>
    <w:rsid w:val="00D20BBB"/>
    <w:rsid w:val="00D20D72"/>
    <w:rsid w:val="00D20DB2"/>
    <w:rsid w:val="00D20F18"/>
    <w:rsid w:val="00D21141"/>
    <w:rsid w:val="00D2128D"/>
    <w:rsid w:val="00D214D3"/>
    <w:rsid w:val="00D214EB"/>
    <w:rsid w:val="00D21561"/>
    <w:rsid w:val="00D21572"/>
    <w:rsid w:val="00D215FD"/>
    <w:rsid w:val="00D21629"/>
    <w:rsid w:val="00D21703"/>
    <w:rsid w:val="00D21719"/>
    <w:rsid w:val="00D21732"/>
    <w:rsid w:val="00D21748"/>
    <w:rsid w:val="00D21755"/>
    <w:rsid w:val="00D21896"/>
    <w:rsid w:val="00D2191C"/>
    <w:rsid w:val="00D21943"/>
    <w:rsid w:val="00D21AB7"/>
    <w:rsid w:val="00D21BA2"/>
    <w:rsid w:val="00D21C77"/>
    <w:rsid w:val="00D21D34"/>
    <w:rsid w:val="00D21D96"/>
    <w:rsid w:val="00D21E34"/>
    <w:rsid w:val="00D21EC7"/>
    <w:rsid w:val="00D22055"/>
    <w:rsid w:val="00D2218F"/>
    <w:rsid w:val="00D221A4"/>
    <w:rsid w:val="00D221BE"/>
    <w:rsid w:val="00D2231C"/>
    <w:rsid w:val="00D223F7"/>
    <w:rsid w:val="00D22414"/>
    <w:rsid w:val="00D22630"/>
    <w:rsid w:val="00D22A95"/>
    <w:rsid w:val="00D22AF0"/>
    <w:rsid w:val="00D22B2F"/>
    <w:rsid w:val="00D22C77"/>
    <w:rsid w:val="00D22CC0"/>
    <w:rsid w:val="00D22D47"/>
    <w:rsid w:val="00D22E22"/>
    <w:rsid w:val="00D230E9"/>
    <w:rsid w:val="00D23113"/>
    <w:rsid w:val="00D2330A"/>
    <w:rsid w:val="00D23593"/>
    <w:rsid w:val="00D2388B"/>
    <w:rsid w:val="00D23964"/>
    <w:rsid w:val="00D23A7A"/>
    <w:rsid w:val="00D23E39"/>
    <w:rsid w:val="00D23EEF"/>
    <w:rsid w:val="00D23EF6"/>
    <w:rsid w:val="00D24022"/>
    <w:rsid w:val="00D2416E"/>
    <w:rsid w:val="00D2429E"/>
    <w:rsid w:val="00D242B7"/>
    <w:rsid w:val="00D242CB"/>
    <w:rsid w:val="00D2443C"/>
    <w:rsid w:val="00D247FE"/>
    <w:rsid w:val="00D24815"/>
    <w:rsid w:val="00D24B05"/>
    <w:rsid w:val="00D24B75"/>
    <w:rsid w:val="00D2507A"/>
    <w:rsid w:val="00D25205"/>
    <w:rsid w:val="00D25294"/>
    <w:rsid w:val="00D25336"/>
    <w:rsid w:val="00D25389"/>
    <w:rsid w:val="00D2558B"/>
    <w:rsid w:val="00D2564F"/>
    <w:rsid w:val="00D256BE"/>
    <w:rsid w:val="00D257E4"/>
    <w:rsid w:val="00D257FA"/>
    <w:rsid w:val="00D25800"/>
    <w:rsid w:val="00D25974"/>
    <w:rsid w:val="00D25A57"/>
    <w:rsid w:val="00D25B60"/>
    <w:rsid w:val="00D25B6A"/>
    <w:rsid w:val="00D25BF8"/>
    <w:rsid w:val="00D25C08"/>
    <w:rsid w:val="00D25D82"/>
    <w:rsid w:val="00D25EB9"/>
    <w:rsid w:val="00D2600D"/>
    <w:rsid w:val="00D2602E"/>
    <w:rsid w:val="00D26108"/>
    <w:rsid w:val="00D26564"/>
    <w:rsid w:val="00D26698"/>
    <w:rsid w:val="00D26774"/>
    <w:rsid w:val="00D267D7"/>
    <w:rsid w:val="00D26830"/>
    <w:rsid w:val="00D2687E"/>
    <w:rsid w:val="00D26885"/>
    <w:rsid w:val="00D26886"/>
    <w:rsid w:val="00D268B0"/>
    <w:rsid w:val="00D268CD"/>
    <w:rsid w:val="00D26AE4"/>
    <w:rsid w:val="00D26AE8"/>
    <w:rsid w:val="00D26B7C"/>
    <w:rsid w:val="00D26C50"/>
    <w:rsid w:val="00D26C5B"/>
    <w:rsid w:val="00D26CA0"/>
    <w:rsid w:val="00D26CEA"/>
    <w:rsid w:val="00D26D6D"/>
    <w:rsid w:val="00D26DBD"/>
    <w:rsid w:val="00D26E96"/>
    <w:rsid w:val="00D26F25"/>
    <w:rsid w:val="00D2705B"/>
    <w:rsid w:val="00D270ED"/>
    <w:rsid w:val="00D27145"/>
    <w:rsid w:val="00D2719D"/>
    <w:rsid w:val="00D271C7"/>
    <w:rsid w:val="00D27244"/>
    <w:rsid w:val="00D2736C"/>
    <w:rsid w:val="00D2754B"/>
    <w:rsid w:val="00D27583"/>
    <w:rsid w:val="00D275FA"/>
    <w:rsid w:val="00D277B5"/>
    <w:rsid w:val="00D27889"/>
    <w:rsid w:val="00D27C06"/>
    <w:rsid w:val="00D27C34"/>
    <w:rsid w:val="00D27CAB"/>
    <w:rsid w:val="00D27E01"/>
    <w:rsid w:val="00D27F7C"/>
    <w:rsid w:val="00D27FC7"/>
    <w:rsid w:val="00D27FFD"/>
    <w:rsid w:val="00D300B3"/>
    <w:rsid w:val="00D3020E"/>
    <w:rsid w:val="00D302C6"/>
    <w:rsid w:val="00D30378"/>
    <w:rsid w:val="00D30640"/>
    <w:rsid w:val="00D30A2A"/>
    <w:rsid w:val="00D30A4D"/>
    <w:rsid w:val="00D30D24"/>
    <w:rsid w:val="00D30D40"/>
    <w:rsid w:val="00D30D9E"/>
    <w:rsid w:val="00D30E0B"/>
    <w:rsid w:val="00D30F84"/>
    <w:rsid w:val="00D31026"/>
    <w:rsid w:val="00D312CC"/>
    <w:rsid w:val="00D313B3"/>
    <w:rsid w:val="00D313ED"/>
    <w:rsid w:val="00D31403"/>
    <w:rsid w:val="00D31420"/>
    <w:rsid w:val="00D315DD"/>
    <w:rsid w:val="00D31817"/>
    <w:rsid w:val="00D31998"/>
    <w:rsid w:val="00D31AA5"/>
    <w:rsid w:val="00D31B24"/>
    <w:rsid w:val="00D31C02"/>
    <w:rsid w:val="00D31C83"/>
    <w:rsid w:val="00D31DFB"/>
    <w:rsid w:val="00D31E3A"/>
    <w:rsid w:val="00D31F61"/>
    <w:rsid w:val="00D3212E"/>
    <w:rsid w:val="00D321DF"/>
    <w:rsid w:val="00D324AB"/>
    <w:rsid w:val="00D325DB"/>
    <w:rsid w:val="00D32657"/>
    <w:rsid w:val="00D32686"/>
    <w:rsid w:val="00D3280F"/>
    <w:rsid w:val="00D3285A"/>
    <w:rsid w:val="00D328C5"/>
    <w:rsid w:val="00D328EC"/>
    <w:rsid w:val="00D32977"/>
    <w:rsid w:val="00D32BAA"/>
    <w:rsid w:val="00D32C17"/>
    <w:rsid w:val="00D32C81"/>
    <w:rsid w:val="00D32E39"/>
    <w:rsid w:val="00D32E85"/>
    <w:rsid w:val="00D32EC1"/>
    <w:rsid w:val="00D33086"/>
    <w:rsid w:val="00D330BE"/>
    <w:rsid w:val="00D3312F"/>
    <w:rsid w:val="00D3323F"/>
    <w:rsid w:val="00D33306"/>
    <w:rsid w:val="00D33461"/>
    <w:rsid w:val="00D334F8"/>
    <w:rsid w:val="00D335DA"/>
    <w:rsid w:val="00D335E8"/>
    <w:rsid w:val="00D33784"/>
    <w:rsid w:val="00D33879"/>
    <w:rsid w:val="00D3389D"/>
    <w:rsid w:val="00D33BA1"/>
    <w:rsid w:val="00D33CB7"/>
    <w:rsid w:val="00D33D09"/>
    <w:rsid w:val="00D33E08"/>
    <w:rsid w:val="00D33F0D"/>
    <w:rsid w:val="00D3414F"/>
    <w:rsid w:val="00D3423F"/>
    <w:rsid w:val="00D34261"/>
    <w:rsid w:val="00D344CC"/>
    <w:rsid w:val="00D3456E"/>
    <w:rsid w:val="00D345AD"/>
    <w:rsid w:val="00D345B3"/>
    <w:rsid w:val="00D34609"/>
    <w:rsid w:val="00D34644"/>
    <w:rsid w:val="00D34741"/>
    <w:rsid w:val="00D347A4"/>
    <w:rsid w:val="00D34875"/>
    <w:rsid w:val="00D34A42"/>
    <w:rsid w:val="00D34DCB"/>
    <w:rsid w:val="00D34FC3"/>
    <w:rsid w:val="00D35066"/>
    <w:rsid w:val="00D350AE"/>
    <w:rsid w:val="00D3515C"/>
    <w:rsid w:val="00D35312"/>
    <w:rsid w:val="00D353FD"/>
    <w:rsid w:val="00D35444"/>
    <w:rsid w:val="00D358D9"/>
    <w:rsid w:val="00D35903"/>
    <w:rsid w:val="00D359FB"/>
    <w:rsid w:val="00D35A96"/>
    <w:rsid w:val="00D35BCA"/>
    <w:rsid w:val="00D35BF4"/>
    <w:rsid w:val="00D35CA0"/>
    <w:rsid w:val="00D35E02"/>
    <w:rsid w:val="00D35FA8"/>
    <w:rsid w:val="00D35FD0"/>
    <w:rsid w:val="00D3608C"/>
    <w:rsid w:val="00D360A5"/>
    <w:rsid w:val="00D362BF"/>
    <w:rsid w:val="00D363AA"/>
    <w:rsid w:val="00D366C8"/>
    <w:rsid w:val="00D366ED"/>
    <w:rsid w:val="00D36749"/>
    <w:rsid w:val="00D36789"/>
    <w:rsid w:val="00D3694E"/>
    <w:rsid w:val="00D369F3"/>
    <w:rsid w:val="00D36A9D"/>
    <w:rsid w:val="00D36AA7"/>
    <w:rsid w:val="00D36B49"/>
    <w:rsid w:val="00D36B7D"/>
    <w:rsid w:val="00D36BD5"/>
    <w:rsid w:val="00D36CF2"/>
    <w:rsid w:val="00D36CF6"/>
    <w:rsid w:val="00D36F29"/>
    <w:rsid w:val="00D37146"/>
    <w:rsid w:val="00D371F1"/>
    <w:rsid w:val="00D3725A"/>
    <w:rsid w:val="00D3728A"/>
    <w:rsid w:val="00D372B8"/>
    <w:rsid w:val="00D3730E"/>
    <w:rsid w:val="00D373E0"/>
    <w:rsid w:val="00D37412"/>
    <w:rsid w:val="00D3749B"/>
    <w:rsid w:val="00D3749F"/>
    <w:rsid w:val="00D374B6"/>
    <w:rsid w:val="00D37533"/>
    <w:rsid w:val="00D37742"/>
    <w:rsid w:val="00D37765"/>
    <w:rsid w:val="00D37780"/>
    <w:rsid w:val="00D37798"/>
    <w:rsid w:val="00D37E5C"/>
    <w:rsid w:val="00D37E87"/>
    <w:rsid w:val="00D37F80"/>
    <w:rsid w:val="00D37F8E"/>
    <w:rsid w:val="00D37FB9"/>
    <w:rsid w:val="00D4008B"/>
    <w:rsid w:val="00D400B6"/>
    <w:rsid w:val="00D401B8"/>
    <w:rsid w:val="00D401E6"/>
    <w:rsid w:val="00D403C8"/>
    <w:rsid w:val="00D403E1"/>
    <w:rsid w:val="00D405DD"/>
    <w:rsid w:val="00D40680"/>
    <w:rsid w:val="00D406E2"/>
    <w:rsid w:val="00D40703"/>
    <w:rsid w:val="00D40889"/>
    <w:rsid w:val="00D408F6"/>
    <w:rsid w:val="00D408F9"/>
    <w:rsid w:val="00D409ED"/>
    <w:rsid w:val="00D40A14"/>
    <w:rsid w:val="00D40AB7"/>
    <w:rsid w:val="00D40AB9"/>
    <w:rsid w:val="00D41151"/>
    <w:rsid w:val="00D413EE"/>
    <w:rsid w:val="00D414A5"/>
    <w:rsid w:val="00D415E4"/>
    <w:rsid w:val="00D4169A"/>
    <w:rsid w:val="00D4177A"/>
    <w:rsid w:val="00D418B0"/>
    <w:rsid w:val="00D418CA"/>
    <w:rsid w:val="00D4193C"/>
    <w:rsid w:val="00D419CD"/>
    <w:rsid w:val="00D419F6"/>
    <w:rsid w:val="00D41AD0"/>
    <w:rsid w:val="00D41CFF"/>
    <w:rsid w:val="00D41D62"/>
    <w:rsid w:val="00D41DB3"/>
    <w:rsid w:val="00D41EDD"/>
    <w:rsid w:val="00D4218E"/>
    <w:rsid w:val="00D4224E"/>
    <w:rsid w:val="00D4250C"/>
    <w:rsid w:val="00D426B6"/>
    <w:rsid w:val="00D42715"/>
    <w:rsid w:val="00D42743"/>
    <w:rsid w:val="00D427AE"/>
    <w:rsid w:val="00D4284B"/>
    <w:rsid w:val="00D428DC"/>
    <w:rsid w:val="00D42916"/>
    <w:rsid w:val="00D429CE"/>
    <w:rsid w:val="00D42AA5"/>
    <w:rsid w:val="00D42AEB"/>
    <w:rsid w:val="00D42B83"/>
    <w:rsid w:val="00D42C04"/>
    <w:rsid w:val="00D42C55"/>
    <w:rsid w:val="00D42D01"/>
    <w:rsid w:val="00D42D70"/>
    <w:rsid w:val="00D42DAA"/>
    <w:rsid w:val="00D4325F"/>
    <w:rsid w:val="00D433E4"/>
    <w:rsid w:val="00D4359D"/>
    <w:rsid w:val="00D43697"/>
    <w:rsid w:val="00D437E6"/>
    <w:rsid w:val="00D43874"/>
    <w:rsid w:val="00D4392E"/>
    <w:rsid w:val="00D43A23"/>
    <w:rsid w:val="00D43D4F"/>
    <w:rsid w:val="00D43D60"/>
    <w:rsid w:val="00D440E6"/>
    <w:rsid w:val="00D441D2"/>
    <w:rsid w:val="00D4425C"/>
    <w:rsid w:val="00D442D1"/>
    <w:rsid w:val="00D4435C"/>
    <w:rsid w:val="00D443ED"/>
    <w:rsid w:val="00D4450C"/>
    <w:rsid w:val="00D446CF"/>
    <w:rsid w:val="00D4471F"/>
    <w:rsid w:val="00D44937"/>
    <w:rsid w:val="00D44A96"/>
    <w:rsid w:val="00D44B82"/>
    <w:rsid w:val="00D44BD5"/>
    <w:rsid w:val="00D44C62"/>
    <w:rsid w:val="00D44C85"/>
    <w:rsid w:val="00D44FB4"/>
    <w:rsid w:val="00D44FD6"/>
    <w:rsid w:val="00D44FF7"/>
    <w:rsid w:val="00D45031"/>
    <w:rsid w:val="00D45161"/>
    <w:rsid w:val="00D45162"/>
    <w:rsid w:val="00D4522C"/>
    <w:rsid w:val="00D4525C"/>
    <w:rsid w:val="00D45286"/>
    <w:rsid w:val="00D453B1"/>
    <w:rsid w:val="00D45457"/>
    <w:rsid w:val="00D45525"/>
    <w:rsid w:val="00D45938"/>
    <w:rsid w:val="00D459DB"/>
    <w:rsid w:val="00D45AFF"/>
    <w:rsid w:val="00D45B68"/>
    <w:rsid w:val="00D45E06"/>
    <w:rsid w:val="00D463A0"/>
    <w:rsid w:val="00D463BB"/>
    <w:rsid w:val="00D464EE"/>
    <w:rsid w:val="00D4665C"/>
    <w:rsid w:val="00D46681"/>
    <w:rsid w:val="00D466EE"/>
    <w:rsid w:val="00D467C6"/>
    <w:rsid w:val="00D467F2"/>
    <w:rsid w:val="00D46920"/>
    <w:rsid w:val="00D46930"/>
    <w:rsid w:val="00D4695F"/>
    <w:rsid w:val="00D46B12"/>
    <w:rsid w:val="00D46B85"/>
    <w:rsid w:val="00D46BB8"/>
    <w:rsid w:val="00D46C52"/>
    <w:rsid w:val="00D46CA5"/>
    <w:rsid w:val="00D46D1F"/>
    <w:rsid w:val="00D46DD1"/>
    <w:rsid w:val="00D46F07"/>
    <w:rsid w:val="00D46F7B"/>
    <w:rsid w:val="00D47105"/>
    <w:rsid w:val="00D4712D"/>
    <w:rsid w:val="00D471AA"/>
    <w:rsid w:val="00D47477"/>
    <w:rsid w:val="00D4760C"/>
    <w:rsid w:val="00D47A09"/>
    <w:rsid w:val="00D47B5A"/>
    <w:rsid w:val="00D47C2D"/>
    <w:rsid w:val="00D47E47"/>
    <w:rsid w:val="00D501AE"/>
    <w:rsid w:val="00D502F7"/>
    <w:rsid w:val="00D503B9"/>
    <w:rsid w:val="00D50716"/>
    <w:rsid w:val="00D50850"/>
    <w:rsid w:val="00D50855"/>
    <w:rsid w:val="00D50933"/>
    <w:rsid w:val="00D50A10"/>
    <w:rsid w:val="00D50A39"/>
    <w:rsid w:val="00D50B00"/>
    <w:rsid w:val="00D50B7D"/>
    <w:rsid w:val="00D50BB1"/>
    <w:rsid w:val="00D50CF3"/>
    <w:rsid w:val="00D50F20"/>
    <w:rsid w:val="00D50F4B"/>
    <w:rsid w:val="00D5114F"/>
    <w:rsid w:val="00D51162"/>
    <w:rsid w:val="00D511FF"/>
    <w:rsid w:val="00D5121B"/>
    <w:rsid w:val="00D5122A"/>
    <w:rsid w:val="00D512EE"/>
    <w:rsid w:val="00D5132A"/>
    <w:rsid w:val="00D5139A"/>
    <w:rsid w:val="00D513D1"/>
    <w:rsid w:val="00D5149F"/>
    <w:rsid w:val="00D514BB"/>
    <w:rsid w:val="00D51514"/>
    <w:rsid w:val="00D515D4"/>
    <w:rsid w:val="00D515EC"/>
    <w:rsid w:val="00D51615"/>
    <w:rsid w:val="00D51675"/>
    <w:rsid w:val="00D5198C"/>
    <w:rsid w:val="00D519A8"/>
    <w:rsid w:val="00D519CA"/>
    <w:rsid w:val="00D519D9"/>
    <w:rsid w:val="00D51A42"/>
    <w:rsid w:val="00D51A88"/>
    <w:rsid w:val="00D51AF8"/>
    <w:rsid w:val="00D51B35"/>
    <w:rsid w:val="00D51D71"/>
    <w:rsid w:val="00D51E91"/>
    <w:rsid w:val="00D51E9E"/>
    <w:rsid w:val="00D51F9C"/>
    <w:rsid w:val="00D52026"/>
    <w:rsid w:val="00D52159"/>
    <w:rsid w:val="00D521B0"/>
    <w:rsid w:val="00D5229C"/>
    <w:rsid w:val="00D522AF"/>
    <w:rsid w:val="00D52340"/>
    <w:rsid w:val="00D523C9"/>
    <w:rsid w:val="00D524A7"/>
    <w:rsid w:val="00D52544"/>
    <w:rsid w:val="00D52599"/>
    <w:rsid w:val="00D52642"/>
    <w:rsid w:val="00D52681"/>
    <w:rsid w:val="00D526B0"/>
    <w:rsid w:val="00D527B0"/>
    <w:rsid w:val="00D527FF"/>
    <w:rsid w:val="00D52A8D"/>
    <w:rsid w:val="00D52B72"/>
    <w:rsid w:val="00D52B81"/>
    <w:rsid w:val="00D52DF4"/>
    <w:rsid w:val="00D52F4F"/>
    <w:rsid w:val="00D52FA8"/>
    <w:rsid w:val="00D531B2"/>
    <w:rsid w:val="00D53249"/>
    <w:rsid w:val="00D5325A"/>
    <w:rsid w:val="00D53350"/>
    <w:rsid w:val="00D5337C"/>
    <w:rsid w:val="00D534E9"/>
    <w:rsid w:val="00D5351A"/>
    <w:rsid w:val="00D535C4"/>
    <w:rsid w:val="00D53790"/>
    <w:rsid w:val="00D53855"/>
    <w:rsid w:val="00D539FD"/>
    <w:rsid w:val="00D53A4D"/>
    <w:rsid w:val="00D53ACF"/>
    <w:rsid w:val="00D53B1D"/>
    <w:rsid w:val="00D53C73"/>
    <w:rsid w:val="00D53CB8"/>
    <w:rsid w:val="00D53D3A"/>
    <w:rsid w:val="00D53FA9"/>
    <w:rsid w:val="00D53FB7"/>
    <w:rsid w:val="00D53FCF"/>
    <w:rsid w:val="00D54024"/>
    <w:rsid w:val="00D5414D"/>
    <w:rsid w:val="00D54192"/>
    <w:rsid w:val="00D541BF"/>
    <w:rsid w:val="00D541C2"/>
    <w:rsid w:val="00D5424B"/>
    <w:rsid w:val="00D5425A"/>
    <w:rsid w:val="00D542D4"/>
    <w:rsid w:val="00D54464"/>
    <w:rsid w:val="00D547BD"/>
    <w:rsid w:val="00D54A86"/>
    <w:rsid w:val="00D54A9D"/>
    <w:rsid w:val="00D54AF5"/>
    <w:rsid w:val="00D54D6F"/>
    <w:rsid w:val="00D54E49"/>
    <w:rsid w:val="00D54F52"/>
    <w:rsid w:val="00D55039"/>
    <w:rsid w:val="00D55340"/>
    <w:rsid w:val="00D55498"/>
    <w:rsid w:val="00D554CA"/>
    <w:rsid w:val="00D5584A"/>
    <w:rsid w:val="00D55AC5"/>
    <w:rsid w:val="00D55AD8"/>
    <w:rsid w:val="00D55BD1"/>
    <w:rsid w:val="00D55C30"/>
    <w:rsid w:val="00D55C7F"/>
    <w:rsid w:val="00D55EC9"/>
    <w:rsid w:val="00D55FFE"/>
    <w:rsid w:val="00D56064"/>
    <w:rsid w:val="00D5616F"/>
    <w:rsid w:val="00D562E8"/>
    <w:rsid w:val="00D5647C"/>
    <w:rsid w:val="00D564F6"/>
    <w:rsid w:val="00D5661F"/>
    <w:rsid w:val="00D56644"/>
    <w:rsid w:val="00D56654"/>
    <w:rsid w:val="00D566C3"/>
    <w:rsid w:val="00D567F7"/>
    <w:rsid w:val="00D5683A"/>
    <w:rsid w:val="00D569D0"/>
    <w:rsid w:val="00D56AE3"/>
    <w:rsid w:val="00D56D09"/>
    <w:rsid w:val="00D56D7F"/>
    <w:rsid w:val="00D56F55"/>
    <w:rsid w:val="00D56FF1"/>
    <w:rsid w:val="00D57030"/>
    <w:rsid w:val="00D57134"/>
    <w:rsid w:val="00D57173"/>
    <w:rsid w:val="00D5726D"/>
    <w:rsid w:val="00D5736E"/>
    <w:rsid w:val="00D574B3"/>
    <w:rsid w:val="00D5796B"/>
    <w:rsid w:val="00D57A46"/>
    <w:rsid w:val="00D57A98"/>
    <w:rsid w:val="00D57B13"/>
    <w:rsid w:val="00D57DCB"/>
    <w:rsid w:val="00D57DFB"/>
    <w:rsid w:val="00D57E73"/>
    <w:rsid w:val="00D57EE6"/>
    <w:rsid w:val="00D57FA6"/>
    <w:rsid w:val="00D602DA"/>
    <w:rsid w:val="00D603C1"/>
    <w:rsid w:val="00D60560"/>
    <w:rsid w:val="00D605E1"/>
    <w:rsid w:val="00D60640"/>
    <w:rsid w:val="00D60740"/>
    <w:rsid w:val="00D607DE"/>
    <w:rsid w:val="00D60878"/>
    <w:rsid w:val="00D6094A"/>
    <w:rsid w:val="00D60C3D"/>
    <w:rsid w:val="00D60C51"/>
    <w:rsid w:val="00D60CF0"/>
    <w:rsid w:val="00D60D53"/>
    <w:rsid w:val="00D60D78"/>
    <w:rsid w:val="00D60FF6"/>
    <w:rsid w:val="00D610E3"/>
    <w:rsid w:val="00D610F3"/>
    <w:rsid w:val="00D61113"/>
    <w:rsid w:val="00D61115"/>
    <w:rsid w:val="00D61121"/>
    <w:rsid w:val="00D61221"/>
    <w:rsid w:val="00D6145C"/>
    <w:rsid w:val="00D61606"/>
    <w:rsid w:val="00D61614"/>
    <w:rsid w:val="00D61655"/>
    <w:rsid w:val="00D6166E"/>
    <w:rsid w:val="00D61739"/>
    <w:rsid w:val="00D61773"/>
    <w:rsid w:val="00D617D1"/>
    <w:rsid w:val="00D61824"/>
    <w:rsid w:val="00D61946"/>
    <w:rsid w:val="00D6197C"/>
    <w:rsid w:val="00D61B33"/>
    <w:rsid w:val="00D61D05"/>
    <w:rsid w:val="00D61D25"/>
    <w:rsid w:val="00D61D2D"/>
    <w:rsid w:val="00D61F1C"/>
    <w:rsid w:val="00D62006"/>
    <w:rsid w:val="00D62145"/>
    <w:rsid w:val="00D623B8"/>
    <w:rsid w:val="00D623E5"/>
    <w:rsid w:val="00D62484"/>
    <w:rsid w:val="00D626B4"/>
    <w:rsid w:val="00D626EE"/>
    <w:rsid w:val="00D62783"/>
    <w:rsid w:val="00D6281D"/>
    <w:rsid w:val="00D62838"/>
    <w:rsid w:val="00D62840"/>
    <w:rsid w:val="00D629BB"/>
    <w:rsid w:val="00D62AF4"/>
    <w:rsid w:val="00D62B02"/>
    <w:rsid w:val="00D62BCF"/>
    <w:rsid w:val="00D62C53"/>
    <w:rsid w:val="00D62C85"/>
    <w:rsid w:val="00D62D57"/>
    <w:rsid w:val="00D62D5D"/>
    <w:rsid w:val="00D62D94"/>
    <w:rsid w:val="00D62E72"/>
    <w:rsid w:val="00D62EBA"/>
    <w:rsid w:val="00D62EFF"/>
    <w:rsid w:val="00D62F7C"/>
    <w:rsid w:val="00D630CA"/>
    <w:rsid w:val="00D632E4"/>
    <w:rsid w:val="00D635C6"/>
    <w:rsid w:val="00D6363E"/>
    <w:rsid w:val="00D63666"/>
    <w:rsid w:val="00D636CD"/>
    <w:rsid w:val="00D638A1"/>
    <w:rsid w:val="00D63965"/>
    <w:rsid w:val="00D63A24"/>
    <w:rsid w:val="00D63A68"/>
    <w:rsid w:val="00D63B04"/>
    <w:rsid w:val="00D63B37"/>
    <w:rsid w:val="00D63CA1"/>
    <w:rsid w:val="00D63DAD"/>
    <w:rsid w:val="00D63E72"/>
    <w:rsid w:val="00D6400D"/>
    <w:rsid w:val="00D64057"/>
    <w:rsid w:val="00D6406F"/>
    <w:rsid w:val="00D640F1"/>
    <w:rsid w:val="00D641E4"/>
    <w:rsid w:val="00D6436E"/>
    <w:rsid w:val="00D643CC"/>
    <w:rsid w:val="00D644E4"/>
    <w:rsid w:val="00D64688"/>
    <w:rsid w:val="00D64836"/>
    <w:rsid w:val="00D649A9"/>
    <w:rsid w:val="00D64A93"/>
    <w:rsid w:val="00D64AED"/>
    <w:rsid w:val="00D64AF3"/>
    <w:rsid w:val="00D64BA4"/>
    <w:rsid w:val="00D65076"/>
    <w:rsid w:val="00D65104"/>
    <w:rsid w:val="00D6518B"/>
    <w:rsid w:val="00D6519F"/>
    <w:rsid w:val="00D652E6"/>
    <w:rsid w:val="00D654CE"/>
    <w:rsid w:val="00D655C5"/>
    <w:rsid w:val="00D6572B"/>
    <w:rsid w:val="00D657D7"/>
    <w:rsid w:val="00D65814"/>
    <w:rsid w:val="00D65895"/>
    <w:rsid w:val="00D6592E"/>
    <w:rsid w:val="00D65986"/>
    <w:rsid w:val="00D65992"/>
    <w:rsid w:val="00D65A8A"/>
    <w:rsid w:val="00D65ADD"/>
    <w:rsid w:val="00D65CB8"/>
    <w:rsid w:val="00D65D5C"/>
    <w:rsid w:val="00D65DE8"/>
    <w:rsid w:val="00D65ECD"/>
    <w:rsid w:val="00D65F6C"/>
    <w:rsid w:val="00D6628B"/>
    <w:rsid w:val="00D662AC"/>
    <w:rsid w:val="00D662BA"/>
    <w:rsid w:val="00D663B1"/>
    <w:rsid w:val="00D66701"/>
    <w:rsid w:val="00D668E7"/>
    <w:rsid w:val="00D66900"/>
    <w:rsid w:val="00D6695B"/>
    <w:rsid w:val="00D66A6D"/>
    <w:rsid w:val="00D66B77"/>
    <w:rsid w:val="00D66C0A"/>
    <w:rsid w:val="00D66CE8"/>
    <w:rsid w:val="00D66F0C"/>
    <w:rsid w:val="00D66F33"/>
    <w:rsid w:val="00D670C6"/>
    <w:rsid w:val="00D671F4"/>
    <w:rsid w:val="00D672C4"/>
    <w:rsid w:val="00D672E5"/>
    <w:rsid w:val="00D673C2"/>
    <w:rsid w:val="00D6743B"/>
    <w:rsid w:val="00D67452"/>
    <w:rsid w:val="00D67598"/>
    <w:rsid w:val="00D675A7"/>
    <w:rsid w:val="00D67765"/>
    <w:rsid w:val="00D678D3"/>
    <w:rsid w:val="00D678F9"/>
    <w:rsid w:val="00D67915"/>
    <w:rsid w:val="00D67A83"/>
    <w:rsid w:val="00D67AB0"/>
    <w:rsid w:val="00D67C72"/>
    <w:rsid w:val="00D67DDB"/>
    <w:rsid w:val="00D67FBE"/>
    <w:rsid w:val="00D7012B"/>
    <w:rsid w:val="00D70138"/>
    <w:rsid w:val="00D7013A"/>
    <w:rsid w:val="00D701FB"/>
    <w:rsid w:val="00D7039C"/>
    <w:rsid w:val="00D70537"/>
    <w:rsid w:val="00D706EE"/>
    <w:rsid w:val="00D70781"/>
    <w:rsid w:val="00D70A7E"/>
    <w:rsid w:val="00D710B0"/>
    <w:rsid w:val="00D711A0"/>
    <w:rsid w:val="00D711F7"/>
    <w:rsid w:val="00D71201"/>
    <w:rsid w:val="00D71395"/>
    <w:rsid w:val="00D713C5"/>
    <w:rsid w:val="00D7140C"/>
    <w:rsid w:val="00D71629"/>
    <w:rsid w:val="00D716D2"/>
    <w:rsid w:val="00D718FA"/>
    <w:rsid w:val="00D71920"/>
    <w:rsid w:val="00D719F1"/>
    <w:rsid w:val="00D71C39"/>
    <w:rsid w:val="00D71C41"/>
    <w:rsid w:val="00D71CB5"/>
    <w:rsid w:val="00D71CF1"/>
    <w:rsid w:val="00D71D77"/>
    <w:rsid w:val="00D71DE6"/>
    <w:rsid w:val="00D72134"/>
    <w:rsid w:val="00D72135"/>
    <w:rsid w:val="00D722E9"/>
    <w:rsid w:val="00D72348"/>
    <w:rsid w:val="00D7238F"/>
    <w:rsid w:val="00D7269D"/>
    <w:rsid w:val="00D726C1"/>
    <w:rsid w:val="00D72789"/>
    <w:rsid w:val="00D727AC"/>
    <w:rsid w:val="00D728B3"/>
    <w:rsid w:val="00D72965"/>
    <w:rsid w:val="00D72CAE"/>
    <w:rsid w:val="00D72CE3"/>
    <w:rsid w:val="00D72DCD"/>
    <w:rsid w:val="00D72E43"/>
    <w:rsid w:val="00D72FA3"/>
    <w:rsid w:val="00D732B1"/>
    <w:rsid w:val="00D732C1"/>
    <w:rsid w:val="00D734E8"/>
    <w:rsid w:val="00D736A2"/>
    <w:rsid w:val="00D73713"/>
    <w:rsid w:val="00D73B5A"/>
    <w:rsid w:val="00D73F30"/>
    <w:rsid w:val="00D73F63"/>
    <w:rsid w:val="00D73F73"/>
    <w:rsid w:val="00D74013"/>
    <w:rsid w:val="00D74695"/>
    <w:rsid w:val="00D7472B"/>
    <w:rsid w:val="00D74D32"/>
    <w:rsid w:val="00D74DA9"/>
    <w:rsid w:val="00D75003"/>
    <w:rsid w:val="00D752E5"/>
    <w:rsid w:val="00D75390"/>
    <w:rsid w:val="00D75416"/>
    <w:rsid w:val="00D75659"/>
    <w:rsid w:val="00D756A9"/>
    <w:rsid w:val="00D758BB"/>
    <w:rsid w:val="00D759D4"/>
    <w:rsid w:val="00D759D6"/>
    <w:rsid w:val="00D75D6B"/>
    <w:rsid w:val="00D75DBC"/>
    <w:rsid w:val="00D75E0F"/>
    <w:rsid w:val="00D75F7C"/>
    <w:rsid w:val="00D7600D"/>
    <w:rsid w:val="00D760D9"/>
    <w:rsid w:val="00D761BD"/>
    <w:rsid w:val="00D7622B"/>
    <w:rsid w:val="00D763A0"/>
    <w:rsid w:val="00D76455"/>
    <w:rsid w:val="00D764C6"/>
    <w:rsid w:val="00D76529"/>
    <w:rsid w:val="00D76575"/>
    <w:rsid w:val="00D765B0"/>
    <w:rsid w:val="00D766A9"/>
    <w:rsid w:val="00D76908"/>
    <w:rsid w:val="00D76998"/>
    <w:rsid w:val="00D769C6"/>
    <w:rsid w:val="00D76B6E"/>
    <w:rsid w:val="00D76B96"/>
    <w:rsid w:val="00D76D30"/>
    <w:rsid w:val="00D76D97"/>
    <w:rsid w:val="00D76DEC"/>
    <w:rsid w:val="00D76E49"/>
    <w:rsid w:val="00D7728B"/>
    <w:rsid w:val="00D77346"/>
    <w:rsid w:val="00D77384"/>
    <w:rsid w:val="00D773E5"/>
    <w:rsid w:val="00D775BD"/>
    <w:rsid w:val="00D775C2"/>
    <w:rsid w:val="00D7765A"/>
    <w:rsid w:val="00D77687"/>
    <w:rsid w:val="00D776AF"/>
    <w:rsid w:val="00D77759"/>
    <w:rsid w:val="00D778C9"/>
    <w:rsid w:val="00D779E9"/>
    <w:rsid w:val="00D77A03"/>
    <w:rsid w:val="00D77A37"/>
    <w:rsid w:val="00D77BAA"/>
    <w:rsid w:val="00D77C86"/>
    <w:rsid w:val="00D77DB0"/>
    <w:rsid w:val="00D77DD3"/>
    <w:rsid w:val="00D805BE"/>
    <w:rsid w:val="00D80A3C"/>
    <w:rsid w:val="00D80A75"/>
    <w:rsid w:val="00D80D8C"/>
    <w:rsid w:val="00D80DD1"/>
    <w:rsid w:val="00D80ECD"/>
    <w:rsid w:val="00D810B9"/>
    <w:rsid w:val="00D811AF"/>
    <w:rsid w:val="00D8122D"/>
    <w:rsid w:val="00D81306"/>
    <w:rsid w:val="00D813C5"/>
    <w:rsid w:val="00D8142B"/>
    <w:rsid w:val="00D81439"/>
    <w:rsid w:val="00D8143C"/>
    <w:rsid w:val="00D81482"/>
    <w:rsid w:val="00D81588"/>
    <w:rsid w:val="00D815F0"/>
    <w:rsid w:val="00D8174E"/>
    <w:rsid w:val="00D81AC7"/>
    <w:rsid w:val="00D81C66"/>
    <w:rsid w:val="00D81C6F"/>
    <w:rsid w:val="00D81C72"/>
    <w:rsid w:val="00D81D8D"/>
    <w:rsid w:val="00D81E1C"/>
    <w:rsid w:val="00D81F27"/>
    <w:rsid w:val="00D8231B"/>
    <w:rsid w:val="00D8232C"/>
    <w:rsid w:val="00D82425"/>
    <w:rsid w:val="00D82434"/>
    <w:rsid w:val="00D8244D"/>
    <w:rsid w:val="00D826DB"/>
    <w:rsid w:val="00D82832"/>
    <w:rsid w:val="00D828A9"/>
    <w:rsid w:val="00D828E2"/>
    <w:rsid w:val="00D829BE"/>
    <w:rsid w:val="00D82A38"/>
    <w:rsid w:val="00D82A3D"/>
    <w:rsid w:val="00D82AC5"/>
    <w:rsid w:val="00D82AC6"/>
    <w:rsid w:val="00D82B29"/>
    <w:rsid w:val="00D82DD9"/>
    <w:rsid w:val="00D82E8B"/>
    <w:rsid w:val="00D83243"/>
    <w:rsid w:val="00D832CD"/>
    <w:rsid w:val="00D835C7"/>
    <w:rsid w:val="00D835FF"/>
    <w:rsid w:val="00D83693"/>
    <w:rsid w:val="00D837DE"/>
    <w:rsid w:val="00D837F6"/>
    <w:rsid w:val="00D838F4"/>
    <w:rsid w:val="00D839A2"/>
    <w:rsid w:val="00D83A0F"/>
    <w:rsid w:val="00D83A7B"/>
    <w:rsid w:val="00D83ABB"/>
    <w:rsid w:val="00D83B05"/>
    <w:rsid w:val="00D83D54"/>
    <w:rsid w:val="00D84024"/>
    <w:rsid w:val="00D8418B"/>
    <w:rsid w:val="00D84255"/>
    <w:rsid w:val="00D84265"/>
    <w:rsid w:val="00D842D8"/>
    <w:rsid w:val="00D84319"/>
    <w:rsid w:val="00D843A8"/>
    <w:rsid w:val="00D8442D"/>
    <w:rsid w:val="00D8444C"/>
    <w:rsid w:val="00D845B2"/>
    <w:rsid w:val="00D845B8"/>
    <w:rsid w:val="00D845BE"/>
    <w:rsid w:val="00D84601"/>
    <w:rsid w:val="00D8483D"/>
    <w:rsid w:val="00D84864"/>
    <w:rsid w:val="00D84945"/>
    <w:rsid w:val="00D84A30"/>
    <w:rsid w:val="00D84AFB"/>
    <w:rsid w:val="00D84B6F"/>
    <w:rsid w:val="00D84BC1"/>
    <w:rsid w:val="00D84C40"/>
    <w:rsid w:val="00D84C5C"/>
    <w:rsid w:val="00D84D20"/>
    <w:rsid w:val="00D84D45"/>
    <w:rsid w:val="00D84DC8"/>
    <w:rsid w:val="00D84DFA"/>
    <w:rsid w:val="00D84F38"/>
    <w:rsid w:val="00D84FB7"/>
    <w:rsid w:val="00D85161"/>
    <w:rsid w:val="00D851E1"/>
    <w:rsid w:val="00D851FF"/>
    <w:rsid w:val="00D85438"/>
    <w:rsid w:val="00D8545B"/>
    <w:rsid w:val="00D855F8"/>
    <w:rsid w:val="00D85606"/>
    <w:rsid w:val="00D8561B"/>
    <w:rsid w:val="00D85659"/>
    <w:rsid w:val="00D8580D"/>
    <w:rsid w:val="00D859C6"/>
    <w:rsid w:val="00D85A0B"/>
    <w:rsid w:val="00D85AD1"/>
    <w:rsid w:val="00D85B9D"/>
    <w:rsid w:val="00D85C33"/>
    <w:rsid w:val="00D85DAB"/>
    <w:rsid w:val="00D85E94"/>
    <w:rsid w:val="00D85EA8"/>
    <w:rsid w:val="00D85F43"/>
    <w:rsid w:val="00D85FF4"/>
    <w:rsid w:val="00D86017"/>
    <w:rsid w:val="00D8602E"/>
    <w:rsid w:val="00D860A4"/>
    <w:rsid w:val="00D860B1"/>
    <w:rsid w:val="00D86129"/>
    <w:rsid w:val="00D86159"/>
    <w:rsid w:val="00D8624F"/>
    <w:rsid w:val="00D86313"/>
    <w:rsid w:val="00D86390"/>
    <w:rsid w:val="00D866AD"/>
    <w:rsid w:val="00D86855"/>
    <w:rsid w:val="00D86859"/>
    <w:rsid w:val="00D868C0"/>
    <w:rsid w:val="00D868CA"/>
    <w:rsid w:val="00D86A5D"/>
    <w:rsid w:val="00D86A6D"/>
    <w:rsid w:val="00D86BDB"/>
    <w:rsid w:val="00D86C28"/>
    <w:rsid w:val="00D86D97"/>
    <w:rsid w:val="00D8729B"/>
    <w:rsid w:val="00D87375"/>
    <w:rsid w:val="00D873D4"/>
    <w:rsid w:val="00D87556"/>
    <w:rsid w:val="00D875EB"/>
    <w:rsid w:val="00D87637"/>
    <w:rsid w:val="00D8774C"/>
    <w:rsid w:val="00D877FD"/>
    <w:rsid w:val="00D878C6"/>
    <w:rsid w:val="00D87925"/>
    <w:rsid w:val="00D87975"/>
    <w:rsid w:val="00D87A34"/>
    <w:rsid w:val="00D87A5B"/>
    <w:rsid w:val="00D87A75"/>
    <w:rsid w:val="00D87C6D"/>
    <w:rsid w:val="00D87DD1"/>
    <w:rsid w:val="00D87E52"/>
    <w:rsid w:val="00D90088"/>
    <w:rsid w:val="00D90149"/>
    <w:rsid w:val="00D90241"/>
    <w:rsid w:val="00D9039F"/>
    <w:rsid w:val="00D903B9"/>
    <w:rsid w:val="00D905ED"/>
    <w:rsid w:val="00D9068B"/>
    <w:rsid w:val="00D909F2"/>
    <w:rsid w:val="00D90A7E"/>
    <w:rsid w:val="00D90AB6"/>
    <w:rsid w:val="00D90B92"/>
    <w:rsid w:val="00D90C53"/>
    <w:rsid w:val="00D90CAB"/>
    <w:rsid w:val="00D9108C"/>
    <w:rsid w:val="00D910FE"/>
    <w:rsid w:val="00D9129B"/>
    <w:rsid w:val="00D912AB"/>
    <w:rsid w:val="00D912D5"/>
    <w:rsid w:val="00D91333"/>
    <w:rsid w:val="00D91359"/>
    <w:rsid w:val="00D913EA"/>
    <w:rsid w:val="00D913F0"/>
    <w:rsid w:val="00D91454"/>
    <w:rsid w:val="00D914C5"/>
    <w:rsid w:val="00D91776"/>
    <w:rsid w:val="00D91808"/>
    <w:rsid w:val="00D91C02"/>
    <w:rsid w:val="00D91CAA"/>
    <w:rsid w:val="00D91D0F"/>
    <w:rsid w:val="00D91D17"/>
    <w:rsid w:val="00D91D4C"/>
    <w:rsid w:val="00D91DA4"/>
    <w:rsid w:val="00D91EE1"/>
    <w:rsid w:val="00D91FAC"/>
    <w:rsid w:val="00D920B4"/>
    <w:rsid w:val="00D923C7"/>
    <w:rsid w:val="00D92452"/>
    <w:rsid w:val="00D92586"/>
    <w:rsid w:val="00D92651"/>
    <w:rsid w:val="00D92757"/>
    <w:rsid w:val="00D927E3"/>
    <w:rsid w:val="00D927E7"/>
    <w:rsid w:val="00D9283E"/>
    <w:rsid w:val="00D92A53"/>
    <w:rsid w:val="00D92AC5"/>
    <w:rsid w:val="00D92AD6"/>
    <w:rsid w:val="00D92B17"/>
    <w:rsid w:val="00D92C77"/>
    <w:rsid w:val="00D92D22"/>
    <w:rsid w:val="00D92DCC"/>
    <w:rsid w:val="00D92E02"/>
    <w:rsid w:val="00D92E0F"/>
    <w:rsid w:val="00D93098"/>
    <w:rsid w:val="00D930E7"/>
    <w:rsid w:val="00D930FC"/>
    <w:rsid w:val="00D931EF"/>
    <w:rsid w:val="00D93213"/>
    <w:rsid w:val="00D9336C"/>
    <w:rsid w:val="00D933B0"/>
    <w:rsid w:val="00D933FA"/>
    <w:rsid w:val="00D93439"/>
    <w:rsid w:val="00D93524"/>
    <w:rsid w:val="00D935C9"/>
    <w:rsid w:val="00D936BF"/>
    <w:rsid w:val="00D9372F"/>
    <w:rsid w:val="00D937D2"/>
    <w:rsid w:val="00D93859"/>
    <w:rsid w:val="00D938D4"/>
    <w:rsid w:val="00D93911"/>
    <w:rsid w:val="00D93A1F"/>
    <w:rsid w:val="00D93CFB"/>
    <w:rsid w:val="00D93D3C"/>
    <w:rsid w:val="00D93D88"/>
    <w:rsid w:val="00D9400D"/>
    <w:rsid w:val="00D940CD"/>
    <w:rsid w:val="00D94241"/>
    <w:rsid w:val="00D94324"/>
    <w:rsid w:val="00D944C2"/>
    <w:rsid w:val="00D9459D"/>
    <w:rsid w:val="00D9491D"/>
    <w:rsid w:val="00D94971"/>
    <w:rsid w:val="00D94999"/>
    <w:rsid w:val="00D949E9"/>
    <w:rsid w:val="00D94A08"/>
    <w:rsid w:val="00D94AAE"/>
    <w:rsid w:val="00D94B6F"/>
    <w:rsid w:val="00D94C60"/>
    <w:rsid w:val="00D94CC6"/>
    <w:rsid w:val="00D94D33"/>
    <w:rsid w:val="00D94ED9"/>
    <w:rsid w:val="00D94F91"/>
    <w:rsid w:val="00D95014"/>
    <w:rsid w:val="00D95172"/>
    <w:rsid w:val="00D9519B"/>
    <w:rsid w:val="00D951F5"/>
    <w:rsid w:val="00D952B7"/>
    <w:rsid w:val="00D952C0"/>
    <w:rsid w:val="00D95381"/>
    <w:rsid w:val="00D95515"/>
    <w:rsid w:val="00D956CB"/>
    <w:rsid w:val="00D956FA"/>
    <w:rsid w:val="00D95985"/>
    <w:rsid w:val="00D959CC"/>
    <w:rsid w:val="00D95A90"/>
    <w:rsid w:val="00D95ADC"/>
    <w:rsid w:val="00D95D7F"/>
    <w:rsid w:val="00D95EF5"/>
    <w:rsid w:val="00D95F2F"/>
    <w:rsid w:val="00D95F3E"/>
    <w:rsid w:val="00D9627D"/>
    <w:rsid w:val="00D9634C"/>
    <w:rsid w:val="00D963C6"/>
    <w:rsid w:val="00D96442"/>
    <w:rsid w:val="00D9644C"/>
    <w:rsid w:val="00D96841"/>
    <w:rsid w:val="00D9684B"/>
    <w:rsid w:val="00D9687E"/>
    <w:rsid w:val="00D968A0"/>
    <w:rsid w:val="00D96A88"/>
    <w:rsid w:val="00D96CAA"/>
    <w:rsid w:val="00D96D94"/>
    <w:rsid w:val="00D96DA7"/>
    <w:rsid w:val="00D96DD8"/>
    <w:rsid w:val="00D96E59"/>
    <w:rsid w:val="00D96F29"/>
    <w:rsid w:val="00D96F2F"/>
    <w:rsid w:val="00D97112"/>
    <w:rsid w:val="00D971A7"/>
    <w:rsid w:val="00D971E6"/>
    <w:rsid w:val="00D9722C"/>
    <w:rsid w:val="00D97347"/>
    <w:rsid w:val="00D9742D"/>
    <w:rsid w:val="00D9758D"/>
    <w:rsid w:val="00D9760C"/>
    <w:rsid w:val="00D97682"/>
    <w:rsid w:val="00D976C2"/>
    <w:rsid w:val="00D977A0"/>
    <w:rsid w:val="00D978B8"/>
    <w:rsid w:val="00D979EF"/>
    <w:rsid w:val="00D97A08"/>
    <w:rsid w:val="00D97A24"/>
    <w:rsid w:val="00D97AA6"/>
    <w:rsid w:val="00D97AE3"/>
    <w:rsid w:val="00D97B11"/>
    <w:rsid w:val="00D97D6F"/>
    <w:rsid w:val="00D97E05"/>
    <w:rsid w:val="00D97E0A"/>
    <w:rsid w:val="00D97E5F"/>
    <w:rsid w:val="00D97F10"/>
    <w:rsid w:val="00DA0023"/>
    <w:rsid w:val="00DA01B1"/>
    <w:rsid w:val="00DA01F5"/>
    <w:rsid w:val="00DA0492"/>
    <w:rsid w:val="00DA04C2"/>
    <w:rsid w:val="00DA0695"/>
    <w:rsid w:val="00DA085E"/>
    <w:rsid w:val="00DA0905"/>
    <w:rsid w:val="00DA0A0F"/>
    <w:rsid w:val="00DA0AF4"/>
    <w:rsid w:val="00DA0B71"/>
    <w:rsid w:val="00DA0C31"/>
    <w:rsid w:val="00DA0C60"/>
    <w:rsid w:val="00DA0DE4"/>
    <w:rsid w:val="00DA0E1B"/>
    <w:rsid w:val="00DA0F2F"/>
    <w:rsid w:val="00DA102B"/>
    <w:rsid w:val="00DA1035"/>
    <w:rsid w:val="00DA1561"/>
    <w:rsid w:val="00DA1570"/>
    <w:rsid w:val="00DA1737"/>
    <w:rsid w:val="00DA1852"/>
    <w:rsid w:val="00DA1915"/>
    <w:rsid w:val="00DA193D"/>
    <w:rsid w:val="00DA196C"/>
    <w:rsid w:val="00DA1A5A"/>
    <w:rsid w:val="00DA1A85"/>
    <w:rsid w:val="00DA1C52"/>
    <w:rsid w:val="00DA1D16"/>
    <w:rsid w:val="00DA1F59"/>
    <w:rsid w:val="00DA2030"/>
    <w:rsid w:val="00DA208C"/>
    <w:rsid w:val="00DA2223"/>
    <w:rsid w:val="00DA229A"/>
    <w:rsid w:val="00DA2349"/>
    <w:rsid w:val="00DA2612"/>
    <w:rsid w:val="00DA28BE"/>
    <w:rsid w:val="00DA296C"/>
    <w:rsid w:val="00DA2A57"/>
    <w:rsid w:val="00DA2A88"/>
    <w:rsid w:val="00DA2A93"/>
    <w:rsid w:val="00DA2B09"/>
    <w:rsid w:val="00DA2C23"/>
    <w:rsid w:val="00DA2EC6"/>
    <w:rsid w:val="00DA3017"/>
    <w:rsid w:val="00DA304A"/>
    <w:rsid w:val="00DA306A"/>
    <w:rsid w:val="00DA319C"/>
    <w:rsid w:val="00DA31B2"/>
    <w:rsid w:val="00DA340F"/>
    <w:rsid w:val="00DA346A"/>
    <w:rsid w:val="00DA3584"/>
    <w:rsid w:val="00DA3637"/>
    <w:rsid w:val="00DA385D"/>
    <w:rsid w:val="00DA389D"/>
    <w:rsid w:val="00DA3929"/>
    <w:rsid w:val="00DA3AC4"/>
    <w:rsid w:val="00DA3B9B"/>
    <w:rsid w:val="00DA3CD0"/>
    <w:rsid w:val="00DA3D18"/>
    <w:rsid w:val="00DA3DE1"/>
    <w:rsid w:val="00DA3E2F"/>
    <w:rsid w:val="00DA3E4D"/>
    <w:rsid w:val="00DA3E79"/>
    <w:rsid w:val="00DA3FA1"/>
    <w:rsid w:val="00DA404C"/>
    <w:rsid w:val="00DA4155"/>
    <w:rsid w:val="00DA41A4"/>
    <w:rsid w:val="00DA43A6"/>
    <w:rsid w:val="00DA4505"/>
    <w:rsid w:val="00DA458E"/>
    <w:rsid w:val="00DA45BF"/>
    <w:rsid w:val="00DA4791"/>
    <w:rsid w:val="00DA48FD"/>
    <w:rsid w:val="00DA4934"/>
    <w:rsid w:val="00DA4B7D"/>
    <w:rsid w:val="00DA4B87"/>
    <w:rsid w:val="00DA4D2E"/>
    <w:rsid w:val="00DA4E0A"/>
    <w:rsid w:val="00DA4E67"/>
    <w:rsid w:val="00DA4E91"/>
    <w:rsid w:val="00DA4F74"/>
    <w:rsid w:val="00DA50ED"/>
    <w:rsid w:val="00DA50FE"/>
    <w:rsid w:val="00DA512A"/>
    <w:rsid w:val="00DA5169"/>
    <w:rsid w:val="00DA5606"/>
    <w:rsid w:val="00DA5636"/>
    <w:rsid w:val="00DA573F"/>
    <w:rsid w:val="00DA5772"/>
    <w:rsid w:val="00DA57EF"/>
    <w:rsid w:val="00DA5896"/>
    <w:rsid w:val="00DA5934"/>
    <w:rsid w:val="00DA5936"/>
    <w:rsid w:val="00DA596D"/>
    <w:rsid w:val="00DA5CE3"/>
    <w:rsid w:val="00DA604D"/>
    <w:rsid w:val="00DA6155"/>
    <w:rsid w:val="00DA616F"/>
    <w:rsid w:val="00DA62EF"/>
    <w:rsid w:val="00DA62FE"/>
    <w:rsid w:val="00DA656E"/>
    <w:rsid w:val="00DA6658"/>
    <w:rsid w:val="00DA670A"/>
    <w:rsid w:val="00DA68EA"/>
    <w:rsid w:val="00DA69D9"/>
    <w:rsid w:val="00DA6A6E"/>
    <w:rsid w:val="00DA6BBD"/>
    <w:rsid w:val="00DA6E90"/>
    <w:rsid w:val="00DA6EBF"/>
    <w:rsid w:val="00DA712F"/>
    <w:rsid w:val="00DA71F1"/>
    <w:rsid w:val="00DA72E4"/>
    <w:rsid w:val="00DA7485"/>
    <w:rsid w:val="00DA76CC"/>
    <w:rsid w:val="00DA77E4"/>
    <w:rsid w:val="00DA7936"/>
    <w:rsid w:val="00DA7937"/>
    <w:rsid w:val="00DA7B46"/>
    <w:rsid w:val="00DA7C91"/>
    <w:rsid w:val="00DA7CB9"/>
    <w:rsid w:val="00DA7F44"/>
    <w:rsid w:val="00DA7FEF"/>
    <w:rsid w:val="00DB006B"/>
    <w:rsid w:val="00DB00C8"/>
    <w:rsid w:val="00DB01A2"/>
    <w:rsid w:val="00DB01BC"/>
    <w:rsid w:val="00DB0217"/>
    <w:rsid w:val="00DB0222"/>
    <w:rsid w:val="00DB0343"/>
    <w:rsid w:val="00DB03C9"/>
    <w:rsid w:val="00DB046A"/>
    <w:rsid w:val="00DB051E"/>
    <w:rsid w:val="00DB063B"/>
    <w:rsid w:val="00DB06E4"/>
    <w:rsid w:val="00DB0878"/>
    <w:rsid w:val="00DB095B"/>
    <w:rsid w:val="00DB0964"/>
    <w:rsid w:val="00DB097B"/>
    <w:rsid w:val="00DB097D"/>
    <w:rsid w:val="00DB0A2B"/>
    <w:rsid w:val="00DB0A8B"/>
    <w:rsid w:val="00DB0B28"/>
    <w:rsid w:val="00DB0BF1"/>
    <w:rsid w:val="00DB0CB0"/>
    <w:rsid w:val="00DB0D10"/>
    <w:rsid w:val="00DB0D6C"/>
    <w:rsid w:val="00DB0E09"/>
    <w:rsid w:val="00DB1065"/>
    <w:rsid w:val="00DB12F5"/>
    <w:rsid w:val="00DB13DD"/>
    <w:rsid w:val="00DB13E6"/>
    <w:rsid w:val="00DB1617"/>
    <w:rsid w:val="00DB1679"/>
    <w:rsid w:val="00DB16BB"/>
    <w:rsid w:val="00DB184C"/>
    <w:rsid w:val="00DB1914"/>
    <w:rsid w:val="00DB1921"/>
    <w:rsid w:val="00DB19B0"/>
    <w:rsid w:val="00DB1C03"/>
    <w:rsid w:val="00DB1C77"/>
    <w:rsid w:val="00DB1D22"/>
    <w:rsid w:val="00DB1FAC"/>
    <w:rsid w:val="00DB2179"/>
    <w:rsid w:val="00DB22B4"/>
    <w:rsid w:val="00DB2320"/>
    <w:rsid w:val="00DB2400"/>
    <w:rsid w:val="00DB242C"/>
    <w:rsid w:val="00DB2440"/>
    <w:rsid w:val="00DB2443"/>
    <w:rsid w:val="00DB2642"/>
    <w:rsid w:val="00DB27FC"/>
    <w:rsid w:val="00DB290B"/>
    <w:rsid w:val="00DB2911"/>
    <w:rsid w:val="00DB2A5C"/>
    <w:rsid w:val="00DB2C24"/>
    <w:rsid w:val="00DB2CC6"/>
    <w:rsid w:val="00DB2D03"/>
    <w:rsid w:val="00DB2D64"/>
    <w:rsid w:val="00DB2EEE"/>
    <w:rsid w:val="00DB30E5"/>
    <w:rsid w:val="00DB30EC"/>
    <w:rsid w:val="00DB3109"/>
    <w:rsid w:val="00DB3307"/>
    <w:rsid w:val="00DB332D"/>
    <w:rsid w:val="00DB3350"/>
    <w:rsid w:val="00DB3450"/>
    <w:rsid w:val="00DB35A5"/>
    <w:rsid w:val="00DB3669"/>
    <w:rsid w:val="00DB3830"/>
    <w:rsid w:val="00DB3924"/>
    <w:rsid w:val="00DB3A69"/>
    <w:rsid w:val="00DB3AAC"/>
    <w:rsid w:val="00DB3AF1"/>
    <w:rsid w:val="00DB3B66"/>
    <w:rsid w:val="00DB3C2D"/>
    <w:rsid w:val="00DB3C59"/>
    <w:rsid w:val="00DB3D54"/>
    <w:rsid w:val="00DB3EE2"/>
    <w:rsid w:val="00DB406B"/>
    <w:rsid w:val="00DB4277"/>
    <w:rsid w:val="00DB434A"/>
    <w:rsid w:val="00DB4524"/>
    <w:rsid w:val="00DB4610"/>
    <w:rsid w:val="00DB478E"/>
    <w:rsid w:val="00DB47A3"/>
    <w:rsid w:val="00DB4892"/>
    <w:rsid w:val="00DB4924"/>
    <w:rsid w:val="00DB4B6A"/>
    <w:rsid w:val="00DB4C13"/>
    <w:rsid w:val="00DB4DB2"/>
    <w:rsid w:val="00DB4F1B"/>
    <w:rsid w:val="00DB4F21"/>
    <w:rsid w:val="00DB505B"/>
    <w:rsid w:val="00DB50FC"/>
    <w:rsid w:val="00DB5151"/>
    <w:rsid w:val="00DB51CA"/>
    <w:rsid w:val="00DB52C2"/>
    <w:rsid w:val="00DB56DD"/>
    <w:rsid w:val="00DB589C"/>
    <w:rsid w:val="00DB5904"/>
    <w:rsid w:val="00DB590E"/>
    <w:rsid w:val="00DB5990"/>
    <w:rsid w:val="00DB5A4E"/>
    <w:rsid w:val="00DB5A5F"/>
    <w:rsid w:val="00DB5B5E"/>
    <w:rsid w:val="00DB5BFB"/>
    <w:rsid w:val="00DB5D16"/>
    <w:rsid w:val="00DB5F3B"/>
    <w:rsid w:val="00DB5F58"/>
    <w:rsid w:val="00DB6141"/>
    <w:rsid w:val="00DB6205"/>
    <w:rsid w:val="00DB6255"/>
    <w:rsid w:val="00DB62BD"/>
    <w:rsid w:val="00DB63CE"/>
    <w:rsid w:val="00DB6498"/>
    <w:rsid w:val="00DB64B3"/>
    <w:rsid w:val="00DB658D"/>
    <w:rsid w:val="00DB660F"/>
    <w:rsid w:val="00DB6633"/>
    <w:rsid w:val="00DB663F"/>
    <w:rsid w:val="00DB679F"/>
    <w:rsid w:val="00DB6851"/>
    <w:rsid w:val="00DB69FA"/>
    <w:rsid w:val="00DB6A70"/>
    <w:rsid w:val="00DB6A82"/>
    <w:rsid w:val="00DB6AD2"/>
    <w:rsid w:val="00DB6B33"/>
    <w:rsid w:val="00DB6B56"/>
    <w:rsid w:val="00DB6CB1"/>
    <w:rsid w:val="00DB6CC6"/>
    <w:rsid w:val="00DB6D96"/>
    <w:rsid w:val="00DB6E47"/>
    <w:rsid w:val="00DB7078"/>
    <w:rsid w:val="00DB707A"/>
    <w:rsid w:val="00DB70D6"/>
    <w:rsid w:val="00DB7125"/>
    <w:rsid w:val="00DB7127"/>
    <w:rsid w:val="00DB7189"/>
    <w:rsid w:val="00DB71A2"/>
    <w:rsid w:val="00DB7302"/>
    <w:rsid w:val="00DB732A"/>
    <w:rsid w:val="00DB7390"/>
    <w:rsid w:val="00DB7444"/>
    <w:rsid w:val="00DB7464"/>
    <w:rsid w:val="00DB7573"/>
    <w:rsid w:val="00DB78E9"/>
    <w:rsid w:val="00DB7B71"/>
    <w:rsid w:val="00DB7CAE"/>
    <w:rsid w:val="00DB7D50"/>
    <w:rsid w:val="00DB7ED8"/>
    <w:rsid w:val="00DC00A7"/>
    <w:rsid w:val="00DC01A9"/>
    <w:rsid w:val="00DC0312"/>
    <w:rsid w:val="00DC038D"/>
    <w:rsid w:val="00DC044E"/>
    <w:rsid w:val="00DC0457"/>
    <w:rsid w:val="00DC05FD"/>
    <w:rsid w:val="00DC06AF"/>
    <w:rsid w:val="00DC0912"/>
    <w:rsid w:val="00DC0A25"/>
    <w:rsid w:val="00DC0ACA"/>
    <w:rsid w:val="00DC0AF7"/>
    <w:rsid w:val="00DC0C06"/>
    <w:rsid w:val="00DC0D96"/>
    <w:rsid w:val="00DC0E4E"/>
    <w:rsid w:val="00DC0E8B"/>
    <w:rsid w:val="00DC101D"/>
    <w:rsid w:val="00DC104F"/>
    <w:rsid w:val="00DC10F1"/>
    <w:rsid w:val="00DC1125"/>
    <w:rsid w:val="00DC1272"/>
    <w:rsid w:val="00DC1339"/>
    <w:rsid w:val="00DC1358"/>
    <w:rsid w:val="00DC13BF"/>
    <w:rsid w:val="00DC1600"/>
    <w:rsid w:val="00DC163E"/>
    <w:rsid w:val="00DC1686"/>
    <w:rsid w:val="00DC1701"/>
    <w:rsid w:val="00DC17EE"/>
    <w:rsid w:val="00DC18F7"/>
    <w:rsid w:val="00DC1991"/>
    <w:rsid w:val="00DC19E4"/>
    <w:rsid w:val="00DC1A90"/>
    <w:rsid w:val="00DC1B10"/>
    <w:rsid w:val="00DC1C1A"/>
    <w:rsid w:val="00DC1C1D"/>
    <w:rsid w:val="00DC1C33"/>
    <w:rsid w:val="00DC1D05"/>
    <w:rsid w:val="00DC1E85"/>
    <w:rsid w:val="00DC1F3C"/>
    <w:rsid w:val="00DC213C"/>
    <w:rsid w:val="00DC224E"/>
    <w:rsid w:val="00DC22A7"/>
    <w:rsid w:val="00DC22C0"/>
    <w:rsid w:val="00DC2309"/>
    <w:rsid w:val="00DC247D"/>
    <w:rsid w:val="00DC25C9"/>
    <w:rsid w:val="00DC26CA"/>
    <w:rsid w:val="00DC26DD"/>
    <w:rsid w:val="00DC281B"/>
    <w:rsid w:val="00DC28CE"/>
    <w:rsid w:val="00DC2916"/>
    <w:rsid w:val="00DC2950"/>
    <w:rsid w:val="00DC29B8"/>
    <w:rsid w:val="00DC2A60"/>
    <w:rsid w:val="00DC2A86"/>
    <w:rsid w:val="00DC2C90"/>
    <w:rsid w:val="00DC2CAE"/>
    <w:rsid w:val="00DC2D38"/>
    <w:rsid w:val="00DC2F24"/>
    <w:rsid w:val="00DC3176"/>
    <w:rsid w:val="00DC348A"/>
    <w:rsid w:val="00DC3505"/>
    <w:rsid w:val="00DC3529"/>
    <w:rsid w:val="00DC3614"/>
    <w:rsid w:val="00DC3628"/>
    <w:rsid w:val="00DC3730"/>
    <w:rsid w:val="00DC37E8"/>
    <w:rsid w:val="00DC37FC"/>
    <w:rsid w:val="00DC380C"/>
    <w:rsid w:val="00DC391A"/>
    <w:rsid w:val="00DC39FB"/>
    <w:rsid w:val="00DC3AB5"/>
    <w:rsid w:val="00DC3E0A"/>
    <w:rsid w:val="00DC3E0E"/>
    <w:rsid w:val="00DC3EE3"/>
    <w:rsid w:val="00DC4084"/>
    <w:rsid w:val="00DC41BC"/>
    <w:rsid w:val="00DC4375"/>
    <w:rsid w:val="00DC44AB"/>
    <w:rsid w:val="00DC45B2"/>
    <w:rsid w:val="00DC47F3"/>
    <w:rsid w:val="00DC48E2"/>
    <w:rsid w:val="00DC4984"/>
    <w:rsid w:val="00DC4A09"/>
    <w:rsid w:val="00DC4A2D"/>
    <w:rsid w:val="00DC4A60"/>
    <w:rsid w:val="00DC4D37"/>
    <w:rsid w:val="00DC4E43"/>
    <w:rsid w:val="00DC4ECC"/>
    <w:rsid w:val="00DC4FBB"/>
    <w:rsid w:val="00DC51DF"/>
    <w:rsid w:val="00DC52A9"/>
    <w:rsid w:val="00DC53E4"/>
    <w:rsid w:val="00DC53E8"/>
    <w:rsid w:val="00DC5442"/>
    <w:rsid w:val="00DC5671"/>
    <w:rsid w:val="00DC56E1"/>
    <w:rsid w:val="00DC5914"/>
    <w:rsid w:val="00DC59AE"/>
    <w:rsid w:val="00DC5ABE"/>
    <w:rsid w:val="00DC5BF3"/>
    <w:rsid w:val="00DC5E10"/>
    <w:rsid w:val="00DC5EA6"/>
    <w:rsid w:val="00DC600A"/>
    <w:rsid w:val="00DC6056"/>
    <w:rsid w:val="00DC60D0"/>
    <w:rsid w:val="00DC6150"/>
    <w:rsid w:val="00DC62C4"/>
    <w:rsid w:val="00DC6308"/>
    <w:rsid w:val="00DC6367"/>
    <w:rsid w:val="00DC6623"/>
    <w:rsid w:val="00DC67B6"/>
    <w:rsid w:val="00DC67E7"/>
    <w:rsid w:val="00DC69FC"/>
    <w:rsid w:val="00DC6A02"/>
    <w:rsid w:val="00DC6A35"/>
    <w:rsid w:val="00DC6A51"/>
    <w:rsid w:val="00DC6A5E"/>
    <w:rsid w:val="00DC6A6E"/>
    <w:rsid w:val="00DC6BD5"/>
    <w:rsid w:val="00DC6BE1"/>
    <w:rsid w:val="00DC6E28"/>
    <w:rsid w:val="00DC6E78"/>
    <w:rsid w:val="00DC6F05"/>
    <w:rsid w:val="00DC6F30"/>
    <w:rsid w:val="00DC701B"/>
    <w:rsid w:val="00DC70D8"/>
    <w:rsid w:val="00DC70DF"/>
    <w:rsid w:val="00DC712F"/>
    <w:rsid w:val="00DC71C2"/>
    <w:rsid w:val="00DC7246"/>
    <w:rsid w:val="00DC7299"/>
    <w:rsid w:val="00DC7409"/>
    <w:rsid w:val="00DC741F"/>
    <w:rsid w:val="00DC74D3"/>
    <w:rsid w:val="00DC74E6"/>
    <w:rsid w:val="00DC7527"/>
    <w:rsid w:val="00DC7536"/>
    <w:rsid w:val="00DC762C"/>
    <w:rsid w:val="00DC76EB"/>
    <w:rsid w:val="00DC770A"/>
    <w:rsid w:val="00DC77A3"/>
    <w:rsid w:val="00DC7BDC"/>
    <w:rsid w:val="00DC7D0A"/>
    <w:rsid w:val="00DC7D2A"/>
    <w:rsid w:val="00DC7D56"/>
    <w:rsid w:val="00DC7D68"/>
    <w:rsid w:val="00DC7E09"/>
    <w:rsid w:val="00DD004B"/>
    <w:rsid w:val="00DD019D"/>
    <w:rsid w:val="00DD025B"/>
    <w:rsid w:val="00DD037C"/>
    <w:rsid w:val="00DD037F"/>
    <w:rsid w:val="00DD0416"/>
    <w:rsid w:val="00DD048B"/>
    <w:rsid w:val="00DD05A9"/>
    <w:rsid w:val="00DD064F"/>
    <w:rsid w:val="00DD0782"/>
    <w:rsid w:val="00DD079D"/>
    <w:rsid w:val="00DD086B"/>
    <w:rsid w:val="00DD09F1"/>
    <w:rsid w:val="00DD0A13"/>
    <w:rsid w:val="00DD0A26"/>
    <w:rsid w:val="00DD0BBB"/>
    <w:rsid w:val="00DD0D00"/>
    <w:rsid w:val="00DD0D64"/>
    <w:rsid w:val="00DD0DB2"/>
    <w:rsid w:val="00DD0DEC"/>
    <w:rsid w:val="00DD0F84"/>
    <w:rsid w:val="00DD106D"/>
    <w:rsid w:val="00DD115D"/>
    <w:rsid w:val="00DD1161"/>
    <w:rsid w:val="00DD16B1"/>
    <w:rsid w:val="00DD16F1"/>
    <w:rsid w:val="00DD1987"/>
    <w:rsid w:val="00DD19BE"/>
    <w:rsid w:val="00DD1AD9"/>
    <w:rsid w:val="00DD1B95"/>
    <w:rsid w:val="00DD1CC4"/>
    <w:rsid w:val="00DD1E37"/>
    <w:rsid w:val="00DD1EE2"/>
    <w:rsid w:val="00DD1F77"/>
    <w:rsid w:val="00DD1FC6"/>
    <w:rsid w:val="00DD2012"/>
    <w:rsid w:val="00DD20CF"/>
    <w:rsid w:val="00DD225A"/>
    <w:rsid w:val="00DD24E6"/>
    <w:rsid w:val="00DD2501"/>
    <w:rsid w:val="00DD265F"/>
    <w:rsid w:val="00DD2763"/>
    <w:rsid w:val="00DD2837"/>
    <w:rsid w:val="00DD285B"/>
    <w:rsid w:val="00DD28B3"/>
    <w:rsid w:val="00DD28CF"/>
    <w:rsid w:val="00DD29C0"/>
    <w:rsid w:val="00DD2A13"/>
    <w:rsid w:val="00DD2A6C"/>
    <w:rsid w:val="00DD2A8F"/>
    <w:rsid w:val="00DD2B74"/>
    <w:rsid w:val="00DD2CF3"/>
    <w:rsid w:val="00DD2EF3"/>
    <w:rsid w:val="00DD2F39"/>
    <w:rsid w:val="00DD2F3E"/>
    <w:rsid w:val="00DD2F7E"/>
    <w:rsid w:val="00DD31B7"/>
    <w:rsid w:val="00DD3246"/>
    <w:rsid w:val="00DD32F1"/>
    <w:rsid w:val="00DD33EA"/>
    <w:rsid w:val="00DD34D8"/>
    <w:rsid w:val="00DD367D"/>
    <w:rsid w:val="00DD387B"/>
    <w:rsid w:val="00DD3A00"/>
    <w:rsid w:val="00DD3A6B"/>
    <w:rsid w:val="00DD3B69"/>
    <w:rsid w:val="00DD3C25"/>
    <w:rsid w:val="00DD3D8D"/>
    <w:rsid w:val="00DD3D92"/>
    <w:rsid w:val="00DD3F84"/>
    <w:rsid w:val="00DD40A2"/>
    <w:rsid w:val="00DD4270"/>
    <w:rsid w:val="00DD429C"/>
    <w:rsid w:val="00DD42A7"/>
    <w:rsid w:val="00DD42C6"/>
    <w:rsid w:val="00DD43E7"/>
    <w:rsid w:val="00DD440F"/>
    <w:rsid w:val="00DD4654"/>
    <w:rsid w:val="00DD4660"/>
    <w:rsid w:val="00DD4847"/>
    <w:rsid w:val="00DD4963"/>
    <w:rsid w:val="00DD496A"/>
    <w:rsid w:val="00DD4A11"/>
    <w:rsid w:val="00DD4A3F"/>
    <w:rsid w:val="00DD4B82"/>
    <w:rsid w:val="00DD4D18"/>
    <w:rsid w:val="00DD4E9F"/>
    <w:rsid w:val="00DD4EFC"/>
    <w:rsid w:val="00DD4F50"/>
    <w:rsid w:val="00DD4FC5"/>
    <w:rsid w:val="00DD5035"/>
    <w:rsid w:val="00DD5239"/>
    <w:rsid w:val="00DD52F5"/>
    <w:rsid w:val="00DD5317"/>
    <w:rsid w:val="00DD541E"/>
    <w:rsid w:val="00DD54AE"/>
    <w:rsid w:val="00DD5594"/>
    <w:rsid w:val="00DD562A"/>
    <w:rsid w:val="00DD5940"/>
    <w:rsid w:val="00DD5A1B"/>
    <w:rsid w:val="00DD5A73"/>
    <w:rsid w:val="00DD5B94"/>
    <w:rsid w:val="00DD5CAB"/>
    <w:rsid w:val="00DD5D12"/>
    <w:rsid w:val="00DD5D4C"/>
    <w:rsid w:val="00DD5E26"/>
    <w:rsid w:val="00DD5E35"/>
    <w:rsid w:val="00DD5E45"/>
    <w:rsid w:val="00DD5E90"/>
    <w:rsid w:val="00DD6011"/>
    <w:rsid w:val="00DD6116"/>
    <w:rsid w:val="00DD616F"/>
    <w:rsid w:val="00DD6310"/>
    <w:rsid w:val="00DD63CC"/>
    <w:rsid w:val="00DD64A7"/>
    <w:rsid w:val="00DD6613"/>
    <w:rsid w:val="00DD6633"/>
    <w:rsid w:val="00DD671B"/>
    <w:rsid w:val="00DD6758"/>
    <w:rsid w:val="00DD6769"/>
    <w:rsid w:val="00DD67C4"/>
    <w:rsid w:val="00DD6954"/>
    <w:rsid w:val="00DD6AC5"/>
    <w:rsid w:val="00DD6C36"/>
    <w:rsid w:val="00DD6C3C"/>
    <w:rsid w:val="00DD6C5B"/>
    <w:rsid w:val="00DD6CA1"/>
    <w:rsid w:val="00DD6CDC"/>
    <w:rsid w:val="00DD6D4A"/>
    <w:rsid w:val="00DD70C2"/>
    <w:rsid w:val="00DD726D"/>
    <w:rsid w:val="00DD73C5"/>
    <w:rsid w:val="00DD73CE"/>
    <w:rsid w:val="00DD73DD"/>
    <w:rsid w:val="00DD74C6"/>
    <w:rsid w:val="00DD74D1"/>
    <w:rsid w:val="00DD764E"/>
    <w:rsid w:val="00DD76EB"/>
    <w:rsid w:val="00DD77EE"/>
    <w:rsid w:val="00DD7879"/>
    <w:rsid w:val="00DD7905"/>
    <w:rsid w:val="00DD7B2B"/>
    <w:rsid w:val="00DD7C07"/>
    <w:rsid w:val="00DD7C38"/>
    <w:rsid w:val="00DD7D47"/>
    <w:rsid w:val="00DD7DFF"/>
    <w:rsid w:val="00DD7E88"/>
    <w:rsid w:val="00DD7FE1"/>
    <w:rsid w:val="00DE0112"/>
    <w:rsid w:val="00DE01AB"/>
    <w:rsid w:val="00DE0362"/>
    <w:rsid w:val="00DE0538"/>
    <w:rsid w:val="00DE05E3"/>
    <w:rsid w:val="00DE07D6"/>
    <w:rsid w:val="00DE0836"/>
    <w:rsid w:val="00DE096D"/>
    <w:rsid w:val="00DE097F"/>
    <w:rsid w:val="00DE0C69"/>
    <w:rsid w:val="00DE0CD2"/>
    <w:rsid w:val="00DE0F55"/>
    <w:rsid w:val="00DE12E5"/>
    <w:rsid w:val="00DE137B"/>
    <w:rsid w:val="00DE1434"/>
    <w:rsid w:val="00DE1598"/>
    <w:rsid w:val="00DE16FA"/>
    <w:rsid w:val="00DE17AE"/>
    <w:rsid w:val="00DE1833"/>
    <w:rsid w:val="00DE18D9"/>
    <w:rsid w:val="00DE18DC"/>
    <w:rsid w:val="00DE196C"/>
    <w:rsid w:val="00DE19B0"/>
    <w:rsid w:val="00DE19F1"/>
    <w:rsid w:val="00DE1A9C"/>
    <w:rsid w:val="00DE1AB6"/>
    <w:rsid w:val="00DE1C54"/>
    <w:rsid w:val="00DE1E84"/>
    <w:rsid w:val="00DE1ECC"/>
    <w:rsid w:val="00DE208E"/>
    <w:rsid w:val="00DE20DD"/>
    <w:rsid w:val="00DE211E"/>
    <w:rsid w:val="00DE2247"/>
    <w:rsid w:val="00DE2261"/>
    <w:rsid w:val="00DE2361"/>
    <w:rsid w:val="00DE243F"/>
    <w:rsid w:val="00DE262D"/>
    <w:rsid w:val="00DE284A"/>
    <w:rsid w:val="00DE289C"/>
    <w:rsid w:val="00DE29C2"/>
    <w:rsid w:val="00DE2C76"/>
    <w:rsid w:val="00DE2DE3"/>
    <w:rsid w:val="00DE2E23"/>
    <w:rsid w:val="00DE2F1A"/>
    <w:rsid w:val="00DE30A7"/>
    <w:rsid w:val="00DE322C"/>
    <w:rsid w:val="00DE32B3"/>
    <w:rsid w:val="00DE32D1"/>
    <w:rsid w:val="00DE33C0"/>
    <w:rsid w:val="00DE33E7"/>
    <w:rsid w:val="00DE3501"/>
    <w:rsid w:val="00DE35F7"/>
    <w:rsid w:val="00DE36AF"/>
    <w:rsid w:val="00DE37F0"/>
    <w:rsid w:val="00DE3854"/>
    <w:rsid w:val="00DE3908"/>
    <w:rsid w:val="00DE3984"/>
    <w:rsid w:val="00DE3D38"/>
    <w:rsid w:val="00DE3F7C"/>
    <w:rsid w:val="00DE4001"/>
    <w:rsid w:val="00DE4060"/>
    <w:rsid w:val="00DE40E1"/>
    <w:rsid w:val="00DE412B"/>
    <w:rsid w:val="00DE430A"/>
    <w:rsid w:val="00DE443F"/>
    <w:rsid w:val="00DE44DE"/>
    <w:rsid w:val="00DE46C4"/>
    <w:rsid w:val="00DE4881"/>
    <w:rsid w:val="00DE4978"/>
    <w:rsid w:val="00DE4A4B"/>
    <w:rsid w:val="00DE4A71"/>
    <w:rsid w:val="00DE4AC9"/>
    <w:rsid w:val="00DE5029"/>
    <w:rsid w:val="00DE5078"/>
    <w:rsid w:val="00DE50A5"/>
    <w:rsid w:val="00DE5105"/>
    <w:rsid w:val="00DE51A9"/>
    <w:rsid w:val="00DE52B7"/>
    <w:rsid w:val="00DE5399"/>
    <w:rsid w:val="00DE53F3"/>
    <w:rsid w:val="00DE5534"/>
    <w:rsid w:val="00DE5535"/>
    <w:rsid w:val="00DE5657"/>
    <w:rsid w:val="00DE56CB"/>
    <w:rsid w:val="00DE56EF"/>
    <w:rsid w:val="00DE5773"/>
    <w:rsid w:val="00DE57E5"/>
    <w:rsid w:val="00DE5970"/>
    <w:rsid w:val="00DE59A4"/>
    <w:rsid w:val="00DE5A32"/>
    <w:rsid w:val="00DE5E43"/>
    <w:rsid w:val="00DE5E56"/>
    <w:rsid w:val="00DE5E8D"/>
    <w:rsid w:val="00DE6092"/>
    <w:rsid w:val="00DE6097"/>
    <w:rsid w:val="00DE60B1"/>
    <w:rsid w:val="00DE60CF"/>
    <w:rsid w:val="00DE6153"/>
    <w:rsid w:val="00DE621C"/>
    <w:rsid w:val="00DE6406"/>
    <w:rsid w:val="00DE64B9"/>
    <w:rsid w:val="00DE65C9"/>
    <w:rsid w:val="00DE662F"/>
    <w:rsid w:val="00DE6638"/>
    <w:rsid w:val="00DE6731"/>
    <w:rsid w:val="00DE67D2"/>
    <w:rsid w:val="00DE6863"/>
    <w:rsid w:val="00DE6986"/>
    <w:rsid w:val="00DE6B42"/>
    <w:rsid w:val="00DE6CA0"/>
    <w:rsid w:val="00DE6D68"/>
    <w:rsid w:val="00DE6E61"/>
    <w:rsid w:val="00DE6F09"/>
    <w:rsid w:val="00DE6F66"/>
    <w:rsid w:val="00DE701F"/>
    <w:rsid w:val="00DE7280"/>
    <w:rsid w:val="00DE7408"/>
    <w:rsid w:val="00DE754F"/>
    <w:rsid w:val="00DE759A"/>
    <w:rsid w:val="00DE7600"/>
    <w:rsid w:val="00DE7653"/>
    <w:rsid w:val="00DE769D"/>
    <w:rsid w:val="00DE77E1"/>
    <w:rsid w:val="00DE78EE"/>
    <w:rsid w:val="00DE79C8"/>
    <w:rsid w:val="00DE79FB"/>
    <w:rsid w:val="00DE7CEA"/>
    <w:rsid w:val="00DE7DE4"/>
    <w:rsid w:val="00DE7E5F"/>
    <w:rsid w:val="00DE7E84"/>
    <w:rsid w:val="00DE7EC7"/>
    <w:rsid w:val="00DE7F09"/>
    <w:rsid w:val="00DF0014"/>
    <w:rsid w:val="00DF0073"/>
    <w:rsid w:val="00DF00BF"/>
    <w:rsid w:val="00DF00C5"/>
    <w:rsid w:val="00DF00DB"/>
    <w:rsid w:val="00DF016E"/>
    <w:rsid w:val="00DF01E5"/>
    <w:rsid w:val="00DF02D7"/>
    <w:rsid w:val="00DF032E"/>
    <w:rsid w:val="00DF0391"/>
    <w:rsid w:val="00DF0409"/>
    <w:rsid w:val="00DF0566"/>
    <w:rsid w:val="00DF0919"/>
    <w:rsid w:val="00DF0B60"/>
    <w:rsid w:val="00DF0C6D"/>
    <w:rsid w:val="00DF103A"/>
    <w:rsid w:val="00DF1167"/>
    <w:rsid w:val="00DF11AD"/>
    <w:rsid w:val="00DF127B"/>
    <w:rsid w:val="00DF13CC"/>
    <w:rsid w:val="00DF1473"/>
    <w:rsid w:val="00DF1583"/>
    <w:rsid w:val="00DF15FC"/>
    <w:rsid w:val="00DF160D"/>
    <w:rsid w:val="00DF1A9A"/>
    <w:rsid w:val="00DF1B51"/>
    <w:rsid w:val="00DF1BC2"/>
    <w:rsid w:val="00DF1C2C"/>
    <w:rsid w:val="00DF1C8C"/>
    <w:rsid w:val="00DF1D54"/>
    <w:rsid w:val="00DF1E27"/>
    <w:rsid w:val="00DF1EC3"/>
    <w:rsid w:val="00DF1FCC"/>
    <w:rsid w:val="00DF20EB"/>
    <w:rsid w:val="00DF2678"/>
    <w:rsid w:val="00DF279A"/>
    <w:rsid w:val="00DF28D8"/>
    <w:rsid w:val="00DF2944"/>
    <w:rsid w:val="00DF29C4"/>
    <w:rsid w:val="00DF2B8B"/>
    <w:rsid w:val="00DF2CD7"/>
    <w:rsid w:val="00DF2E19"/>
    <w:rsid w:val="00DF30CD"/>
    <w:rsid w:val="00DF3101"/>
    <w:rsid w:val="00DF3196"/>
    <w:rsid w:val="00DF31C0"/>
    <w:rsid w:val="00DF31EC"/>
    <w:rsid w:val="00DF322A"/>
    <w:rsid w:val="00DF3239"/>
    <w:rsid w:val="00DF323E"/>
    <w:rsid w:val="00DF330F"/>
    <w:rsid w:val="00DF33D0"/>
    <w:rsid w:val="00DF34DB"/>
    <w:rsid w:val="00DF356B"/>
    <w:rsid w:val="00DF3BD1"/>
    <w:rsid w:val="00DF3C93"/>
    <w:rsid w:val="00DF3C97"/>
    <w:rsid w:val="00DF3CE1"/>
    <w:rsid w:val="00DF3E17"/>
    <w:rsid w:val="00DF3E35"/>
    <w:rsid w:val="00DF3E87"/>
    <w:rsid w:val="00DF4021"/>
    <w:rsid w:val="00DF4102"/>
    <w:rsid w:val="00DF417B"/>
    <w:rsid w:val="00DF4260"/>
    <w:rsid w:val="00DF44B6"/>
    <w:rsid w:val="00DF475E"/>
    <w:rsid w:val="00DF4784"/>
    <w:rsid w:val="00DF47B4"/>
    <w:rsid w:val="00DF498F"/>
    <w:rsid w:val="00DF4B92"/>
    <w:rsid w:val="00DF4C2D"/>
    <w:rsid w:val="00DF4E62"/>
    <w:rsid w:val="00DF4E8F"/>
    <w:rsid w:val="00DF4ECC"/>
    <w:rsid w:val="00DF4F98"/>
    <w:rsid w:val="00DF5147"/>
    <w:rsid w:val="00DF525D"/>
    <w:rsid w:val="00DF52E4"/>
    <w:rsid w:val="00DF52EC"/>
    <w:rsid w:val="00DF5434"/>
    <w:rsid w:val="00DF5438"/>
    <w:rsid w:val="00DF54BB"/>
    <w:rsid w:val="00DF55E7"/>
    <w:rsid w:val="00DF568A"/>
    <w:rsid w:val="00DF59A0"/>
    <w:rsid w:val="00DF59E0"/>
    <w:rsid w:val="00DF5B2A"/>
    <w:rsid w:val="00DF5B38"/>
    <w:rsid w:val="00DF5BA1"/>
    <w:rsid w:val="00DF5BB0"/>
    <w:rsid w:val="00DF5C1F"/>
    <w:rsid w:val="00DF5C7A"/>
    <w:rsid w:val="00DF5DB5"/>
    <w:rsid w:val="00DF5DD6"/>
    <w:rsid w:val="00DF5FBD"/>
    <w:rsid w:val="00DF60C9"/>
    <w:rsid w:val="00DF60D7"/>
    <w:rsid w:val="00DF623B"/>
    <w:rsid w:val="00DF62A2"/>
    <w:rsid w:val="00DF62DC"/>
    <w:rsid w:val="00DF62E2"/>
    <w:rsid w:val="00DF6328"/>
    <w:rsid w:val="00DF635A"/>
    <w:rsid w:val="00DF6366"/>
    <w:rsid w:val="00DF640F"/>
    <w:rsid w:val="00DF647A"/>
    <w:rsid w:val="00DF649E"/>
    <w:rsid w:val="00DF6514"/>
    <w:rsid w:val="00DF65C7"/>
    <w:rsid w:val="00DF663A"/>
    <w:rsid w:val="00DF668A"/>
    <w:rsid w:val="00DF6756"/>
    <w:rsid w:val="00DF6923"/>
    <w:rsid w:val="00DF6BD0"/>
    <w:rsid w:val="00DF6BD5"/>
    <w:rsid w:val="00DF6D38"/>
    <w:rsid w:val="00DF6D9F"/>
    <w:rsid w:val="00DF6E31"/>
    <w:rsid w:val="00DF6F9A"/>
    <w:rsid w:val="00DF6FF6"/>
    <w:rsid w:val="00DF713C"/>
    <w:rsid w:val="00DF7188"/>
    <w:rsid w:val="00DF7312"/>
    <w:rsid w:val="00DF7376"/>
    <w:rsid w:val="00DF737D"/>
    <w:rsid w:val="00DF7477"/>
    <w:rsid w:val="00DF755A"/>
    <w:rsid w:val="00DF7567"/>
    <w:rsid w:val="00DF77DB"/>
    <w:rsid w:val="00DF7830"/>
    <w:rsid w:val="00DF7831"/>
    <w:rsid w:val="00DF7845"/>
    <w:rsid w:val="00DF7A3E"/>
    <w:rsid w:val="00DF7AF8"/>
    <w:rsid w:val="00DF7B83"/>
    <w:rsid w:val="00DF7C44"/>
    <w:rsid w:val="00DF7D8E"/>
    <w:rsid w:val="00DF7EBA"/>
    <w:rsid w:val="00DF7EF4"/>
    <w:rsid w:val="00DF7F10"/>
    <w:rsid w:val="00DF7F33"/>
    <w:rsid w:val="00DF7F45"/>
    <w:rsid w:val="00E0003A"/>
    <w:rsid w:val="00E000E1"/>
    <w:rsid w:val="00E000E6"/>
    <w:rsid w:val="00E0032E"/>
    <w:rsid w:val="00E0033C"/>
    <w:rsid w:val="00E00426"/>
    <w:rsid w:val="00E00506"/>
    <w:rsid w:val="00E00527"/>
    <w:rsid w:val="00E0061C"/>
    <w:rsid w:val="00E0064F"/>
    <w:rsid w:val="00E0077E"/>
    <w:rsid w:val="00E008B5"/>
    <w:rsid w:val="00E008B8"/>
    <w:rsid w:val="00E009AB"/>
    <w:rsid w:val="00E009B4"/>
    <w:rsid w:val="00E00A26"/>
    <w:rsid w:val="00E00A89"/>
    <w:rsid w:val="00E00D22"/>
    <w:rsid w:val="00E00DFB"/>
    <w:rsid w:val="00E00E18"/>
    <w:rsid w:val="00E00FFC"/>
    <w:rsid w:val="00E0103B"/>
    <w:rsid w:val="00E01079"/>
    <w:rsid w:val="00E0113A"/>
    <w:rsid w:val="00E0113D"/>
    <w:rsid w:val="00E0134E"/>
    <w:rsid w:val="00E0158A"/>
    <w:rsid w:val="00E01825"/>
    <w:rsid w:val="00E01870"/>
    <w:rsid w:val="00E01AEA"/>
    <w:rsid w:val="00E01B8F"/>
    <w:rsid w:val="00E01BCA"/>
    <w:rsid w:val="00E01DA4"/>
    <w:rsid w:val="00E01DB6"/>
    <w:rsid w:val="00E01DD8"/>
    <w:rsid w:val="00E01E5C"/>
    <w:rsid w:val="00E01F42"/>
    <w:rsid w:val="00E01FF3"/>
    <w:rsid w:val="00E02072"/>
    <w:rsid w:val="00E021AA"/>
    <w:rsid w:val="00E0222F"/>
    <w:rsid w:val="00E02249"/>
    <w:rsid w:val="00E022B3"/>
    <w:rsid w:val="00E02310"/>
    <w:rsid w:val="00E023CD"/>
    <w:rsid w:val="00E02503"/>
    <w:rsid w:val="00E0263B"/>
    <w:rsid w:val="00E026F9"/>
    <w:rsid w:val="00E02717"/>
    <w:rsid w:val="00E028A8"/>
    <w:rsid w:val="00E03096"/>
    <w:rsid w:val="00E0317F"/>
    <w:rsid w:val="00E031DD"/>
    <w:rsid w:val="00E03268"/>
    <w:rsid w:val="00E0327F"/>
    <w:rsid w:val="00E03322"/>
    <w:rsid w:val="00E033CA"/>
    <w:rsid w:val="00E03633"/>
    <w:rsid w:val="00E0367C"/>
    <w:rsid w:val="00E0371D"/>
    <w:rsid w:val="00E03753"/>
    <w:rsid w:val="00E0390D"/>
    <w:rsid w:val="00E039AE"/>
    <w:rsid w:val="00E03A00"/>
    <w:rsid w:val="00E03A1B"/>
    <w:rsid w:val="00E03BA9"/>
    <w:rsid w:val="00E03C6C"/>
    <w:rsid w:val="00E03D18"/>
    <w:rsid w:val="00E03E12"/>
    <w:rsid w:val="00E03F05"/>
    <w:rsid w:val="00E04054"/>
    <w:rsid w:val="00E042BD"/>
    <w:rsid w:val="00E045A2"/>
    <w:rsid w:val="00E04634"/>
    <w:rsid w:val="00E0467B"/>
    <w:rsid w:val="00E0474F"/>
    <w:rsid w:val="00E047A2"/>
    <w:rsid w:val="00E0491E"/>
    <w:rsid w:val="00E049F7"/>
    <w:rsid w:val="00E04A51"/>
    <w:rsid w:val="00E04B18"/>
    <w:rsid w:val="00E04B43"/>
    <w:rsid w:val="00E04BB1"/>
    <w:rsid w:val="00E04D4E"/>
    <w:rsid w:val="00E04E19"/>
    <w:rsid w:val="00E04E57"/>
    <w:rsid w:val="00E04FA2"/>
    <w:rsid w:val="00E0503A"/>
    <w:rsid w:val="00E050A1"/>
    <w:rsid w:val="00E05102"/>
    <w:rsid w:val="00E051B3"/>
    <w:rsid w:val="00E0526E"/>
    <w:rsid w:val="00E05379"/>
    <w:rsid w:val="00E05483"/>
    <w:rsid w:val="00E05553"/>
    <w:rsid w:val="00E05570"/>
    <w:rsid w:val="00E055BA"/>
    <w:rsid w:val="00E055F1"/>
    <w:rsid w:val="00E0560E"/>
    <w:rsid w:val="00E056E8"/>
    <w:rsid w:val="00E05A50"/>
    <w:rsid w:val="00E05B99"/>
    <w:rsid w:val="00E05BC8"/>
    <w:rsid w:val="00E05C68"/>
    <w:rsid w:val="00E05D10"/>
    <w:rsid w:val="00E05D4C"/>
    <w:rsid w:val="00E05D50"/>
    <w:rsid w:val="00E05F65"/>
    <w:rsid w:val="00E05F88"/>
    <w:rsid w:val="00E06323"/>
    <w:rsid w:val="00E06433"/>
    <w:rsid w:val="00E065A3"/>
    <w:rsid w:val="00E067E6"/>
    <w:rsid w:val="00E06A27"/>
    <w:rsid w:val="00E06AB5"/>
    <w:rsid w:val="00E06B1F"/>
    <w:rsid w:val="00E06C21"/>
    <w:rsid w:val="00E06E60"/>
    <w:rsid w:val="00E06FD6"/>
    <w:rsid w:val="00E07250"/>
    <w:rsid w:val="00E074DB"/>
    <w:rsid w:val="00E07571"/>
    <w:rsid w:val="00E0776D"/>
    <w:rsid w:val="00E077FC"/>
    <w:rsid w:val="00E07829"/>
    <w:rsid w:val="00E078B5"/>
    <w:rsid w:val="00E07921"/>
    <w:rsid w:val="00E07C35"/>
    <w:rsid w:val="00E07C93"/>
    <w:rsid w:val="00E07DDD"/>
    <w:rsid w:val="00E07E5E"/>
    <w:rsid w:val="00E07E61"/>
    <w:rsid w:val="00E07FD6"/>
    <w:rsid w:val="00E10124"/>
    <w:rsid w:val="00E10186"/>
    <w:rsid w:val="00E10305"/>
    <w:rsid w:val="00E105B7"/>
    <w:rsid w:val="00E105C6"/>
    <w:rsid w:val="00E10657"/>
    <w:rsid w:val="00E106BE"/>
    <w:rsid w:val="00E10946"/>
    <w:rsid w:val="00E10A90"/>
    <w:rsid w:val="00E10AD0"/>
    <w:rsid w:val="00E10D30"/>
    <w:rsid w:val="00E10F5A"/>
    <w:rsid w:val="00E112B2"/>
    <w:rsid w:val="00E1138C"/>
    <w:rsid w:val="00E11628"/>
    <w:rsid w:val="00E118AA"/>
    <w:rsid w:val="00E118CB"/>
    <w:rsid w:val="00E11989"/>
    <w:rsid w:val="00E119CB"/>
    <w:rsid w:val="00E11A1D"/>
    <w:rsid w:val="00E11A3A"/>
    <w:rsid w:val="00E11D94"/>
    <w:rsid w:val="00E11DDF"/>
    <w:rsid w:val="00E11FB2"/>
    <w:rsid w:val="00E1220F"/>
    <w:rsid w:val="00E12224"/>
    <w:rsid w:val="00E122B2"/>
    <w:rsid w:val="00E122EC"/>
    <w:rsid w:val="00E1244D"/>
    <w:rsid w:val="00E1246A"/>
    <w:rsid w:val="00E1256C"/>
    <w:rsid w:val="00E1258D"/>
    <w:rsid w:val="00E1260A"/>
    <w:rsid w:val="00E128E8"/>
    <w:rsid w:val="00E12A14"/>
    <w:rsid w:val="00E12B2A"/>
    <w:rsid w:val="00E12B86"/>
    <w:rsid w:val="00E12BA3"/>
    <w:rsid w:val="00E12C46"/>
    <w:rsid w:val="00E12CEB"/>
    <w:rsid w:val="00E12E2E"/>
    <w:rsid w:val="00E12E31"/>
    <w:rsid w:val="00E12F23"/>
    <w:rsid w:val="00E130B8"/>
    <w:rsid w:val="00E13243"/>
    <w:rsid w:val="00E13268"/>
    <w:rsid w:val="00E1349F"/>
    <w:rsid w:val="00E13592"/>
    <w:rsid w:val="00E13611"/>
    <w:rsid w:val="00E13793"/>
    <w:rsid w:val="00E1390E"/>
    <w:rsid w:val="00E13AA3"/>
    <w:rsid w:val="00E13AFE"/>
    <w:rsid w:val="00E13B37"/>
    <w:rsid w:val="00E13B86"/>
    <w:rsid w:val="00E13E52"/>
    <w:rsid w:val="00E13F70"/>
    <w:rsid w:val="00E1407D"/>
    <w:rsid w:val="00E14169"/>
    <w:rsid w:val="00E142C0"/>
    <w:rsid w:val="00E142C3"/>
    <w:rsid w:val="00E14449"/>
    <w:rsid w:val="00E14471"/>
    <w:rsid w:val="00E1455C"/>
    <w:rsid w:val="00E14572"/>
    <w:rsid w:val="00E14582"/>
    <w:rsid w:val="00E14596"/>
    <w:rsid w:val="00E147C2"/>
    <w:rsid w:val="00E147CF"/>
    <w:rsid w:val="00E1487E"/>
    <w:rsid w:val="00E14995"/>
    <w:rsid w:val="00E14AAA"/>
    <w:rsid w:val="00E14CB8"/>
    <w:rsid w:val="00E14D76"/>
    <w:rsid w:val="00E150A1"/>
    <w:rsid w:val="00E15232"/>
    <w:rsid w:val="00E15250"/>
    <w:rsid w:val="00E15383"/>
    <w:rsid w:val="00E153AC"/>
    <w:rsid w:val="00E15507"/>
    <w:rsid w:val="00E1557F"/>
    <w:rsid w:val="00E155C3"/>
    <w:rsid w:val="00E15737"/>
    <w:rsid w:val="00E15807"/>
    <w:rsid w:val="00E1584E"/>
    <w:rsid w:val="00E159B3"/>
    <w:rsid w:val="00E15BB7"/>
    <w:rsid w:val="00E15BE2"/>
    <w:rsid w:val="00E15D6E"/>
    <w:rsid w:val="00E15EC6"/>
    <w:rsid w:val="00E16116"/>
    <w:rsid w:val="00E1621B"/>
    <w:rsid w:val="00E16278"/>
    <w:rsid w:val="00E1632B"/>
    <w:rsid w:val="00E1644A"/>
    <w:rsid w:val="00E16464"/>
    <w:rsid w:val="00E164D2"/>
    <w:rsid w:val="00E16550"/>
    <w:rsid w:val="00E16690"/>
    <w:rsid w:val="00E166CA"/>
    <w:rsid w:val="00E167D4"/>
    <w:rsid w:val="00E168A0"/>
    <w:rsid w:val="00E168DF"/>
    <w:rsid w:val="00E169C9"/>
    <w:rsid w:val="00E16A74"/>
    <w:rsid w:val="00E16D81"/>
    <w:rsid w:val="00E16E7C"/>
    <w:rsid w:val="00E16F05"/>
    <w:rsid w:val="00E170D6"/>
    <w:rsid w:val="00E17143"/>
    <w:rsid w:val="00E171D1"/>
    <w:rsid w:val="00E17345"/>
    <w:rsid w:val="00E17367"/>
    <w:rsid w:val="00E1741D"/>
    <w:rsid w:val="00E17484"/>
    <w:rsid w:val="00E17535"/>
    <w:rsid w:val="00E17673"/>
    <w:rsid w:val="00E176C3"/>
    <w:rsid w:val="00E17777"/>
    <w:rsid w:val="00E1780C"/>
    <w:rsid w:val="00E1792F"/>
    <w:rsid w:val="00E179A0"/>
    <w:rsid w:val="00E17A7E"/>
    <w:rsid w:val="00E17A8D"/>
    <w:rsid w:val="00E17B0A"/>
    <w:rsid w:val="00E17BC5"/>
    <w:rsid w:val="00E17C22"/>
    <w:rsid w:val="00E17D34"/>
    <w:rsid w:val="00E17D6C"/>
    <w:rsid w:val="00E17E54"/>
    <w:rsid w:val="00E17F01"/>
    <w:rsid w:val="00E17F1A"/>
    <w:rsid w:val="00E17FF8"/>
    <w:rsid w:val="00E201C4"/>
    <w:rsid w:val="00E20214"/>
    <w:rsid w:val="00E2032B"/>
    <w:rsid w:val="00E20391"/>
    <w:rsid w:val="00E203C4"/>
    <w:rsid w:val="00E203D8"/>
    <w:rsid w:val="00E203F8"/>
    <w:rsid w:val="00E204E1"/>
    <w:rsid w:val="00E204F6"/>
    <w:rsid w:val="00E207A7"/>
    <w:rsid w:val="00E20866"/>
    <w:rsid w:val="00E20AF2"/>
    <w:rsid w:val="00E20B19"/>
    <w:rsid w:val="00E20C0F"/>
    <w:rsid w:val="00E20CBA"/>
    <w:rsid w:val="00E20DBE"/>
    <w:rsid w:val="00E20E27"/>
    <w:rsid w:val="00E20E42"/>
    <w:rsid w:val="00E20F42"/>
    <w:rsid w:val="00E20F63"/>
    <w:rsid w:val="00E21050"/>
    <w:rsid w:val="00E2122A"/>
    <w:rsid w:val="00E2138F"/>
    <w:rsid w:val="00E2146C"/>
    <w:rsid w:val="00E214CF"/>
    <w:rsid w:val="00E21543"/>
    <w:rsid w:val="00E215A9"/>
    <w:rsid w:val="00E21617"/>
    <w:rsid w:val="00E21632"/>
    <w:rsid w:val="00E2183D"/>
    <w:rsid w:val="00E21936"/>
    <w:rsid w:val="00E21AA2"/>
    <w:rsid w:val="00E21B36"/>
    <w:rsid w:val="00E21C58"/>
    <w:rsid w:val="00E21C7B"/>
    <w:rsid w:val="00E21C94"/>
    <w:rsid w:val="00E21E5D"/>
    <w:rsid w:val="00E220E8"/>
    <w:rsid w:val="00E22225"/>
    <w:rsid w:val="00E22254"/>
    <w:rsid w:val="00E22461"/>
    <w:rsid w:val="00E224DA"/>
    <w:rsid w:val="00E2263A"/>
    <w:rsid w:val="00E226B0"/>
    <w:rsid w:val="00E22751"/>
    <w:rsid w:val="00E22762"/>
    <w:rsid w:val="00E229B2"/>
    <w:rsid w:val="00E22AD3"/>
    <w:rsid w:val="00E22B24"/>
    <w:rsid w:val="00E22C8E"/>
    <w:rsid w:val="00E22EFA"/>
    <w:rsid w:val="00E22F68"/>
    <w:rsid w:val="00E22F71"/>
    <w:rsid w:val="00E2302A"/>
    <w:rsid w:val="00E2305C"/>
    <w:rsid w:val="00E230BE"/>
    <w:rsid w:val="00E23188"/>
    <w:rsid w:val="00E231D7"/>
    <w:rsid w:val="00E2345A"/>
    <w:rsid w:val="00E234F2"/>
    <w:rsid w:val="00E23548"/>
    <w:rsid w:val="00E2360B"/>
    <w:rsid w:val="00E23913"/>
    <w:rsid w:val="00E239AE"/>
    <w:rsid w:val="00E239BA"/>
    <w:rsid w:val="00E23AB7"/>
    <w:rsid w:val="00E23D61"/>
    <w:rsid w:val="00E23DEA"/>
    <w:rsid w:val="00E24183"/>
    <w:rsid w:val="00E241A3"/>
    <w:rsid w:val="00E2423A"/>
    <w:rsid w:val="00E24265"/>
    <w:rsid w:val="00E24307"/>
    <w:rsid w:val="00E24341"/>
    <w:rsid w:val="00E2434F"/>
    <w:rsid w:val="00E24413"/>
    <w:rsid w:val="00E24512"/>
    <w:rsid w:val="00E245B9"/>
    <w:rsid w:val="00E24735"/>
    <w:rsid w:val="00E24B79"/>
    <w:rsid w:val="00E24CAC"/>
    <w:rsid w:val="00E24D7F"/>
    <w:rsid w:val="00E24E56"/>
    <w:rsid w:val="00E24E60"/>
    <w:rsid w:val="00E24E68"/>
    <w:rsid w:val="00E24F01"/>
    <w:rsid w:val="00E24F24"/>
    <w:rsid w:val="00E24F2B"/>
    <w:rsid w:val="00E25085"/>
    <w:rsid w:val="00E25289"/>
    <w:rsid w:val="00E252F0"/>
    <w:rsid w:val="00E25348"/>
    <w:rsid w:val="00E2534C"/>
    <w:rsid w:val="00E254E0"/>
    <w:rsid w:val="00E254E2"/>
    <w:rsid w:val="00E254EE"/>
    <w:rsid w:val="00E255D5"/>
    <w:rsid w:val="00E256C3"/>
    <w:rsid w:val="00E256E8"/>
    <w:rsid w:val="00E25773"/>
    <w:rsid w:val="00E2581A"/>
    <w:rsid w:val="00E25884"/>
    <w:rsid w:val="00E258D6"/>
    <w:rsid w:val="00E25931"/>
    <w:rsid w:val="00E25975"/>
    <w:rsid w:val="00E25987"/>
    <w:rsid w:val="00E259F9"/>
    <w:rsid w:val="00E25A54"/>
    <w:rsid w:val="00E25B44"/>
    <w:rsid w:val="00E25B8E"/>
    <w:rsid w:val="00E25D15"/>
    <w:rsid w:val="00E26489"/>
    <w:rsid w:val="00E26492"/>
    <w:rsid w:val="00E264A5"/>
    <w:rsid w:val="00E2655C"/>
    <w:rsid w:val="00E265CA"/>
    <w:rsid w:val="00E2670C"/>
    <w:rsid w:val="00E26893"/>
    <w:rsid w:val="00E26B79"/>
    <w:rsid w:val="00E26C9E"/>
    <w:rsid w:val="00E26D1E"/>
    <w:rsid w:val="00E26E00"/>
    <w:rsid w:val="00E26E49"/>
    <w:rsid w:val="00E26F48"/>
    <w:rsid w:val="00E26F6E"/>
    <w:rsid w:val="00E27197"/>
    <w:rsid w:val="00E27371"/>
    <w:rsid w:val="00E27519"/>
    <w:rsid w:val="00E2767B"/>
    <w:rsid w:val="00E2770C"/>
    <w:rsid w:val="00E27742"/>
    <w:rsid w:val="00E27757"/>
    <w:rsid w:val="00E277E0"/>
    <w:rsid w:val="00E27865"/>
    <w:rsid w:val="00E27869"/>
    <w:rsid w:val="00E27888"/>
    <w:rsid w:val="00E278BA"/>
    <w:rsid w:val="00E279AD"/>
    <w:rsid w:val="00E27AA3"/>
    <w:rsid w:val="00E27CC3"/>
    <w:rsid w:val="00E27DC4"/>
    <w:rsid w:val="00E27DF3"/>
    <w:rsid w:val="00E27ED2"/>
    <w:rsid w:val="00E30231"/>
    <w:rsid w:val="00E3023F"/>
    <w:rsid w:val="00E3032D"/>
    <w:rsid w:val="00E30386"/>
    <w:rsid w:val="00E3044A"/>
    <w:rsid w:val="00E30688"/>
    <w:rsid w:val="00E306D5"/>
    <w:rsid w:val="00E30843"/>
    <w:rsid w:val="00E30997"/>
    <w:rsid w:val="00E30C3B"/>
    <w:rsid w:val="00E30D1A"/>
    <w:rsid w:val="00E30D2F"/>
    <w:rsid w:val="00E30E64"/>
    <w:rsid w:val="00E30FD4"/>
    <w:rsid w:val="00E31143"/>
    <w:rsid w:val="00E31155"/>
    <w:rsid w:val="00E311B9"/>
    <w:rsid w:val="00E3138F"/>
    <w:rsid w:val="00E313E7"/>
    <w:rsid w:val="00E313ED"/>
    <w:rsid w:val="00E31430"/>
    <w:rsid w:val="00E31488"/>
    <w:rsid w:val="00E314B0"/>
    <w:rsid w:val="00E31530"/>
    <w:rsid w:val="00E315A4"/>
    <w:rsid w:val="00E315BB"/>
    <w:rsid w:val="00E316B5"/>
    <w:rsid w:val="00E31836"/>
    <w:rsid w:val="00E3189C"/>
    <w:rsid w:val="00E31A0F"/>
    <w:rsid w:val="00E31A75"/>
    <w:rsid w:val="00E31B00"/>
    <w:rsid w:val="00E31C0F"/>
    <w:rsid w:val="00E31E99"/>
    <w:rsid w:val="00E31F1E"/>
    <w:rsid w:val="00E31F29"/>
    <w:rsid w:val="00E31FAE"/>
    <w:rsid w:val="00E320C9"/>
    <w:rsid w:val="00E32103"/>
    <w:rsid w:val="00E3227B"/>
    <w:rsid w:val="00E324F7"/>
    <w:rsid w:val="00E3254C"/>
    <w:rsid w:val="00E32555"/>
    <w:rsid w:val="00E32802"/>
    <w:rsid w:val="00E32BDD"/>
    <w:rsid w:val="00E32DA2"/>
    <w:rsid w:val="00E32DB9"/>
    <w:rsid w:val="00E331EA"/>
    <w:rsid w:val="00E33329"/>
    <w:rsid w:val="00E3340B"/>
    <w:rsid w:val="00E33536"/>
    <w:rsid w:val="00E335BF"/>
    <w:rsid w:val="00E33653"/>
    <w:rsid w:val="00E336AA"/>
    <w:rsid w:val="00E33719"/>
    <w:rsid w:val="00E3383A"/>
    <w:rsid w:val="00E338F8"/>
    <w:rsid w:val="00E33933"/>
    <w:rsid w:val="00E33A18"/>
    <w:rsid w:val="00E33D3A"/>
    <w:rsid w:val="00E33D73"/>
    <w:rsid w:val="00E33E01"/>
    <w:rsid w:val="00E33F5A"/>
    <w:rsid w:val="00E34007"/>
    <w:rsid w:val="00E34011"/>
    <w:rsid w:val="00E34477"/>
    <w:rsid w:val="00E34512"/>
    <w:rsid w:val="00E346D9"/>
    <w:rsid w:val="00E3479E"/>
    <w:rsid w:val="00E348B4"/>
    <w:rsid w:val="00E348F9"/>
    <w:rsid w:val="00E349ED"/>
    <w:rsid w:val="00E34B2C"/>
    <w:rsid w:val="00E34B48"/>
    <w:rsid w:val="00E34BF1"/>
    <w:rsid w:val="00E34C5B"/>
    <w:rsid w:val="00E34DC9"/>
    <w:rsid w:val="00E34E2A"/>
    <w:rsid w:val="00E34FAD"/>
    <w:rsid w:val="00E35433"/>
    <w:rsid w:val="00E354F2"/>
    <w:rsid w:val="00E3550E"/>
    <w:rsid w:val="00E355BA"/>
    <w:rsid w:val="00E3566A"/>
    <w:rsid w:val="00E356AD"/>
    <w:rsid w:val="00E356F9"/>
    <w:rsid w:val="00E3572B"/>
    <w:rsid w:val="00E3573A"/>
    <w:rsid w:val="00E357DF"/>
    <w:rsid w:val="00E35A28"/>
    <w:rsid w:val="00E35A3A"/>
    <w:rsid w:val="00E35A60"/>
    <w:rsid w:val="00E35AC7"/>
    <w:rsid w:val="00E35AD0"/>
    <w:rsid w:val="00E35B82"/>
    <w:rsid w:val="00E35B84"/>
    <w:rsid w:val="00E35C07"/>
    <w:rsid w:val="00E35CFD"/>
    <w:rsid w:val="00E35E6F"/>
    <w:rsid w:val="00E3604C"/>
    <w:rsid w:val="00E3614B"/>
    <w:rsid w:val="00E36189"/>
    <w:rsid w:val="00E36285"/>
    <w:rsid w:val="00E362B7"/>
    <w:rsid w:val="00E364C4"/>
    <w:rsid w:val="00E367F7"/>
    <w:rsid w:val="00E3686E"/>
    <w:rsid w:val="00E369EC"/>
    <w:rsid w:val="00E36A18"/>
    <w:rsid w:val="00E36B72"/>
    <w:rsid w:val="00E36BAC"/>
    <w:rsid w:val="00E36C5D"/>
    <w:rsid w:val="00E36DA7"/>
    <w:rsid w:val="00E36F12"/>
    <w:rsid w:val="00E36F64"/>
    <w:rsid w:val="00E36F6F"/>
    <w:rsid w:val="00E36F8F"/>
    <w:rsid w:val="00E37197"/>
    <w:rsid w:val="00E371A3"/>
    <w:rsid w:val="00E372AC"/>
    <w:rsid w:val="00E37302"/>
    <w:rsid w:val="00E37314"/>
    <w:rsid w:val="00E373E4"/>
    <w:rsid w:val="00E375AA"/>
    <w:rsid w:val="00E37754"/>
    <w:rsid w:val="00E377DE"/>
    <w:rsid w:val="00E378C2"/>
    <w:rsid w:val="00E37956"/>
    <w:rsid w:val="00E37A71"/>
    <w:rsid w:val="00E37E97"/>
    <w:rsid w:val="00E37EFC"/>
    <w:rsid w:val="00E40167"/>
    <w:rsid w:val="00E401FF"/>
    <w:rsid w:val="00E402B0"/>
    <w:rsid w:val="00E402D9"/>
    <w:rsid w:val="00E40340"/>
    <w:rsid w:val="00E40369"/>
    <w:rsid w:val="00E404DE"/>
    <w:rsid w:val="00E4062F"/>
    <w:rsid w:val="00E40814"/>
    <w:rsid w:val="00E408DA"/>
    <w:rsid w:val="00E4094D"/>
    <w:rsid w:val="00E40B49"/>
    <w:rsid w:val="00E40B51"/>
    <w:rsid w:val="00E40B58"/>
    <w:rsid w:val="00E40BB2"/>
    <w:rsid w:val="00E40CD8"/>
    <w:rsid w:val="00E40D90"/>
    <w:rsid w:val="00E40DE6"/>
    <w:rsid w:val="00E410D2"/>
    <w:rsid w:val="00E410DA"/>
    <w:rsid w:val="00E41225"/>
    <w:rsid w:val="00E412A6"/>
    <w:rsid w:val="00E412ED"/>
    <w:rsid w:val="00E416BE"/>
    <w:rsid w:val="00E41731"/>
    <w:rsid w:val="00E41776"/>
    <w:rsid w:val="00E417DE"/>
    <w:rsid w:val="00E4181D"/>
    <w:rsid w:val="00E41834"/>
    <w:rsid w:val="00E41B53"/>
    <w:rsid w:val="00E41BF9"/>
    <w:rsid w:val="00E41C4B"/>
    <w:rsid w:val="00E41E2E"/>
    <w:rsid w:val="00E41E9E"/>
    <w:rsid w:val="00E41EAF"/>
    <w:rsid w:val="00E4217B"/>
    <w:rsid w:val="00E4264D"/>
    <w:rsid w:val="00E426F4"/>
    <w:rsid w:val="00E42701"/>
    <w:rsid w:val="00E4271B"/>
    <w:rsid w:val="00E42757"/>
    <w:rsid w:val="00E42A0C"/>
    <w:rsid w:val="00E42B00"/>
    <w:rsid w:val="00E42BE3"/>
    <w:rsid w:val="00E42C02"/>
    <w:rsid w:val="00E42CAF"/>
    <w:rsid w:val="00E42DB1"/>
    <w:rsid w:val="00E42E48"/>
    <w:rsid w:val="00E42EBB"/>
    <w:rsid w:val="00E43055"/>
    <w:rsid w:val="00E4305A"/>
    <w:rsid w:val="00E430FB"/>
    <w:rsid w:val="00E4311B"/>
    <w:rsid w:val="00E43123"/>
    <w:rsid w:val="00E43134"/>
    <w:rsid w:val="00E43140"/>
    <w:rsid w:val="00E432D3"/>
    <w:rsid w:val="00E4333E"/>
    <w:rsid w:val="00E4334E"/>
    <w:rsid w:val="00E43426"/>
    <w:rsid w:val="00E43477"/>
    <w:rsid w:val="00E435F9"/>
    <w:rsid w:val="00E43830"/>
    <w:rsid w:val="00E43842"/>
    <w:rsid w:val="00E43884"/>
    <w:rsid w:val="00E43895"/>
    <w:rsid w:val="00E4398C"/>
    <w:rsid w:val="00E43A71"/>
    <w:rsid w:val="00E43B00"/>
    <w:rsid w:val="00E43C47"/>
    <w:rsid w:val="00E43DA0"/>
    <w:rsid w:val="00E44255"/>
    <w:rsid w:val="00E44290"/>
    <w:rsid w:val="00E4429C"/>
    <w:rsid w:val="00E4430F"/>
    <w:rsid w:val="00E44358"/>
    <w:rsid w:val="00E4443A"/>
    <w:rsid w:val="00E445A3"/>
    <w:rsid w:val="00E445FA"/>
    <w:rsid w:val="00E4464B"/>
    <w:rsid w:val="00E44650"/>
    <w:rsid w:val="00E4469C"/>
    <w:rsid w:val="00E447D5"/>
    <w:rsid w:val="00E447E0"/>
    <w:rsid w:val="00E4491E"/>
    <w:rsid w:val="00E44B6D"/>
    <w:rsid w:val="00E44D31"/>
    <w:rsid w:val="00E450A7"/>
    <w:rsid w:val="00E451EF"/>
    <w:rsid w:val="00E4544F"/>
    <w:rsid w:val="00E454C3"/>
    <w:rsid w:val="00E45694"/>
    <w:rsid w:val="00E45711"/>
    <w:rsid w:val="00E45742"/>
    <w:rsid w:val="00E4575E"/>
    <w:rsid w:val="00E45768"/>
    <w:rsid w:val="00E4580A"/>
    <w:rsid w:val="00E4580D"/>
    <w:rsid w:val="00E4583B"/>
    <w:rsid w:val="00E4585F"/>
    <w:rsid w:val="00E45BDD"/>
    <w:rsid w:val="00E45D6F"/>
    <w:rsid w:val="00E45EA4"/>
    <w:rsid w:val="00E45F94"/>
    <w:rsid w:val="00E46094"/>
    <w:rsid w:val="00E46158"/>
    <w:rsid w:val="00E4619D"/>
    <w:rsid w:val="00E461B3"/>
    <w:rsid w:val="00E462B8"/>
    <w:rsid w:val="00E4649D"/>
    <w:rsid w:val="00E46541"/>
    <w:rsid w:val="00E4656C"/>
    <w:rsid w:val="00E465F2"/>
    <w:rsid w:val="00E46617"/>
    <w:rsid w:val="00E4662D"/>
    <w:rsid w:val="00E4687C"/>
    <w:rsid w:val="00E469F1"/>
    <w:rsid w:val="00E46BD1"/>
    <w:rsid w:val="00E46CBD"/>
    <w:rsid w:val="00E46E3B"/>
    <w:rsid w:val="00E46EDE"/>
    <w:rsid w:val="00E46FCD"/>
    <w:rsid w:val="00E47059"/>
    <w:rsid w:val="00E47266"/>
    <w:rsid w:val="00E47493"/>
    <w:rsid w:val="00E47523"/>
    <w:rsid w:val="00E47640"/>
    <w:rsid w:val="00E476AA"/>
    <w:rsid w:val="00E476C4"/>
    <w:rsid w:val="00E47764"/>
    <w:rsid w:val="00E4779F"/>
    <w:rsid w:val="00E477A6"/>
    <w:rsid w:val="00E47817"/>
    <w:rsid w:val="00E47897"/>
    <w:rsid w:val="00E47968"/>
    <w:rsid w:val="00E479AA"/>
    <w:rsid w:val="00E47B24"/>
    <w:rsid w:val="00E47B35"/>
    <w:rsid w:val="00E47B5D"/>
    <w:rsid w:val="00E47B90"/>
    <w:rsid w:val="00E47C5F"/>
    <w:rsid w:val="00E47C71"/>
    <w:rsid w:val="00E47E25"/>
    <w:rsid w:val="00E47E50"/>
    <w:rsid w:val="00E47E71"/>
    <w:rsid w:val="00E47F1F"/>
    <w:rsid w:val="00E47F54"/>
    <w:rsid w:val="00E50017"/>
    <w:rsid w:val="00E500E8"/>
    <w:rsid w:val="00E502DC"/>
    <w:rsid w:val="00E50606"/>
    <w:rsid w:val="00E507D1"/>
    <w:rsid w:val="00E5082A"/>
    <w:rsid w:val="00E508E8"/>
    <w:rsid w:val="00E5091E"/>
    <w:rsid w:val="00E5094E"/>
    <w:rsid w:val="00E50975"/>
    <w:rsid w:val="00E50979"/>
    <w:rsid w:val="00E50A1F"/>
    <w:rsid w:val="00E50A51"/>
    <w:rsid w:val="00E50BAE"/>
    <w:rsid w:val="00E50D60"/>
    <w:rsid w:val="00E50DCB"/>
    <w:rsid w:val="00E50E4A"/>
    <w:rsid w:val="00E50F4A"/>
    <w:rsid w:val="00E50F50"/>
    <w:rsid w:val="00E50F5E"/>
    <w:rsid w:val="00E51013"/>
    <w:rsid w:val="00E5101D"/>
    <w:rsid w:val="00E51121"/>
    <w:rsid w:val="00E51202"/>
    <w:rsid w:val="00E51241"/>
    <w:rsid w:val="00E5157B"/>
    <w:rsid w:val="00E51682"/>
    <w:rsid w:val="00E51717"/>
    <w:rsid w:val="00E518F3"/>
    <w:rsid w:val="00E51A9D"/>
    <w:rsid w:val="00E51AE2"/>
    <w:rsid w:val="00E51B0B"/>
    <w:rsid w:val="00E51B2B"/>
    <w:rsid w:val="00E51E43"/>
    <w:rsid w:val="00E5203E"/>
    <w:rsid w:val="00E52148"/>
    <w:rsid w:val="00E521BC"/>
    <w:rsid w:val="00E521CF"/>
    <w:rsid w:val="00E52323"/>
    <w:rsid w:val="00E523C3"/>
    <w:rsid w:val="00E5262C"/>
    <w:rsid w:val="00E52758"/>
    <w:rsid w:val="00E527BD"/>
    <w:rsid w:val="00E5281C"/>
    <w:rsid w:val="00E52BD4"/>
    <w:rsid w:val="00E52BF1"/>
    <w:rsid w:val="00E52CB7"/>
    <w:rsid w:val="00E52FC7"/>
    <w:rsid w:val="00E53070"/>
    <w:rsid w:val="00E53087"/>
    <w:rsid w:val="00E53121"/>
    <w:rsid w:val="00E53302"/>
    <w:rsid w:val="00E5330A"/>
    <w:rsid w:val="00E53322"/>
    <w:rsid w:val="00E533AC"/>
    <w:rsid w:val="00E533BF"/>
    <w:rsid w:val="00E53540"/>
    <w:rsid w:val="00E535C0"/>
    <w:rsid w:val="00E5373B"/>
    <w:rsid w:val="00E53778"/>
    <w:rsid w:val="00E5393C"/>
    <w:rsid w:val="00E53B50"/>
    <w:rsid w:val="00E53C03"/>
    <w:rsid w:val="00E53C4D"/>
    <w:rsid w:val="00E53EFF"/>
    <w:rsid w:val="00E53FD1"/>
    <w:rsid w:val="00E53FF0"/>
    <w:rsid w:val="00E540F5"/>
    <w:rsid w:val="00E54119"/>
    <w:rsid w:val="00E542A2"/>
    <w:rsid w:val="00E54307"/>
    <w:rsid w:val="00E54393"/>
    <w:rsid w:val="00E54517"/>
    <w:rsid w:val="00E5455D"/>
    <w:rsid w:val="00E545EF"/>
    <w:rsid w:val="00E54617"/>
    <w:rsid w:val="00E546B3"/>
    <w:rsid w:val="00E54739"/>
    <w:rsid w:val="00E5475A"/>
    <w:rsid w:val="00E547BF"/>
    <w:rsid w:val="00E5491C"/>
    <w:rsid w:val="00E54C4A"/>
    <w:rsid w:val="00E54D81"/>
    <w:rsid w:val="00E54EFB"/>
    <w:rsid w:val="00E54F37"/>
    <w:rsid w:val="00E55030"/>
    <w:rsid w:val="00E55152"/>
    <w:rsid w:val="00E553C0"/>
    <w:rsid w:val="00E553C9"/>
    <w:rsid w:val="00E5546D"/>
    <w:rsid w:val="00E5546E"/>
    <w:rsid w:val="00E5551E"/>
    <w:rsid w:val="00E5554A"/>
    <w:rsid w:val="00E555ED"/>
    <w:rsid w:val="00E55697"/>
    <w:rsid w:val="00E556B9"/>
    <w:rsid w:val="00E556CD"/>
    <w:rsid w:val="00E55767"/>
    <w:rsid w:val="00E557E3"/>
    <w:rsid w:val="00E558B0"/>
    <w:rsid w:val="00E55B76"/>
    <w:rsid w:val="00E55D88"/>
    <w:rsid w:val="00E55E31"/>
    <w:rsid w:val="00E55E9D"/>
    <w:rsid w:val="00E55F04"/>
    <w:rsid w:val="00E55F58"/>
    <w:rsid w:val="00E55F6C"/>
    <w:rsid w:val="00E55F97"/>
    <w:rsid w:val="00E55FC5"/>
    <w:rsid w:val="00E560FC"/>
    <w:rsid w:val="00E56273"/>
    <w:rsid w:val="00E562BB"/>
    <w:rsid w:val="00E564AF"/>
    <w:rsid w:val="00E56529"/>
    <w:rsid w:val="00E5657A"/>
    <w:rsid w:val="00E565A8"/>
    <w:rsid w:val="00E56615"/>
    <w:rsid w:val="00E56641"/>
    <w:rsid w:val="00E56658"/>
    <w:rsid w:val="00E567A1"/>
    <w:rsid w:val="00E56865"/>
    <w:rsid w:val="00E568CA"/>
    <w:rsid w:val="00E56DF6"/>
    <w:rsid w:val="00E56E4D"/>
    <w:rsid w:val="00E56F5C"/>
    <w:rsid w:val="00E56FA3"/>
    <w:rsid w:val="00E57188"/>
    <w:rsid w:val="00E57403"/>
    <w:rsid w:val="00E57475"/>
    <w:rsid w:val="00E57497"/>
    <w:rsid w:val="00E5761C"/>
    <w:rsid w:val="00E577ED"/>
    <w:rsid w:val="00E57888"/>
    <w:rsid w:val="00E57986"/>
    <w:rsid w:val="00E57ABB"/>
    <w:rsid w:val="00E57BCC"/>
    <w:rsid w:val="00E57CE0"/>
    <w:rsid w:val="00E6007D"/>
    <w:rsid w:val="00E600FA"/>
    <w:rsid w:val="00E601B7"/>
    <w:rsid w:val="00E601E3"/>
    <w:rsid w:val="00E60271"/>
    <w:rsid w:val="00E602E5"/>
    <w:rsid w:val="00E60337"/>
    <w:rsid w:val="00E60455"/>
    <w:rsid w:val="00E60567"/>
    <w:rsid w:val="00E60689"/>
    <w:rsid w:val="00E607BE"/>
    <w:rsid w:val="00E607D9"/>
    <w:rsid w:val="00E607DF"/>
    <w:rsid w:val="00E608B5"/>
    <w:rsid w:val="00E60950"/>
    <w:rsid w:val="00E60A3C"/>
    <w:rsid w:val="00E60C5C"/>
    <w:rsid w:val="00E60D59"/>
    <w:rsid w:val="00E60F5D"/>
    <w:rsid w:val="00E61103"/>
    <w:rsid w:val="00E61189"/>
    <w:rsid w:val="00E611AB"/>
    <w:rsid w:val="00E61239"/>
    <w:rsid w:val="00E612ED"/>
    <w:rsid w:val="00E61364"/>
    <w:rsid w:val="00E61367"/>
    <w:rsid w:val="00E613D4"/>
    <w:rsid w:val="00E6144A"/>
    <w:rsid w:val="00E6165B"/>
    <w:rsid w:val="00E616D9"/>
    <w:rsid w:val="00E6172F"/>
    <w:rsid w:val="00E61742"/>
    <w:rsid w:val="00E61804"/>
    <w:rsid w:val="00E6180D"/>
    <w:rsid w:val="00E6182E"/>
    <w:rsid w:val="00E618DF"/>
    <w:rsid w:val="00E61911"/>
    <w:rsid w:val="00E619C8"/>
    <w:rsid w:val="00E61B34"/>
    <w:rsid w:val="00E61BCE"/>
    <w:rsid w:val="00E61C49"/>
    <w:rsid w:val="00E61D90"/>
    <w:rsid w:val="00E61E4D"/>
    <w:rsid w:val="00E61EA9"/>
    <w:rsid w:val="00E6209E"/>
    <w:rsid w:val="00E62284"/>
    <w:rsid w:val="00E6229C"/>
    <w:rsid w:val="00E623D2"/>
    <w:rsid w:val="00E6240A"/>
    <w:rsid w:val="00E6246D"/>
    <w:rsid w:val="00E624E8"/>
    <w:rsid w:val="00E62572"/>
    <w:rsid w:val="00E6258F"/>
    <w:rsid w:val="00E6265A"/>
    <w:rsid w:val="00E6268D"/>
    <w:rsid w:val="00E626CE"/>
    <w:rsid w:val="00E62956"/>
    <w:rsid w:val="00E629A6"/>
    <w:rsid w:val="00E62A92"/>
    <w:rsid w:val="00E62B79"/>
    <w:rsid w:val="00E62BE4"/>
    <w:rsid w:val="00E62C38"/>
    <w:rsid w:val="00E62C69"/>
    <w:rsid w:val="00E62C7B"/>
    <w:rsid w:val="00E62D3A"/>
    <w:rsid w:val="00E62D3E"/>
    <w:rsid w:val="00E62E39"/>
    <w:rsid w:val="00E62F0E"/>
    <w:rsid w:val="00E62F4B"/>
    <w:rsid w:val="00E62FF8"/>
    <w:rsid w:val="00E630E3"/>
    <w:rsid w:val="00E63120"/>
    <w:rsid w:val="00E631F7"/>
    <w:rsid w:val="00E6340A"/>
    <w:rsid w:val="00E635B6"/>
    <w:rsid w:val="00E635C7"/>
    <w:rsid w:val="00E635EC"/>
    <w:rsid w:val="00E63711"/>
    <w:rsid w:val="00E6374F"/>
    <w:rsid w:val="00E63763"/>
    <w:rsid w:val="00E63856"/>
    <w:rsid w:val="00E63ACB"/>
    <w:rsid w:val="00E63AD2"/>
    <w:rsid w:val="00E63C04"/>
    <w:rsid w:val="00E63C8D"/>
    <w:rsid w:val="00E63D27"/>
    <w:rsid w:val="00E63DA4"/>
    <w:rsid w:val="00E63DCA"/>
    <w:rsid w:val="00E63EA2"/>
    <w:rsid w:val="00E64196"/>
    <w:rsid w:val="00E641AD"/>
    <w:rsid w:val="00E64248"/>
    <w:rsid w:val="00E6432A"/>
    <w:rsid w:val="00E6468B"/>
    <w:rsid w:val="00E646E6"/>
    <w:rsid w:val="00E64772"/>
    <w:rsid w:val="00E6490D"/>
    <w:rsid w:val="00E64BC6"/>
    <w:rsid w:val="00E64C2C"/>
    <w:rsid w:val="00E64E5A"/>
    <w:rsid w:val="00E64EBD"/>
    <w:rsid w:val="00E64F57"/>
    <w:rsid w:val="00E64F8C"/>
    <w:rsid w:val="00E650A4"/>
    <w:rsid w:val="00E650E9"/>
    <w:rsid w:val="00E651C3"/>
    <w:rsid w:val="00E65205"/>
    <w:rsid w:val="00E65251"/>
    <w:rsid w:val="00E65258"/>
    <w:rsid w:val="00E652FC"/>
    <w:rsid w:val="00E654DA"/>
    <w:rsid w:val="00E65506"/>
    <w:rsid w:val="00E65559"/>
    <w:rsid w:val="00E65589"/>
    <w:rsid w:val="00E655E5"/>
    <w:rsid w:val="00E657F3"/>
    <w:rsid w:val="00E6588B"/>
    <w:rsid w:val="00E65923"/>
    <w:rsid w:val="00E65A2F"/>
    <w:rsid w:val="00E65A80"/>
    <w:rsid w:val="00E65D2E"/>
    <w:rsid w:val="00E65EEB"/>
    <w:rsid w:val="00E65F3C"/>
    <w:rsid w:val="00E65F7D"/>
    <w:rsid w:val="00E66180"/>
    <w:rsid w:val="00E6638C"/>
    <w:rsid w:val="00E664E7"/>
    <w:rsid w:val="00E6651C"/>
    <w:rsid w:val="00E6675E"/>
    <w:rsid w:val="00E668ED"/>
    <w:rsid w:val="00E6697D"/>
    <w:rsid w:val="00E669FE"/>
    <w:rsid w:val="00E66AD0"/>
    <w:rsid w:val="00E66DC4"/>
    <w:rsid w:val="00E66ED8"/>
    <w:rsid w:val="00E66EE9"/>
    <w:rsid w:val="00E66F3B"/>
    <w:rsid w:val="00E66F84"/>
    <w:rsid w:val="00E67110"/>
    <w:rsid w:val="00E6722B"/>
    <w:rsid w:val="00E673E9"/>
    <w:rsid w:val="00E67474"/>
    <w:rsid w:val="00E67545"/>
    <w:rsid w:val="00E679D7"/>
    <w:rsid w:val="00E67B07"/>
    <w:rsid w:val="00E67C22"/>
    <w:rsid w:val="00E67EBE"/>
    <w:rsid w:val="00E67F71"/>
    <w:rsid w:val="00E67FE4"/>
    <w:rsid w:val="00E70007"/>
    <w:rsid w:val="00E7005D"/>
    <w:rsid w:val="00E7010C"/>
    <w:rsid w:val="00E701F7"/>
    <w:rsid w:val="00E702EA"/>
    <w:rsid w:val="00E702F4"/>
    <w:rsid w:val="00E70354"/>
    <w:rsid w:val="00E703B8"/>
    <w:rsid w:val="00E70458"/>
    <w:rsid w:val="00E70569"/>
    <w:rsid w:val="00E7057F"/>
    <w:rsid w:val="00E70648"/>
    <w:rsid w:val="00E7073E"/>
    <w:rsid w:val="00E707A8"/>
    <w:rsid w:val="00E70840"/>
    <w:rsid w:val="00E708E6"/>
    <w:rsid w:val="00E7090A"/>
    <w:rsid w:val="00E70ABA"/>
    <w:rsid w:val="00E70ACF"/>
    <w:rsid w:val="00E70CD3"/>
    <w:rsid w:val="00E70DA6"/>
    <w:rsid w:val="00E70DEC"/>
    <w:rsid w:val="00E70E26"/>
    <w:rsid w:val="00E70E6E"/>
    <w:rsid w:val="00E70F67"/>
    <w:rsid w:val="00E7124E"/>
    <w:rsid w:val="00E71334"/>
    <w:rsid w:val="00E713D5"/>
    <w:rsid w:val="00E71407"/>
    <w:rsid w:val="00E714C0"/>
    <w:rsid w:val="00E714E1"/>
    <w:rsid w:val="00E7154D"/>
    <w:rsid w:val="00E71673"/>
    <w:rsid w:val="00E716B4"/>
    <w:rsid w:val="00E71887"/>
    <w:rsid w:val="00E718B8"/>
    <w:rsid w:val="00E718C2"/>
    <w:rsid w:val="00E71965"/>
    <w:rsid w:val="00E71A99"/>
    <w:rsid w:val="00E71BA9"/>
    <w:rsid w:val="00E71DBB"/>
    <w:rsid w:val="00E71E02"/>
    <w:rsid w:val="00E71E7F"/>
    <w:rsid w:val="00E71FF3"/>
    <w:rsid w:val="00E7203C"/>
    <w:rsid w:val="00E72046"/>
    <w:rsid w:val="00E720C9"/>
    <w:rsid w:val="00E720E4"/>
    <w:rsid w:val="00E720F5"/>
    <w:rsid w:val="00E721B6"/>
    <w:rsid w:val="00E723C9"/>
    <w:rsid w:val="00E7249C"/>
    <w:rsid w:val="00E72518"/>
    <w:rsid w:val="00E72577"/>
    <w:rsid w:val="00E725BC"/>
    <w:rsid w:val="00E726AC"/>
    <w:rsid w:val="00E726F1"/>
    <w:rsid w:val="00E72706"/>
    <w:rsid w:val="00E727C3"/>
    <w:rsid w:val="00E727CA"/>
    <w:rsid w:val="00E7290E"/>
    <w:rsid w:val="00E729DB"/>
    <w:rsid w:val="00E72C44"/>
    <w:rsid w:val="00E72D23"/>
    <w:rsid w:val="00E72D82"/>
    <w:rsid w:val="00E72DF7"/>
    <w:rsid w:val="00E72E84"/>
    <w:rsid w:val="00E7315B"/>
    <w:rsid w:val="00E7318A"/>
    <w:rsid w:val="00E73338"/>
    <w:rsid w:val="00E733E7"/>
    <w:rsid w:val="00E734B2"/>
    <w:rsid w:val="00E734E2"/>
    <w:rsid w:val="00E7358B"/>
    <w:rsid w:val="00E73663"/>
    <w:rsid w:val="00E736A1"/>
    <w:rsid w:val="00E73896"/>
    <w:rsid w:val="00E738D2"/>
    <w:rsid w:val="00E73970"/>
    <w:rsid w:val="00E73A4F"/>
    <w:rsid w:val="00E73A8F"/>
    <w:rsid w:val="00E73D37"/>
    <w:rsid w:val="00E73D3E"/>
    <w:rsid w:val="00E73D7F"/>
    <w:rsid w:val="00E74009"/>
    <w:rsid w:val="00E742BB"/>
    <w:rsid w:val="00E74314"/>
    <w:rsid w:val="00E7432E"/>
    <w:rsid w:val="00E74365"/>
    <w:rsid w:val="00E74378"/>
    <w:rsid w:val="00E74425"/>
    <w:rsid w:val="00E746C5"/>
    <w:rsid w:val="00E747ED"/>
    <w:rsid w:val="00E7482E"/>
    <w:rsid w:val="00E748A9"/>
    <w:rsid w:val="00E74995"/>
    <w:rsid w:val="00E749E7"/>
    <w:rsid w:val="00E74ACB"/>
    <w:rsid w:val="00E74B48"/>
    <w:rsid w:val="00E74BFA"/>
    <w:rsid w:val="00E74DB7"/>
    <w:rsid w:val="00E74F94"/>
    <w:rsid w:val="00E75004"/>
    <w:rsid w:val="00E753DE"/>
    <w:rsid w:val="00E75474"/>
    <w:rsid w:val="00E7556D"/>
    <w:rsid w:val="00E75649"/>
    <w:rsid w:val="00E75650"/>
    <w:rsid w:val="00E758E1"/>
    <w:rsid w:val="00E75943"/>
    <w:rsid w:val="00E759FF"/>
    <w:rsid w:val="00E75A4A"/>
    <w:rsid w:val="00E75B8D"/>
    <w:rsid w:val="00E75C4C"/>
    <w:rsid w:val="00E75D17"/>
    <w:rsid w:val="00E75D2F"/>
    <w:rsid w:val="00E75EB6"/>
    <w:rsid w:val="00E75EEE"/>
    <w:rsid w:val="00E7603C"/>
    <w:rsid w:val="00E7608F"/>
    <w:rsid w:val="00E760B2"/>
    <w:rsid w:val="00E7613F"/>
    <w:rsid w:val="00E7632E"/>
    <w:rsid w:val="00E7637E"/>
    <w:rsid w:val="00E7648E"/>
    <w:rsid w:val="00E764BF"/>
    <w:rsid w:val="00E76579"/>
    <w:rsid w:val="00E766CC"/>
    <w:rsid w:val="00E768C4"/>
    <w:rsid w:val="00E76A8A"/>
    <w:rsid w:val="00E76ABE"/>
    <w:rsid w:val="00E76BD1"/>
    <w:rsid w:val="00E76CC2"/>
    <w:rsid w:val="00E76D0A"/>
    <w:rsid w:val="00E76DF9"/>
    <w:rsid w:val="00E76E62"/>
    <w:rsid w:val="00E76F56"/>
    <w:rsid w:val="00E77154"/>
    <w:rsid w:val="00E772E6"/>
    <w:rsid w:val="00E77538"/>
    <w:rsid w:val="00E77573"/>
    <w:rsid w:val="00E7771C"/>
    <w:rsid w:val="00E77783"/>
    <w:rsid w:val="00E777DA"/>
    <w:rsid w:val="00E779D9"/>
    <w:rsid w:val="00E77D2F"/>
    <w:rsid w:val="00E77DD0"/>
    <w:rsid w:val="00E77E2E"/>
    <w:rsid w:val="00E77EC0"/>
    <w:rsid w:val="00E77FAD"/>
    <w:rsid w:val="00E77FD3"/>
    <w:rsid w:val="00E80256"/>
    <w:rsid w:val="00E80261"/>
    <w:rsid w:val="00E80364"/>
    <w:rsid w:val="00E80371"/>
    <w:rsid w:val="00E80442"/>
    <w:rsid w:val="00E80561"/>
    <w:rsid w:val="00E806BB"/>
    <w:rsid w:val="00E806F3"/>
    <w:rsid w:val="00E808D7"/>
    <w:rsid w:val="00E80AC1"/>
    <w:rsid w:val="00E80AEF"/>
    <w:rsid w:val="00E80C5E"/>
    <w:rsid w:val="00E80CE8"/>
    <w:rsid w:val="00E80DB9"/>
    <w:rsid w:val="00E80F30"/>
    <w:rsid w:val="00E80FC1"/>
    <w:rsid w:val="00E8104D"/>
    <w:rsid w:val="00E81083"/>
    <w:rsid w:val="00E81258"/>
    <w:rsid w:val="00E812FF"/>
    <w:rsid w:val="00E813A0"/>
    <w:rsid w:val="00E813BD"/>
    <w:rsid w:val="00E8141B"/>
    <w:rsid w:val="00E8161F"/>
    <w:rsid w:val="00E817B4"/>
    <w:rsid w:val="00E817CF"/>
    <w:rsid w:val="00E81915"/>
    <w:rsid w:val="00E81B13"/>
    <w:rsid w:val="00E81B14"/>
    <w:rsid w:val="00E81C0B"/>
    <w:rsid w:val="00E81CAB"/>
    <w:rsid w:val="00E81D46"/>
    <w:rsid w:val="00E81EAA"/>
    <w:rsid w:val="00E81EDC"/>
    <w:rsid w:val="00E820C3"/>
    <w:rsid w:val="00E820EE"/>
    <w:rsid w:val="00E82101"/>
    <w:rsid w:val="00E82227"/>
    <w:rsid w:val="00E823FB"/>
    <w:rsid w:val="00E823FE"/>
    <w:rsid w:val="00E826C9"/>
    <w:rsid w:val="00E827C6"/>
    <w:rsid w:val="00E82829"/>
    <w:rsid w:val="00E8283B"/>
    <w:rsid w:val="00E82887"/>
    <w:rsid w:val="00E8299D"/>
    <w:rsid w:val="00E82ABD"/>
    <w:rsid w:val="00E82C6D"/>
    <w:rsid w:val="00E82CE2"/>
    <w:rsid w:val="00E82EA8"/>
    <w:rsid w:val="00E8362E"/>
    <w:rsid w:val="00E8365A"/>
    <w:rsid w:val="00E83676"/>
    <w:rsid w:val="00E837E9"/>
    <w:rsid w:val="00E83810"/>
    <w:rsid w:val="00E8391D"/>
    <w:rsid w:val="00E839DF"/>
    <w:rsid w:val="00E83B7B"/>
    <w:rsid w:val="00E83BE0"/>
    <w:rsid w:val="00E83D84"/>
    <w:rsid w:val="00E83DB9"/>
    <w:rsid w:val="00E83E07"/>
    <w:rsid w:val="00E83E35"/>
    <w:rsid w:val="00E83E6B"/>
    <w:rsid w:val="00E84055"/>
    <w:rsid w:val="00E84290"/>
    <w:rsid w:val="00E842D9"/>
    <w:rsid w:val="00E84384"/>
    <w:rsid w:val="00E843DB"/>
    <w:rsid w:val="00E8463A"/>
    <w:rsid w:val="00E8465C"/>
    <w:rsid w:val="00E84A63"/>
    <w:rsid w:val="00E84A6F"/>
    <w:rsid w:val="00E84B5C"/>
    <w:rsid w:val="00E84CC7"/>
    <w:rsid w:val="00E84D14"/>
    <w:rsid w:val="00E85020"/>
    <w:rsid w:val="00E85049"/>
    <w:rsid w:val="00E8504E"/>
    <w:rsid w:val="00E85115"/>
    <w:rsid w:val="00E852DE"/>
    <w:rsid w:val="00E85339"/>
    <w:rsid w:val="00E8538B"/>
    <w:rsid w:val="00E8549F"/>
    <w:rsid w:val="00E854A4"/>
    <w:rsid w:val="00E854B0"/>
    <w:rsid w:val="00E854D3"/>
    <w:rsid w:val="00E85560"/>
    <w:rsid w:val="00E8560C"/>
    <w:rsid w:val="00E85618"/>
    <w:rsid w:val="00E8562C"/>
    <w:rsid w:val="00E856F5"/>
    <w:rsid w:val="00E857FB"/>
    <w:rsid w:val="00E85B69"/>
    <w:rsid w:val="00E85B98"/>
    <w:rsid w:val="00E85C11"/>
    <w:rsid w:val="00E85C32"/>
    <w:rsid w:val="00E85C37"/>
    <w:rsid w:val="00E85C7E"/>
    <w:rsid w:val="00E85D10"/>
    <w:rsid w:val="00E85E25"/>
    <w:rsid w:val="00E85E85"/>
    <w:rsid w:val="00E860D5"/>
    <w:rsid w:val="00E86181"/>
    <w:rsid w:val="00E861F1"/>
    <w:rsid w:val="00E8623A"/>
    <w:rsid w:val="00E8624E"/>
    <w:rsid w:val="00E8668F"/>
    <w:rsid w:val="00E867D6"/>
    <w:rsid w:val="00E868BB"/>
    <w:rsid w:val="00E869AD"/>
    <w:rsid w:val="00E86A3A"/>
    <w:rsid w:val="00E86A49"/>
    <w:rsid w:val="00E86A6E"/>
    <w:rsid w:val="00E86D05"/>
    <w:rsid w:val="00E86E31"/>
    <w:rsid w:val="00E86E81"/>
    <w:rsid w:val="00E86F78"/>
    <w:rsid w:val="00E86FB8"/>
    <w:rsid w:val="00E86FE3"/>
    <w:rsid w:val="00E870C2"/>
    <w:rsid w:val="00E870C5"/>
    <w:rsid w:val="00E8736A"/>
    <w:rsid w:val="00E87376"/>
    <w:rsid w:val="00E873DB"/>
    <w:rsid w:val="00E87479"/>
    <w:rsid w:val="00E874C9"/>
    <w:rsid w:val="00E875E5"/>
    <w:rsid w:val="00E8774A"/>
    <w:rsid w:val="00E87994"/>
    <w:rsid w:val="00E87A0A"/>
    <w:rsid w:val="00E87A46"/>
    <w:rsid w:val="00E87CD1"/>
    <w:rsid w:val="00E87E9F"/>
    <w:rsid w:val="00E901B4"/>
    <w:rsid w:val="00E9029D"/>
    <w:rsid w:val="00E90321"/>
    <w:rsid w:val="00E90394"/>
    <w:rsid w:val="00E90777"/>
    <w:rsid w:val="00E907CB"/>
    <w:rsid w:val="00E9084E"/>
    <w:rsid w:val="00E908F9"/>
    <w:rsid w:val="00E90AC2"/>
    <w:rsid w:val="00E90B1F"/>
    <w:rsid w:val="00E90B48"/>
    <w:rsid w:val="00E90E5E"/>
    <w:rsid w:val="00E90EED"/>
    <w:rsid w:val="00E90F7E"/>
    <w:rsid w:val="00E9108A"/>
    <w:rsid w:val="00E9111C"/>
    <w:rsid w:val="00E9118B"/>
    <w:rsid w:val="00E91226"/>
    <w:rsid w:val="00E913F5"/>
    <w:rsid w:val="00E916A1"/>
    <w:rsid w:val="00E9188E"/>
    <w:rsid w:val="00E91906"/>
    <w:rsid w:val="00E91DCE"/>
    <w:rsid w:val="00E91F6F"/>
    <w:rsid w:val="00E920FF"/>
    <w:rsid w:val="00E92222"/>
    <w:rsid w:val="00E923CF"/>
    <w:rsid w:val="00E92408"/>
    <w:rsid w:val="00E924B4"/>
    <w:rsid w:val="00E92598"/>
    <w:rsid w:val="00E92866"/>
    <w:rsid w:val="00E92867"/>
    <w:rsid w:val="00E92873"/>
    <w:rsid w:val="00E929D2"/>
    <w:rsid w:val="00E92C2D"/>
    <w:rsid w:val="00E92C84"/>
    <w:rsid w:val="00E92C96"/>
    <w:rsid w:val="00E92DEB"/>
    <w:rsid w:val="00E92E4F"/>
    <w:rsid w:val="00E92F7A"/>
    <w:rsid w:val="00E93077"/>
    <w:rsid w:val="00E93170"/>
    <w:rsid w:val="00E93436"/>
    <w:rsid w:val="00E93750"/>
    <w:rsid w:val="00E93849"/>
    <w:rsid w:val="00E939E5"/>
    <w:rsid w:val="00E93B0D"/>
    <w:rsid w:val="00E93C6C"/>
    <w:rsid w:val="00E93E50"/>
    <w:rsid w:val="00E93E59"/>
    <w:rsid w:val="00E93E73"/>
    <w:rsid w:val="00E93FAB"/>
    <w:rsid w:val="00E94058"/>
    <w:rsid w:val="00E940DA"/>
    <w:rsid w:val="00E9414A"/>
    <w:rsid w:val="00E9418D"/>
    <w:rsid w:val="00E9422D"/>
    <w:rsid w:val="00E94378"/>
    <w:rsid w:val="00E94657"/>
    <w:rsid w:val="00E9476E"/>
    <w:rsid w:val="00E94866"/>
    <w:rsid w:val="00E948D9"/>
    <w:rsid w:val="00E949B7"/>
    <w:rsid w:val="00E94ADC"/>
    <w:rsid w:val="00E94AF2"/>
    <w:rsid w:val="00E94C95"/>
    <w:rsid w:val="00E94CE4"/>
    <w:rsid w:val="00E94D8C"/>
    <w:rsid w:val="00E94DF9"/>
    <w:rsid w:val="00E94E9D"/>
    <w:rsid w:val="00E94ECB"/>
    <w:rsid w:val="00E94EF4"/>
    <w:rsid w:val="00E950EC"/>
    <w:rsid w:val="00E95170"/>
    <w:rsid w:val="00E9525D"/>
    <w:rsid w:val="00E9532F"/>
    <w:rsid w:val="00E954E6"/>
    <w:rsid w:val="00E95610"/>
    <w:rsid w:val="00E9574B"/>
    <w:rsid w:val="00E9591E"/>
    <w:rsid w:val="00E959A3"/>
    <w:rsid w:val="00E95DBC"/>
    <w:rsid w:val="00E95DEE"/>
    <w:rsid w:val="00E95E1B"/>
    <w:rsid w:val="00E95F69"/>
    <w:rsid w:val="00E95FA0"/>
    <w:rsid w:val="00E96010"/>
    <w:rsid w:val="00E9606D"/>
    <w:rsid w:val="00E960EB"/>
    <w:rsid w:val="00E96254"/>
    <w:rsid w:val="00E9629D"/>
    <w:rsid w:val="00E96396"/>
    <w:rsid w:val="00E96430"/>
    <w:rsid w:val="00E964B4"/>
    <w:rsid w:val="00E965B6"/>
    <w:rsid w:val="00E96793"/>
    <w:rsid w:val="00E96A7D"/>
    <w:rsid w:val="00E96AD1"/>
    <w:rsid w:val="00E96B76"/>
    <w:rsid w:val="00E96CE3"/>
    <w:rsid w:val="00E96E3B"/>
    <w:rsid w:val="00E9702E"/>
    <w:rsid w:val="00E970FF"/>
    <w:rsid w:val="00E97106"/>
    <w:rsid w:val="00E97203"/>
    <w:rsid w:val="00E972C8"/>
    <w:rsid w:val="00E972E4"/>
    <w:rsid w:val="00E97319"/>
    <w:rsid w:val="00E97595"/>
    <w:rsid w:val="00E975F5"/>
    <w:rsid w:val="00E97854"/>
    <w:rsid w:val="00E97B3F"/>
    <w:rsid w:val="00EA00FD"/>
    <w:rsid w:val="00EA016E"/>
    <w:rsid w:val="00EA01AD"/>
    <w:rsid w:val="00EA0458"/>
    <w:rsid w:val="00EA0461"/>
    <w:rsid w:val="00EA05AA"/>
    <w:rsid w:val="00EA0601"/>
    <w:rsid w:val="00EA060E"/>
    <w:rsid w:val="00EA06B8"/>
    <w:rsid w:val="00EA0707"/>
    <w:rsid w:val="00EA0782"/>
    <w:rsid w:val="00EA07BE"/>
    <w:rsid w:val="00EA086B"/>
    <w:rsid w:val="00EA08A7"/>
    <w:rsid w:val="00EA09D1"/>
    <w:rsid w:val="00EA0BC6"/>
    <w:rsid w:val="00EA0C07"/>
    <w:rsid w:val="00EA0E0F"/>
    <w:rsid w:val="00EA100F"/>
    <w:rsid w:val="00EA101B"/>
    <w:rsid w:val="00EA105D"/>
    <w:rsid w:val="00EA10C0"/>
    <w:rsid w:val="00EA1101"/>
    <w:rsid w:val="00EA1328"/>
    <w:rsid w:val="00EA139B"/>
    <w:rsid w:val="00EA143B"/>
    <w:rsid w:val="00EA143C"/>
    <w:rsid w:val="00EA144E"/>
    <w:rsid w:val="00EA14B2"/>
    <w:rsid w:val="00EA1557"/>
    <w:rsid w:val="00EA15A4"/>
    <w:rsid w:val="00EA16B3"/>
    <w:rsid w:val="00EA17CB"/>
    <w:rsid w:val="00EA1B12"/>
    <w:rsid w:val="00EA1BAA"/>
    <w:rsid w:val="00EA1BE6"/>
    <w:rsid w:val="00EA1C45"/>
    <w:rsid w:val="00EA1CF5"/>
    <w:rsid w:val="00EA1E6D"/>
    <w:rsid w:val="00EA1E9A"/>
    <w:rsid w:val="00EA1F25"/>
    <w:rsid w:val="00EA1FFE"/>
    <w:rsid w:val="00EA2081"/>
    <w:rsid w:val="00EA20BA"/>
    <w:rsid w:val="00EA21CB"/>
    <w:rsid w:val="00EA23B0"/>
    <w:rsid w:val="00EA243A"/>
    <w:rsid w:val="00EA25B9"/>
    <w:rsid w:val="00EA2846"/>
    <w:rsid w:val="00EA2871"/>
    <w:rsid w:val="00EA2904"/>
    <w:rsid w:val="00EA293C"/>
    <w:rsid w:val="00EA2B4D"/>
    <w:rsid w:val="00EA2DCF"/>
    <w:rsid w:val="00EA2E0C"/>
    <w:rsid w:val="00EA2E10"/>
    <w:rsid w:val="00EA2E61"/>
    <w:rsid w:val="00EA2FB4"/>
    <w:rsid w:val="00EA3402"/>
    <w:rsid w:val="00EA35A3"/>
    <w:rsid w:val="00EA35C0"/>
    <w:rsid w:val="00EA35DA"/>
    <w:rsid w:val="00EA36BE"/>
    <w:rsid w:val="00EA390E"/>
    <w:rsid w:val="00EA3986"/>
    <w:rsid w:val="00EA3A01"/>
    <w:rsid w:val="00EA3A2D"/>
    <w:rsid w:val="00EA3B04"/>
    <w:rsid w:val="00EA3C76"/>
    <w:rsid w:val="00EA40B1"/>
    <w:rsid w:val="00EA40C1"/>
    <w:rsid w:val="00EA4236"/>
    <w:rsid w:val="00EA427E"/>
    <w:rsid w:val="00EA43B3"/>
    <w:rsid w:val="00EA43D2"/>
    <w:rsid w:val="00EA4523"/>
    <w:rsid w:val="00EA452B"/>
    <w:rsid w:val="00EA4569"/>
    <w:rsid w:val="00EA45E5"/>
    <w:rsid w:val="00EA471E"/>
    <w:rsid w:val="00EA4826"/>
    <w:rsid w:val="00EA483A"/>
    <w:rsid w:val="00EA4963"/>
    <w:rsid w:val="00EA4CAE"/>
    <w:rsid w:val="00EA4D69"/>
    <w:rsid w:val="00EA4F40"/>
    <w:rsid w:val="00EA4F5A"/>
    <w:rsid w:val="00EA4F75"/>
    <w:rsid w:val="00EA5077"/>
    <w:rsid w:val="00EA51EE"/>
    <w:rsid w:val="00EA51F2"/>
    <w:rsid w:val="00EA52F9"/>
    <w:rsid w:val="00EA5516"/>
    <w:rsid w:val="00EA5547"/>
    <w:rsid w:val="00EA5611"/>
    <w:rsid w:val="00EA56CB"/>
    <w:rsid w:val="00EA5749"/>
    <w:rsid w:val="00EA58D9"/>
    <w:rsid w:val="00EA59EC"/>
    <w:rsid w:val="00EA5A14"/>
    <w:rsid w:val="00EA5B47"/>
    <w:rsid w:val="00EA5B4B"/>
    <w:rsid w:val="00EA5C4D"/>
    <w:rsid w:val="00EA5CBC"/>
    <w:rsid w:val="00EA5D18"/>
    <w:rsid w:val="00EA5D32"/>
    <w:rsid w:val="00EA60D3"/>
    <w:rsid w:val="00EA62CA"/>
    <w:rsid w:val="00EA65C8"/>
    <w:rsid w:val="00EA66FC"/>
    <w:rsid w:val="00EA66FE"/>
    <w:rsid w:val="00EA67C6"/>
    <w:rsid w:val="00EA6908"/>
    <w:rsid w:val="00EA6918"/>
    <w:rsid w:val="00EA6B30"/>
    <w:rsid w:val="00EA6C71"/>
    <w:rsid w:val="00EA6CFF"/>
    <w:rsid w:val="00EA6EB3"/>
    <w:rsid w:val="00EA6EC2"/>
    <w:rsid w:val="00EA7081"/>
    <w:rsid w:val="00EA7263"/>
    <w:rsid w:val="00EA7284"/>
    <w:rsid w:val="00EA72AA"/>
    <w:rsid w:val="00EA7401"/>
    <w:rsid w:val="00EA7466"/>
    <w:rsid w:val="00EA75E1"/>
    <w:rsid w:val="00EA760D"/>
    <w:rsid w:val="00EA7817"/>
    <w:rsid w:val="00EA7960"/>
    <w:rsid w:val="00EA79AC"/>
    <w:rsid w:val="00EA79FA"/>
    <w:rsid w:val="00EA7B40"/>
    <w:rsid w:val="00EA7C69"/>
    <w:rsid w:val="00EA7D4D"/>
    <w:rsid w:val="00EA7F25"/>
    <w:rsid w:val="00EA7F3E"/>
    <w:rsid w:val="00EA7F9C"/>
    <w:rsid w:val="00EB0070"/>
    <w:rsid w:val="00EB0322"/>
    <w:rsid w:val="00EB044B"/>
    <w:rsid w:val="00EB0482"/>
    <w:rsid w:val="00EB0543"/>
    <w:rsid w:val="00EB059B"/>
    <w:rsid w:val="00EB0663"/>
    <w:rsid w:val="00EB06E3"/>
    <w:rsid w:val="00EB071A"/>
    <w:rsid w:val="00EB0765"/>
    <w:rsid w:val="00EB0874"/>
    <w:rsid w:val="00EB0974"/>
    <w:rsid w:val="00EB0A66"/>
    <w:rsid w:val="00EB0B22"/>
    <w:rsid w:val="00EB0C64"/>
    <w:rsid w:val="00EB0CC0"/>
    <w:rsid w:val="00EB0CC1"/>
    <w:rsid w:val="00EB0D09"/>
    <w:rsid w:val="00EB0E24"/>
    <w:rsid w:val="00EB0E5B"/>
    <w:rsid w:val="00EB0F46"/>
    <w:rsid w:val="00EB11EC"/>
    <w:rsid w:val="00EB121E"/>
    <w:rsid w:val="00EB132B"/>
    <w:rsid w:val="00EB15EA"/>
    <w:rsid w:val="00EB16AB"/>
    <w:rsid w:val="00EB17E0"/>
    <w:rsid w:val="00EB1884"/>
    <w:rsid w:val="00EB18B2"/>
    <w:rsid w:val="00EB18B6"/>
    <w:rsid w:val="00EB197F"/>
    <w:rsid w:val="00EB1A80"/>
    <w:rsid w:val="00EB1B97"/>
    <w:rsid w:val="00EB1EF9"/>
    <w:rsid w:val="00EB1F8E"/>
    <w:rsid w:val="00EB1FA2"/>
    <w:rsid w:val="00EB2021"/>
    <w:rsid w:val="00EB2107"/>
    <w:rsid w:val="00EB22B7"/>
    <w:rsid w:val="00EB23C3"/>
    <w:rsid w:val="00EB256A"/>
    <w:rsid w:val="00EB256B"/>
    <w:rsid w:val="00EB25BA"/>
    <w:rsid w:val="00EB2715"/>
    <w:rsid w:val="00EB27E5"/>
    <w:rsid w:val="00EB27EA"/>
    <w:rsid w:val="00EB2848"/>
    <w:rsid w:val="00EB2946"/>
    <w:rsid w:val="00EB2AA0"/>
    <w:rsid w:val="00EB2B51"/>
    <w:rsid w:val="00EB2DC0"/>
    <w:rsid w:val="00EB2DC5"/>
    <w:rsid w:val="00EB2E22"/>
    <w:rsid w:val="00EB2E2C"/>
    <w:rsid w:val="00EB2F44"/>
    <w:rsid w:val="00EB30E7"/>
    <w:rsid w:val="00EB31A9"/>
    <w:rsid w:val="00EB31BC"/>
    <w:rsid w:val="00EB3216"/>
    <w:rsid w:val="00EB3313"/>
    <w:rsid w:val="00EB3433"/>
    <w:rsid w:val="00EB343B"/>
    <w:rsid w:val="00EB3468"/>
    <w:rsid w:val="00EB3530"/>
    <w:rsid w:val="00EB3546"/>
    <w:rsid w:val="00EB365E"/>
    <w:rsid w:val="00EB3685"/>
    <w:rsid w:val="00EB3811"/>
    <w:rsid w:val="00EB38FF"/>
    <w:rsid w:val="00EB3C21"/>
    <w:rsid w:val="00EB3C8D"/>
    <w:rsid w:val="00EB3C90"/>
    <w:rsid w:val="00EB3CA1"/>
    <w:rsid w:val="00EB3E06"/>
    <w:rsid w:val="00EB3F17"/>
    <w:rsid w:val="00EB3F30"/>
    <w:rsid w:val="00EB3FE8"/>
    <w:rsid w:val="00EB403A"/>
    <w:rsid w:val="00EB41E7"/>
    <w:rsid w:val="00EB4261"/>
    <w:rsid w:val="00EB4358"/>
    <w:rsid w:val="00EB4402"/>
    <w:rsid w:val="00EB4469"/>
    <w:rsid w:val="00EB448C"/>
    <w:rsid w:val="00EB44A4"/>
    <w:rsid w:val="00EB455A"/>
    <w:rsid w:val="00EB46BF"/>
    <w:rsid w:val="00EB474A"/>
    <w:rsid w:val="00EB4807"/>
    <w:rsid w:val="00EB4917"/>
    <w:rsid w:val="00EB495E"/>
    <w:rsid w:val="00EB4960"/>
    <w:rsid w:val="00EB4A98"/>
    <w:rsid w:val="00EB4B25"/>
    <w:rsid w:val="00EB4C2C"/>
    <w:rsid w:val="00EB4C89"/>
    <w:rsid w:val="00EB4CCB"/>
    <w:rsid w:val="00EB4D1F"/>
    <w:rsid w:val="00EB4DE4"/>
    <w:rsid w:val="00EB4EB4"/>
    <w:rsid w:val="00EB4EE4"/>
    <w:rsid w:val="00EB516E"/>
    <w:rsid w:val="00EB51CC"/>
    <w:rsid w:val="00EB51CF"/>
    <w:rsid w:val="00EB51F9"/>
    <w:rsid w:val="00EB5362"/>
    <w:rsid w:val="00EB538B"/>
    <w:rsid w:val="00EB5439"/>
    <w:rsid w:val="00EB5487"/>
    <w:rsid w:val="00EB54ED"/>
    <w:rsid w:val="00EB5543"/>
    <w:rsid w:val="00EB55A1"/>
    <w:rsid w:val="00EB567A"/>
    <w:rsid w:val="00EB590E"/>
    <w:rsid w:val="00EB59D9"/>
    <w:rsid w:val="00EB5A8E"/>
    <w:rsid w:val="00EB5AD6"/>
    <w:rsid w:val="00EB5B18"/>
    <w:rsid w:val="00EB5B5A"/>
    <w:rsid w:val="00EB5B8A"/>
    <w:rsid w:val="00EB5DCB"/>
    <w:rsid w:val="00EB5E60"/>
    <w:rsid w:val="00EB5F0D"/>
    <w:rsid w:val="00EB5F44"/>
    <w:rsid w:val="00EB5F7A"/>
    <w:rsid w:val="00EB5F7B"/>
    <w:rsid w:val="00EB636F"/>
    <w:rsid w:val="00EB63A8"/>
    <w:rsid w:val="00EB63CC"/>
    <w:rsid w:val="00EB64FD"/>
    <w:rsid w:val="00EB6596"/>
    <w:rsid w:val="00EB6598"/>
    <w:rsid w:val="00EB6635"/>
    <w:rsid w:val="00EB667E"/>
    <w:rsid w:val="00EB66A4"/>
    <w:rsid w:val="00EB66AF"/>
    <w:rsid w:val="00EB66F0"/>
    <w:rsid w:val="00EB67F6"/>
    <w:rsid w:val="00EB6847"/>
    <w:rsid w:val="00EB69C7"/>
    <w:rsid w:val="00EB69DD"/>
    <w:rsid w:val="00EB6A0F"/>
    <w:rsid w:val="00EB6A5A"/>
    <w:rsid w:val="00EB6C26"/>
    <w:rsid w:val="00EB6C65"/>
    <w:rsid w:val="00EB6C6B"/>
    <w:rsid w:val="00EB6C9E"/>
    <w:rsid w:val="00EB6CBC"/>
    <w:rsid w:val="00EB6E6F"/>
    <w:rsid w:val="00EB6F29"/>
    <w:rsid w:val="00EB7139"/>
    <w:rsid w:val="00EB7262"/>
    <w:rsid w:val="00EB735C"/>
    <w:rsid w:val="00EB742B"/>
    <w:rsid w:val="00EB744E"/>
    <w:rsid w:val="00EB745A"/>
    <w:rsid w:val="00EB74B9"/>
    <w:rsid w:val="00EB75B9"/>
    <w:rsid w:val="00EB765E"/>
    <w:rsid w:val="00EB76D9"/>
    <w:rsid w:val="00EB7A23"/>
    <w:rsid w:val="00EB7A6C"/>
    <w:rsid w:val="00EB7A71"/>
    <w:rsid w:val="00EB7A8C"/>
    <w:rsid w:val="00EB7BE3"/>
    <w:rsid w:val="00EB7D82"/>
    <w:rsid w:val="00EB7EB9"/>
    <w:rsid w:val="00EB7F84"/>
    <w:rsid w:val="00EB7F9B"/>
    <w:rsid w:val="00EBDDE7"/>
    <w:rsid w:val="00EC013C"/>
    <w:rsid w:val="00EC0348"/>
    <w:rsid w:val="00EC035E"/>
    <w:rsid w:val="00EC03D4"/>
    <w:rsid w:val="00EC040B"/>
    <w:rsid w:val="00EC04AE"/>
    <w:rsid w:val="00EC0633"/>
    <w:rsid w:val="00EC0743"/>
    <w:rsid w:val="00EC0759"/>
    <w:rsid w:val="00EC0887"/>
    <w:rsid w:val="00EC08A0"/>
    <w:rsid w:val="00EC0A1B"/>
    <w:rsid w:val="00EC0A21"/>
    <w:rsid w:val="00EC0BE1"/>
    <w:rsid w:val="00EC0CF7"/>
    <w:rsid w:val="00EC0CF9"/>
    <w:rsid w:val="00EC0D82"/>
    <w:rsid w:val="00EC0DA7"/>
    <w:rsid w:val="00EC0DB7"/>
    <w:rsid w:val="00EC0E0C"/>
    <w:rsid w:val="00EC0F02"/>
    <w:rsid w:val="00EC0FB0"/>
    <w:rsid w:val="00EC11FF"/>
    <w:rsid w:val="00EC12C9"/>
    <w:rsid w:val="00EC1390"/>
    <w:rsid w:val="00EC1595"/>
    <w:rsid w:val="00EC15FE"/>
    <w:rsid w:val="00EC1618"/>
    <w:rsid w:val="00EC1649"/>
    <w:rsid w:val="00EC1884"/>
    <w:rsid w:val="00EC1A30"/>
    <w:rsid w:val="00EC1A65"/>
    <w:rsid w:val="00EC1ABF"/>
    <w:rsid w:val="00EC1B79"/>
    <w:rsid w:val="00EC1D06"/>
    <w:rsid w:val="00EC1D26"/>
    <w:rsid w:val="00EC1DE7"/>
    <w:rsid w:val="00EC1DFE"/>
    <w:rsid w:val="00EC1FB7"/>
    <w:rsid w:val="00EC1FF1"/>
    <w:rsid w:val="00EC2112"/>
    <w:rsid w:val="00EC2226"/>
    <w:rsid w:val="00EC223C"/>
    <w:rsid w:val="00EC225F"/>
    <w:rsid w:val="00EC22D6"/>
    <w:rsid w:val="00EC2337"/>
    <w:rsid w:val="00EC2451"/>
    <w:rsid w:val="00EC2523"/>
    <w:rsid w:val="00EC269E"/>
    <w:rsid w:val="00EC26BF"/>
    <w:rsid w:val="00EC27D9"/>
    <w:rsid w:val="00EC2826"/>
    <w:rsid w:val="00EC28CF"/>
    <w:rsid w:val="00EC290E"/>
    <w:rsid w:val="00EC2945"/>
    <w:rsid w:val="00EC29D0"/>
    <w:rsid w:val="00EC2B6E"/>
    <w:rsid w:val="00EC2C81"/>
    <w:rsid w:val="00EC2D4C"/>
    <w:rsid w:val="00EC2D82"/>
    <w:rsid w:val="00EC2E18"/>
    <w:rsid w:val="00EC2E8E"/>
    <w:rsid w:val="00EC2FB1"/>
    <w:rsid w:val="00EC305D"/>
    <w:rsid w:val="00EC3170"/>
    <w:rsid w:val="00EC31E2"/>
    <w:rsid w:val="00EC31E9"/>
    <w:rsid w:val="00EC3314"/>
    <w:rsid w:val="00EC3389"/>
    <w:rsid w:val="00EC33C0"/>
    <w:rsid w:val="00EC3438"/>
    <w:rsid w:val="00EC3449"/>
    <w:rsid w:val="00EC3473"/>
    <w:rsid w:val="00EC3622"/>
    <w:rsid w:val="00EC3624"/>
    <w:rsid w:val="00EC3BC5"/>
    <w:rsid w:val="00EC3C74"/>
    <w:rsid w:val="00EC4033"/>
    <w:rsid w:val="00EC4062"/>
    <w:rsid w:val="00EC406C"/>
    <w:rsid w:val="00EC40F5"/>
    <w:rsid w:val="00EC4165"/>
    <w:rsid w:val="00EC4166"/>
    <w:rsid w:val="00EC44BF"/>
    <w:rsid w:val="00EC44E1"/>
    <w:rsid w:val="00EC4734"/>
    <w:rsid w:val="00EC478F"/>
    <w:rsid w:val="00EC47EE"/>
    <w:rsid w:val="00EC49A3"/>
    <w:rsid w:val="00EC4AB4"/>
    <w:rsid w:val="00EC4AC9"/>
    <w:rsid w:val="00EC4B1C"/>
    <w:rsid w:val="00EC4B3D"/>
    <w:rsid w:val="00EC4B41"/>
    <w:rsid w:val="00EC4BDF"/>
    <w:rsid w:val="00EC4C39"/>
    <w:rsid w:val="00EC4CC1"/>
    <w:rsid w:val="00EC4D89"/>
    <w:rsid w:val="00EC5028"/>
    <w:rsid w:val="00EC524B"/>
    <w:rsid w:val="00EC53C5"/>
    <w:rsid w:val="00EC558E"/>
    <w:rsid w:val="00EC559F"/>
    <w:rsid w:val="00EC5831"/>
    <w:rsid w:val="00EC589E"/>
    <w:rsid w:val="00EC58EA"/>
    <w:rsid w:val="00EC5AD4"/>
    <w:rsid w:val="00EC5B8D"/>
    <w:rsid w:val="00EC5CF1"/>
    <w:rsid w:val="00EC5D91"/>
    <w:rsid w:val="00EC5F5D"/>
    <w:rsid w:val="00EC6166"/>
    <w:rsid w:val="00EC6183"/>
    <w:rsid w:val="00EC6211"/>
    <w:rsid w:val="00EC633E"/>
    <w:rsid w:val="00EC6387"/>
    <w:rsid w:val="00EC6599"/>
    <w:rsid w:val="00EC65B7"/>
    <w:rsid w:val="00EC65C2"/>
    <w:rsid w:val="00EC66A0"/>
    <w:rsid w:val="00EC6702"/>
    <w:rsid w:val="00EC67C8"/>
    <w:rsid w:val="00EC6960"/>
    <w:rsid w:val="00EC6A23"/>
    <w:rsid w:val="00EC6A53"/>
    <w:rsid w:val="00EC6A7B"/>
    <w:rsid w:val="00EC6B25"/>
    <w:rsid w:val="00EC6E7C"/>
    <w:rsid w:val="00EC6E94"/>
    <w:rsid w:val="00EC6F8C"/>
    <w:rsid w:val="00EC7168"/>
    <w:rsid w:val="00EC724B"/>
    <w:rsid w:val="00EC7409"/>
    <w:rsid w:val="00EC741A"/>
    <w:rsid w:val="00EC7438"/>
    <w:rsid w:val="00EC7466"/>
    <w:rsid w:val="00EC74DA"/>
    <w:rsid w:val="00EC76EE"/>
    <w:rsid w:val="00EC77FE"/>
    <w:rsid w:val="00EC781D"/>
    <w:rsid w:val="00EC78ED"/>
    <w:rsid w:val="00EC79C0"/>
    <w:rsid w:val="00EC7BFC"/>
    <w:rsid w:val="00EC7C9B"/>
    <w:rsid w:val="00ED0049"/>
    <w:rsid w:val="00ED0241"/>
    <w:rsid w:val="00ED02CF"/>
    <w:rsid w:val="00ED0519"/>
    <w:rsid w:val="00ED05E0"/>
    <w:rsid w:val="00ED06A1"/>
    <w:rsid w:val="00ED0700"/>
    <w:rsid w:val="00ED09C3"/>
    <w:rsid w:val="00ED0B06"/>
    <w:rsid w:val="00ED0C2A"/>
    <w:rsid w:val="00ED0C36"/>
    <w:rsid w:val="00ED0ED5"/>
    <w:rsid w:val="00ED0F4B"/>
    <w:rsid w:val="00ED1390"/>
    <w:rsid w:val="00ED1866"/>
    <w:rsid w:val="00ED18D6"/>
    <w:rsid w:val="00ED1904"/>
    <w:rsid w:val="00ED19E9"/>
    <w:rsid w:val="00ED1A81"/>
    <w:rsid w:val="00ED1B3B"/>
    <w:rsid w:val="00ED1B53"/>
    <w:rsid w:val="00ED1D0B"/>
    <w:rsid w:val="00ED1EE4"/>
    <w:rsid w:val="00ED1F9D"/>
    <w:rsid w:val="00ED1FBC"/>
    <w:rsid w:val="00ED22AA"/>
    <w:rsid w:val="00ED2435"/>
    <w:rsid w:val="00ED2589"/>
    <w:rsid w:val="00ED25B4"/>
    <w:rsid w:val="00ED28C9"/>
    <w:rsid w:val="00ED29EC"/>
    <w:rsid w:val="00ED2AA0"/>
    <w:rsid w:val="00ED2ADB"/>
    <w:rsid w:val="00ED2BA1"/>
    <w:rsid w:val="00ED2BF2"/>
    <w:rsid w:val="00ED2D59"/>
    <w:rsid w:val="00ED2D77"/>
    <w:rsid w:val="00ED2E28"/>
    <w:rsid w:val="00ED2E4A"/>
    <w:rsid w:val="00ED2EBF"/>
    <w:rsid w:val="00ED2FE3"/>
    <w:rsid w:val="00ED3108"/>
    <w:rsid w:val="00ED346D"/>
    <w:rsid w:val="00ED356A"/>
    <w:rsid w:val="00ED376E"/>
    <w:rsid w:val="00ED3855"/>
    <w:rsid w:val="00ED38FE"/>
    <w:rsid w:val="00ED3A2C"/>
    <w:rsid w:val="00ED3AF2"/>
    <w:rsid w:val="00ED3C67"/>
    <w:rsid w:val="00ED3CE7"/>
    <w:rsid w:val="00ED3CF1"/>
    <w:rsid w:val="00ED3D8E"/>
    <w:rsid w:val="00ED3E43"/>
    <w:rsid w:val="00ED3EB5"/>
    <w:rsid w:val="00ED3EF8"/>
    <w:rsid w:val="00ED40A2"/>
    <w:rsid w:val="00ED4180"/>
    <w:rsid w:val="00ED429E"/>
    <w:rsid w:val="00ED43A7"/>
    <w:rsid w:val="00ED457B"/>
    <w:rsid w:val="00ED460E"/>
    <w:rsid w:val="00ED46C2"/>
    <w:rsid w:val="00ED4743"/>
    <w:rsid w:val="00ED4759"/>
    <w:rsid w:val="00ED4A2C"/>
    <w:rsid w:val="00ED4A78"/>
    <w:rsid w:val="00ED4ABF"/>
    <w:rsid w:val="00ED4C36"/>
    <w:rsid w:val="00ED4CB8"/>
    <w:rsid w:val="00ED4EC8"/>
    <w:rsid w:val="00ED4F08"/>
    <w:rsid w:val="00ED4F1F"/>
    <w:rsid w:val="00ED4FA6"/>
    <w:rsid w:val="00ED5038"/>
    <w:rsid w:val="00ED51C6"/>
    <w:rsid w:val="00ED52F7"/>
    <w:rsid w:val="00ED542F"/>
    <w:rsid w:val="00ED544A"/>
    <w:rsid w:val="00ED54A5"/>
    <w:rsid w:val="00ED54E3"/>
    <w:rsid w:val="00ED554D"/>
    <w:rsid w:val="00ED5708"/>
    <w:rsid w:val="00ED5737"/>
    <w:rsid w:val="00ED5911"/>
    <w:rsid w:val="00ED59E1"/>
    <w:rsid w:val="00ED5B1B"/>
    <w:rsid w:val="00ED5BED"/>
    <w:rsid w:val="00ED5D0D"/>
    <w:rsid w:val="00ED5E2E"/>
    <w:rsid w:val="00ED5E46"/>
    <w:rsid w:val="00ED604B"/>
    <w:rsid w:val="00ED6183"/>
    <w:rsid w:val="00ED6351"/>
    <w:rsid w:val="00ED64C6"/>
    <w:rsid w:val="00ED6543"/>
    <w:rsid w:val="00ED66E8"/>
    <w:rsid w:val="00ED66F6"/>
    <w:rsid w:val="00ED67C1"/>
    <w:rsid w:val="00ED6864"/>
    <w:rsid w:val="00ED68F6"/>
    <w:rsid w:val="00ED6914"/>
    <w:rsid w:val="00ED6958"/>
    <w:rsid w:val="00ED69E4"/>
    <w:rsid w:val="00ED6A2B"/>
    <w:rsid w:val="00ED6A42"/>
    <w:rsid w:val="00ED6A5B"/>
    <w:rsid w:val="00ED6A70"/>
    <w:rsid w:val="00ED6B69"/>
    <w:rsid w:val="00ED6D36"/>
    <w:rsid w:val="00ED6EF8"/>
    <w:rsid w:val="00ED6F39"/>
    <w:rsid w:val="00ED708F"/>
    <w:rsid w:val="00ED7111"/>
    <w:rsid w:val="00ED71D9"/>
    <w:rsid w:val="00ED71F8"/>
    <w:rsid w:val="00ED7385"/>
    <w:rsid w:val="00ED7695"/>
    <w:rsid w:val="00ED7705"/>
    <w:rsid w:val="00ED77A4"/>
    <w:rsid w:val="00ED7825"/>
    <w:rsid w:val="00ED784E"/>
    <w:rsid w:val="00ED797A"/>
    <w:rsid w:val="00ED7A19"/>
    <w:rsid w:val="00ED7B50"/>
    <w:rsid w:val="00ED7B9D"/>
    <w:rsid w:val="00ED7C9A"/>
    <w:rsid w:val="00ED7D5E"/>
    <w:rsid w:val="00ED7D6C"/>
    <w:rsid w:val="00ED7E03"/>
    <w:rsid w:val="00EE018C"/>
    <w:rsid w:val="00EE0336"/>
    <w:rsid w:val="00EE0381"/>
    <w:rsid w:val="00EE042E"/>
    <w:rsid w:val="00EE04A0"/>
    <w:rsid w:val="00EE04C6"/>
    <w:rsid w:val="00EE05A1"/>
    <w:rsid w:val="00EE06C2"/>
    <w:rsid w:val="00EE08C4"/>
    <w:rsid w:val="00EE0996"/>
    <w:rsid w:val="00EE099A"/>
    <w:rsid w:val="00EE09D2"/>
    <w:rsid w:val="00EE0B7C"/>
    <w:rsid w:val="00EE0C4A"/>
    <w:rsid w:val="00EE0D8C"/>
    <w:rsid w:val="00EE0E05"/>
    <w:rsid w:val="00EE0F42"/>
    <w:rsid w:val="00EE0F60"/>
    <w:rsid w:val="00EE10ED"/>
    <w:rsid w:val="00EE1293"/>
    <w:rsid w:val="00EE14DC"/>
    <w:rsid w:val="00EE1918"/>
    <w:rsid w:val="00EE1BA3"/>
    <w:rsid w:val="00EE1BBF"/>
    <w:rsid w:val="00EE1E64"/>
    <w:rsid w:val="00EE1E77"/>
    <w:rsid w:val="00EE1EFB"/>
    <w:rsid w:val="00EE1F83"/>
    <w:rsid w:val="00EE1FBA"/>
    <w:rsid w:val="00EE1FDF"/>
    <w:rsid w:val="00EE2016"/>
    <w:rsid w:val="00EE204C"/>
    <w:rsid w:val="00EE2109"/>
    <w:rsid w:val="00EE2264"/>
    <w:rsid w:val="00EE2401"/>
    <w:rsid w:val="00EE24B1"/>
    <w:rsid w:val="00EE24BA"/>
    <w:rsid w:val="00EE2598"/>
    <w:rsid w:val="00EE2654"/>
    <w:rsid w:val="00EE2682"/>
    <w:rsid w:val="00EE2769"/>
    <w:rsid w:val="00EE27B5"/>
    <w:rsid w:val="00EE2851"/>
    <w:rsid w:val="00EE299F"/>
    <w:rsid w:val="00EE2A08"/>
    <w:rsid w:val="00EE2A66"/>
    <w:rsid w:val="00EE2A71"/>
    <w:rsid w:val="00EE2B05"/>
    <w:rsid w:val="00EE2B15"/>
    <w:rsid w:val="00EE2C15"/>
    <w:rsid w:val="00EE2DA3"/>
    <w:rsid w:val="00EE2E03"/>
    <w:rsid w:val="00EE2E48"/>
    <w:rsid w:val="00EE2F52"/>
    <w:rsid w:val="00EE31E2"/>
    <w:rsid w:val="00EE32F2"/>
    <w:rsid w:val="00EE347A"/>
    <w:rsid w:val="00EE3781"/>
    <w:rsid w:val="00EE3BED"/>
    <w:rsid w:val="00EE3D71"/>
    <w:rsid w:val="00EE3DB6"/>
    <w:rsid w:val="00EE3E7A"/>
    <w:rsid w:val="00EE3E80"/>
    <w:rsid w:val="00EE3ED0"/>
    <w:rsid w:val="00EE3F5D"/>
    <w:rsid w:val="00EE417F"/>
    <w:rsid w:val="00EE4192"/>
    <w:rsid w:val="00EE4268"/>
    <w:rsid w:val="00EE428D"/>
    <w:rsid w:val="00EE45F8"/>
    <w:rsid w:val="00EE46A1"/>
    <w:rsid w:val="00EE46BA"/>
    <w:rsid w:val="00EE470A"/>
    <w:rsid w:val="00EE4731"/>
    <w:rsid w:val="00EE47EC"/>
    <w:rsid w:val="00EE4923"/>
    <w:rsid w:val="00EE49E4"/>
    <w:rsid w:val="00EE49E9"/>
    <w:rsid w:val="00EE4AC4"/>
    <w:rsid w:val="00EE4B39"/>
    <w:rsid w:val="00EE4CA7"/>
    <w:rsid w:val="00EE4E15"/>
    <w:rsid w:val="00EE4E9B"/>
    <w:rsid w:val="00EE4EB2"/>
    <w:rsid w:val="00EE4F18"/>
    <w:rsid w:val="00EE511E"/>
    <w:rsid w:val="00EE51F8"/>
    <w:rsid w:val="00EE5367"/>
    <w:rsid w:val="00EE5400"/>
    <w:rsid w:val="00EE54C5"/>
    <w:rsid w:val="00EE556F"/>
    <w:rsid w:val="00EE5586"/>
    <w:rsid w:val="00EE55AC"/>
    <w:rsid w:val="00EE55FD"/>
    <w:rsid w:val="00EE5757"/>
    <w:rsid w:val="00EE581B"/>
    <w:rsid w:val="00EE5840"/>
    <w:rsid w:val="00EE5A12"/>
    <w:rsid w:val="00EE5A1B"/>
    <w:rsid w:val="00EE5A9B"/>
    <w:rsid w:val="00EE5ACE"/>
    <w:rsid w:val="00EE5B8F"/>
    <w:rsid w:val="00EE5C7F"/>
    <w:rsid w:val="00EE5D12"/>
    <w:rsid w:val="00EE5D64"/>
    <w:rsid w:val="00EE5E6F"/>
    <w:rsid w:val="00EE5F7B"/>
    <w:rsid w:val="00EE5FD0"/>
    <w:rsid w:val="00EE6150"/>
    <w:rsid w:val="00EE61CA"/>
    <w:rsid w:val="00EE62A9"/>
    <w:rsid w:val="00EE634B"/>
    <w:rsid w:val="00EE636B"/>
    <w:rsid w:val="00EE6583"/>
    <w:rsid w:val="00EE65E8"/>
    <w:rsid w:val="00EE666E"/>
    <w:rsid w:val="00EE6923"/>
    <w:rsid w:val="00EE695F"/>
    <w:rsid w:val="00EE6A4F"/>
    <w:rsid w:val="00EE6AE5"/>
    <w:rsid w:val="00EE6AF0"/>
    <w:rsid w:val="00EE6BFD"/>
    <w:rsid w:val="00EE7098"/>
    <w:rsid w:val="00EE731D"/>
    <w:rsid w:val="00EE7348"/>
    <w:rsid w:val="00EE743B"/>
    <w:rsid w:val="00EE7498"/>
    <w:rsid w:val="00EE7535"/>
    <w:rsid w:val="00EE75B4"/>
    <w:rsid w:val="00EE7618"/>
    <w:rsid w:val="00EE774A"/>
    <w:rsid w:val="00EE78E6"/>
    <w:rsid w:val="00EE7A3D"/>
    <w:rsid w:val="00EE7A51"/>
    <w:rsid w:val="00EE7B34"/>
    <w:rsid w:val="00EE7B6C"/>
    <w:rsid w:val="00EE7B92"/>
    <w:rsid w:val="00EE7D45"/>
    <w:rsid w:val="00EE7F51"/>
    <w:rsid w:val="00EF0285"/>
    <w:rsid w:val="00EF0288"/>
    <w:rsid w:val="00EF02D5"/>
    <w:rsid w:val="00EF0351"/>
    <w:rsid w:val="00EF044E"/>
    <w:rsid w:val="00EF0467"/>
    <w:rsid w:val="00EF05FF"/>
    <w:rsid w:val="00EF0821"/>
    <w:rsid w:val="00EF084A"/>
    <w:rsid w:val="00EF0852"/>
    <w:rsid w:val="00EF0890"/>
    <w:rsid w:val="00EF08E4"/>
    <w:rsid w:val="00EF099A"/>
    <w:rsid w:val="00EF0A98"/>
    <w:rsid w:val="00EF0AA6"/>
    <w:rsid w:val="00EF0ADF"/>
    <w:rsid w:val="00EF0B04"/>
    <w:rsid w:val="00EF0B37"/>
    <w:rsid w:val="00EF0C4A"/>
    <w:rsid w:val="00EF0D7F"/>
    <w:rsid w:val="00EF1093"/>
    <w:rsid w:val="00EF1184"/>
    <w:rsid w:val="00EF1468"/>
    <w:rsid w:val="00EF1492"/>
    <w:rsid w:val="00EF1498"/>
    <w:rsid w:val="00EF1592"/>
    <w:rsid w:val="00EF1704"/>
    <w:rsid w:val="00EF174B"/>
    <w:rsid w:val="00EF1887"/>
    <w:rsid w:val="00EF1946"/>
    <w:rsid w:val="00EF1ABF"/>
    <w:rsid w:val="00EF1B22"/>
    <w:rsid w:val="00EF1BFC"/>
    <w:rsid w:val="00EF1C28"/>
    <w:rsid w:val="00EF1CE1"/>
    <w:rsid w:val="00EF1E19"/>
    <w:rsid w:val="00EF1E38"/>
    <w:rsid w:val="00EF2026"/>
    <w:rsid w:val="00EF205C"/>
    <w:rsid w:val="00EF2061"/>
    <w:rsid w:val="00EF217F"/>
    <w:rsid w:val="00EF22B6"/>
    <w:rsid w:val="00EF233C"/>
    <w:rsid w:val="00EF2355"/>
    <w:rsid w:val="00EF2358"/>
    <w:rsid w:val="00EF2428"/>
    <w:rsid w:val="00EF24F1"/>
    <w:rsid w:val="00EF24FB"/>
    <w:rsid w:val="00EF2534"/>
    <w:rsid w:val="00EF25A3"/>
    <w:rsid w:val="00EF266A"/>
    <w:rsid w:val="00EF28E7"/>
    <w:rsid w:val="00EF2967"/>
    <w:rsid w:val="00EF29EA"/>
    <w:rsid w:val="00EF2A2F"/>
    <w:rsid w:val="00EF2B78"/>
    <w:rsid w:val="00EF2EE1"/>
    <w:rsid w:val="00EF3480"/>
    <w:rsid w:val="00EF35B0"/>
    <w:rsid w:val="00EF3612"/>
    <w:rsid w:val="00EF3626"/>
    <w:rsid w:val="00EF378E"/>
    <w:rsid w:val="00EF3A8F"/>
    <w:rsid w:val="00EF3B1F"/>
    <w:rsid w:val="00EF3D26"/>
    <w:rsid w:val="00EF3D43"/>
    <w:rsid w:val="00EF4072"/>
    <w:rsid w:val="00EF4248"/>
    <w:rsid w:val="00EF4296"/>
    <w:rsid w:val="00EF4454"/>
    <w:rsid w:val="00EF4570"/>
    <w:rsid w:val="00EF45D4"/>
    <w:rsid w:val="00EF465B"/>
    <w:rsid w:val="00EF4683"/>
    <w:rsid w:val="00EF46D2"/>
    <w:rsid w:val="00EF46DB"/>
    <w:rsid w:val="00EF472D"/>
    <w:rsid w:val="00EF4749"/>
    <w:rsid w:val="00EF4795"/>
    <w:rsid w:val="00EF4842"/>
    <w:rsid w:val="00EF4859"/>
    <w:rsid w:val="00EF4983"/>
    <w:rsid w:val="00EF4A8E"/>
    <w:rsid w:val="00EF4B45"/>
    <w:rsid w:val="00EF4BF4"/>
    <w:rsid w:val="00EF4BFD"/>
    <w:rsid w:val="00EF4C1E"/>
    <w:rsid w:val="00EF4C27"/>
    <w:rsid w:val="00EF4DB1"/>
    <w:rsid w:val="00EF5252"/>
    <w:rsid w:val="00EF52F3"/>
    <w:rsid w:val="00EF547B"/>
    <w:rsid w:val="00EF55D2"/>
    <w:rsid w:val="00EF5743"/>
    <w:rsid w:val="00EF5793"/>
    <w:rsid w:val="00EF579F"/>
    <w:rsid w:val="00EF5800"/>
    <w:rsid w:val="00EF582F"/>
    <w:rsid w:val="00EF584F"/>
    <w:rsid w:val="00EF58E1"/>
    <w:rsid w:val="00EF5A45"/>
    <w:rsid w:val="00EF5C50"/>
    <w:rsid w:val="00EF5D2D"/>
    <w:rsid w:val="00EF5D6D"/>
    <w:rsid w:val="00EF5E55"/>
    <w:rsid w:val="00EF5FC9"/>
    <w:rsid w:val="00EF6010"/>
    <w:rsid w:val="00EF610A"/>
    <w:rsid w:val="00EF656A"/>
    <w:rsid w:val="00EF6595"/>
    <w:rsid w:val="00EF6626"/>
    <w:rsid w:val="00EF66A3"/>
    <w:rsid w:val="00EF6754"/>
    <w:rsid w:val="00EF6874"/>
    <w:rsid w:val="00EF68E0"/>
    <w:rsid w:val="00EF69A9"/>
    <w:rsid w:val="00EF6A89"/>
    <w:rsid w:val="00EF6B0E"/>
    <w:rsid w:val="00EF6B6F"/>
    <w:rsid w:val="00EF6D41"/>
    <w:rsid w:val="00EF6D98"/>
    <w:rsid w:val="00EF6DD3"/>
    <w:rsid w:val="00EF6F53"/>
    <w:rsid w:val="00EF6FA6"/>
    <w:rsid w:val="00EF70AC"/>
    <w:rsid w:val="00EF7173"/>
    <w:rsid w:val="00EF72A3"/>
    <w:rsid w:val="00EF72C5"/>
    <w:rsid w:val="00EF72D2"/>
    <w:rsid w:val="00EF736D"/>
    <w:rsid w:val="00EF73AA"/>
    <w:rsid w:val="00EF76DF"/>
    <w:rsid w:val="00EF7749"/>
    <w:rsid w:val="00EF77D0"/>
    <w:rsid w:val="00EF77D2"/>
    <w:rsid w:val="00EF7816"/>
    <w:rsid w:val="00EF78E4"/>
    <w:rsid w:val="00EF7971"/>
    <w:rsid w:val="00EF7B0F"/>
    <w:rsid w:val="00EF7CF0"/>
    <w:rsid w:val="00EF7E29"/>
    <w:rsid w:val="00EF7ED7"/>
    <w:rsid w:val="00EF7F3F"/>
    <w:rsid w:val="00F000A7"/>
    <w:rsid w:val="00F00435"/>
    <w:rsid w:val="00F00441"/>
    <w:rsid w:val="00F004A2"/>
    <w:rsid w:val="00F004CD"/>
    <w:rsid w:val="00F00623"/>
    <w:rsid w:val="00F00703"/>
    <w:rsid w:val="00F008FA"/>
    <w:rsid w:val="00F00BD2"/>
    <w:rsid w:val="00F00C1E"/>
    <w:rsid w:val="00F00C91"/>
    <w:rsid w:val="00F00D6F"/>
    <w:rsid w:val="00F00D9A"/>
    <w:rsid w:val="00F00E84"/>
    <w:rsid w:val="00F00E93"/>
    <w:rsid w:val="00F00F57"/>
    <w:rsid w:val="00F01042"/>
    <w:rsid w:val="00F01145"/>
    <w:rsid w:val="00F01305"/>
    <w:rsid w:val="00F0148A"/>
    <w:rsid w:val="00F014B3"/>
    <w:rsid w:val="00F0171F"/>
    <w:rsid w:val="00F01801"/>
    <w:rsid w:val="00F01828"/>
    <w:rsid w:val="00F01963"/>
    <w:rsid w:val="00F01969"/>
    <w:rsid w:val="00F01977"/>
    <w:rsid w:val="00F01AB4"/>
    <w:rsid w:val="00F01BD5"/>
    <w:rsid w:val="00F01BF3"/>
    <w:rsid w:val="00F01C50"/>
    <w:rsid w:val="00F01D08"/>
    <w:rsid w:val="00F01E6F"/>
    <w:rsid w:val="00F0208F"/>
    <w:rsid w:val="00F02097"/>
    <w:rsid w:val="00F02160"/>
    <w:rsid w:val="00F02178"/>
    <w:rsid w:val="00F02181"/>
    <w:rsid w:val="00F02192"/>
    <w:rsid w:val="00F021C7"/>
    <w:rsid w:val="00F0220B"/>
    <w:rsid w:val="00F02279"/>
    <w:rsid w:val="00F02303"/>
    <w:rsid w:val="00F02342"/>
    <w:rsid w:val="00F023E5"/>
    <w:rsid w:val="00F025E5"/>
    <w:rsid w:val="00F0266A"/>
    <w:rsid w:val="00F026AF"/>
    <w:rsid w:val="00F027D1"/>
    <w:rsid w:val="00F02821"/>
    <w:rsid w:val="00F02834"/>
    <w:rsid w:val="00F02849"/>
    <w:rsid w:val="00F029C9"/>
    <w:rsid w:val="00F029F4"/>
    <w:rsid w:val="00F02C17"/>
    <w:rsid w:val="00F02D60"/>
    <w:rsid w:val="00F02DF9"/>
    <w:rsid w:val="00F02E06"/>
    <w:rsid w:val="00F02E7B"/>
    <w:rsid w:val="00F02F27"/>
    <w:rsid w:val="00F02F44"/>
    <w:rsid w:val="00F0308F"/>
    <w:rsid w:val="00F0316F"/>
    <w:rsid w:val="00F03314"/>
    <w:rsid w:val="00F03361"/>
    <w:rsid w:val="00F0336A"/>
    <w:rsid w:val="00F03455"/>
    <w:rsid w:val="00F03541"/>
    <w:rsid w:val="00F0360D"/>
    <w:rsid w:val="00F03702"/>
    <w:rsid w:val="00F038C5"/>
    <w:rsid w:val="00F03904"/>
    <w:rsid w:val="00F03ACF"/>
    <w:rsid w:val="00F03AF4"/>
    <w:rsid w:val="00F03B9D"/>
    <w:rsid w:val="00F03BA0"/>
    <w:rsid w:val="00F03C14"/>
    <w:rsid w:val="00F03C3A"/>
    <w:rsid w:val="00F03CEF"/>
    <w:rsid w:val="00F03E3D"/>
    <w:rsid w:val="00F03E5B"/>
    <w:rsid w:val="00F03ED8"/>
    <w:rsid w:val="00F03F64"/>
    <w:rsid w:val="00F03FA5"/>
    <w:rsid w:val="00F0411B"/>
    <w:rsid w:val="00F0415C"/>
    <w:rsid w:val="00F04358"/>
    <w:rsid w:val="00F04383"/>
    <w:rsid w:val="00F045EE"/>
    <w:rsid w:val="00F04724"/>
    <w:rsid w:val="00F047D7"/>
    <w:rsid w:val="00F048C9"/>
    <w:rsid w:val="00F04965"/>
    <w:rsid w:val="00F04C34"/>
    <w:rsid w:val="00F04EB1"/>
    <w:rsid w:val="00F04EF4"/>
    <w:rsid w:val="00F04F1A"/>
    <w:rsid w:val="00F04F56"/>
    <w:rsid w:val="00F04FF6"/>
    <w:rsid w:val="00F050F8"/>
    <w:rsid w:val="00F05231"/>
    <w:rsid w:val="00F053C8"/>
    <w:rsid w:val="00F053CD"/>
    <w:rsid w:val="00F0546E"/>
    <w:rsid w:val="00F05502"/>
    <w:rsid w:val="00F05556"/>
    <w:rsid w:val="00F05592"/>
    <w:rsid w:val="00F05677"/>
    <w:rsid w:val="00F05A23"/>
    <w:rsid w:val="00F05A39"/>
    <w:rsid w:val="00F05BC8"/>
    <w:rsid w:val="00F05E46"/>
    <w:rsid w:val="00F05E74"/>
    <w:rsid w:val="00F05F37"/>
    <w:rsid w:val="00F06123"/>
    <w:rsid w:val="00F0624C"/>
    <w:rsid w:val="00F06308"/>
    <w:rsid w:val="00F068D6"/>
    <w:rsid w:val="00F069A2"/>
    <w:rsid w:val="00F069B6"/>
    <w:rsid w:val="00F069BB"/>
    <w:rsid w:val="00F06AA2"/>
    <w:rsid w:val="00F06B6C"/>
    <w:rsid w:val="00F06C10"/>
    <w:rsid w:val="00F06C21"/>
    <w:rsid w:val="00F06C3A"/>
    <w:rsid w:val="00F06DA7"/>
    <w:rsid w:val="00F06E13"/>
    <w:rsid w:val="00F06E31"/>
    <w:rsid w:val="00F06E84"/>
    <w:rsid w:val="00F06F97"/>
    <w:rsid w:val="00F07053"/>
    <w:rsid w:val="00F0726D"/>
    <w:rsid w:val="00F07272"/>
    <w:rsid w:val="00F072A1"/>
    <w:rsid w:val="00F07367"/>
    <w:rsid w:val="00F073AD"/>
    <w:rsid w:val="00F0742F"/>
    <w:rsid w:val="00F07618"/>
    <w:rsid w:val="00F07680"/>
    <w:rsid w:val="00F07872"/>
    <w:rsid w:val="00F078E2"/>
    <w:rsid w:val="00F07944"/>
    <w:rsid w:val="00F07A36"/>
    <w:rsid w:val="00F07AE7"/>
    <w:rsid w:val="00F07B14"/>
    <w:rsid w:val="00F07CF0"/>
    <w:rsid w:val="00F07D45"/>
    <w:rsid w:val="00F07D9A"/>
    <w:rsid w:val="00F07F14"/>
    <w:rsid w:val="00F07FD8"/>
    <w:rsid w:val="00F1004B"/>
    <w:rsid w:val="00F1023B"/>
    <w:rsid w:val="00F1026C"/>
    <w:rsid w:val="00F10338"/>
    <w:rsid w:val="00F103C5"/>
    <w:rsid w:val="00F10409"/>
    <w:rsid w:val="00F1043F"/>
    <w:rsid w:val="00F1046A"/>
    <w:rsid w:val="00F104A2"/>
    <w:rsid w:val="00F1062E"/>
    <w:rsid w:val="00F1067E"/>
    <w:rsid w:val="00F10694"/>
    <w:rsid w:val="00F10D6C"/>
    <w:rsid w:val="00F10E9F"/>
    <w:rsid w:val="00F110A5"/>
    <w:rsid w:val="00F11150"/>
    <w:rsid w:val="00F11155"/>
    <w:rsid w:val="00F111C3"/>
    <w:rsid w:val="00F11247"/>
    <w:rsid w:val="00F112A7"/>
    <w:rsid w:val="00F1135D"/>
    <w:rsid w:val="00F1139D"/>
    <w:rsid w:val="00F1143F"/>
    <w:rsid w:val="00F1153D"/>
    <w:rsid w:val="00F11575"/>
    <w:rsid w:val="00F1178D"/>
    <w:rsid w:val="00F1193F"/>
    <w:rsid w:val="00F1195E"/>
    <w:rsid w:val="00F11999"/>
    <w:rsid w:val="00F119CA"/>
    <w:rsid w:val="00F11C2D"/>
    <w:rsid w:val="00F11D05"/>
    <w:rsid w:val="00F11D30"/>
    <w:rsid w:val="00F11E02"/>
    <w:rsid w:val="00F11E88"/>
    <w:rsid w:val="00F12103"/>
    <w:rsid w:val="00F122EB"/>
    <w:rsid w:val="00F12376"/>
    <w:rsid w:val="00F123A7"/>
    <w:rsid w:val="00F1263E"/>
    <w:rsid w:val="00F1266F"/>
    <w:rsid w:val="00F12730"/>
    <w:rsid w:val="00F1275C"/>
    <w:rsid w:val="00F127C3"/>
    <w:rsid w:val="00F127F9"/>
    <w:rsid w:val="00F12844"/>
    <w:rsid w:val="00F12852"/>
    <w:rsid w:val="00F12879"/>
    <w:rsid w:val="00F1287E"/>
    <w:rsid w:val="00F128C0"/>
    <w:rsid w:val="00F128E5"/>
    <w:rsid w:val="00F12926"/>
    <w:rsid w:val="00F1294F"/>
    <w:rsid w:val="00F1299E"/>
    <w:rsid w:val="00F12A48"/>
    <w:rsid w:val="00F12A84"/>
    <w:rsid w:val="00F12AC5"/>
    <w:rsid w:val="00F12D59"/>
    <w:rsid w:val="00F12D7B"/>
    <w:rsid w:val="00F12E1F"/>
    <w:rsid w:val="00F12E4C"/>
    <w:rsid w:val="00F12FAA"/>
    <w:rsid w:val="00F130C2"/>
    <w:rsid w:val="00F131A0"/>
    <w:rsid w:val="00F131B4"/>
    <w:rsid w:val="00F131EB"/>
    <w:rsid w:val="00F13217"/>
    <w:rsid w:val="00F13399"/>
    <w:rsid w:val="00F1341E"/>
    <w:rsid w:val="00F134B4"/>
    <w:rsid w:val="00F13542"/>
    <w:rsid w:val="00F13553"/>
    <w:rsid w:val="00F13668"/>
    <w:rsid w:val="00F1370A"/>
    <w:rsid w:val="00F13715"/>
    <w:rsid w:val="00F1376E"/>
    <w:rsid w:val="00F1377F"/>
    <w:rsid w:val="00F13916"/>
    <w:rsid w:val="00F13BC2"/>
    <w:rsid w:val="00F13C87"/>
    <w:rsid w:val="00F13F40"/>
    <w:rsid w:val="00F14008"/>
    <w:rsid w:val="00F1407C"/>
    <w:rsid w:val="00F14190"/>
    <w:rsid w:val="00F14290"/>
    <w:rsid w:val="00F144A3"/>
    <w:rsid w:val="00F145E5"/>
    <w:rsid w:val="00F147A6"/>
    <w:rsid w:val="00F148D2"/>
    <w:rsid w:val="00F14AD0"/>
    <w:rsid w:val="00F14B80"/>
    <w:rsid w:val="00F14C4E"/>
    <w:rsid w:val="00F14C77"/>
    <w:rsid w:val="00F14EC6"/>
    <w:rsid w:val="00F14EFE"/>
    <w:rsid w:val="00F15050"/>
    <w:rsid w:val="00F1505C"/>
    <w:rsid w:val="00F15087"/>
    <w:rsid w:val="00F1513A"/>
    <w:rsid w:val="00F151C3"/>
    <w:rsid w:val="00F151FF"/>
    <w:rsid w:val="00F15233"/>
    <w:rsid w:val="00F152E5"/>
    <w:rsid w:val="00F152F8"/>
    <w:rsid w:val="00F154BD"/>
    <w:rsid w:val="00F1551B"/>
    <w:rsid w:val="00F15584"/>
    <w:rsid w:val="00F155EE"/>
    <w:rsid w:val="00F1569B"/>
    <w:rsid w:val="00F1585F"/>
    <w:rsid w:val="00F15973"/>
    <w:rsid w:val="00F15A41"/>
    <w:rsid w:val="00F15B6E"/>
    <w:rsid w:val="00F15B7C"/>
    <w:rsid w:val="00F15D54"/>
    <w:rsid w:val="00F15D59"/>
    <w:rsid w:val="00F15F79"/>
    <w:rsid w:val="00F160AF"/>
    <w:rsid w:val="00F16110"/>
    <w:rsid w:val="00F162A0"/>
    <w:rsid w:val="00F162CE"/>
    <w:rsid w:val="00F162E3"/>
    <w:rsid w:val="00F16390"/>
    <w:rsid w:val="00F163B7"/>
    <w:rsid w:val="00F164B7"/>
    <w:rsid w:val="00F1650A"/>
    <w:rsid w:val="00F16516"/>
    <w:rsid w:val="00F1655E"/>
    <w:rsid w:val="00F1660E"/>
    <w:rsid w:val="00F16707"/>
    <w:rsid w:val="00F168DF"/>
    <w:rsid w:val="00F16996"/>
    <w:rsid w:val="00F169B9"/>
    <w:rsid w:val="00F16A83"/>
    <w:rsid w:val="00F16B42"/>
    <w:rsid w:val="00F16C5F"/>
    <w:rsid w:val="00F16D2E"/>
    <w:rsid w:val="00F16D30"/>
    <w:rsid w:val="00F16E2A"/>
    <w:rsid w:val="00F16E88"/>
    <w:rsid w:val="00F16EE4"/>
    <w:rsid w:val="00F16F4D"/>
    <w:rsid w:val="00F17234"/>
    <w:rsid w:val="00F174AB"/>
    <w:rsid w:val="00F175AB"/>
    <w:rsid w:val="00F1760B"/>
    <w:rsid w:val="00F1785C"/>
    <w:rsid w:val="00F1794B"/>
    <w:rsid w:val="00F1795D"/>
    <w:rsid w:val="00F17AD2"/>
    <w:rsid w:val="00F17B9F"/>
    <w:rsid w:val="00F17BC1"/>
    <w:rsid w:val="00F17BDA"/>
    <w:rsid w:val="00F17D64"/>
    <w:rsid w:val="00F17D6E"/>
    <w:rsid w:val="00F17DCF"/>
    <w:rsid w:val="00F17E4E"/>
    <w:rsid w:val="00F17ED9"/>
    <w:rsid w:val="00F201DF"/>
    <w:rsid w:val="00F204C6"/>
    <w:rsid w:val="00F2057A"/>
    <w:rsid w:val="00F205DC"/>
    <w:rsid w:val="00F2064E"/>
    <w:rsid w:val="00F2070C"/>
    <w:rsid w:val="00F207A7"/>
    <w:rsid w:val="00F209A0"/>
    <w:rsid w:val="00F209FF"/>
    <w:rsid w:val="00F20C1F"/>
    <w:rsid w:val="00F20CB9"/>
    <w:rsid w:val="00F20E8E"/>
    <w:rsid w:val="00F20F04"/>
    <w:rsid w:val="00F211BB"/>
    <w:rsid w:val="00F212A6"/>
    <w:rsid w:val="00F21396"/>
    <w:rsid w:val="00F21406"/>
    <w:rsid w:val="00F21564"/>
    <w:rsid w:val="00F21598"/>
    <w:rsid w:val="00F215D3"/>
    <w:rsid w:val="00F215DA"/>
    <w:rsid w:val="00F21628"/>
    <w:rsid w:val="00F217DD"/>
    <w:rsid w:val="00F217FA"/>
    <w:rsid w:val="00F2186D"/>
    <w:rsid w:val="00F21C42"/>
    <w:rsid w:val="00F21D36"/>
    <w:rsid w:val="00F21E0C"/>
    <w:rsid w:val="00F21FBB"/>
    <w:rsid w:val="00F22238"/>
    <w:rsid w:val="00F223C5"/>
    <w:rsid w:val="00F225A0"/>
    <w:rsid w:val="00F225C0"/>
    <w:rsid w:val="00F225D9"/>
    <w:rsid w:val="00F226B2"/>
    <w:rsid w:val="00F226FE"/>
    <w:rsid w:val="00F227D7"/>
    <w:rsid w:val="00F22999"/>
    <w:rsid w:val="00F22B5E"/>
    <w:rsid w:val="00F22BB3"/>
    <w:rsid w:val="00F22C69"/>
    <w:rsid w:val="00F22D08"/>
    <w:rsid w:val="00F22FA4"/>
    <w:rsid w:val="00F23124"/>
    <w:rsid w:val="00F23137"/>
    <w:rsid w:val="00F231F9"/>
    <w:rsid w:val="00F2342F"/>
    <w:rsid w:val="00F23440"/>
    <w:rsid w:val="00F23531"/>
    <w:rsid w:val="00F2357F"/>
    <w:rsid w:val="00F235B3"/>
    <w:rsid w:val="00F23629"/>
    <w:rsid w:val="00F23637"/>
    <w:rsid w:val="00F2373C"/>
    <w:rsid w:val="00F23A73"/>
    <w:rsid w:val="00F23BF9"/>
    <w:rsid w:val="00F23C67"/>
    <w:rsid w:val="00F23CBC"/>
    <w:rsid w:val="00F2405A"/>
    <w:rsid w:val="00F2419F"/>
    <w:rsid w:val="00F241C6"/>
    <w:rsid w:val="00F2438C"/>
    <w:rsid w:val="00F24432"/>
    <w:rsid w:val="00F24448"/>
    <w:rsid w:val="00F2451E"/>
    <w:rsid w:val="00F2452D"/>
    <w:rsid w:val="00F24567"/>
    <w:rsid w:val="00F2476D"/>
    <w:rsid w:val="00F24844"/>
    <w:rsid w:val="00F249BB"/>
    <w:rsid w:val="00F24A03"/>
    <w:rsid w:val="00F24A05"/>
    <w:rsid w:val="00F24A7C"/>
    <w:rsid w:val="00F24B1F"/>
    <w:rsid w:val="00F24D68"/>
    <w:rsid w:val="00F24DE4"/>
    <w:rsid w:val="00F251CE"/>
    <w:rsid w:val="00F251F0"/>
    <w:rsid w:val="00F2521B"/>
    <w:rsid w:val="00F25320"/>
    <w:rsid w:val="00F254E3"/>
    <w:rsid w:val="00F255A6"/>
    <w:rsid w:val="00F2563C"/>
    <w:rsid w:val="00F25666"/>
    <w:rsid w:val="00F25739"/>
    <w:rsid w:val="00F25945"/>
    <w:rsid w:val="00F25A68"/>
    <w:rsid w:val="00F25B68"/>
    <w:rsid w:val="00F25BA5"/>
    <w:rsid w:val="00F25BBC"/>
    <w:rsid w:val="00F25D2C"/>
    <w:rsid w:val="00F25D37"/>
    <w:rsid w:val="00F25F1B"/>
    <w:rsid w:val="00F25FB6"/>
    <w:rsid w:val="00F2608C"/>
    <w:rsid w:val="00F260A2"/>
    <w:rsid w:val="00F261D1"/>
    <w:rsid w:val="00F26246"/>
    <w:rsid w:val="00F2639C"/>
    <w:rsid w:val="00F26660"/>
    <w:rsid w:val="00F266A1"/>
    <w:rsid w:val="00F26948"/>
    <w:rsid w:val="00F26CA5"/>
    <w:rsid w:val="00F26D51"/>
    <w:rsid w:val="00F26E88"/>
    <w:rsid w:val="00F26E9D"/>
    <w:rsid w:val="00F26EAF"/>
    <w:rsid w:val="00F26ECA"/>
    <w:rsid w:val="00F26F5B"/>
    <w:rsid w:val="00F2714F"/>
    <w:rsid w:val="00F27154"/>
    <w:rsid w:val="00F273CA"/>
    <w:rsid w:val="00F27455"/>
    <w:rsid w:val="00F2752C"/>
    <w:rsid w:val="00F2753A"/>
    <w:rsid w:val="00F275A9"/>
    <w:rsid w:val="00F2765D"/>
    <w:rsid w:val="00F27A1C"/>
    <w:rsid w:val="00F27AB3"/>
    <w:rsid w:val="00F27AEB"/>
    <w:rsid w:val="00F27B56"/>
    <w:rsid w:val="00F27B95"/>
    <w:rsid w:val="00F27E87"/>
    <w:rsid w:val="00F27EDB"/>
    <w:rsid w:val="00F27F6B"/>
    <w:rsid w:val="00F300A6"/>
    <w:rsid w:val="00F300E5"/>
    <w:rsid w:val="00F30239"/>
    <w:rsid w:val="00F30328"/>
    <w:rsid w:val="00F30382"/>
    <w:rsid w:val="00F3050E"/>
    <w:rsid w:val="00F305DC"/>
    <w:rsid w:val="00F3060F"/>
    <w:rsid w:val="00F30750"/>
    <w:rsid w:val="00F3080A"/>
    <w:rsid w:val="00F30814"/>
    <w:rsid w:val="00F308D4"/>
    <w:rsid w:val="00F30990"/>
    <w:rsid w:val="00F30998"/>
    <w:rsid w:val="00F309B6"/>
    <w:rsid w:val="00F309E0"/>
    <w:rsid w:val="00F309FB"/>
    <w:rsid w:val="00F30A5C"/>
    <w:rsid w:val="00F30AE5"/>
    <w:rsid w:val="00F30B29"/>
    <w:rsid w:val="00F30B8B"/>
    <w:rsid w:val="00F30C2A"/>
    <w:rsid w:val="00F30DFE"/>
    <w:rsid w:val="00F30F6E"/>
    <w:rsid w:val="00F30FB2"/>
    <w:rsid w:val="00F31157"/>
    <w:rsid w:val="00F3122B"/>
    <w:rsid w:val="00F3146E"/>
    <w:rsid w:val="00F3151D"/>
    <w:rsid w:val="00F3155D"/>
    <w:rsid w:val="00F31566"/>
    <w:rsid w:val="00F31641"/>
    <w:rsid w:val="00F317F3"/>
    <w:rsid w:val="00F3180B"/>
    <w:rsid w:val="00F31831"/>
    <w:rsid w:val="00F319AA"/>
    <w:rsid w:val="00F319F6"/>
    <w:rsid w:val="00F31A87"/>
    <w:rsid w:val="00F31B1B"/>
    <w:rsid w:val="00F31BC0"/>
    <w:rsid w:val="00F31C48"/>
    <w:rsid w:val="00F31C79"/>
    <w:rsid w:val="00F31D08"/>
    <w:rsid w:val="00F31D41"/>
    <w:rsid w:val="00F31D87"/>
    <w:rsid w:val="00F31E1B"/>
    <w:rsid w:val="00F31E34"/>
    <w:rsid w:val="00F31ED8"/>
    <w:rsid w:val="00F320A0"/>
    <w:rsid w:val="00F3228A"/>
    <w:rsid w:val="00F3230F"/>
    <w:rsid w:val="00F32360"/>
    <w:rsid w:val="00F32394"/>
    <w:rsid w:val="00F323E9"/>
    <w:rsid w:val="00F32519"/>
    <w:rsid w:val="00F325F7"/>
    <w:rsid w:val="00F326F2"/>
    <w:rsid w:val="00F327F7"/>
    <w:rsid w:val="00F3289F"/>
    <w:rsid w:val="00F32AF0"/>
    <w:rsid w:val="00F32CEB"/>
    <w:rsid w:val="00F32EF2"/>
    <w:rsid w:val="00F32F9A"/>
    <w:rsid w:val="00F33075"/>
    <w:rsid w:val="00F33080"/>
    <w:rsid w:val="00F3316B"/>
    <w:rsid w:val="00F33217"/>
    <w:rsid w:val="00F33339"/>
    <w:rsid w:val="00F33781"/>
    <w:rsid w:val="00F33A42"/>
    <w:rsid w:val="00F33AA7"/>
    <w:rsid w:val="00F33B98"/>
    <w:rsid w:val="00F33DF7"/>
    <w:rsid w:val="00F3432D"/>
    <w:rsid w:val="00F343E1"/>
    <w:rsid w:val="00F343F0"/>
    <w:rsid w:val="00F34468"/>
    <w:rsid w:val="00F34477"/>
    <w:rsid w:val="00F34517"/>
    <w:rsid w:val="00F3456D"/>
    <w:rsid w:val="00F3459B"/>
    <w:rsid w:val="00F345C0"/>
    <w:rsid w:val="00F345FE"/>
    <w:rsid w:val="00F34910"/>
    <w:rsid w:val="00F349EA"/>
    <w:rsid w:val="00F34A03"/>
    <w:rsid w:val="00F34AB2"/>
    <w:rsid w:val="00F34B01"/>
    <w:rsid w:val="00F34B5A"/>
    <w:rsid w:val="00F34C1B"/>
    <w:rsid w:val="00F34D5F"/>
    <w:rsid w:val="00F34D7F"/>
    <w:rsid w:val="00F34DF0"/>
    <w:rsid w:val="00F34E2C"/>
    <w:rsid w:val="00F34E7F"/>
    <w:rsid w:val="00F34E90"/>
    <w:rsid w:val="00F34EC2"/>
    <w:rsid w:val="00F35145"/>
    <w:rsid w:val="00F35155"/>
    <w:rsid w:val="00F3517D"/>
    <w:rsid w:val="00F351C7"/>
    <w:rsid w:val="00F351ED"/>
    <w:rsid w:val="00F3524A"/>
    <w:rsid w:val="00F352B6"/>
    <w:rsid w:val="00F35517"/>
    <w:rsid w:val="00F356E4"/>
    <w:rsid w:val="00F35902"/>
    <w:rsid w:val="00F35A52"/>
    <w:rsid w:val="00F35CDF"/>
    <w:rsid w:val="00F35DC4"/>
    <w:rsid w:val="00F35E46"/>
    <w:rsid w:val="00F35EA6"/>
    <w:rsid w:val="00F3602A"/>
    <w:rsid w:val="00F360F2"/>
    <w:rsid w:val="00F3625A"/>
    <w:rsid w:val="00F36278"/>
    <w:rsid w:val="00F36286"/>
    <w:rsid w:val="00F36415"/>
    <w:rsid w:val="00F36552"/>
    <w:rsid w:val="00F36641"/>
    <w:rsid w:val="00F36829"/>
    <w:rsid w:val="00F3697A"/>
    <w:rsid w:val="00F3699E"/>
    <w:rsid w:val="00F36A48"/>
    <w:rsid w:val="00F36A57"/>
    <w:rsid w:val="00F36AB0"/>
    <w:rsid w:val="00F36AED"/>
    <w:rsid w:val="00F36C0F"/>
    <w:rsid w:val="00F36C5E"/>
    <w:rsid w:val="00F36D5E"/>
    <w:rsid w:val="00F36D7E"/>
    <w:rsid w:val="00F36FA5"/>
    <w:rsid w:val="00F370E4"/>
    <w:rsid w:val="00F3734A"/>
    <w:rsid w:val="00F37461"/>
    <w:rsid w:val="00F37656"/>
    <w:rsid w:val="00F376AE"/>
    <w:rsid w:val="00F37809"/>
    <w:rsid w:val="00F3788B"/>
    <w:rsid w:val="00F379F8"/>
    <w:rsid w:val="00F37A9E"/>
    <w:rsid w:val="00F37BD2"/>
    <w:rsid w:val="00F37C9B"/>
    <w:rsid w:val="00F37D50"/>
    <w:rsid w:val="00F37DAA"/>
    <w:rsid w:val="00F4017B"/>
    <w:rsid w:val="00F40249"/>
    <w:rsid w:val="00F403D3"/>
    <w:rsid w:val="00F40512"/>
    <w:rsid w:val="00F4055A"/>
    <w:rsid w:val="00F4056C"/>
    <w:rsid w:val="00F407AA"/>
    <w:rsid w:val="00F4086A"/>
    <w:rsid w:val="00F4087A"/>
    <w:rsid w:val="00F4096F"/>
    <w:rsid w:val="00F409A3"/>
    <w:rsid w:val="00F409B3"/>
    <w:rsid w:val="00F40A43"/>
    <w:rsid w:val="00F40ABB"/>
    <w:rsid w:val="00F40B93"/>
    <w:rsid w:val="00F40BB7"/>
    <w:rsid w:val="00F40EC9"/>
    <w:rsid w:val="00F40F8A"/>
    <w:rsid w:val="00F40FDF"/>
    <w:rsid w:val="00F41107"/>
    <w:rsid w:val="00F4110F"/>
    <w:rsid w:val="00F41143"/>
    <w:rsid w:val="00F4122E"/>
    <w:rsid w:val="00F412C4"/>
    <w:rsid w:val="00F415A9"/>
    <w:rsid w:val="00F4173C"/>
    <w:rsid w:val="00F41B6A"/>
    <w:rsid w:val="00F42025"/>
    <w:rsid w:val="00F42039"/>
    <w:rsid w:val="00F4223C"/>
    <w:rsid w:val="00F423FA"/>
    <w:rsid w:val="00F425C4"/>
    <w:rsid w:val="00F42602"/>
    <w:rsid w:val="00F42609"/>
    <w:rsid w:val="00F426EA"/>
    <w:rsid w:val="00F4295F"/>
    <w:rsid w:val="00F429A7"/>
    <w:rsid w:val="00F42A18"/>
    <w:rsid w:val="00F42A78"/>
    <w:rsid w:val="00F42AC3"/>
    <w:rsid w:val="00F42AD0"/>
    <w:rsid w:val="00F42AE8"/>
    <w:rsid w:val="00F42D1E"/>
    <w:rsid w:val="00F42DDF"/>
    <w:rsid w:val="00F42E01"/>
    <w:rsid w:val="00F42E3B"/>
    <w:rsid w:val="00F43030"/>
    <w:rsid w:val="00F430D1"/>
    <w:rsid w:val="00F4317E"/>
    <w:rsid w:val="00F43629"/>
    <w:rsid w:val="00F437E1"/>
    <w:rsid w:val="00F43937"/>
    <w:rsid w:val="00F43955"/>
    <w:rsid w:val="00F43ACF"/>
    <w:rsid w:val="00F43C37"/>
    <w:rsid w:val="00F43C52"/>
    <w:rsid w:val="00F43CD5"/>
    <w:rsid w:val="00F43D60"/>
    <w:rsid w:val="00F43DE2"/>
    <w:rsid w:val="00F440A7"/>
    <w:rsid w:val="00F440AA"/>
    <w:rsid w:val="00F440DB"/>
    <w:rsid w:val="00F4414E"/>
    <w:rsid w:val="00F4454B"/>
    <w:rsid w:val="00F445A6"/>
    <w:rsid w:val="00F445AE"/>
    <w:rsid w:val="00F445E1"/>
    <w:rsid w:val="00F445FA"/>
    <w:rsid w:val="00F44668"/>
    <w:rsid w:val="00F447C7"/>
    <w:rsid w:val="00F449A0"/>
    <w:rsid w:val="00F449A3"/>
    <w:rsid w:val="00F449A6"/>
    <w:rsid w:val="00F44A5A"/>
    <w:rsid w:val="00F44B6D"/>
    <w:rsid w:val="00F44CAE"/>
    <w:rsid w:val="00F44D01"/>
    <w:rsid w:val="00F44E85"/>
    <w:rsid w:val="00F45062"/>
    <w:rsid w:val="00F45274"/>
    <w:rsid w:val="00F452D6"/>
    <w:rsid w:val="00F45582"/>
    <w:rsid w:val="00F455B6"/>
    <w:rsid w:val="00F458C9"/>
    <w:rsid w:val="00F45999"/>
    <w:rsid w:val="00F45A4D"/>
    <w:rsid w:val="00F45B98"/>
    <w:rsid w:val="00F45BDA"/>
    <w:rsid w:val="00F45C4E"/>
    <w:rsid w:val="00F45CEF"/>
    <w:rsid w:val="00F45D96"/>
    <w:rsid w:val="00F45E75"/>
    <w:rsid w:val="00F45EF9"/>
    <w:rsid w:val="00F45F10"/>
    <w:rsid w:val="00F4600B"/>
    <w:rsid w:val="00F460CF"/>
    <w:rsid w:val="00F46105"/>
    <w:rsid w:val="00F461DF"/>
    <w:rsid w:val="00F4625D"/>
    <w:rsid w:val="00F46373"/>
    <w:rsid w:val="00F46396"/>
    <w:rsid w:val="00F4646C"/>
    <w:rsid w:val="00F46628"/>
    <w:rsid w:val="00F4663B"/>
    <w:rsid w:val="00F466A8"/>
    <w:rsid w:val="00F46714"/>
    <w:rsid w:val="00F4672E"/>
    <w:rsid w:val="00F467C1"/>
    <w:rsid w:val="00F46827"/>
    <w:rsid w:val="00F46990"/>
    <w:rsid w:val="00F46A3C"/>
    <w:rsid w:val="00F46B88"/>
    <w:rsid w:val="00F46B8E"/>
    <w:rsid w:val="00F46C0F"/>
    <w:rsid w:val="00F46CCF"/>
    <w:rsid w:val="00F474CB"/>
    <w:rsid w:val="00F474CD"/>
    <w:rsid w:val="00F4754D"/>
    <w:rsid w:val="00F47571"/>
    <w:rsid w:val="00F47590"/>
    <w:rsid w:val="00F47686"/>
    <w:rsid w:val="00F476FD"/>
    <w:rsid w:val="00F47712"/>
    <w:rsid w:val="00F47847"/>
    <w:rsid w:val="00F47916"/>
    <w:rsid w:val="00F479D8"/>
    <w:rsid w:val="00F47A52"/>
    <w:rsid w:val="00F47A82"/>
    <w:rsid w:val="00F47ABC"/>
    <w:rsid w:val="00F47C2D"/>
    <w:rsid w:val="00F47D7E"/>
    <w:rsid w:val="00F47E29"/>
    <w:rsid w:val="00F47ECD"/>
    <w:rsid w:val="00F47F75"/>
    <w:rsid w:val="00F500AB"/>
    <w:rsid w:val="00F500CC"/>
    <w:rsid w:val="00F500CE"/>
    <w:rsid w:val="00F502FE"/>
    <w:rsid w:val="00F5036A"/>
    <w:rsid w:val="00F50373"/>
    <w:rsid w:val="00F50458"/>
    <w:rsid w:val="00F50481"/>
    <w:rsid w:val="00F5065F"/>
    <w:rsid w:val="00F50922"/>
    <w:rsid w:val="00F50964"/>
    <w:rsid w:val="00F50999"/>
    <w:rsid w:val="00F50B06"/>
    <w:rsid w:val="00F50BEB"/>
    <w:rsid w:val="00F50CCE"/>
    <w:rsid w:val="00F50D65"/>
    <w:rsid w:val="00F50D6D"/>
    <w:rsid w:val="00F50D6E"/>
    <w:rsid w:val="00F50F77"/>
    <w:rsid w:val="00F50FF0"/>
    <w:rsid w:val="00F51096"/>
    <w:rsid w:val="00F51165"/>
    <w:rsid w:val="00F51228"/>
    <w:rsid w:val="00F51368"/>
    <w:rsid w:val="00F51496"/>
    <w:rsid w:val="00F514DA"/>
    <w:rsid w:val="00F514EB"/>
    <w:rsid w:val="00F515E6"/>
    <w:rsid w:val="00F516D9"/>
    <w:rsid w:val="00F51A44"/>
    <w:rsid w:val="00F51B5B"/>
    <w:rsid w:val="00F51BBC"/>
    <w:rsid w:val="00F51CB0"/>
    <w:rsid w:val="00F51CDD"/>
    <w:rsid w:val="00F51DB1"/>
    <w:rsid w:val="00F51E37"/>
    <w:rsid w:val="00F51F22"/>
    <w:rsid w:val="00F51F58"/>
    <w:rsid w:val="00F51FCF"/>
    <w:rsid w:val="00F51FE6"/>
    <w:rsid w:val="00F5223A"/>
    <w:rsid w:val="00F52261"/>
    <w:rsid w:val="00F5242A"/>
    <w:rsid w:val="00F52589"/>
    <w:rsid w:val="00F526A5"/>
    <w:rsid w:val="00F5284F"/>
    <w:rsid w:val="00F528B6"/>
    <w:rsid w:val="00F528FC"/>
    <w:rsid w:val="00F5292F"/>
    <w:rsid w:val="00F52A0B"/>
    <w:rsid w:val="00F52A23"/>
    <w:rsid w:val="00F52A43"/>
    <w:rsid w:val="00F52A96"/>
    <w:rsid w:val="00F52B10"/>
    <w:rsid w:val="00F52C9E"/>
    <w:rsid w:val="00F52D1B"/>
    <w:rsid w:val="00F52DDA"/>
    <w:rsid w:val="00F52EA5"/>
    <w:rsid w:val="00F52EE6"/>
    <w:rsid w:val="00F53008"/>
    <w:rsid w:val="00F53072"/>
    <w:rsid w:val="00F530DB"/>
    <w:rsid w:val="00F530F7"/>
    <w:rsid w:val="00F53232"/>
    <w:rsid w:val="00F5329B"/>
    <w:rsid w:val="00F5338F"/>
    <w:rsid w:val="00F53436"/>
    <w:rsid w:val="00F534B4"/>
    <w:rsid w:val="00F53577"/>
    <w:rsid w:val="00F53746"/>
    <w:rsid w:val="00F53787"/>
    <w:rsid w:val="00F537E5"/>
    <w:rsid w:val="00F53A3D"/>
    <w:rsid w:val="00F53A9C"/>
    <w:rsid w:val="00F53B6F"/>
    <w:rsid w:val="00F53BC1"/>
    <w:rsid w:val="00F53BD0"/>
    <w:rsid w:val="00F53C48"/>
    <w:rsid w:val="00F53DEF"/>
    <w:rsid w:val="00F5402B"/>
    <w:rsid w:val="00F540E9"/>
    <w:rsid w:val="00F541AA"/>
    <w:rsid w:val="00F54230"/>
    <w:rsid w:val="00F5424E"/>
    <w:rsid w:val="00F5440C"/>
    <w:rsid w:val="00F54585"/>
    <w:rsid w:val="00F5465F"/>
    <w:rsid w:val="00F546E6"/>
    <w:rsid w:val="00F5489D"/>
    <w:rsid w:val="00F54AEB"/>
    <w:rsid w:val="00F54FE6"/>
    <w:rsid w:val="00F550BB"/>
    <w:rsid w:val="00F550C7"/>
    <w:rsid w:val="00F55604"/>
    <w:rsid w:val="00F5582A"/>
    <w:rsid w:val="00F55AB5"/>
    <w:rsid w:val="00F55C36"/>
    <w:rsid w:val="00F55DF1"/>
    <w:rsid w:val="00F55E5E"/>
    <w:rsid w:val="00F55E60"/>
    <w:rsid w:val="00F55E67"/>
    <w:rsid w:val="00F55E96"/>
    <w:rsid w:val="00F55F7B"/>
    <w:rsid w:val="00F55F8E"/>
    <w:rsid w:val="00F55F90"/>
    <w:rsid w:val="00F56016"/>
    <w:rsid w:val="00F560DB"/>
    <w:rsid w:val="00F56388"/>
    <w:rsid w:val="00F566F2"/>
    <w:rsid w:val="00F56731"/>
    <w:rsid w:val="00F567B9"/>
    <w:rsid w:val="00F567E0"/>
    <w:rsid w:val="00F56864"/>
    <w:rsid w:val="00F568B3"/>
    <w:rsid w:val="00F56989"/>
    <w:rsid w:val="00F56B51"/>
    <w:rsid w:val="00F56BC9"/>
    <w:rsid w:val="00F56C5F"/>
    <w:rsid w:val="00F56D2F"/>
    <w:rsid w:val="00F56DE5"/>
    <w:rsid w:val="00F56EF1"/>
    <w:rsid w:val="00F57070"/>
    <w:rsid w:val="00F571E1"/>
    <w:rsid w:val="00F57266"/>
    <w:rsid w:val="00F572A9"/>
    <w:rsid w:val="00F572D2"/>
    <w:rsid w:val="00F57380"/>
    <w:rsid w:val="00F57427"/>
    <w:rsid w:val="00F574F8"/>
    <w:rsid w:val="00F57593"/>
    <w:rsid w:val="00F57622"/>
    <w:rsid w:val="00F576A3"/>
    <w:rsid w:val="00F57712"/>
    <w:rsid w:val="00F57863"/>
    <w:rsid w:val="00F578A5"/>
    <w:rsid w:val="00F5792F"/>
    <w:rsid w:val="00F57CA8"/>
    <w:rsid w:val="00F57D0F"/>
    <w:rsid w:val="00F57DC1"/>
    <w:rsid w:val="00F57EE9"/>
    <w:rsid w:val="00F5F621"/>
    <w:rsid w:val="00F60081"/>
    <w:rsid w:val="00F600D2"/>
    <w:rsid w:val="00F6019B"/>
    <w:rsid w:val="00F601C1"/>
    <w:rsid w:val="00F602BD"/>
    <w:rsid w:val="00F6035A"/>
    <w:rsid w:val="00F60407"/>
    <w:rsid w:val="00F60479"/>
    <w:rsid w:val="00F60615"/>
    <w:rsid w:val="00F6064A"/>
    <w:rsid w:val="00F60765"/>
    <w:rsid w:val="00F607B6"/>
    <w:rsid w:val="00F607D0"/>
    <w:rsid w:val="00F60884"/>
    <w:rsid w:val="00F608D2"/>
    <w:rsid w:val="00F60942"/>
    <w:rsid w:val="00F609CB"/>
    <w:rsid w:val="00F60A02"/>
    <w:rsid w:val="00F60A07"/>
    <w:rsid w:val="00F60A95"/>
    <w:rsid w:val="00F60A9B"/>
    <w:rsid w:val="00F60BB0"/>
    <w:rsid w:val="00F60BCC"/>
    <w:rsid w:val="00F60D9F"/>
    <w:rsid w:val="00F60EAA"/>
    <w:rsid w:val="00F60F3F"/>
    <w:rsid w:val="00F61115"/>
    <w:rsid w:val="00F61168"/>
    <w:rsid w:val="00F612AE"/>
    <w:rsid w:val="00F6132A"/>
    <w:rsid w:val="00F6136C"/>
    <w:rsid w:val="00F613E7"/>
    <w:rsid w:val="00F61465"/>
    <w:rsid w:val="00F61648"/>
    <w:rsid w:val="00F6165E"/>
    <w:rsid w:val="00F617B7"/>
    <w:rsid w:val="00F61982"/>
    <w:rsid w:val="00F61990"/>
    <w:rsid w:val="00F619AE"/>
    <w:rsid w:val="00F61A75"/>
    <w:rsid w:val="00F61B3D"/>
    <w:rsid w:val="00F61C80"/>
    <w:rsid w:val="00F61CCF"/>
    <w:rsid w:val="00F61D4B"/>
    <w:rsid w:val="00F61DC3"/>
    <w:rsid w:val="00F61E00"/>
    <w:rsid w:val="00F61FE2"/>
    <w:rsid w:val="00F61FF2"/>
    <w:rsid w:val="00F620EE"/>
    <w:rsid w:val="00F623AD"/>
    <w:rsid w:val="00F624F8"/>
    <w:rsid w:val="00F625D6"/>
    <w:rsid w:val="00F625DE"/>
    <w:rsid w:val="00F62605"/>
    <w:rsid w:val="00F62666"/>
    <w:rsid w:val="00F626B3"/>
    <w:rsid w:val="00F62841"/>
    <w:rsid w:val="00F629A2"/>
    <w:rsid w:val="00F62A0E"/>
    <w:rsid w:val="00F62A3B"/>
    <w:rsid w:val="00F62ABD"/>
    <w:rsid w:val="00F62C7A"/>
    <w:rsid w:val="00F62CAB"/>
    <w:rsid w:val="00F62CE0"/>
    <w:rsid w:val="00F62D25"/>
    <w:rsid w:val="00F63150"/>
    <w:rsid w:val="00F631C5"/>
    <w:rsid w:val="00F63242"/>
    <w:rsid w:val="00F63367"/>
    <w:rsid w:val="00F633E0"/>
    <w:rsid w:val="00F634AC"/>
    <w:rsid w:val="00F63768"/>
    <w:rsid w:val="00F638AE"/>
    <w:rsid w:val="00F63B2A"/>
    <w:rsid w:val="00F63D5B"/>
    <w:rsid w:val="00F63ECA"/>
    <w:rsid w:val="00F63F18"/>
    <w:rsid w:val="00F64010"/>
    <w:rsid w:val="00F640F2"/>
    <w:rsid w:val="00F6419E"/>
    <w:rsid w:val="00F6422D"/>
    <w:rsid w:val="00F642B4"/>
    <w:rsid w:val="00F64447"/>
    <w:rsid w:val="00F644AF"/>
    <w:rsid w:val="00F644B4"/>
    <w:rsid w:val="00F64793"/>
    <w:rsid w:val="00F647D1"/>
    <w:rsid w:val="00F6483B"/>
    <w:rsid w:val="00F648E6"/>
    <w:rsid w:val="00F64930"/>
    <w:rsid w:val="00F649C8"/>
    <w:rsid w:val="00F64A5A"/>
    <w:rsid w:val="00F64AA7"/>
    <w:rsid w:val="00F64AC4"/>
    <w:rsid w:val="00F64B42"/>
    <w:rsid w:val="00F64B8D"/>
    <w:rsid w:val="00F64BCE"/>
    <w:rsid w:val="00F64C37"/>
    <w:rsid w:val="00F64C69"/>
    <w:rsid w:val="00F64CC8"/>
    <w:rsid w:val="00F64F80"/>
    <w:rsid w:val="00F64FDA"/>
    <w:rsid w:val="00F651B2"/>
    <w:rsid w:val="00F65338"/>
    <w:rsid w:val="00F6538D"/>
    <w:rsid w:val="00F653B0"/>
    <w:rsid w:val="00F653E5"/>
    <w:rsid w:val="00F6543E"/>
    <w:rsid w:val="00F65473"/>
    <w:rsid w:val="00F65550"/>
    <w:rsid w:val="00F65621"/>
    <w:rsid w:val="00F656AC"/>
    <w:rsid w:val="00F658AB"/>
    <w:rsid w:val="00F658E1"/>
    <w:rsid w:val="00F659B7"/>
    <w:rsid w:val="00F65AF1"/>
    <w:rsid w:val="00F65FDB"/>
    <w:rsid w:val="00F66125"/>
    <w:rsid w:val="00F6614C"/>
    <w:rsid w:val="00F66173"/>
    <w:rsid w:val="00F66233"/>
    <w:rsid w:val="00F663CE"/>
    <w:rsid w:val="00F663EE"/>
    <w:rsid w:val="00F6653F"/>
    <w:rsid w:val="00F66626"/>
    <w:rsid w:val="00F6664A"/>
    <w:rsid w:val="00F6677D"/>
    <w:rsid w:val="00F66791"/>
    <w:rsid w:val="00F66858"/>
    <w:rsid w:val="00F668EE"/>
    <w:rsid w:val="00F66B06"/>
    <w:rsid w:val="00F66DA8"/>
    <w:rsid w:val="00F66F47"/>
    <w:rsid w:val="00F66F6B"/>
    <w:rsid w:val="00F67014"/>
    <w:rsid w:val="00F6701A"/>
    <w:rsid w:val="00F6712F"/>
    <w:rsid w:val="00F67207"/>
    <w:rsid w:val="00F672A8"/>
    <w:rsid w:val="00F6787A"/>
    <w:rsid w:val="00F678C5"/>
    <w:rsid w:val="00F679B8"/>
    <w:rsid w:val="00F67ADD"/>
    <w:rsid w:val="00F67B2F"/>
    <w:rsid w:val="00F67C19"/>
    <w:rsid w:val="00F67C4B"/>
    <w:rsid w:val="00F67CD5"/>
    <w:rsid w:val="00F67D04"/>
    <w:rsid w:val="00F67F59"/>
    <w:rsid w:val="00F67FD7"/>
    <w:rsid w:val="00F70113"/>
    <w:rsid w:val="00F701A3"/>
    <w:rsid w:val="00F701B1"/>
    <w:rsid w:val="00F7075F"/>
    <w:rsid w:val="00F7099D"/>
    <w:rsid w:val="00F70A7E"/>
    <w:rsid w:val="00F70B36"/>
    <w:rsid w:val="00F70BD3"/>
    <w:rsid w:val="00F70BF5"/>
    <w:rsid w:val="00F70C0E"/>
    <w:rsid w:val="00F70C6A"/>
    <w:rsid w:val="00F70CA4"/>
    <w:rsid w:val="00F70F5C"/>
    <w:rsid w:val="00F7101E"/>
    <w:rsid w:val="00F71157"/>
    <w:rsid w:val="00F71286"/>
    <w:rsid w:val="00F712EB"/>
    <w:rsid w:val="00F7130D"/>
    <w:rsid w:val="00F71531"/>
    <w:rsid w:val="00F71735"/>
    <w:rsid w:val="00F717FC"/>
    <w:rsid w:val="00F71887"/>
    <w:rsid w:val="00F71903"/>
    <w:rsid w:val="00F71B90"/>
    <w:rsid w:val="00F71C73"/>
    <w:rsid w:val="00F71D08"/>
    <w:rsid w:val="00F71D6A"/>
    <w:rsid w:val="00F71D86"/>
    <w:rsid w:val="00F71ED0"/>
    <w:rsid w:val="00F7201D"/>
    <w:rsid w:val="00F72086"/>
    <w:rsid w:val="00F720F2"/>
    <w:rsid w:val="00F721D6"/>
    <w:rsid w:val="00F7237B"/>
    <w:rsid w:val="00F72504"/>
    <w:rsid w:val="00F7259A"/>
    <w:rsid w:val="00F726E9"/>
    <w:rsid w:val="00F726F6"/>
    <w:rsid w:val="00F7283A"/>
    <w:rsid w:val="00F72AFF"/>
    <w:rsid w:val="00F72B44"/>
    <w:rsid w:val="00F72C78"/>
    <w:rsid w:val="00F72CC7"/>
    <w:rsid w:val="00F72D02"/>
    <w:rsid w:val="00F72D65"/>
    <w:rsid w:val="00F72EAA"/>
    <w:rsid w:val="00F72F40"/>
    <w:rsid w:val="00F730A9"/>
    <w:rsid w:val="00F73178"/>
    <w:rsid w:val="00F732E6"/>
    <w:rsid w:val="00F73696"/>
    <w:rsid w:val="00F73704"/>
    <w:rsid w:val="00F73AFB"/>
    <w:rsid w:val="00F73B31"/>
    <w:rsid w:val="00F73D1B"/>
    <w:rsid w:val="00F73E0B"/>
    <w:rsid w:val="00F73E64"/>
    <w:rsid w:val="00F73F10"/>
    <w:rsid w:val="00F740AA"/>
    <w:rsid w:val="00F741F4"/>
    <w:rsid w:val="00F743E2"/>
    <w:rsid w:val="00F7444E"/>
    <w:rsid w:val="00F744B9"/>
    <w:rsid w:val="00F74591"/>
    <w:rsid w:val="00F745DB"/>
    <w:rsid w:val="00F746C2"/>
    <w:rsid w:val="00F74720"/>
    <w:rsid w:val="00F747D3"/>
    <w:rsid w:val="00F748CD"/>
    <w:rsid w:val="00F749FC"/>
    <w:rsid w:val="00F74A51"/>
    <w:rsid w:val="00F74A56"/>
    <w:rsid w:val="00F74BE5"/>
    <w:rsid w:val="00F74C83"/>
    <w:rsid w:val="00F74CD2"/>
    <w:rsid w:val="00F74DA6"/>
    <w:rsid w:val="00F74F9A"/>
    <w:rsid w:val="00F751E6"/>
    <w:rsid w:val="00F7522D"/>
    <w:rsid w:val="00F75312"/>
    <w:rsid w:val="00F7534A"/>
    <w:rsid w:val="00F753DA"/>
    <w:rsid w:val="00F75429"/>
    <w:rsid w:val="00F7555B"/>
    <w:rsid w:val="00F75703"/>
    <w:rsid w:val="00F757AC"/>
    <w:rsid w:val="00F7587E"/>
    <w:rsid w:val="00F75915"/>
    <w:rsid w:val="00F7594C"/>
    <w:rsid w:val="00F75A52"/>
    <w:rsid w:val="00F75A67"/>
    <w:rsid w:val="00F75AEC"/>
    <w:rsid w:val="00F75B0D"/>
    <w:rsid w:val="00F75B3A"/>
    <w:rsid w:val="00F75BBF"/>
    <w:rsid w:val="00F75CCA"/>
    <w:rsid w:val="00F75E9D"/>
    <w:rsid w:val="00F7611D"/>
    <w:rsid w:val="00F763F9"/>
    <w:rsid w:val="00F76413"/>
    <w:rsid w:val="00F7661C"/>
    <w:rsid w:val="00F76688"/>
    <w:rsid w:val="00F767D5"/>
    <w:rsid w:val="00F76806"/>
    <w:rsid w:val="00F76AF5"/>
    <w:rsid w:val="00F76B09"/>
    <w:rsid w:val="00F76B4B"/>
    <w:rsid w:val="00F76D54"/>
    <w:rsid w:val="00F76E19"/>
    <w:rsid w:val="00F76FD7"/>
    <w:rsid w:val="00F77036"/>
    <w:rsid w:val="00F771B7"/>
    <w:rsid w:val="00F773AB"/>
    <w:rsid w:val="00F773D2"/>
    <w:rsid w:val="00F77437"/>
    <w:rsid w:val="00F774D2"/>
    <w:rsid w:val="00F774ED"/>
    <w:rsid w:val="00F77515"/>
    <w:rsid w:val="00F77538"/>
    <w:rsid w:val="00F776DE"/>
    <w:rsid w:val="00F77921"/>
    <w:rsid w:val="00F77967"/>
    <w:rsid w:val="00F779E2"/>
    <w:rsid w:val="00F77AD4"/>
    <w:rsid w:val="00F77ADB"/>
    <w:rsid w:val="00F77B86"/>
    <w:rsid w:val="00F77D90"/>
    <w:rsid w:val="00F77E08"/>
    <w:rsid w:val="00F77E39"/>
    <w:rsid w:val="00F8002C"/>
    <w:rsid w:val="00F80064"/>
    <w:rsid w:val="00F800D0"/>
    <w:rsid w:val="00F800EC"/>
    <w:rsid w:val="00F801C7"/>
    <w:rsid w:val="00F802BE"/>
    <w:rsid w:val="00F803ED"/>
    <w:rsid w:val="00F805B4"/>
    <w:rsid w:val="00F80801"/>
    <w:rsid w:val="00F80856"/>
    <w:rsid w:val="00F808A8"/>
    <w:rsid w:val="00F8092D"/>
    <w:rsid w:val="00F80A1B"/>
    <w:rsid w:val="00F80AB3"/>
    <w:rsid w:val="00F80B39"/>
    <w:rsid w:val="00F80B94"/>
    <w:rsid w:val="00F80CAA"/>
    <w:rsid w:val="00F80CDE"/>
    <w:rsid w:val="00F80F00"/>
    <w:rsid w:val="00F80FF5"/>
    <w:rsid w:val="00F81014"/>
    <w:rsid w:val="00F810DB"/>
    <w:rsid w:val="00F811B0"/>
    <w:rsid w:val="00F811B1"/>
    <w:rsid w:val="00F811B5"/>
    <w:rsid w:val="00F814B5"/>
    <w:rsid w:val="00F81507"/>
    <w:rsid w:val="00F8162B"/>
    <w:rsid w:val="00F81659"/>
    <w:rsid w:val="00F81755"/>
    <w:rsid w:val="00F817E2"/>
    <w:rsid w:val="00F818DA"/>
    <w:rsid w:val="00F81926"/>
    <w:rsid w:val="00F81C7D"/>
    <w:rsid w:val="00F81D58"/>
    <w:rsid w:val="00F81FF0"/>
    <w:rsid w:val="00F820B1"/>
    <w:rsid w:val="00F8220E"/>
    <w:rsid w:val="00F82232"/>
    <w:rsid w:val="00F82261"/>
    <w:rsid w:val="00F82272"/>
    <w:rsid w:val="00F82369"/>
    <w:rsid w:val="00F82378"/>
    <w:rsid w:val="00F823CF"/>
    <w:rsid w:val="00F824D3"/>
    <w:rsid w:val="00F8252B"/>
    <w:rsid w:val="00F825C7"/>
    <w:rsid w:val="00F82695"/>
    <w:rsid w:val="00F82708"/>
    <w:rsid w:val="00F8277C"/>
    <w:rsid w:val="00F827F0"/>
    <w:rsid w:val="00F828AE"/>
    <w:rsid w:val="00F828EF"/>
    <w:rsid w:val="00F82B68"/>
    <w:rsid w:val="00F82BDA"/>
    <w:rsid w:val="00F82C0C"/>
    <w:rsid w:val="00F82CA0"/>
    <w:rsid w:val="00F82D40"/>
    <w:rsid w:val="00F82E05"/>
    <w:rsid w:val="00F82E1B"/>
    <w:rsid w:val="00F82F02"/>
    <w:rsid w:val="00F82F1E"/>
    <w:rsid w:val="00F82FCC"/>
    <w:rsid w:val="00F83264"/>
    <w:rsid w:val="00F83404"/>
    <w:rsid w:val="00F836B5"/>
    <w:rsid w:val="00F83796"/>
    <w:rsid w:val="00F8379E"/>
    <w:rsid w:val="00F837DF"/>
    <w:rsid w:val="00F8383C"/>
    <w:rsid w:val="00F838C6"/>
    <w:rsid w:val="00F83A5E"/>
    <w:rsid w:val="00F83ACF"/>
    <w:rsid w:val="00F83C0F"/>
    <w:rsid w:val="00F83C28"/>
    <w:rsid w:val="00F83C42"/>
    <w:rsid w:val="00F83D46"/>
    <w:rsid w:val="00F83D5E"/>
    <w:rsid w:val="00F83DBF"/>
    <w:rsid w:val="00F83EC9"/>
    <w:rsid w:val="00F83ED8"/>
    <w:rsid w:val="00F84042"/>
    <w:rsid w:val="00F84093"/>
    <w:rsid w:val="00F8413E"/>
    <w:rsid w:val="00F841FE"/>
    <w:rsid w:val="00F843B0"/>
    <w:rsid w:val="00F844E1"/>
    <w:rsid w:val="00F84633"/>
    <w:rsid w:val="00F84638"/>
    <w:rsid w:val="00F846E4"/>
    <w:rsid w:val="00F84727"/>
    <w:rsid w:val="00F84789"/>
    <w:rsid w:val="00F84A14"/>
    <w:rsid w:val="00F84AF4"/>
    <w:rsid w:val="00F84DE4"/>
    <w:rsid w:val="00F84F63"/>
    <w:rsid w:val="00F8524F"/>
    <w:rsid w:val="00F85298"/>
    <w:rsid w:val="00F852B0"/>
    <w:rsid w:val="00F85477"/>
    <w:rsid w:val="00F854F3"/>
    <w:rsid w:val="00F85580"/>
    <w:rsid w:val="00F85878"/>
    <w:rsid w:val="00F85A44"/>
    <w:rsid w:val="00F85AF2"/>
    <w:rsid w:val="00F85B9C"/>
    <w:rsid w:val="00F85BDC"/>
    <w:rsid w:val="00F85BDF"/>
    <w:rsid w:val="00F85F15"/>
    <w:rsid w:val="00F85F93"/>
    <w:rsid w:val="00F86069"/>
    <w:rsid w:val="00F86101"/>
    <w:rsid w:val="00F86144"/>
    <w:rsid w:val="00F86146"/>
    <w:rsid w:val="00F862F5"/>
    <w:rsid w:val="00F86440"/>
    <w:rsid w:val="00F864F4"/>
    <w:rsid w:val="00F86517"/>
    <w:rsid w:val="00F86575"/>
    <w:rsid w:val="00F865CB"/>
    <w:rsid w:val="00F86605"/>
    <w:rsid w:val="00F86702"/>
    <w:rsid w:val="00F86722"/>
    <w:rsid w:val="00F867AB"/>
    <w:rsid w:val="00F867BE"/>
    <w:rsid w:val="00F86AEC"/>
    <w:rsid w:val="00F86D02"/>
    <w:rsid w:val="00F86D63"/>
    <w:rsid w:val="00F86F84"/>
    <w:rsid w:val="00F87077"/>
    <w:rsid w:val="00F87201"/>
    <w:rsid w:val="00F872A2"/>
    <w:rsid w:val="00F87403"/>
    <w:rsid w:val="00F87482"/>
    <w:rsid w:val="00F8748F"/>
    <w:rsid w:val="00F875C0"/>
    <w:rsid w:val="00F8764D"/>
    <w:rsid w:val="00F87654"/>
    <w:rsid w:val="00F8774B"/>
    <w:rsid w:val="00F878B6"/>
    <w:rsid w:val="00F878C0"/>
    <w:rsid w:val="00F87A75"/>
    <w:rsid w:val="00F87AF9"/>
    <w:rsid w:val="00F87B88"/>
    <w:rsid w:val="00F87BEF"/>
    <w:rsid w:val="00F87EBD"/>
    <w:rsid w:val="00F87F18"/>
    <w:rsid w:val="00F87F78"/>
    <w:rsid w:val="00F87FB7"/>
    <w:rsid w:val="00F90006"/>
    <w:rsid w:val="00F90262"/>
    <w:rsid w:val="00F90286"/>
    <w:rsid w:val="00F903CC"/>
    <w:rsid w:val="00F903E4"/>
    <w:rsid w:val="00F9043E"/>
    <w:rsid w:val="00F904D4"/>
    <w:rsid w:val="00F9051B"/>
    <w:rsid w:val="00F905A9"/>
    <w:rsid w:val="00F905F3"/>
    <w:rsid w:val="00F9063A"/>
    <w:rsid w:val="00F90662"/>
    <w:rsid w:val="00F9081D"/>
    <w:rsid w:val="00F9091A"/>
    <w:rsid w:val="00F90925"/>
    <w:rsid w:val="00F9097C"/>
    <w:rsid w:val="00F90A06"/>
    <w:rsid w:val="00F90A6C"/>
    <w:rsid w:val="00F90B6D"/>
    <w:rsid w:val="00F90D73"/>
    <w:rsid w:val="00F90D83"/>
    <w:rsid w:val="00F91047"/>
    <w:rsid w:val="00F911FD"/>
    <w:rsid w:val="00F9120B"/>
    <w:rsid w:val="00F91316"/>
    <w:rsid w:val="00F9133A"/>
    <w:rsid w:val="00F913F0"/>
    <w:rsid w:val="00F9160C"/>
    <w:rsid w:val="00F9163B"/>
    <w:rsid w:val="00F918EB"/>
    <w:rsid w:val="00F918ED"/>
    <w:rsid w:val="00F91B19"/>
    <w:rsid w:val="00F91B4C"/>
    <w:rsid w:val="00F91C4E"/>
    <w:rsid w:val="00F91C94"/>
    <w:rsid w:val="00F91D91"/>
    <w:rsid w:val="00F91DC8"/>
    <w:rsid w:val="00F91E8A"/>
    <w:rsid w:val="00F91E98"/>
    <w:rsid w:val="00F92015"/>
    <w:rsid w:val="00F9214F"/>
    <w:rsid w:val="00F9225C"/>
    <w:rsid w:val="00F9225E"/>
    <w:rsid w:val="00F92306"/>
    <w:rsid w:val="00F924B4"/>
    <w:rsid w:val="00F92517"/>
    <w:rsid w:val="00F9251C"/>
    <w:rsid w:val="00F925D0"/>
    <w:rsid w:val="00F92701"/>
    <w:rsid w:val="00F9276F"/>
    <w:rsid w:val="00F92A73"/>
    <w:rsid w:val="00F92B47"/>
    <w:rsid w:val="00F92E2E"/>
    <w:rsid w:val="00F92F07"/>
    <w:rsid w:val="00F92F83"/>
    <w:rsid w:val="00F93087"/>
    <w:rsid w:val="00F930D9"/>
    <w:rsid w:val="00F9311E"/>
    <w:rsid w:val="00F93196"/>
    <w:rsid w:val="00F9342B"/>
    <w:rsid w:val="00F93557"/>
    <w:rsid w:val="00F936A6"/>
    <w:rsid w:val="00F936EC"/>
    <w:rsid w:val="00F93749"/>
    <w:rsid w:val="00F93AEB"/>
    <w:rsid w:val="00F93BAA"/>
    <w:rsid w:val="00F93CD4"/>
    <w:rsid w:val="00F93E34"/>
    <w:rsid w:val="00F93FBD"/>
    <w:rsid w:val="00F9413A"/>
    <w:rsid w:val="00F94193"/>
    <w:rsid w:val="00F94229"/>
    <w:rsid w:val="00F942FA"/>
    <w:rsid w:val="00F94411"/>
    <w:rsid w:val="00F94434"/>
    <w:rsid w:val="00F944E2"/>
    <w:rsid w:val="00F9452B"/>
    <w:rsid w:val="00F9474A"/>
    <w:rsid w:val="00F94750"/>
    <w:rsid w:val="00F9484C"/>
    <w:rsid w:val="00F9492C"/>
    <w:rsid w:val="00F94B09"/>
    <w:rsid w:val="00F94B1B"/>
    <w:rsid w:val="00F94D2C"/>
    <w:rsid w:val="00F94E12"/>
    <w:rsid w:val="00F94E63"/>
    <w:rsid w:val="00F94E7A"/>
    <w:rsid w:val="00F94EB9"/>
    <w:rsid w:val="00F94F75"/>
    <w:rsid w:val="00F9515C"/>
    <w:rsid w:val="00F951AF"/>
    <w:rsid w:val="00F951C5"/>
    <w:rsid w:val="00F954CC"/>
    <w:rsid w:val="00F9559F"/>
    <w:rsid w:val="00F95633"/>
    <w:rsid w:val="00F956C5"/>
    <w:rsid w:val="00F9576D"/>
    <w:rsid w:val="00F95A83"/>
    <w:rsid w:val="00F95AA6"/>
    <w:rsid w:val="00F95ACE"/>
    <w:rsid w:val="00F95AF6"/>
    <w:rsid w:val="00F95CCC"/>
    <w:rsid w:val="00F95D5C"/>
    <w:rsid w:val="00F95DAB"/>
    <w:rsid w:val="00F95E23"/>
    <w:rsid w:val="00F95EB8"/>
    <w:rsid w:val="00F9607A"/>
    <w:rsid w:val="00F9612D"/>
    <w:rsid w:val="00F962F5"/>
    <w:rsid w:val="00F96342"/>
    <w:rsid w:val="00F963F7"/>
    <w:rsid w:val="00F964A9"/>
    <w:rsid w:val="00F964B4"/>
    <w:rsid w:val="00F9651E"/>
    <w:rsid w:val="00F9668A"/>
    <w:rsid w:val="00F96694"/>
    <w:rsid w:val="00F9684D"/>
    <w:rsid w:val="00F96961"/>
    <w:rsid w:val="00F9697A"/>
    <w:rsid w:val="00F9697C"/>
    <w:rsid w:val="00F969A5"/>
    <w:rsid w:val="00F96B1C"/>
    <w:rsid w:val="00F96B25"/>
    <w:rsid w:val="00F96B3C"/>
    <w:rsid w:val="00F96F3C"/>
    <w:rsid w:val="00F96F57"/>
    <w:rsid w:val="00F96F8B"/>
    <w:rsid w:val="00F96FFA"/>
    <w:rsid w:val="00F97000"/>
    <w:rsid w:val="00F9701D"/>
    <w:rsid w:val="00F9704B"/>
    <w:rsid w:val="00F97278"/>
    <w:rsid w:val="00F973D0"/>
    <w:rsid w:val="00F973DB"/>
    <w:rsid w:val="00F97473"/>
    <w:rsid w:val="00F974C6"/>
    <w:rsid w:val="00F9751E"/>
    <w:rsid w:val="00F97528"/>
    <w:rsid w:val="00F975F0"/>
    <w:rsid w:val="00F9764E"/>
    <w:rsid w:val="00F9767E"/>
    <w:rsid w:val="00F976D3"/>
    <w:rsid w:val="00F976E6"/>
    <w:rsid w:val="00F97710"/>
    <w:rsid w:val="00F9785C"/>
    <w:rsid w:val="00F9791F"/>
    <w:rsid w:val="00F979DE"/>
    <w:rsid w:val="00F97ABC"/>
    <w:rsid w:val="00F97AF7"/>
    <w:rsid w:val="00F97CBE"/>
    <w:rsid w:val="00F97EFE"/>
    <w:rsid w:val="00F97F09"/>
    <w:rsid w:val="00FA0038"/>
    <w:rsid w:val="00FA025D"/>
    <w:rsid w:val="00FA02FD"/>
    <w:rsid w:val="00FA0407"/>
    <w:rsid w:val="00FA0473"/>
    <w:rsid w:val="00FA0488"/>
    <w:rsid w:val="00FA074E"/>
    <w:rsid w:val="00FA092A"/>
    <w:rsid w:val="00FA094F"/>
    <w:rsid w:val="00FA0A34"/>
    <w:rsid w:val="00FA0A7C"/>
    <w:rsid w:val="00FA0BF4"/>
    <w:rsid w:val="00FA0CBF"/>
    <w:rsid w:val="00FA0CF8"/>
    <w:rsid w:val="00FA1078"/>
    <w:rsid w:val="00FA10E6"/>
    <w:rsid w:val="00FA1311"/>
    <w:rsid w:val="00FA1358"/>
    <w:rsid w:val="00FA137A"/>
    <w:rsid w:val="00FA13E0"/>
    <w:rsid w:val="00FA1519"/>
    <w:rsid w:val="00FA1675"/>
    <w:rsid w:val="00FA167C"/>
    <w:rsid w:val="00FA1898"/>
    <w:rsid w:val="00FA1924"/>
    <w:rsid w:val="00FA1A79"/>
    <w:rsid w:val="00FA1B31"/>
    <w:rsid w:val="00FA1ED6"/>
    <w:rsid w:val="00FA1EEA"/>
    <w:rsid w:val="00FA2011"/>
    <w:rsid w:val="00FA2089"/>
    <w:rsid w:val="00FA2118"/>
    <w:rsid w:val="00FA2139"/>
    <w:rsid w:val="00FA215E"/>
    <w:rsid w:val="00FA220C"/>
    <w:rsid w:val="00FA2299"/>
    <w:rsid w:val="00FA22E1"/>
    <w:rsid w:val="00FA2350"/>
    <w:rsid w:val="00FA25AC"/>
    <w:rsid w:val="00FA2677"/>
    <w:rsid w:val="00FA2890"/>
    <w:rsid w:val="00FA296A"/>
    <w:rsid w:val="00FA2ACA"/>
    <w:rsid w:val="00FA2AD8"/>
    <w:rsid w:val="00FA2B71"/>
    <w:rsid w:val="00FA2BBB"/>
    <w:rsid w:val="00FA2BD7"/>
    <w:rsid w:val="00FA2DBF"/>
    <w:rsid w:val="00FA2E21"/>
    <w:rsid w:val="00FA2E36"/>
    <w:rsid w:val="00FA2EAD"/>
    <w:rsid w:val="00FA2ECD"/>
    <w:rsid w:val="00FA3103"/>
    <w:rsid w:val="00FA32BB"/>
    <w:rsid w:val="00FA3330"/>
    <w:rsid w:val="00FA3448"/>
    <w:rsid w:val="00FA37BA"/>
    <w:rsid w:val="00FA3912"/>
    <w:rsid w:val="00FA3AAA"/>
    <w:rsid w:val="00FA3AD3"/>
    <w:rsid w:val="00FA3D85"/>
    <w:rsid w:val="00FA3F2E"/>
    <w:rsid w:val="00FA40E1"/>
    <w:rsid w:val="00FA4178"/>
    <w:rsid w:val="00FA4188"/>
    <w:rsid w:val="00FA419E"/>
    <w:rsid w:val="00FA4316"/>
    <w:rsid w:val="00FA4330"/>
    <w:rsid w:val="00FA433E"/>
    <w:rsid w:val="00FA4452"/>
    <w:rsid w:val="00FA44E6"/>
    <w:rsid w:val="00FA4624"/>
    <w:rsid w:val="00FA466E"/>
    <w:rsid w:val="00FA47F5"/>
    <w:rsid w:val="00FA4897"/>
    <w:rsid w:val="00FA49FE"/>
    <w:rsid w:val="00FA4BA6"/>
    <w:rsid w:val="00FA4C81"/>
    <w:rsid w:val="00FA4DBF"/>
    <w:rsid w:val="00FA4E52"/>
    <w:rsid w:val="00FA4E8E"/>
    <w:rsid w:val="00FA4F90"/>
    <w:rsid w:val="00FA53C5"/>
    <w:rsid w:val="00FA571B"/>
    <w:rsid w:val="00FA5836"/>
    <w:rsid w:val="00FA5863"/>
    <w:rsid w:val="00FA58B9"/>
    <w:rsid w:val="00FA596E"/>
    <w:rsid w:val="00FA5A5F"/>
    <w:rsid w:val="00FA5AC6"/>
    <w:rsid w:val="00FA5B01"/>
    <w:rsid w:val="00FA5B66"/>
    <w:rsid w:val="00FA5CE1"/>
    <w:rsid w:val="00FA5CEB"/>
    <w:rsid w:val="00FA5D88"/>
    <w:rsid w:val="00FA5E52"/>
    <w:rsid w:val="00FA5E7D"/>
    <w:rsid w:val="00FA5F20"/>
    <w:rsid w:val="00FA5FCA"/>
    <w:rsid w:val="00FA6084"/>
    <w:rsid w:val="00FA614A"/>
    <w:rsid w:val="00FA6200"/>
    <w:rsid w:val="00FA634D"/>
    <w:rsid w:val="00FA63BA"/>
    <w:rsid w:val="00FA64D5"/>
    <w:rsid w:val="00FA6591"/>
    <w:rsid w:val="00FA6656"/>
    <w:rsid w:val="00FA673F"/>
    <w:rsid w:val="00FA6833"/>
    <w:rsid w:val="00FA68AE"/>
    <w:rsid w:val="00FA6944"/>
    <w:rsid w:val="00FA69D7"/>
    <w:rsid w:val="00FA6CF0"/>
    <w:rsid w:val="00FA6CF3"/>
    <w:rsid w:val="00FA6DF9"/>
    <w:rsid w:val="00FA6E00"/>
    <w:rsid w:val="00FA6ED1"/>
    <w:rsid w:val="00FA7026"/>
    <w:rsid w:val="00FA704D"/>
    <w:rsid w:val="00FA713A"/>
    <w:rsid w:val="00FA7188"/>
    <w:rsid w:val="00FA7190"/>
    <w:rsid w:val="00FA71DD"/>
    <w:rsid w:val="00FA7299"/>
    <w:rsid w:val="00FA730D"/>
    <w:rsid w:val="00FA7316"/>
    <w:rsid w:val="00FA7350"/>
    <w:rsid w:val="00FA7487"/>
    <w:rsid w:val="00FA7711"/>
    <w:rsid w:val="00FA7769"/>
    <w:rsid w:val="00FA777D"/>
    <w:rsid w:val="00FA78DD"/>
    <w:rsid w:val="00FA7952"/>
    <w:rsid w:val="00FA7BC4"/>
    <w:rsid w:val="00FA7BC9"/>
    <w:rsid w:val="00FA7BD7"/>
    <w:rsid w:val="00FA7CCB"/>
    <w:rsid w:val="00FA7CF6"/>
    <w:rsid w:val="00FA7E20"/>
    <w:rsid w:val="00FA7EE9"/>
    <w:rsid w:val="00FA7F96"/>
    <w:rsid w:val="00FA7FAA"/>
    <w:rsid w:val="00FA7FB8"/>
    <w:rsid w:val="00FB007F"/>
    <w:rsid w:val="00FB0416"/>
    <w:rsid w:val="00FB04DF"/>
    <w:rsid w:val="00FB0622"/>
    <w:rsid w:val="00FB074A"/>
    <w:rsid w:val="00FB08C7"/>
    <w:rsid w:val="00FB092A"/>
    <w:rsid w:val="00FB0A14"/>
    <w:rsid w:val="00FB0B60"/>
    <w:rsid w:val="00FB0C78"/>
    <w:rsid w:val="00FB0C7D"/>
    <w:rsid w:val="00FB0CE5"/>
    <w:rsid w:val="00FB0D00"/>
    <w:rsid w:val="00FB0D8B"/>
    <w:rsid w:val="00FB0EB7"/>
    <w:rsid w:val="00FB0EDE"/>
    <w:rsid w:val="00FB0F1C"/>
    <w:rsid w:val="00FB0FE6"/>
    <w:rsid w:val="00FB10B7"/>
    <w:rsid w:val="00FB10E8"/>
    <w:rsid w:val="00FB1171"/>
    <w:rsid w:val="00FB1362"/>
    <w:rsid w:val="00FB1493"/>
    <w:rsid w:val="00FB168D"/>
    <w:rsid w:val="00FB18DC"/>
    <w:rsid w:val="00FB1919"/>
    <w:rsid w:val="00FB1A09"/>
    <w:rsid w:val="00FB1B24"/>
    <w:rsid w:val="00FB1C27"/>
    <w:rsid w:val="00FB1DFD"/>
    <w:rsid w:val="00FB1E14"/>
    <w:rsid w:val="00FB1E59"/>
    <w:rsid w:val="00FB1F74"/>
    <w:rsid w:val="00FB213A"/>
    <w:rsid w:val="00FB2148"/>
    <w:rsid w:val="00FB2221"/>
    <w:rsid w:val="00FB22B2"/>
    <w:rsid w:val="00FB246F"/>
    <w:rsid w:val="00FB271C"/>
    <w:rsid w:val="00FB2749"/>
    <w:rsid w:val="00FB27E3"/>
    <w:rsid w:val="00FB2806"/>
    <w:rsid w:val="00FB286D"/>
    <w:rsid w:val="00FB289F"/>
    <w:rsid w:val="00FB2A6B"/>
    <w:rsid w:val="00FB2A70"/>
    <w:rsid w:val="00FB2B0A"/>
    <w:rsid w:val="00FB2B3C"/>
    <w:rsid w:val="00FB2B54"/>
    <w:rsid w:val="00FB2B6E"/>
    <w:rsid w:val="00FB2C83"/>
    <w:rsid w:val="00FB2CED"/>
    <w:rsid w:val="00FB2DB3"/>
    <w:rsid w:val="00FB2E25"/>
    <w:rsid w:val="00FB2EA6"/>
    <w:rsid w:val="00FB3017"/>
    <w:rsid w:val="00FB3034"/>
    <w:rsid w:val="00FB313F"/>
    <w:rsid w:val="00FB31D8"/>
    <w:rsid w:val="00FB32CE"/>
    <w:rsid w:val="00FB338B"/>
    <w:rsid w:val="00FB339C"/>
    <w:rsid w:val="00FB3462"/>
    <w:rsid w:val="00FB34DB"/>
    <w:rsid w:val="00FB3555"/>
    <w:rsid w:val="00FB357B"/>
    <w:rsid w:val="00FB36AC"/>
    <w:rsid w:val="00FB3726"/>
    <w:rsid w:val="00FB372A"/>
    <w:rsid w:val="00FB37E1"/>
    <w:rsid w:val="00FB38D8"/>
    <w:rsid w:val="00FB397F"/>
    <w:rsid w:val="00FB39D7"/>
    <w:rsid w:val="00FB3AA3"/>
    <w:rsid w:val="00FB3CED"/>
    <w:rsid w:val="00FB3D13"/>
    <w:rsid w:val="00FB3D20"/>
    <w:rsid w:val="00FB3D96"/>
    <w:rsid w:val="00FB3FA1"/>
    <w:rsid w:val="00FB4144"/>
    <w:rsid w:val="00FB4220"/>
    <w:rsid w:val="00FB429A"/>
    <w:rsid w:val="00FB42E2"/>
    <w:rsid w:val="00FB43A7"/>
    <w:rsid w:val="00FB44DF"/>
    <w:rsid w:val="00FB46D0"/>
    <w:rsid w:val="00FB4771"/>
    <w:rsid w:val="00FB484C"/>
    <w:rsid w:val="00FB48B2"/>
    <w:rsid w:val="00FB4A73"/>
    <w:rsid w:val="00FB4C35"/>
    <w:rsid w:val="00FB4C81"/>
    <w:rsid w:val="00FB4E0C"/>
    <w:rsid w:val="00FB4E7A"/>
    <w:rsid w:val="00FB4E85"/>
    <w:rsid w:val="00FB504C"/>
    <w:rsid w:val="00FB552A"/>
    <w:rsid w:val="00FB55D0"/>
    <w:rsid w:val="00FB563A"/>
    <w:rsid w:val="00FB5656"/>
    <w:rsid w:val="00FB57FC"/>
    <w:rsid w:val="00FB5812"/>
    <w:rsid w:val="00FB5A22"/>
    <w:rsid w:val="00FB5BE2"/>
    <w:rsid w:val="00FB5C16"/>
    <w:rsid w:val="00FB5CC9"/>
    <w:rsid w:val="00FB5CFF"/>
    <w:rsid w:val="00FB5D96"/>
    <w:rsid w:val="00FB5D9C"/>
    <w:rsid w:val="00FB5EA7"/>
    <w:rsid w:val="00FB5EC5"/>
    <w:rsid w:val="00FB5EED"/>
    <w:rsid w:val="00FB5EF4"/>
    <w:rsid w:val="00FB5F13"/>
    <w:rsid w:val="00FB5F9E"/>
    <w:rsid w:val="00FB6022"/>
    <w:rsid w:val="00FB60A1"/>
    <w:rsid w:val="00FB60F2"/>
    <w:rsid w:val="00FB6114"/>
    <w:rsid w:val="00FB6119"/>
    <w:rsid w:val="00FB6257"/>
    <w:rsid w:val="00FB6391"/>
    <w:rsid w:val="00FB63D3"/>
    <w:rsid w:val="00FB6464"/>
    <w:rsid w:val="00FB664B"/>
    <w:rsid w:val="00FB6684"/>
    <w:rsid w:val="00FB6689"/>
    <w:rsid w:val="00FB66ED"/>
    <w:rsid w:val="00FB6734"/>
    <w:rsid w:val="00FB676E"/>
    <w:rsid w:val="00FB69D4"/>
    <w:rsid w:val="00FB6B57"/>
    <w:rsid w:val="00FB6D2D"/>
    <w:rsid w:val="00FB6DD3"/>
    <w:rsid w:val="00FB6DD8"/>
    <w:rsid w:val="00FB6E22"/>
    <w:rsid w:val="00FB7061"/>
    <w:rsid w:val="00FB7184"/>
    <w:rsid w:val="00FB7216"/>
    <w:rsid w:val="00FB726E"/>
    <w:rsid w:val="00FB7318"/>
    <w:rsid w:val="00FB73D2"/>
    <w:rsid w:val="00FB75D9"/>
    <w:rsid w:val="00FB7726"/>
    <w:rsid w:val="00FB7844"/>
    <w:rsid w:val="00FB78E9"/>
    <w:rsid w:val="00FB7A5C"/>
    <w:rsid w:val="00FB7A62"/>
    <w:rsid w:val="00FB7CBC"/>
    <w:rsid w:val="00FB7E8D"/>
    <w:rsid w:val="00FC00DD"/>
    <w:rsid w:val="00FC00F6"/>
    <w:rsid w:val="00FC0231"/>
    <w:rsid w:val="00FC025F"/>
    <w:rsid w:val="00FC0277"/>
    <w:rsid w:val="00FC02C7"/>
    <w:rsid w:val="00FC02FD"/>
    <w:rsid w:val="00FC035D"/>
    <w:rsid w:val="00FC0361"/>
    <w:rsid w:val="00FC0383"/>
    <w:rsid w:val="00FC0500"/>
    <w:rsid w:val="00FC0516"/>
    <w:rsid w:val="00FC0611"/>
    <w:rsid w:val="00FC0846"/>
    <w:rsid w:val="00FC087F"/>
    <w:rsid w:val="00FC08AA"/>
    <w:rsid w:val="00FC0ABF"/>
    <w:rsid w:val="00FC0B4D"/>
    <w:rsid w:val="00FC0C21"/>
    <w:rsid w:val="00FC0C84"/>
    <w:rsid w:val="00FC0C91"/>
    <w:rsid w:val="00FC0D47"/>
    <w:rsid w:val="00FC0DB3"/>
    <w:rsid w:val="00FC0DF7"/>
    <w:rsid w:val="00FC0E0A"/>
    <w:rsid w:val="00FC0E57"/>
    <w:rsid w:val="00FC0E8F"/>
    <w:rsid w:val="00FC0ED5"/>
    <w:rsid w:val="00FC0EEE"/>
    <w:rsid w:val="00FC10D8"/>
    <w:rsid w:val="00FC119D"/>
    <w:rsid w:val="00FC13D9"/>
    <w:rsid w:val="00FC1467"/>
    <w:rsid w:val="00FC14A3"/>
    <w:rsid w:val="00FC164E"/>
    <w:rsid w:val="00FC166A"/>
    <w:rsid w:val="00FC1676"/>
    <w:rsid w:val="00FC1751"/>
    <w:rsid w:val="00FC18B3"/>
    <w:rsid w:val="00FC1B18"/>
    <w:rsid w:val="00FC1CAD"/>
    <w:rsid w:val="00FC1CC3"/>
    <w:rsid w:val="00FC1E25"/>
    <w:rsid w:val="00FC1E5A"/>
    <w:rsid w:val="00FC2053"/>
    <w:rsid w:val="00FC22DF"/>
    <w:rsid w:val="00FC2366"/>
    <w:rsid w:val="00FC27CF"/>
    <w:rsid w:val="00FC2820"/>
    <w:rsid w:val="00FC2848"/>
    <w:rsid w:val="00FC2961"/>
    <w:rsid w:val="00FC299B"/>
    <w:rsid w:val="00FC2BBC"/>
    <w:rsid w:val="00FC2BF1"/>
    <w:rsid w:val="00FC2FC8"/>
    <w:rsid w:val="00FC30D7"/>
    <w:rsid w:val="00FC319F"/>
    <w:rsid w:val="00FC31A2"/>
    <w:rsid w:val="00FC31CD"/>
    <w:rsid w:val="00FC3260"/>
    <w:rsid w:val="00FC32D5"/>
    <w:rsid w:val="00FC34F4"/>
    <w:rsid w:val="00FC355A"/>
    <w:rsid w:val="00FC360C"/>
    <w:rsid w:val="00FC3613"/>
    <w:rsid w:val="00FC3658"/>
    <w:rsid w:val="00FC3661"/>
    <w:rsid w:val="00FC36AC"/>
    <w:rsid w:val="00FC3730"/>
    <w:rsid w:val="00FC3790"/>
    <w:rsid w:val="00FC3839"/>
    <w:rsid w:val="00FC38BF"/>
    <w:rsid w:val="00FC3918"/>
    <w:rsid w:val="00FC3944"/>
    <w:rsid w:val="00FC39FE"/>
    <w:rsid w:val="00FC3B5C"/>
    <w:rsid w:val="00FC3D07"/>
    <w:rsid w:val="00FC3F00"/>
    <w:rsid w:val="00FC4044"/>
    <w:rsid w:val="00FC406E"/>
    <w:rsid w:val="00FC40B0"/>
    <w:rsid w:val="00FC40FD"/>
    <w:rsid w:val="00FC41ED"/>
    <w:rsid w:val="00FC4236"/>
    <w:rsid w:val="00FC442C"/>
    <w:rsid w:val="00FC4463"/>
    <w:rsid w:val="00FC448C"/>
    <w:rsid w:val="00FC44F0"/>
    <w:rsid w:val="00FC453A"/>
    <w:rsid w:val="00FC46E4"/>
    <w:rsid w:val="00FC4794"/>
    <w:rsid w:val="00FC47BC"/>
    <w:rsid w:val="00FC48BE"/>
    <w:rsid w:val="00FC48C9"/>
    <w:rsid w:val="00FC4965"/>
    <w:rsid w:val="00FC4BF1"/>
    <w:rsid w:val="00FC4CCC"/>
    <w:rsid w:val="00FC4DF4"/>
    <w:rsid w:val="00FC4E2F"/>
    <w:rsid w:val="00FC4E58"/>
    <w:rsid w:val="00FC4ECC"/>
    <w:rsid w:val="00FC4FED"/>
    <w:rsid w:val="00FC5100"/>
    <w:rsid w:val="00FC51B9"/>
    <w:rsid w:val="00FC5358"/>
    <w:rsid w:val="00FC5399"/>
    <w:rsid w:val="00FC5403"/>
    <w:rsid w:val="00FC5505"/>
    <w:rsid w:val="00FC5523"/>
    <w:rsid w:val="00FC57CA"/>
    <w:rsid w:val="00FC5865"/>
    <w:rsid w:val="00FC58DE"/>
    <w:rsid w:val="00FC5AF3"/>
    <w:rsid w:val="00FC5B7F"/>
    <w:rsid w:val="00FC5D91"/>
    <w:rsid w:val="00FC5DF5"/>
    <w:rsid w:val="00FC5F67"/>
    <w:rsid w:val="00FC60B9"/>
    <w:rsid w:val="00FC62AD"/>
    <w:rsid w:val="00FC62E6"/>
    <w:rsid w:val="00FC62FD"/>
    <w:rsid w:val="00FC630A"/>
    <w:rsid w:val="00FC630F"/>
    <w:rsid w:val="00FC6504"/>
    <w:rsid w:val="00FC650B"/>
    <w:rsid w:val="00FC65C5"/>
    <w:rsid w:val="00FC666D"/>
    <w:rsid w:val="00FC66DB"/>
    <w:rsid w:val="00FC67C9"/>
    <w:rsid w:val="00FC67DB"/>
    <w:rsid w:val="00FC68A0"/>
    <w:rsid w:val="00FC68C9"/>
    <w:rsid w:val="00FC6B01"/>
    <w:rsid w:val="00FC6BE0"/>
    <w:rsid w:val="00FC6CAE"/>
    <w:rsid w:val="00FC6CB8"/>
    <w:rsid w:val="00FC6CDD"/>
    <w:rsid w:val="00FC6E0D"/>
    <w:rsid w:val="00FC6EF0"/>
    <w:rsid w:val="00FC6F65"/>
    <w:rsid w:val="00FC6F9A"/>
    <w:rsid w:val="00FC7025"/>
    <w:rsid w:val="00FC72E6"/>
    <w:rsid w:val="00FC731E"/>
    <w:rsid w:val="00FC74DF"/>
    <w:rsid w:val="00FC76FA"/>
    <w:rsid w:val="00FC783C"/>
    <w:rsid w:val="00FC798C"/>
    <w:rsid w:val="00FC7B3F"/>
    <w:rsid w:val="00FC7C12"/>
    <w:rsid w:val="00FC7D7B"/>
    <w:rsid w:val="00FC7D95"/>
    <w:rsid w:val="00FC7DC7"/>
    <w:rsid w:val="00FC7ECE"/>
    <w:rsid w:val="00FC7F5A"/>
    <w:rsid w:val="00FD0075"/>
    <w:rsid w:val="00FD0221"/>
    <w:rsid w:val="00FD039F"/>
    <w:rsid w:val="00FD04A7"/>
    <w:rsid w:val="00FD04D0"/>
    <w:rsid w:val="00FD05C8"/>
    <w:rsid w:val="00FD05D4"/>
    <w:rsid w:val="00FD061D"/>
    <w:rsid w:val="00FD0683"/>
    <w:rsid w:val="00FD0760"/>
    <w:rsid w:val="00FD0A6E"/>
    <w:rsid w:val="00FD0E27"/>
    <w:rsid w:val="00FD0E42"/>
    <w:rsid w:val="00FD0EA8"/>
    <w:rsid w:val="00FD0F0F"/>
    <w:rsid w:val="00FD106A"/>
    <w:rsid w:val="00FD10BA"/>
    <w:rsid w:val="00FD14DF"/>
    <w:rsid w:val="00FD15F6"/>
    <w:rsid w:val="00FD165F"/>
    <w:rsid w:val="00FD1754"/>
    <w:rsid w:val="00FD186D"/>
    <w:rsid w:val="00FD1A7A"/>
    <w:rsid w:val="00FD1ABD"/>
    <w:rsid w:val="00FD1CA0"/>
    <w:rsid w:val="00FD1CFC"/>
    <w:rsid w:val="00FD1D76"/>
    <w:rsid w:val="00FD1D8F"/>
    <w:rsid w:val="00FD1DD1"/>
    <w:rsid w:val="00FD1E45"/>
    <w:rsid w:val="00FD1F38"/>
    <w:rsid w:val="00FD1F6B"/>
    <w:rsid w:val="00FD1F87"/>
    <w:rsid w:val="00FD1FD7"/>
    <w:rsid w:val="00FD22EC"/>
    <w:rsid w:val="00FD2324"/>
    <w:rsid w:val="00FD2409"/>
    <w:rsid w:val="00FD24CE"/>
    <w:rsid w:val="00FD252B"/>
    <w:rsid w:val="00FD25BA"/>
    <w:rsid w:val="00FD2862"/>
    <w:rsid w:val="00FD28A8"/>
    <w:rsid w:val="00FD2A4B"/>
    <w:rsid w:val="00FD2BC1"/>
    <w:rsid w:val="00FD2C8D"/>
    <w:rsid w:val="00FD2D64"/>
    <w:rsid w:val="00FD2E8D"/>
    <w:rsid w:val="00FD2EC5"/>
    <w:rsid w:val="00FD3000"/>
    <w:rsid w:val="00FD3004"/>
    <w:rsid w:val="00FD3071"/>
    <w:rsid w:val="00FD32C9"/>
    <w:rsid w:val="00FD3367"/>
    <w:rsid w:val="00FD336D"/>
    <w:rsid w:val="00FD3381"/>
    <w:rsid w:val="00FD343C"/>
    <w:rsid w:val="00FD3458"/>
    <w:rsid w:val="00FD3684"/>
    <w:rsid w:val="00FD36FF"/>
    <w:rsid w:val="00FD389D"/>
    <w:rsid w:val="00FD38EF"/>
    <w:rsid w:val="00FD38F1"/>
    <w:rsid w:val="00FD3A46"/>
    <w:rsid w:val="00FD3CC1"/>
    <w:rsid w:val="00FD3DBD"/>
    <w:rsid w:val="00FD3DF3"/>
    <w:rsid w:val="00FD3E0B"/>
    <w:rsid w:val="00FD3EAC"/>
    <w:rsid w:val="00FD3EE7"/>
    <w:rsid w:val="00FD4084"/>
    <w:rsid w:val="00FD4112"/>
    <w:rsid w:val="00FD412B"/>
    <w:rsid w:val="00FD416C"/>
    <w:rsid w:val="00FD417E"/>
    <w:rsid w:val="00FD431A"/>
    <w:rsid w:val="00FD43D1"/>
    <w:rsid w:val="00FD4453"/>
    <w:rsid w:val="00FD4479"/>
    <w:rsid w:val="00FD44A3"/>
    <w:rsid w:val="00FD45A7"/>
    <w:rsid w:val="00FD4763"/>
    <w:rsid w:val="00FD47A7"/>
    <w:rsid w:val="00FD4912"/>
    <w:rsid w:val="00FD4AEB"/>
    <w:rsid w:val="00FD4C05"/>
    <w:rsid w:val="00FD4C0F"/>
    <w:rsid w:val="00FD4C51"/>
    <w:rsid w:val="00FD4C60"/>
    <w:rsid w:val="00FD4F87"/>
    <w:rsid w:val="00FD4FD1"/>
    <w:rsid w:val="00FD5036"/>
    <w:rsid w:val="00FD513A"/>
    <w:rsid w:val="00FD5144"/>
    <w:rsid w:val="00FD518A"/>
    <w:rsid w:val="00FD524A"/>
    <w:rsid w:val="00FD52F2"/>
    <w:rsid w:val="00FD53C4"/>
    <w:rsid w:val="00FD553C"/>
    <w:rsid w:val="00FD5544"/>
    <w:rsid w:val="00FD55D2"/>
    <w:rsid w:val="00FD5694"/>
    <w:rsid w:val="00FD5763"/>
    <w:rsid w:val="00FD585C"/>
    <w:rsid w:val="00FD5953"/>
    <w:rsid w:val="00FD5B40"/>
    <w:rsid w:val="00FD5C4F"/>
    <w:rsid w:val="00FD5C67"/>
    <w:rsid w:val="00FD5C7F"/>
    <w:rsid w:val="00FD5D8E"/>
    <w:rsid w:val="00FD5E7D"/>
    <w:rsid w:val="00FD60FB"/>
    <w:rsid w:val="00FD61D8"/>
    <w:rsid w:val="00FD62CF"/>
    <w:rsid w:val="00FD6310"/>
    <w:rsid w:val="00FD63C6"/>
    <w:rsid w:val="00FD64D4"/>
    <w:rsid w:val="00FD6556"/>
    <w:rsid w:val="00FD657C"/>
    <w:rsid w:val="00FD679D"/>
    <w:rsid w:val="00FD684F"/>
    <w:rsid w:val="00FD6965"/>
    <w:rsid w:val="00FD69FD"/>
    <w:rsid w:val="00FD6AC9"/>
    <w:rsid w:val="00FD6BA8"/>
    <w:rsid w:val="00FD6BBF"/>
    <w:rsid w:val="00FD6E33"/>
    <w:rsid w:val="00FD6E59"/>
    <w:rsid w:val="00FD6FAB"/>
    <w:rsid w:val="00FD70AB"/>
    <w:rsid w:val="00FD7406"/>
    <w:rsid w:val="00FD7460"/>
    <w:rsid w:val="00FD75B3"/>
    <w:rsid w:val="00FD7694"/>
    <w:rsid w:val="00FD769D"/>
    <w:rsid w:val="00FD7701"/>
    <w:rsid w:val="00FD7811"/>
    <w:rsid w:val="00FD79F3"/>
    <w:rsid w:val="00FD7A60"/>
    <w:rsid w:val="00FD7ABA"/>
    <w:rsid w:val="00FD7B73"/>
    <w:rsid w:val="00FD7BD8"/>
    <w:rsid w:val="00FD7BE2"/>
    <w:rsid w:val="00FD7CE7"/>
    <w:rsid w:val="00FD7D41"/>
    <w:rsid w:val="00FD7DA6"/>
    <w:rsid w:val="00FD7E09"/>
    <w:rsid w:val="00FD7E75"/>
    <w:rsid w:val="00FD7F01"/>
    <w:rsid w:val="00FE017C"/>
    <w:rsid w:val="00FE01CA"/>
    <w:rsid w:val="00FE01E5"/>
    <w:rsid w:val="00FE026D"/>
    <w:rsid w:val="00FE0298"/>
    <w:rsid w:val="00FE0311"/>
    <w:rsid w:val="00FE03FE"/>
    <w:rsid w:val="00FE042C"/>
    <w:rsid w:val="00FE0431"/>
    <w:rsid w:val="00FE0452"/>
    <w:rsid w:val="00FE048F"/>
    <w:rsid w:val="00FE05BA"/>
    <w:rsid w:val="00FE05D2"/>
    <w:rsid w:val="00FE06E3"/>
    <w:rsid w:val="00FE086D"/>
    <w:rsid w:val="00FE087F"/>
    <w:rsid w:val="00FE091F"/>
    <w:rsid w:val="00FE0A60"/>
    <w:rsid w:val="00FE0AC3"/>
    <w:rsid w:val="00FE0D5B"/>
    <w:rsid w:val="00FE0E47"/>
    <w:rsid w:val="00FE0EFA"/>
    <w:rsid w:val="00FE0F33"/>
    <w:rsid w:val="00FE10C3"/>
    <w:rsid w:val="00FE115E"/>
    <w:rsid w:val="00FE127D"/>
    <w:rsid w:val="00FE1299"/>
    <w:rsid w:val="00FE148C"/>
    <w:rsid w:val="00FE1740"/>
    <w:rsid w:val="00FE1786"/>
    <w:rsid w:val="00FE196D"/>
    <w:rsid w:val="00FE19EB"/>
    <w:rsid w:val="00FE1C7C"/>
    <w:rsid w:val="00FE1D0B"/>
    <w:rsid w:val="00FE1F62"/>
    <w:rsid w:val="00FE1FB7"/>
    <w:rsid w:val="00FE21BF"/>
    <w:rsid w:val="00FE220B"/>
    <w:rsid w:val="00FE2226"/>
    <w:rsid w:val="00FE24E5"/>
    <w:rsid w:val="00FE2646"/>
    <w:rsid w:val="00FE2789"/>
    <w:rsid w:val="00FE28FA"/>
    <w:rsid w:val="00FE291E"/>
    <w:rsid w:val="00FE2980"/>
    <w:rsid w:val="00FE2BDE"/>
    <w:rsid w:val="00FE2C42"/>
    <w:rsid w:val="00FE2C61"/>
    <w:rsid w:val="00FE2CB2"/>
    <w:rsid w:val="00FE2EF8"/>
    <w:rsid w:val="00FE2FB2"/>
    <w:rsid w:val="00FE3060"/>
    <w:rsid w:val="00FE3154"/>
    <w:rsid w:val="00FE318B"/>
    <w:rsid w:val="00FE329E"/>
    <w:rsid w:val="00FE3400"/>
    <w:rsid w:val="00FE3446"/>
    <w:rsid w:val="00FE3496"/>
    <w:rsid w:val="00FE3500"/>
    <w:rsid w:val="00FE354A"/>
    <w:rsid w:val="00FE373F"/>
    <w:rsid w:val="00FE37BA"/>
    <w:rsid w:val="00FE380F"/>
    <w:rsid w:val="00FE393F"/>
    <w:rsid w:val="00FE3990"/>
    <w:rsid w:val="00FE39E0"/>
    <w:rsid w:val="00FE3A62"/>
    <w:rsid w:val="00FE3AA0"/>
    <w:rsid w:val="00FE3AD9"/>
    <w:rsid w:val="00FE3BEB"/>
    <w:rsid w:val="00FE3C99"/>
    <w:rsid w:val="00FE3E04"/>
    <w:rsid w:val="00FE3E97"/>
    <w:rsid w:val="00FE4007"/>
    <w:rsid w:val="00FE4170"/>
    <w:rsid w:val="00FE43E9"/>
    <w:rsid w:val="00FE4531"/>
    <w:rsid w:val="00FE4577"/>
    <w:rsid w:val="00FE457D"/>
    <w:rsid w:val="00FE45D4"/>
    <w:rsid w:val="00FE45EE"/>
    <w:rsid w:val="00FE467D"/>
    <w:rsid w:val="00FE467E"/>
    <w:rsid w:val="00FE4776"/>
    <w:rsid w:val="00FE4782"/>
    <w:rsid w:val="00FE49A3"/>
    <w:rsid w:val="00FE4A47"/>
    <w:rsid w:val="00FE4B37"/>
    <w:rsid w:val="00FE4B75"/>
    <w:rsid w:val="00FE4CD3"/>
    <w:rsid w:val="00FE4E38"/>
    <w:rsid w:val="00FE4F2E"/>
    <w:rsid w:val="00FE500B"/>
    <w:rsid w:val="00FE506D"/>
    <w:rsid w:val="00FE5118"/>
    <w:rsid w:val="00FE51C9"/>
    <w:rsid w:val="00FE5405"/>
    <w:rsid w:val="00FE5539"/>
    <w:rsid w:val="00FE5928"/>
    <w:rsid w:val="00FE5B2E"/>
    <w:rsid w:val="00FE5BD1"/>
    <w:rsid w:val="00FE5D87"/>
    <w:rsid w:val="00FE5DDB"/>
    <w:rsid w:val="00FE5DE0"/>
    <w:rsid w:val="00FE5E5F"/>
    <w:rsid w:val="00FE5E96"/>
    <w:rsid w:val="00FE5F37"/>
    <w:rsid w:val="00FE6035"/>
    <w:rsid w:val="00FE6113"/>
    <w:rsid w:val="00FE613C"/>
    <w:rsid w:val="00FE63E1"/>
    <w:rsid w:val="00FE646B"/>
    <w:rsid w:val="00FE651E"/>
    <w:rsid w:val="00FE65D0"/>
    <w:rsid w:val="00FE6714"/>
    <w:rsid w:val="00FE671C"/>
    <w:rsid w:val="00FE6776"/>
    <w:rsid w:val="00FE689A"/>
    <w:rsid w:val="00FE68F9"/>
    <w:rsid w:val="00FE697B"/>
    <w:rsid w:val="00FE6B1A"/>
    <w:rsid w:val="00FE70D8"/>
    <w:rsid w:val="00FE721D"/>
    <w:rsid w:val="00FE7239"/>
    <w:rsid w:val="00FE758F"/>
    <w:rsid w:val="00FE76F9"/>
    <w:rsid w:val="00FE7754"/>
    <w:rsid w:val="00FE777D"/>
    <w:rsid w:val="00FE781F"/>
    <w:rsid w:val="00FE791B"/>
    <w:rsid w:val="00FE7B73"/>
    <w:rsid w:val="00FE7D75"/>
    <w:rsid w:val="00FE7E22"/>
    <w:rsid w:val="00FE7FA4"/>
    <w:rsid w:val="00FF004A"/>
    <w:rsid w:val="00FF00C7"/>
    <w:rsid w:val="00FF0105"/>
    <w:rsid w:val="00FF0139"/>
    <w:rsid w:val="00FF018A"/>
    <w:rsid w:val="00FF02F8"/>
    <w:rsid w:val="00FF031C"/>
    <w:rsid w:val="00FF0401"/>
    <w:rsid w:val="00FF0616"/>
    <w:rsid w:val="00FF0666"/>
    <w:rsid w:val="00FF09A6"/>
    <w:rsid w:val="00FF0A93"/>
    <w:rsid w:val="00FF0B4F"/>
    <w:rsid w:val="00FF0C20"/>
    <w:rsid w:val="00FF0C5C"/>
    <w:rsid w:val="00FF0CDF"/>
    <w:rsid w:val="00FF0CE4"/>
    <w:rsid w:val="00FF0F70"/>
    <w:rsid w:val="00FF1073"/>
    <w:rsid w:val="00FF1085"/>
    <w:rsid w:val="00FF10FD"/>
    <w:rsid w:val="00FF120D"/>
    <w:rsid w:val="00FF125C"/>
    <w:rsid w:val="00FF12BB"/>
    <w:rsid w:val="00FF134A"/>
    <w:rsid w:val="00FF1665"/>
    <w:rsid w:val="00FF16CA"/>
    <w:rsid w:val="00FF172F"/>
    <w:rsid w:val="00FF1801"/>
    <w:rsid w:val="00FF185D"/>
    <w:rsid w:val="00FF1A64"/>
    <w:rsid w:val="00FF1C02"/>
    <w:rsid w:val="00FF1E67"/>
    <w:rsid w:val="00FF1F89"/>
    <w:rsid w:val="00FF2125"/>
    <w:rsid w:val="00FF2252"/>
    <w:rsid w:val="00FF226D"/>
    <w:rsid w:val="00FF2304"/>
    <w:rsid w:val="00FF23E8"/>
    <w:rsid w:val="00FF2458"/>
    <w:rsid w:val="00FF252D"/>
    <w:rsid w:val="00FF2599"/>
    <w:rsid w:val="00FF2620"/>
    <w:rsid w:val="00FF26BE"/>
    <w:rsid w:val="00FF2827"/>
    <w:rsid w:val="00FF2950"/>
    <w:rsid w:val="00FF2A69"/>
    <w:rsid w:val="00FF2C54"/>
    <w:rsid w:val="00FF2CB3"/>
    <w:rsid w:val="00FF2E31"/>
    <w:rsid w:val="00FF2F68"/>
    <w:rsid w:val="00FF3317"/>
    <w:rsid w:val="00FF34B3"/>
    <w:rsid w:val="00FF36AC"/>
    <w:rsid w:val="00FF372E"/>
    <w:rsid w:val="00FF37E7"/>
    <w:rsid w:val="00FF3AA8"/>
    <w:rsid w:val="00FF3B07"/>
    <w:rsid w:val="00FF3B29"/>
    <w:rsid w:val="00FF3C3F"/>
    <w:rsid w:val="00FF3E3C"/>
    <w:rsid w:val="00FF4027"/>
    <w:rsid w:val="00FF40B2"/>
    <w:rsid w:val="00FF4141"/>
    <w:rsid w:val="00FF4192"/>
    <w:rsid w:val="00FF42F7"/>
    <w:rsid w:val="00FF438F"/>
    <w:rsid w:val="00FF43D1"/>
    <w:rsid w:val="00FF4436"/>
    <w:rsid w:val="00FF44B6"/>
    <w:rsid w:val="00FF4510"/>
    <w:rsid w:val="00FF4596"/>
    <w:rsid w:val="00FF45C2"/>
    <w:rsid w:val="00FF474B"/>
    <w:rsid w:val="00FF475C"/>
    <w:rsid w:val="00FF4764"/>
    <w:rsid w:val="00FF48E5"/>
    <w:rsid w:val="00FF4945"/>
    <w:rsid w:val="00FF4A08"/>
    <w:rsid w:val="00FF4B4B"/>
    <w:rsid w:val="00FF4B59"/>
    <w:rsid w:val="00FF4BFE"/>
    <w:rsid w:val="00FF4CE6"/>
    <w:rsid w:val="00FF4CEB"/>
    <w:rsid w:val="00FF4E35"/>
    <w:rsid w:val="00FF4F65"/>
    <w:rsid w:val="00FF4FF0"/>
    <w:rsid w:val="00FF501D"/>
    <w:rsid w:val="00FF5138"/>
    <w:rsid w:val="00FF520A"/>
    <w:rsid w:val="00FF5226"/>
    <w:rsid w:val="00FF537A"/>
    <w:rsid w:val="00FF53AE"/>
    <w:rsid w:val="00FF5414"/>
    <w:rsid w:val="00FF554F"/>
    <w:rsid w:val="00FF5662"/>
    <w:rsid w:val="00FF57A4"/>
    <w:rsid w:val="00FF5A98"/>
    <w:rsid w:val="00FF5C34"/>
    <w:rsid w:val="00FF5C65"/>
    <w:rsid w:val="00FF5C6B"/>
    <w:rsid w:val="00FF5C8E"/>
    <w:rsid w:val="00FF5C95"/>
    <w:rsid w:val="00FF5CD6"/>
    <w:rsid w:val="00FF5D3F"/>
    <w:rsid w:val="00FF5D68"/>
    <w:rsid w:val="00FF5D7C"/>
    <w:rsid w:val="00FF5DD4"/>
    <w:rsid w:val="00FF5F88"/>
    <w:rsid w:val="00FF602F"/>
    <w:rsid w:val="00FF6104"/>
    <w:rsid w:val="00FF618F"/>
    <w:rsid w:val="00FF63F0"/>
    <w:rsid w:val="00FF6445"/>
    <w:rsid w:val="00FF645C"/>
    <w:rsid w:val="00FF6503"/>
    <w:rsid w:val="00FF6701"/>
    <w:rsid w:val="00FF67B2"/>
    <w:rsid w:val="00FF6930"/>
    <w:rsid w:val="00FF6A13"/>
    <w:rsid w:val="00FF6A6D"/>
    <w:rsid w:val="00FF6AF9"/>
    <w:rsid w:val="00FF6B88"/>
    <w:rsid w:val="00FF6C46"/>
    <w:rsid w:val="00FF6D53"/>
    <w:rsid w:val="00FF6DEB"/>
    <w:rsid w:val="00FF6FF9"/>
    <w:rsid w:val="00FF7074"/>
    <w:rsid w:val="00FF7108"/>
    <w:rsid w:val="00FF7197"/>
    <w:rsid w:val="00FF7226"/>
    <w:rsid w:val="00FF726C"/>
    <w:rsid w:val="00FF72D5"/>
    <w:rsid w:val="00FF73E9"/>
    <w:rsid w:val="00FF73FF"/>
    <w:rsid w:val="00FF75C0"/>
    <w:rsid w:val="00FF792D"/>
    <w:rsid w:val="00FF79A6"/>
    <w:rsid w:val="00FF7A70"/>
    <w:rsid w:val="00FF7B68"/>
    <w:rsid w:val="00FF7BF5"/>
    <w:rsid w:val="00FF7C2B"/>
    <w:rsid w:val="00FF7CA1"/>
    <w:rsid w:val="00FF7D76"/>
    <w:rsid w:val="00FF7F0B"/>
    <w:rsid w:val="00FF7F2C"/>
    <w:rsid w:val="00FF7F9B"/>
    <w:rsid w:val="00FF7FA1"/>
    <w:rsid w:val="01094DE5"/>
    <w:rsid w:val="01157460"/>
    <w:rsid w:val="011D8B26"/>
    <w:rsid w:val="01256F78"/>
    <w:rsid w:val="01273178"/>
    <w:rsid w:val="0138C01C"/>
    <w:rsid w:val="013D670D"/>
    <w:rsid w:val="0145ACEC"/>
    <w:rsid w:val="01521621"/>
    <w:rsid w:val="016143A1"/>
    <w:rsid w:val="0190FE35"/>
    <w:rsid w:val="01A29E34"/>
    <w:rsid w:val="01A3354C"/>
    <w:rsid w:val="01A88531"/>
    <w:rsid w:val="01AF0167"/>
    <w:rsid w:val="01CBEC1D"/>
    <w:rsid w:val="01E2051D"/>
    <w:rsid w:val="01E25325"/>
    <w:rsid w:val="0209FBCF"/>
    <w:rsid w:val="020C593E"/>
    <w:rsid w:val="0214FF14"/>
    <w:rsid w:val="0220BDA1"/>
    <w:rsid w:val="02258CC2"/>
    <w:rsid w:val="02281A83"/>
    <w:rsid w:val="022A01C7"/>
    <w:rsid w:val="022D977E"/>
    <w:rsid w:val="0232938B"/>
    <w:rsid w:val="02371FA3"/>
    <w:rsid w:val="023BC2A8"/>
    <w:rsid w:val="024C6697"/>
    <w:rsid w:val="0251BEBE"/>
    <w:rsid w:val="0253739F"/>
    <w:rsid w:val="025F06AD"/>
    <w:rsid w:val="02721204"/>
    <w:rsid w:val="02755CB6"/>
    <w:rsid w:val="028123AB"/>
    <w:rsid w:val="02842ADC"/>
    <w:rsid w:val="028BA201"/>
    <w:rsid w:val="0291E83B"/>
    <w:rsid w:val="0297800C"/>
    <w:rsid w:val="02AB803E"/>
    <w:rsid w:val="02CEDA45"/>
    <w:rsid w:val="02E23F7E"/>
    <w:rsid w:val="02F02F8F"/>
    <w:rsid w:val="02F8BEB0"/>
    <w:rsid w:val="0303D1C1"/>
    <w:rsid w:val="03110101"/>
    <w:rsid w:val="031D3534"/>
    <w:rsid w:val="03238339"/>
    <w:rsid w:val="0328239F"/>
    <w:rsid w:val="032A3F72"/>
    <w:rsid w:val="0331E2F4"/>
    <w:rsid w:val="034C8E51"/>
    <w:rsid w:val="0359C5A5"/>
    <w:rsid w:val="03667D9D"/>
    <w:rsid w:val="037B52F9"/>
    <w:rsid w:val="037D88C7"/>
    <w:rsid w:val="038577ED"/>
    <w:rsid w:val="03A21384"/>
    <w:rsid w:val="03A6D463"/>
    <w:rsid w:val="03AA5EB1"/>
    <w:rsid w:val="03CF2281"/>
    <w:rsid w:val="03D9ED65"/>
    <w:rsid w:val="03DF205E"/>
    <w:rsid w:val="03E2AFF5"/>
    <w:rsid w:val="03EB3659"/>
    <w:rsid w:val="03ED8F1F"/>
    <w:rsid w:val="03F81D76"/>
    <w:rsid w:val="03FEF50E"/>
    <w:rsid w:val="0403B122"/>
    <w:rsid w:val="04105B67"/>
    <w:rsid w:val="0421F3D3"/>
    <w:rsid w:val="042645A6"/>
    <w:rsid w:val="042BEE78"/>
    <w:rsid w:val="042EC969"/>
    <w:rsid w:val="044010AB"/>
    <w:rsid w:val="04498261"/>
    <w:rsid w:val="04516FE7"/>
    <w:rsid w:val="045BCDA8"/>
    <w:rsid w:val="0465E85A"/>
    <w:rsid w:val="046B6DCB"/>
    <w:rsid w:val="047AB99E"/>
    <w:rsid w:val="047E0699"/>
    <w:rsid w:val="047E6B25"/>
    <w:rsid w:val="04873298"/>
    <w:rsid w:val="04924112"/>
    <w:rsid w:val="0499FE8F"/>
    <w:rsid w:val="04A5A457"/>
    <w:rsid w:val="04AB16BB"/>
    <w:rsid w:val="04C361E1"/>
    <w:rsid w:val="04C8136D"/>
    <w:rsid w:val="04E23588"/>
    <w:rsid w:val="04EC5C91"/>
    <w:rsid w:val="04EE9C3B"/>
    <w:rsid w:val="05067415"/>
    <w:rsid w:val="050B190B"/>
    <w:rsid w:val="050E21E0"/>
    <w:rsid w:val="05102E37"/>
    <w:rsid w:val="05120F9E"/>
    <w:rsid w:val="0513F9F3"/>
    <w:rsid w:val="051A9EEC"/>
    <w:rsid w:val="05270E19"/>
    <w:rsid w:val="05346CF3"/>
    <w:rsid w:val="0538CF7B"/>
    <w:rsid w:val="055159BF"/>
    <w:rsid w:val="056B48F3"/>
    <w:rsid w:val="0574B726"/>
    <w:rsid w:val="05795FF8"/>
    <w:rsid w:val="057B7956"/>
    <w:rsid w:val="05852ADE"/>
    <w:rsid w:val="05862D02"/>
    <w:rsid w:val="0591A637"/>
    <w:rsid w:val="05A21C92"/>
    <w:rsid w:val="05AD234F"/>
    <w:rsid w:val="05B17214"/>
    <w:rsid w:val="05B6FB27"/>
    <w:rsid w:val="05C8C8A7"/>
    <w:rsid w:val="05D04FAB"/>
    <w:rsid w:val="05E0ACFF"/>
    <w:rsid w:val="05F46D10"/>
    <w:rsid w:val="060A54EB"/>
    <w:rsid w:val="061BFC6C"/>
    <w:rsid w:val="06291AC1"/>
    <w:rsid w:val="062E0B6C"/>
    <w:rsid w:val="06351C8B"/>
    <w:rsid w:val="063F6C17"/>
    <w:rsid w:val="065F714B"/>
    <w:rsid w:val="066114C0"/>
    <w:rsid w:val="067A0906"/>
    <w:rsid w:val="067D42CF"/>
    <w:rsid w:val="068DFDA0"/>
    <w:rsid w:val="0694F37C"/>
    <w:rsid w:val="06956018"/>
    <w:rsid w:val="06A0E287"/>
    <w:rsid w:val="06AB2D28"/>
    <w:rsid w:val="06B0B5E2"/>
    <w:rsid w:val="06B8DF23"/>
    <w:rsid w:val="06C1C32A"/>
    <w:rsid w:val="06C585B9"/>
    <w:rsid w:val="06CD72A4"/>
    <w:rsid w:val="06D816C8"/>
    <w:rsid w:val="06E52EAB"/>
    <w:rsid w:val="06F54A93"/>
    <w:rsid w:val="070174D2"/>
    <w:rsid w:val="0707C11A"/>
    <w:rsid w:val="070AF8BD"/>
    <w:rsid w:val="070DB3F0"/>
    <w:rsid w:val="070E1B2C"/>
    <w:rsid w:val="0716245B"/>
    <w:rsid w:val="072160BF"/>
    <w:rsid w:val="074792E8"/>
    <w:rsid w:val="074A1F2D"/>
    <w:rsid w:val="074FCF83"/>
    <w:rsid w:val="0750DB0A"/>
    <w:rsid w:val="0753EBFB"/>
    <w:rsid w:val="075F4F35"/>
    <w:rsid w:val="076F92C7"/>
    <w:rsid w:val="077562E2"/>
    <w:rsid w:val="0776059B"/>
    <w:rsid w:val="077B01D2"/>
    <w:rsid w:val="077C55B6"/>
    <w:rsid w:val="077D39E6"/>
    <w:rsid w:val="07992EC1"/>
    <w:rsid w:val="07A3DC5E"/>
    <w:rsid w:val="07A467FF"/>
    <w:rsid w:val="07B7C18F"/>
    <w:rsid w:val="07B9F1F1"/>
    <w:rsid w:val="07CF862C"/>
    <w:rsid w:val="07D1724B"/>
    <w:rsid w:val="07DD41AC"/>
    <w:rsid w:val="07E50B58"/>
    <w:rsid w:val="07E7AA19"/>
    <w:rsid w:val="07EAE671"/>
    <w:rsid w:val="07EB378C"/>
    <w:rsid w:val="07EDA89D"/>
    <w:rsid w:val="07F2A41F"/>
    <w:rsid w:val="07FC79ED"/>
    <w:rsid w:val="07FD70F9"/>
    <w:rsid w:val="07FF6359"/>
    <w:rsid w:val="08103E7B"/>
    <w:rsid w:val="0812EB22"/>
    <w:rsid w:val="081743C0"/>
    <w:rsid w:val="0818EDBC"/>
    <w:rsid w:val="0818F2D4"/>
    <w:rsid w:val="081960F5"/>
    <w:rsid w:val="0829BC96"/>
    <w:rsid w:val="082B1F9A"/>
    <w:rsid w:val="08374BF3"/>
    <w:rsid w:val="0837B008"/>
    <w:rsid w:val="083DC933"/>
    <w:rsid w:val="084A682D"/>
    <w:rsid w:val="084F88C8"/>
    <w:rsid w:val="085CA8BF"/>
    <w:rsid w:val="085CD631"/>
    <w:rsid w:val="086CA74A"/>
    <w:rsid w:val="086CC2AD"/>
    <w:rsid w:val="086CED7E"/>
    <w:rsid w:val="08794E6D"/>
    <w:rsid w:val="087ABF10"/>
    <w:rsid w:val="08944874"/>
    <w:rsid w:val="08A078EA"/>
    <w:rsid w:val="08BB3C11"/>
    <w:rsid w:val="08BDCDC4"/>
    <w:rsid w:val="08CC4537"/>
    <w:rsid w:val="08CDC01A"/>
    <w:rsid w:val="08D6080D"/>
    <w:rsid w:val="08D72CC8"/>
    <w:rsid w:val="08DEA2D5"/>
    <w:rsid w:val="08E9D1B3"/>
    <w:rsid w:val="090333B3"/>
    <w:rsid w:val="090CB1FE"/>
    <w:rsid w:val="09112F54"/>
    <w:rsid w:val="0911F556"/>
    <w:rsid w:val="09306DC5"/>
    <w:rsid w:val="0932A53C"/>
    <w:rsid w:val="0948E2C5"/>
    <w:rsid w:val="0952845F"/>
    <w:rsid w:val="095E916F"/>
    <w:rsid w:val="0967FB09"/>
    <w:rsid w:val="0969C3CD"/>
    <w:rsid w:val="096BCC01"/>
    <w:rsid w:val="09807A3D"/>
    <w:rsid w:val="0990BF40"/>
    <w:rsid w:val="099FBB0C"/>
    <w:rsid w:val="09A4100D"/>
    <w:rsid w:val="09CFFE00"/>
    <w:rsid w:val="09D1FED3"/>
    <w:rsid w:val="09D466CD"/>
    <w:rsid w:val="09EACBC1"/>
    <w:rsid w:val="09EBF54A"/>
    <w:rsid w:val="09FF6E3E"/>
    <w:rsid w:val="0A0A2315"/>
    <w:rsid w:val="0A0B9A05"/>
    <w:rsid w:val="0A18016E"/>
    <w:rsid w:val="0A3890CE"/>
    <w:rsid w:val="0A5095E4"/>
    <w:rsid w:val="0A63C10F"/>
    <w:rsid w:val="0A680992"/>
    <w:rsid w:val="0A8D658D"/>
    <w:rsid w:val="0A937948"/>
    <w:rsid w:val="0A9F9A0C"/>
    <w:rsid w:val="0A9FA46A"/>
    <w:rsid w:val="0AA3B7C0"/>
    <w:rsid w:val="0ABE5C08"/>
    <w:rsid w:val="0AC15BF8"/>
    <w:rsid w:val="0ACA9477"/>
    <w:rsid w:val="0ACBECD6"/>
    <w:rsid w:val="0ADE0D9D"/>
    <w:rsid w:val="0AE16402"/>
    <w:rsid w:val="0AEFD653"/>
    <w:rsid w:val="0AF581CF"/>
    <w:rsid w:val="0AF7CE0E"/>
    <w:rsid w:val="0B0065BB"/>
    <w:rsid w:val="0B036DA1"/>
    <w:rsid w:val="0B04AEB6"/>
    <w:rsid w:val="0B062320"/>
    <w:rsid w:val="0B2F9BAB"/>
    <w:rsid w:val="0B328166"/>
    <w:rsid w:val="0B43B6DD"/>
    <w:rsid w:val="0B45007C"/>
    <w:rsid w:val="0B471418"/>
    <w:rsid w:val="0B4CC876"/>
    <w:rsid w:val="0B4FBEEE"/>
    <w:rsid w:val="0B504AD0"/>
    <w:rsid w:val="0B5A3921"/>
    <w:rsid w:val="0B5FE26C"/>
    <w:rsid w:val="0B617987"/>
    <w:rsid w:val="0B6650CF"/>
    <w:rsid w:val="0B6EF0D2"/>
    <w:rsid w:val="0B6F08A2"/>
    <w:rsid w:val="0B781363"/>
    <w:rsid w:val="0B8553CB"/>
    <w:rsid w:val="0B8BDFB3"/>
    <w:rsid w:val="0B959CA0"/>
    <w:rsid w:val="0BA641F4"/>
    <w:rsid w:val="0BB3A245"/>
    <w:rsid w:val="0BC31F58"/>
    <w:rsid w:val="0BC73E96"/>
    <w:rsid w:val="0BCF7635"/>
    <w:rsid w:val="0BD31313"/>
    <w:rsid w:val="0BDB604E"/>
    <w:rsid w:val="0BDF78A7"/>
    <w:rsid w:val="0BE19541"/>
    <w:rsid w:val="0BFD7E8E"/>
    <w:rsid w:val="0C06E66D"/>
    <w:rsid w:val="0C072D61"/>
    <w:rsid w:val="0C083A63"/>
    <w:rsid w:val="0C234A1E"/>
    <w:rsid w:val="0C25C644"/>
    <w:rsid w:val="0C27D1DB"/>
    <w:rsid w:val="0C3B02DA"/>
    <w:rsid w:val="0C3DDA85"/>
    <w:rsid w:val="0C49148D"/>
    <w:rsid w:val="0C4B2395"/>
    <w:rsid w:val="0C531BD9"/>
    <w:rsid w:val="0C5D0087"/>
    <w:rsid w:val="0C5DB095"/>
    <w:rsid w:val="0C5DBA86"/>
    <w:rsid w:val="0C6128EE"/>
    <w:rsid w:val="0C6C3E6B"/>
    <w:rsid w:val="0C79757A"/>
    <w:rsid w:val="0C7A0DD7"/>
    <w:rsid w:val="0C940AB6"/>
    <w:rsid w:val="0CAB4D54"/>
    <w:rsid w:val="0CAD845D"/>
    <w:rsid w:val="0CBD11FD"/>
    <w:rsid w:val="0CDC9F02"/>
    <w:rsid w:val="0CE8FCE9"/>
    <w:rsid w:val="0CEDB334"/>
    <w:rsid w:val="0CF8E4BA"/>
    <w:rsid w:val="0CFD49E8"/>
    <w:rsid w:val="0D00B1CB"/>
    <w:rsid w:val="0D1483C9"/>
    <w:rsid w:val="0D274364"/>
    <w:rsid w:val="0D43D6D4"/>
    <w:rsid w:val="0D50C60D"/>
    <w:rsid w:val="0D565837"/>
    <w:rsid w:val="0D82C21E"/>
    <w:rsid w:val="0D92FF9D"/>
    <w:rsid w:val="0D9CF37C"/>
    <w:rsid w:val="0DB4F9C1"/>
    <w:rsid w:val="0DB90AAF"/>
    <w:rsid w:val="0DDED69C"/>
    <w:rsid w:val="0E065BEE"/>
    <w:rsid w:val="0E0D8407"/>
    <w:rsid w:val="0E1A8704"/>
    <w:rsid w:val="0E21D7E7"/>
    <w:rsid w:val="0E24C692"/>
    <w:rsid w:val="0E2BBC94"/>
    <w:rsid w:val="0E62F537"/>
    <w:rsid w:val="0E7080D1"/>
    <w:rsid w:val="0E7A3D27"/>
    <w:rsid w:val="0E8588D0"/>
    <w:rsid w:val="0E969DDA"/>
    <w:rsid w:val="0E9888F6"/>
    <w:rsid w:val="0E99A7AC"/>
    <w:rsid w:val="0E9FC069"/>
    <w:rsid w:val="0ECCA515"/>
    <w:rsid w:val="0ED40787"/>
    <w:rsid w:val="0EDF690E"/>
    <w:rsid w:val="0EE16245"/>
    <w:rsid w:val="0EED8C2E"/>
    <w:rsid w:val="0EF0A3F0"/>
    <w:rsid w:val="0EF147F7"/>
    <w:rsid w:val="0EF3B111"/>
    <w:rsid w:val="0EF422F1"/>
    <w:rsid w:val="0EF57962"/>
    <w:rsid w:val="0F08F6BA"/>
    <w:rsid w:val="0F107EF8"/>
    <w:rsid w:val="0F14865B"/>
    <w:rsid w:val="0F1667B9"/>
    <w:rsid w:val="0F46E85B"/>
    <w:rsid w:val="0F520005"/>
    <w:rsid w:val="0F539F93"/>
    <w:rsid w:val="0F5B1ED1"/>
    <w:rsid w:val="0F5B9A82"/>
    <w:rsid w:val="0F671933"/>
    <w:rsid w:val="0F6D8CCB"/>
    <w:rsid w:val="0F71C0FE"/>
    <w:rsid w:val="0F73D578"/>
    <w:rsid w:val="0F742E3F"/>
    <w:rsid w:val="0F74D2B8"/>
    <w:rsid w:val="0F750430"/>
    <w:rsid w:val="0F7C2060"/>
    <w:rsid w:val="0F9EDC6A"/>
    <w:rsid w:val="0FA365F0"/>
    <w:rsid w:val="0FA69F6A"/>
    <w:rsid w:val="0FACC688"/>
    <w:rsid w:val="0FD166EC"/>
    <w:rsid w:val="0FD2ECCB"/>
    <w:rsid w:val="0FD6FAA7"/>
    <w:rsid w:val="0FDD5C88"/>
    <w:rsid w:val="0FDF0C57"/>
    <w:rsid w:val="0FE69538"/>
    <w:rsid w:val="0FEFA420"/>
    <w:rsid w:val="0FF96F14"/>
    <w:rsid w:val="100545B8"/>
    <w:rsid w:val="100555D2"/>
    <w:rsid w:val="1005C56D"/>
    <w:rsid w:val="100AF633"/>
    <w:rsid w:val="100E329A"/>
    <w:rsid w:val="101B9E56"/>
    <w:rsid w:val="10339922"/>
    <w:rsid w:val="103F6D98"/>
    <w:rsid w:val="1048C4A4"/>
    <w:rsid w:val="10517BFE"/>
    <w:rsid w:val="1057D4A2"/>
    <w:rsid w:val="105F63CC"/>
    <w:rsid w:val="105FA5D7"/>
    <w:rsid w:val="1064460C"/>
    <w:rsid w:val="1069CF8E"/>
    <w:rsid w:val="10827872"/>
    <w:rsid w:val="10860EB0"/>
    <w:rsid w:val="10889229"/>
    <w:rsid w:val="1089257A"/>
    <w:rsid w:val="1089BE4B"/>
    <w:rsid w:val="108B2AD6"/>
    <w:rsid w:val="109303C9"/>
    <w:rsid w:val="1095D174"/>
    <w:rsid w:val="109AF612"/>
    <w:rsid w:val="10A8E4AA"/>
    <w:rsid w:val="10AA742D"/>
    <w:rsid w:val="10B57797"/>
    <w:rsid w:val="10B69640"/>
    <w:rsid w:val="10BC757F"/>
    <w:rsid w:val="10C191DB"/>
    <w:rsid w:val="10EE7345"/>
    <w:rsid w:val="10F0E98F"/>
    <w:rsid w:val="10F2B1DC"/>
    <w:rsid w:val="10FDED5B"/>
    <w:rsid w:val="1100ADB8"/>
    <w:rsid w:val="11022021"/>
    <w:rsid w:val="110CC705"/>
    <w:rsid w:val="1112A5B0"/>
    <w:rsid w:val="1116A110"/>
    <w:rsid w:val="111FDF4F"/>
    <w:rsid w:val="112E790E"/>
    <w:rsid w:val="113431FC"/>
    <w:rsid w:val="113707F2"/>
    <w:rsid w:val="1138BE1D"/>
    <w:rsid w:val="114697B3"/>
    <w:rsid w:val="1147C2ED"/>
    <w:rsid w:val="11557355"/>
    <w:rsid w:val="115D5C1E"/>
    <w:rsid w:val="115EE733"/>
    <w:rsid w:val="1165C648"/>
    <w:rsid w:val="1169EA4D"/>
    <w:rsid w:val="116CCD36"/>
    <w:rsid w:val="117631F3"/>
    <w:rsid w:val="119D40A8"/>
    <w:rsid w:val="119E3779"/>
    <w:rsid w:val="11AB9200"/>
    <w:rsid w:val="11AF45DC"/>
    <w:rsid w:val="11CD3AC2"/>
    <w:rsid w:val="11D5F1FF"/>
    <w:rsid w:val="11D9DC38"/>
    <w:rsid w:val="11DE1E43"/>
    <w:rsid w:val="11E71CC5"/>
    <w:rsid w:val="1202F4BC"/>
    <w:rsid w:val="12032B8C"/>
    <w:rsid w:val="1203B5BC"/>
    <w:rsid w:val="1207CBC0"/>
    <w:rsid w:val="12117DCB"/>
    <w:rsid w:val="1231E16D"/>
    <w:rsid w:val="12326A2B"/>
    <w:rsid w:val="123EAFA3"/>
    <w:rsid w:val="12535727"/>
    <w:rsid w:val="12560DC2"/>
    <w:rsid w:val="125715DE"/>
    <w:rsid w:val="125B2DDA"/>
    <w:rsid w:val="125EFCB1"/>
    <w:rsid w:val="126CD6C4"/>
    <w:rsid w:val="126F0362"/>
    <w:rsid w:val="12759802"/>
    <w:rsid w:val="127657BD"/>
    <w:rsid w:val="128A1B29"/>
    <w:rsid w:val="1292BF93"/>
    <w:rsid w:val="12A08973"/>
    <w:rsid w:val="12AA5830"/>
    <w:rsid w:val="12AD1C09"/>
    <w:rsid w:val="12BA830A"/>
    <w:rsid w:val="12D2EFA9"/>
    <w:rsid w:val="12E4674A"/>
    <w:rsid w:val="12EC4B58"/>
    <w:rsid w:val="12F1EDC4"/>
    <w:rsid w:val="12F81ED6"/>
    <w:rsid w:val="12F99EEA"/>
    <w:rsid w:val="130C5E32"/>
    <w:rsid w:val="132C54C7"/>
    <w:rsid w:val="135BA57B"/>
    <w:rsid w:val="1365B6E7"/>
    <w:rsid w:val="13675A62"/>
    <w:rsid w:val="137DF41F"/>
    <w:rsid w:val="13808B6D"/>
    <w:rsid w:val="13847442"/>
    <w:rsid w:val="138B98CB"/>
    <w:rsid w:val="138ED700"/>
    <w:rsid w:val="1391ADE6"/>
    <w:rsid w:val="13980E00"/>
    <w:rsid w:val="13983B6F"/>
    <w:rsid w:val="13984796"/>
    <w:rsid w:val="13A8B720"/>
    <w:rsid w:val="13A95C41"/>
    <w:rsid w:val="13B7ABD7"/>
    <w:rsid w:val="13CCB0E2"/>
    <w:rsid w:val="13CE8E47"/>
    <w:rsid w:val="13CFBEB4"/>
    <w:rsid w:val="13E0E9A4"/>
    <w:rsid w:val="13E7E8C1"/>
    <w:rsid w:val="14042600"/>
    <w:rsid w:val="141411C5"/>
    <w:rsid w:val="1419D65C"/>
    <w:rsid w:val="141A0B8A"/>
    <w:rsid w:val="141A261F"/>
    <w:rsid w:val="141D2767"/>
    <w:rsid w:val="142AE071"/>
    <w:rsid w:val="142FC40D"/>
    <w:rsid w:val="1438E660"/>
    <w:rsid w:val="143D192F"/>
    <w:rsid w:val="1443E232"/>
    <w:rsid w:val="1448BA69"/>
    <w:rsid w:val="144C9560"/>
    <w:rsid w:val="144F02D9"/>
    <w:rsid w:val="14619B9B"/>
    <w:rsid w:val="14689184"/>
    <w:rsid w:val="146F3091"/>
    <w:rsid w:val="1474ED3A"/>
    <w:rsid w:val="14804802"/>
    <w:rsid w:val="1481669B"/>
    <w:rsid w:val="148895BF"/>
    <w:rsid w:val="148AED92"/>
    <w:rsid w:val="149D1AC9"/>
    <w:rsid w:val="14A978A2"/>
    <w:rsid w:val="14AB6B71"/>
    <w:rsid w:val="14CB9F88"/>
    <w:rsid w:val="14CD44AD"/>
    <w:rsid w:val="14D2018F"/>
    <w:rsid w:val="14DCC38E"/>
    <w:rsid w:val="14E7C474"/>
    <w:rsid w:val="14FBF65F"/>
    <w:rsid w:val="14FF0123"/>
    <w:rsid w:val="1523CE7E"/>
    <w:rsid w:val="152626A9"/>
    <w:rsid w:val="15276843"/>
    <w:rsid w:val="15281CA6"/>
    <w:rsid w:val="152C7505"/>
    <w:rsid w:val="1533C08F"/>
    <w:rsid w:val="15398F65"/>
    <w:rsid w:val="153CB18E"/>
    <w:rsid w:val="15500838"/>
    <w:rsid w:val="1559B070"/>
    <w:rsid w:val="1571008C"/>
    <w:rsid w:val="1573B71F"/>
    <w:rsid w:val="1573FA42"/>
    <w:rsid w:val="157EF87F"/>
    <w:rsid w:val="1587E1EE"/>
    <w:rsid w:val="15978753"/>
    <w:rsid w:val="15A633BB"/>
    <w:rsid w:val="15ADDD05"/>
    <w:rsid w:val="15AF038F"/>
    <w:rsid w:val="15BDCBDC"/>
    <w:rsid w:val="15C7E267"/>
    <w:rsid w:val="15E316A7"/>
    <w:rsid w:val="15E7FF50"/>
    <w:rsid w:val="15F3AFA5"/>
    <w:rsid w:val="15F481EA"/>
    <w:rsid w:val="15F60ED9"/>
    <w:rsid w:val="15FB5718"/>
    <w:rsid w:val="15FE2090"/>
    <w:rsid w:val="16210BB8"/>
    <w:rsid w:val="1633A920"/>
    <w:rsid w:val="1643FEE0"/>
    <w:rsid w:val="1644C3DC"/>
    <w:rsid w:val="16576AFE"/>
    <w:rsid w:val="166DCC1E"/>
    <w:rsid w:val="1676F59D"/>
    <w:rsid w:val="1686DAB9"/>
    <w:rsid w:val="16914A36"/>
    <w:rsid w:val="1696A25B"/>
    <w:rsid w:val="16AEE33E"/>
    <w:rsid w:val="16B4F81D"/>
    <w:rsid w:val="16CA4ADC"/>
    <w:rsid w:val="16CF411F"/>
    <w:rsid w:val="16D4AD85"/>
    <w:rsid w:val="16DF2F6A"/>
    <w:rsid w:val="16F2AF59"/>
    <w:rsid w:val="16FC0A32"/>
    <w:rsid w:val="1706B53F"/>
    <w:rsid w:val="170AD4A9"/>
    <w:rsid w:val="17146B2C"/>
    <w:rsid w:val="17251CBB"/>
    <w:rsid w:val="173DCD4F"/>
    <w:rsid w:val="17477FF8"/>
    <w:rsid w:val="1748AEA1"/>
    <w:rsid w:val="175B87D2"/>
    <w:rsid w:val="175D8155"/>
    <w:rsid w:val="178A7C68"/>
    <w:rsid w:val="178D1F4C"/>
    <w:rsid w:val="178E77D4"/>
    <w:rsid w:val="17979C24"/>
    <w:rsid w:val="17B3B9B4"/>
    <w:rsid w:val="17B570FA"/>
    <w:rsid w:val="17C328C1"/>
    <w:rsid w:val="17D6F421"/>
    <w:rsid w:val="17D80B2D"/>
    <w:rsid w:val="17E10D37"/>
    <w:rsid w:val="17F132E0"/>
    <w:rsid w:val="17FBFB1A"/>
    <w:rsid w:val="181143BC"/>
    <w:rsid w:val="1825A90B"/>
    <w:rsid w:val="182DE5D0"/>
    <w:rsid w:val="183B1878"/>
    <w:rsid w:val="183C045A"/>
    <w:rsid w:val="1842D241"/>
    <w:rsid w:val="184CC801"/>
    <w:rsid w:val="18662BB6"/>
    <w:rsid w:val="186B9C9F"/>
    <w:rsid w:val="186F5AE9"/>
    <w:rsid w:val="186F7B7F"/>
    <w:rsid w:val="1877C7A5"/>
    <w:rsid w:val="1896E1B5"/>
    <w:rsid w:val="18B80EFD"/>
    <w:rsid w:val="18CB33A2"/>
    <w:rsid w:val="18E6503D"/>
    <w:rsid w:val="18E7AE3A"/>
    <w:rsid w:val="18EED832"/>
    <w:rsid w:val="18F1754A"/>
    <w:rsid w:val="190A120D"/>
    <w:rsid w:val="19144D15"/>
    <w:rsid w:val="1926569F"/>
    <w:rsid w:val="192D61C5"/>
    <w:rsid w:val="1932DA6B"/>
    <w:rsid w:val="195C812B"/>
    <w:rsid w:val="196579D4"/>
    <w:rsid w:val="196EA4F8"/>
    <w:rsid w:val="196EBA7F"/>
    <w:rsid w:val="1970E03B"/>
    <w:rsid w:val="197E4BB1"/>
    <w:rsid w:val="197FB97D"/>
    <w:rsid w:val="1984CE60"/>
    <w:rsid w:val="198D4E3F"/>
    <w:rsid w:val="1997DFFC"/>
    <w:rsid w:val="19A42619"/>
    <w:rsid w:val="19A89F58"/>
    <w:rsid w:val="19C74E28"/>
    <w:rsid w:val="19DEB807"/>
    <w:rsid w:val="19EC0CBD"/>
    <w:rsid w:val="19FA8292"/>
    <w:rsid w:val="1A01EA86"/>
    <w:rsid w:val="1A1A960C"/>
    <w:rsid w:val="1A2C31A7"/>
    <w:rsid w:val="1A371A96"/>
    <w:rsid w:val="1A3DD858"/>
    <w:rsid w:val="1A4C579D"/>
    <w:rsid w:val="1A517894"/>
    <w:rsid w:val="1A5217EA"/>
    <w:rsid w:val="1A826760"/>
    <w:rsid w:val="1A858753"/>
    <w:rsid w:val="1AA318F9"/>
    <w:rsid w:val="1AB553ED"/>
    <w:rsid w:val="1AC0ACC8"/>
    <w:rsid w:val="1AC6A4D8"/>
    <w:rsid w:val="1ACB0A61"/>
    <w:rsid w:val="1AD37366"/>
    <w:rsid w:val="1ADCE4F4"/>
    <w:rsid w:val="1ADFE92B"/>
    <w:rsid w:val="1AEAEC5E"/>
    <w:rsid w:val="1B009BCE"/>
    <w:rsid w:val="1B0E30D6"/>
    <w:rsid w:val="1B0FBB50"/>
    <w:rsid w:val="1B13289E"/>
    <w:rsid w:val="1B21D63A"/>
    <w:rsid w:val="1B2F2AC3"/>
    <w:rsid w:val="1B37DEC5"/>
    <w:rsid w:val="1B3F67F7"/>
    <w:rsid w:val="1B44646A"/>
    <w:rsid w:val="1B47D2BD"/>
    <w:rsid w:val="1B563709"/>
    <w:rsid w:val="1B66757E"/>
    <w:rsid w:val="1B817782"/>
    <w:rsid w:val="1B882E78"/>
    <w:rsid w:val="1B9652F3"/>
    <w:rsid w:val="1B99FF08"/>
    <w:rsid w:val="1B9D4911"/>
    <w:rsid w:val="1BA52F22"/>
    <w:rsid w:val="1BB239B4"/>
    <w:rsid w:val="1BB37D95"/>
    <w:rsid w:val="1BB90BBC"/>
    <w:rsid w:val="1BBB7052"/>
    <w:rsid w:val="1BBF238F"/>
    <w:rsid w:val="1BE3465B"/>
    <w:rsid w:val="1BEEF60B"/>
    <w:rsid w:val="1C10CD45"/>
    <w:rsid w:val="1C112F75"/>
    <w:rsid w:val="1C1F6BCF"/>
    <w:rsid w:val="1C25F326"/>
    <w:rsid w:val="1C26E580"/>
    <w:rsid w:val="1C2DEA7B"/>
    <w:rsid w:val="1C33C63F"/>
    <w:rsid w:val="1C350078"/>
    <w:rsid w:val="1C350EAB"/>
    <w:rsid w:val="1C52D651"/>
    <w:rsid w:val="1C5C7D29"/>
    <w:rsid w:val="1C66D0E7"/>
    <w:rsid w:val="1C7814CD"/>
    <w:rsid w:val="1C9453AA"/>
    <w:rsid w:val="1C9C464B"/>
    <w:rsid w:val="1CA87612"/>
    <w:rsid w:val="1CA95123"/>
    <w:rsid w:val="1CCD598E"/>
    <w:rsid w:val="1CDA3F30"/>
    <w:rsid w:val="1CF46D32"/>
    <w:rsid w:val="1CF53556"/>
    <w:rsid w:val="1CFCFC2E"/>
    <w:rsid w:val="1D02B561"/>
    <w:rsid w:val="1D0A3132"/>
    <w:rsid w:val="1D0B2511"/>
    <w:rsid w:val="1D10FE95"/>
    <w:rsid w:val="1D13016B"/>
    <w:rsid w:val="1D2172AE"/>
    <w:rsid w:val="1D2A8FDD"/>
    <w:rsid w:val="1D2F8A77"/>
    <w:rsid w:val="1D3D4656"/>
    <w:rsid w:val="1D5003AB"/>
    <w:rsid w:val="1D5CD68B"/>
    <w:rsid w:val="1D5F803E"/>
    <w:rsid w:val="1D6F404A"/>
    <w:rsid w:val="1D732DF4"/>
    <w:rsid w:val="1D8BAC1F"/>
    <w:rsid w:val="1D8E5E62"/>
    <w:rsid w:val="1D9C1B91"/>
    <w:rsid w:val="1DAF1E43"/>
    <w:rsid w:val="1DC2F64A"/>
    <w:rsid w:val="1DC63D79"/>
    <w:rsid w:val="1DCE04E4"/>
    <w:rsid w:val="1DE79B8D"/>
    <w:rsid w:val="1DF54D9A"/>
    <w:rsid w:val="1DF7284D"/>
    <w:rsid w:val="1DFC4EC2"/>
    <w:rsid w:val="1E0912B8"/>
    <w:rsid w:val="1E117877"/>
    <w:rsid w:val="1E159C49"/>
    <w:rsid w:val="1E1D5946"/>
    <w:rsid w:val="1E3A103C"/>
    <w:rsid w:val="1E6538CB"/>
    <w:rsid w:val="1E6BCD06"/>
    <w:rsid w:val="1E6D054B"/>
    <w:rsid w:val="1E9B2D6B"/>
    <w:rsid w:val="1EAA06F9"/>
    <w:rsid w:val="1EAF360C"/>
    <w:rsid w:val="1EBBD86A"/>
    <w:rsid w:val="1ECB3CD6"/>
    <w:rsid w:val="1ED0F4FF"/>
    <w:rsid w:val="1ED1D2EC"/>
    <w:rsid w:val="1ED340CD"/>
    <w:rsid w:val="1EF892B3"/>
    <w:rsid w:val="1F06E00C"/>
    <w:rsid w:val="1F23B016"/>
    <w:rsid w:val="1F23E019"/>
    <w:rsid w:val="1F39E128"/>
    <w:rsid w:val="1F454A68"/>
    <w:rsid w:val="1F4CAE54"/>
    <w:rsid w:val="1F4CFFB0"/>
    <w:rsid w:val="1F589231"/>
    <w:rsid w:val="1F5B60B4"/>
    <w:rsid w:val="1F75F37F"/>
    <w:rsid w:val="1F84A2E7"/>
    <w:rsid w:val="1F8D0D11"/>
    <w:rsid w:val="1F916069"/>
    <w:rsid w:val="1F986A21"/>
    <w:rsid w:val="1F9B93AD"/>
    <w:rsid w:val="1FA15B37"/>
    <w:rsid w:val="1FB36107"/>
    <w:rsid w:val="1FC682EA"/>
    <w:rsid w:val="201085DC"/>
    <w:rsid w:val="2010CA8A"/>
    <w:rsid w:val="20125A80"/>
    <w:rsid w:val="201D5D8E"/>
    <w:rsid w:val="201D95DA"/>
    <w:rsid w:val="20235355"/>
    <w:rsid w:val="202AFC4D"/>
    <w:rsid w:val="203D6365"/>
    <w:rsid w:val="203F1C06"/>
    <w:rsid w:val="20404FD2"/>
    <w:rsid w:val="20482FB2"/>
    <w:rsid w:val="2055FCC9"/>
    <w:rsid w:val="205C1D27"/>
    <w:rsid w:val="20614179"/>
    <w:rsid w:val="20666893"/>
    <w:rsid w:val="20702A61"/>
    <w:rsid w:val="20944872"/>
    <w:rsid w:val="20981446"/>
    <w:rsid w:val="2098ED86"/>
    <w:rsid w:val="209D3A49"/>
    <w:rsid w:val="209F240F"/>
    <w:rsid w:val="20A13BDA"/>
    <w:rsid w:val="20E0B5E4"/>
    <w:rsid w:val="20EF2905"/>
    <w:rsid w:val="210096AD"/>
    <w:rsid w:val="2102A936"/>
    <w:rsid w:val="2108AC0A"/>
    <w:rsid w:val="210D16BF"/>
    <w:rsid w:val="21104269"/>
    <w:rsid w:val="21187334"/>
    <w:rsid w:val="211CB91C"/>
    <w:rsid w:val="211DF5B2"/>
    <w:rsid w:val="2121C409"/>
    <w:rsid w:val="214762E1"/>
    <w:rsid w:val="2161339F"/>
    <w:rsid w:val="21627EE8"/>
    <w:rsid w:val="218AD1FE"/>
    <w:rsid w:val="21905456"/>
    <w:rsid w:val="219671D1"/>
    <w:rsid w:val="21A265B5"/>
    <w:rsid w:val="21BD14C6"/>
    <w:rsid w:val="21BF2E19"/>
    <w:rsid w:val="21C2CDF0"/>
    <w:rsid w:val="21C68131"/>
    <w:rsid w:val="21C9CE08"/>
    <w:rsid w:val="21CF1AA4"/>
    <w:rsid w:val="21D51937"/>
    <w:rsid w:val="21D6ED33"/>
    <w:rsid w:val="21E9929C"/>
    <w:rsid w:val="21FB36E1"/>
    <w:rsid w:val="2200D5EF"/>
    <w:rsid w:val="220AAF66"/>
    <w:rsid w:val="221C3600"/>
    <w:rsid w:val="221E9518"/>
    <w:rsid w:val="2223FA31"/>
    <w:rsid w:val="22272792"/>
    <w:rsid w:val="2238A33D"/>
    <w:rsid w:val="223A3C15"/>
    <w:rsid w:val="223A5A01"/>
    <w:rsid w:val="2249F750"/>
    <w:rsid w:val="224A7A2B"/>
    <w:rsid w:val="227B5BF8"/>
    <w:rsid w:val="228353DF"/>
    <w:rsid w:val="229348A1"/>
    <w:rsid w:val="22A0D97B"/>
    <w:rsid w:val="22A32605"/>
    <w:rsid w:val="22C1796B"/>
    <w:rsid w:val="22C1BF83"/>
    <w:rsid w:val="22CA0133"/>
    <w:rsid w:val="22E83E92"/>
    <w:rsid w:val="23078EE2"/>
    <w:rsid w:val="231084C0"/>
    <w:rsid w:val="231085FB"/>
    <w:rsid w:val="2314280B"/>
    <w:rsid w:val="231581A8"/>
    <w:rsid w:val="232C18C7"/>
    <w:rsid w:val="233676DB"/>
    <w:rsid w:val="2355C9F0"/>
    <w:rsid w:val="23A08AB6"/>
    <w:rsid w:val="23B99F20"/>
    <w:rsid w:val="23BD3CD4"/>
    <w:rsid w:val="23BD541A"/>
    <w:rsid w:val="23C34962"/>
    <w:rsid w:val="23C40D9F"/>
    <w:rsid w:val="23C40FA3"/>
    <w:rsid w:val="23D99223"/>
    <w:rsid w:val="23DF129F"/>
    <w:rsid w:val="24027D06"/>
    <w:rsid w:val="240F1F5A"/>
    <w:rsid w:val="24109935"/>
    <w:rsid w:val="24174CE0"/>
    <w:rsid w:val="241EE9CB"/>
    <w:rsid w:val="2431C761"/>
    <w:rsid w:val="2437E245"/>
    <w:rsid w:val="243E6CF3"/>
    <w:rsid w:val="243F4481"/>
    <w:rsid w:val="244D03E2"/>
    <w:rsid w:val="245E4A3A"/>
    <w:rsid w:val="245E906C"/>
    <w:rsid w:val="2479217F"/>
    <w:rsid w:val="24802F76"/>
    <w:rsid w:val="248BB126"/>
    <w:rsid w:val="24A23586"/>
    <w:rsid w:val="24A36536"/>
    <w:rsid w:val="24A66D1D"/>
    <w:rsid w:val="24AB2A91"/>
    <w:rsid w:val="24B0F448"/>
    <w:rsid w:val="24B69E60"/>
    <w:rsid w:val="24C24B4F"/>
    <w:rsid w:val="24C89191"/>
    <w:rsid w:val="24CD9BBB"/>
    <w:rsid w:val="24D4C73E"/>
    <w:rsid w:val="24DC78E9"/>
    <w:rsid w:val="24E4B381"/>
    <w:rsid w:val="24E6DF53"/>
    <w:rsid w:val="24FB61B5"/>
    <w:rsid w:val="24FC0EFD"/>
    <w:rsid w:val="2500E20A"/>
    <w:rsid w:val="250E9DE9"/>
    <w:rsid w:val="2515F3F4"/>
    <w:rsid w:val="251E9885"/>
    <w:rsid w:val="2524F88B"/>
    <w:rsid w:val="252A536C"/>
    <w:rsid w:val="252E8834"/>
    <w:rsid w:val="252FF116"/>
    <w:rsid w:val="2578DA19"/>
    <w:rsid w:val="25882D8D"/>
    <w:rsid w:val="25933166"/>
    <w:rsid w:val="2599C4B8"/>
    <w:rsid w:val="25BE95C2"/>
    <w:rsid w:val="25CCE496"/>
    <w:rsid w:val="25E48DCD"/>
    <w:rsid w:val="25FFF62A"/>
    <w:rsid w:val="260FE8F6"/>
    <w:rsid w:val="2610C8EA"/>
    <w:rsid w:val="2614362B"/>
    <w:rsid w:val="261EC5ED"/>
    <w:rsid w:val="262DA7C0"/>
    <w:rsid w:val="26364205"/>
    <w:rsid w:val="263C7FDF"/>
    <w:rsid w:val="263F810F"/>
    <w:rsid w:val="2646AFF0"/>
    <w:rsid w:val="26493419"/>
    <w:rsid w:val="264C2907"/>
    <w:rsid w:val="265776DF"/>
    <w:rsid w:val="267C624B"/>
    <w:rsid w:val="2681DE76"/>
    <w:rsid w:val="2681E81F"/>
    <w:rsid w:val="2683006B"/>
    <w:rsid w:val="2688365E"/>
    <w:rsid w:val="2689E00E"/>
    <w:rsid w:val="268B0FD6"/>
    <w:rsid w:val="268C54FF"/>
    <w:rsid w:val="26908313"/>
    <w:rsid w:val="2695C5DD"/>
    <w:rsid w:val="26973216"/>
    <w:rsid w:val="269E967F"/>
    <w:rsid w:val="269ED524"/>
    <w:rsid w:val="26A120F6"/>
    <w:rsid w:val="26A12218"/>
    <w:rsid w:val="26A29247"/>
    <w:rsid w:val="26AF949F"/>
    <w:rsid w:val="26B6E8C3"/>
    <w:rsid w:val="26C975E6"/>
    <w:rsid w:val="26CC7D75"/>
    <w:rsid w:val="26CCFFB1"/>
    <w:rsid w:val="26CD718D"/>
    <w:rsid w:val="26D95FA9"/>
    <w:rsid w:val="26EDE823"/>
    <w:rsid w:val="2710DB82"/>
    <w:rsid w:val="2717C515"/>
    <w:rsid w:val="271DB22E"/>
    <w:rsid w:val="2725431F"/>
    <w:rsid w:val="272E4C3E"/>
    <w:rsid w:val="272FF052"/>
    <w:rsid w:val="2738D7D5"/>
    <w:rsid w:val="273AD6BE"/>
    <w:rsid w:val="2740F1DC"/>
    <w:rsid w:val="2744649A"/>
    <w:rsid w:val="274D6C55"/>
    <w:rsid w:val="2766B777"/>
    <w:rsid w:val="276AC3B2"/>
    <w:rsid w:val="2777EAAB"/>
    <w:rsid w:val="2790FFBB"/>
    <w:rsid w:val="2796CB3B"/>
    <w:rsid w:val="27B94020"/>
    <w:rsid w:val="27BFD4C1"/>
    <w:rsid w:val="27D680C0"/>
    <w:rsid w:val="27D9AB4A"/>
    <w:rsid w:val="27E28F4C"/>
    <w:rsid w:val="27E6208A"/>
    <w:rsid w:val="27F5889B"/>
    <w:rsid w:val="27F69B61"/>
    <w:rsid w:val="27FAD85D"/>
    <w:rsid w:val="28093F9F"/>
    <w:rsid w:val="28165A02"/>
    <w:rsid w:val="28217392"/>
    <w:rsid w:val="283B18C7"/>
    <w:rsid w:val="284274AB"/>
    <w:rsid w:val="284975E3"/>
    <w:rsid w:val="284E01C8"/>
    <w:rsid w:val="286E4E03"/>
    <w:rsid w:val="2872B0A1"/>
    <w:rsid w:val="2878393C"/>
    <w:rsid w:val="2889B884"/>
    <w:rsid w:val="289D7D5F"/>
    <w:rsid w:val="28B07ADB"/>
    <w:rsid w:val="28B36A17"/>
    <w:rsid w:val="28B64EA1"/>
    <w:rsid w:val="28C8F014"/>
    <w:rsid w:val="28E37D3C"/>
    <w:rsid w:val="28F09B6B"/>
    <w:rsid w:val="28F5956B"/>
    <w:rsid w:val="2910EE56"/>
    <w:rsid w:val="2917664F"/>
    <w:rsid w:val="291F8B68"/>
    <w:rsid w:val="293268FD"/>
    <w:rsid w:val="29358FCC"/>
    <w:rsid w:val="2937F6B0"/>
    <w:rsid w:val="295EAFE0"/>
    <w:rsid w:val="2964FC47"/>
    <w:rsid w:val="2971CCFE"/>
    <w:rsid w:val="2975C12C"/>
    <w:rsid w:val="2976B7BF"/>
    <w:rsid w:val="299D3F9B"/>
    <w:rsid w:val="299D900A"/>
    <w:rsid w:val="29AB8FD0"/>
    <w:rsid w:val="29B061A3"/>
    <w:rsid w:val="29C8BD1D"/>
    <w:rsid w:val="29CED2D8"/>
    <w:rsid w:val="29CEFF33"/>
    <w:rsid w:val="29E0B99D"/>
    <w:rsid w:val="29E6FA84"/>
    <w:rsid w:val="2A056A7D"/>
    <w:rsid w:val="2A06AFF2"/>
    <w:rsid w:val="2A0C6644"/>
    <w:rsid w:val="2A335F25"/>
    <w:rsid w:val="2A336D0D"/>
    <w:rsid w:val="2A3F6FF8"/>
    <w:rsid w:val="2A44672E"/>
    <w:rsid w:val="2A494672"/>
    <w:rsid w:val="2A4A17F7"/>
    <w:rsid w:val="2A5EB503"/>
    <w:rsid w:val="2A692E4E"/>
    <w:rsid w:val="2A69464F"/>
    <w:rsid w:val="2A6E3FF9"/>
    <w:rsid w:val="2A80CAF4"/>
    <w:rsid w:val="2A81D8B0"/>
    <w:rsid w:val="2A82DF67"/>
    <w:rsid w:val="2A9CA7E3"/>
    <w:rsid w:val="2A9D9448"/>
    <w:rsid w:val="2AA88C7E"/>
    <w:rsid w:val="2AAB3B5D"/>
    <w:rsid w:val="2AE35A19"/>
    <w:rsid w:val="2AE4519F"/>
    <w:rsid w:val="2AE5ED56"/>
    <w:rsid w:val="2AF1DC9B"/>
    <w:rsid w:val="2B082BB9"/>
    <w:rsid w:val="2B0E975F"/>
    <w:rsid w:val="2B10EC76"/>
    <w:rsid w:val="2B15DC50"/>
    <w:rsid w:val="2B26DFAA"/>
    <w:rsid w:val="2B305CA2"/>
    <w:rsid w:val="2B321423"/>
    <w:rsid w:val="2B37C7BF"/>
    <w:rsid w:val="2B4318B7"/>
    <w:rsid w:val="2B4A492D"/>
    <w:rsid w:val="2B5BD415"/>
    <w:rsid w:val="2B7BBE9C"/>
    <w:rsid w:val="2B9BF0A9"/>
    <w:rsid w:val="2BA7DBFD"/>
    <w:rsid w:val="2BE422F5"/>
    <w:rsid w:val="2BFDCC32"/>
    <w:rsid w:val="2C052145"/>
    <w:rsid w:val="2C067810"/>
    <w:rsid w:val="2C22413B"/>
    <w:rsid w:val="2C25344F"/>
    <w:rsid w:val="2C26B806"/>
    <w:rsid w:val="2C2B01F5"/>
    <w:rsid w:val="2C2BE6C2"/>
    <w:rsid w:val="2C30AC8A"/>
    <w:rsid w:val="2C3D0612"/>
    <w:rsid w:val="2C42E43F"/>
    <w:rsid w:val="2C470BBE"/>
    <w:rsid w:val="2C4B544E"/>
    <w:rsid w:val="2C4BB330"/>
    <w:rsid w:val="2C7669A5"/>
    <w:rsid w:val="2C777DFA"/>
    <w:rsid w:val="2C7F46DC"/>
    <w:rsid w:val="2C917BC0"/>
    <w:rsid w:val="2CA7FED3"/>
    <w:rsid w:val="2CAAFBA3"/>
    <w:rsid w:val="2CBC0A82"/>
    <w:rsid w:val="2CC0F5EF"/>
    <w:rsid w:val="2CC84FFF"/>
    <w:rsid w:val="2CD51FFA"/>
    <w:rsid w:val="2CDC15A8"/>
    <w:rsid w:val="2CDC20E2"/>
    <w:rsid w:val="2CE6F517"/>
    <w:rsid w:val="2CEFB778"/>
    <w:rsid w:val="2D0E0311"/>
    <w:rsid w:val="2D2A681E"/>
    <w:rsid w:val="2D34EC8D"/>
    <w:rsid w:val="2D38CEEC"/>
    <w:rsid w:val="2D3F8465"/>
    <w:rsid w:val="2D41184E"/>
    <w:rsid w:val="2D489D9E"/>
    <w:rsid w:val="2D51ECEB"/>
    <w:rsid w:val="2D682ED1"/>
    <w:rsid w:val="2D6EBE34"/>
    <w:rsid w:val="2D702D21"/>
    <w:rsid w:val="2D743320"/>
    <w:rsid w:val="2D750D52"/>
    <w:rsid w:val="2D7593ED"/>
    <w:rsid w:val="2D786BD8"/>
    <w:rsid w:val="2D8304E3"/>
    <w:rsid w:val="2D92C3E7"/>
    <w:rsid w:val="2D94AF86"/>
    <w:rsid w:val="2D94BAEF"/>
    <w:rsid w:val="2DA4C3C0"/>
    <w:rsid w:val="2DCB54DA"/>
    <w:rsid w:val="2DD9C5F3"/>
    <w:rsid w:val="2DDEB731"/>
    <w:rsid w:val="2DF9F679"/>
    <w:rsid w:val="2E075324"/>
    <w:rsid w:val="2E0C3612"/>
    <w:rsid w:val="2E0F528C"/>
    <w:rsid w:val="2E13FDCF"/>
    <w:rsid w:val="2E14164F"/>
    <w:rsid w:val="2E1AD80D"/>
    <w:rsid w:val="2E2A37D5"/>
    <w:rsid w:val="2E2AB7D4"/>
    <w:rsid w:val="2E2FFAE1"/>
    <w:rsid w:val="2E3F317A"/>
    <w:rsid w:val="2E45BEAD"/>
    <w:rsid w:val="2E53EDB4"/>
    <w:rsid w:val="2E5B941F"/>
    <w:rsid w:val="2E702781"/>
    <w:rsid w:val="2E789F2C"/>
    <w:rsid w:val="2EA03207"/>
    <w:rsid w:val="2EAC1FEA"/>
    <w:rsid w:val="2EB3DF5C"/>
    <w:rsid w:val="2EC1237E"/>
    <w:rsid w:val="2ECBB985"/>
    <w:rsid w:val="2EDB32D5"/>
    <w:rsid w:val="2EF9A038"/>
    <w:rsid w:val="2EFEE7DD"/>
    <w:rsid w:val="2F160D2F"/>
    <w:rsid w:val="2F36A33C"/>
    <w:rsid w:val="2F4F74DE"/>
    <w:rsid w:val="2F60DB42"/>
    <w:rsid w:val="2F6D5071"/>
    <w:rsid w:val="2F712357"/>
    <w:rsid w:val="2F765B4E"/>
    <w:rsid w:val="2F85A8EF"/>
    <w:rsid w:val="2FAD3C95"/>
    <w:rsid w:val="2FAF8AEA"/>
    <w:rsid w:val="2FC47A44"/>
    <w:rsid w:val="2FC8467D"/>
    <w:rsid w:val="2FD3034F"/>
    <w:rsid w:val="2FDB2331"/>
    <w:rsid w:val="2FDB6C4F"/>
    <w:rsid w:val="2FE9455C"/>
    <w:rsid w:val="2FECF3BD"/>
    <w:rsid w:val="2FF574F2"/>
    <w:rsid w:val="30077854"/>
    <w:rsid w:val="300CB43F"/>
    <w:rsid w:val="300EBE4F"/>
    <w:rsid w:val="3012A089"/>
    <w:rsid w:val="3027D314"/>
    <w:rsid w:val="302FA6BF"/>
    <w:rsid w:val="3054ABFC"/>
    <w:rsid w:val="3061F4E7"/>
    <w:rsid w:val="307992CE"/>
    <w:rsid w:val="30803B5E"/>
    <w:rsid w:val="30849D66"/>
    <w:rsid w:val="30A205E0"/>
    <w:rsid w:val="30A2848B"/>
    <w:rsid w:val="30A4E1B8"/>
    <w:rsid w:val="30ABFD8C"/>
    <w:rsid w:val="30B26739"/>
    <w:rsid w:val="30B2CC1D"/>
    <w:rsid w:val="30B7C206"/>
    <w:rsid w:val="30B86955"/>
    <w:rsid w:val="30BBB0C3"/>
    <w:rsid w:val="30BCCBD5"/>
    <w:rsid w:val="30C2C1FF"/>
    <w:rsid w:val="30C409EE"/>
    <w:rsid w:val="30C54996"/>
    <w:rsid w:val="30CDCDAD"/>
    <w:rsid w:val="30D361E6"/>
    <w:rsid w:val="30D92C34"/>
    <w:rsid w:val="30ED3A90"/>
    <w:rsid w:val="3101BC14"/>
    <w:rsid w:val="310ACF7E"/>
    <w:rsid w:val="31165B82"/>
    <w:rsid w:val="311CA525"/>
    <w:rsid w:val="3128A833"/>
    <w:rsid w:val="312F2A17"/>
    <w:rsid w:val="31336E0B"/>
    <w:rsid w:val="3152C5F0"/>
    <w:rsid w:val="3157F8B5"/>
    <w:rsid w:val="3165EEA1"/>
    <w:rsid w:val="317641A1"/>
    <w:rsid w:val="3185FDBA"/>
    <w:rsid w:val="31888D5C"/>
    <w:rsid w:val="318F3629"/>
    <w:rsid w:val="319DBE28"/>
    <w:rsid w:val="31B130A3"/>
    <w:rsid w:val="31B94AAC"/>
    <w:rsid w:val="31C1B97A"/>
    <w:rsid w:val="31CB70E6"/>
    <w:rsid w:val="31CB909A"/>
    <w:rsid w:val="31E190A4"/>
    <w:rsid w:val="31E27784"/>
    <w:rsid w:val="31EA8DF3"/>
    <w:rsid w:val="32067E61"/>
    <w:rsid w:val="3208A55C"/>
    <w:rsid w:val="320D9AA6"/>
    <w:rsid w:val="320DF364"/>
    <w:rsid w:val="3211687E"/>
    <w:rsid w:val="3214F223"/>
    <w:rsid w:val="324ABED4"/>
    <w:rsid w:val="324BE789"/>
    <w:rsid w:val="3250A803"/>
    <w:rsid w:val="3250F367"/>
    <w:rsid w:val="3257D023"/>
    <w:rsid w:val="325B2FD7"/>
    <w:rsid w:val="325D9EAF"/>
    <w:rsid w:val="327A2239"/>
    <w:rsid w:val="3282F2B0"/>
    <w:rsid w:val="32832CF1"/>
    <w:rsid w:val="32957EB5"/>
    <w:rsid w:val="329AC5A2"/>
    <w:rsid w:val="329CA60F"/>
    <w:rsid w:val="32AD4551"/>
    <w:rsid w:val="32BFAD38"/>
    <w:rsid w:val="32E77491"/>
    <w:rsid w:val="32EE1656"/>
    <w:rsid w:val="3301CDBA"/>
    <w:rsid w:val="33046804"/>
    <w:rsid w:val="330495F7"/>
    <w:rsid w:val="3311056E"/>
    <w:rsid w:val="33232569"/>
    <w:rsid w:val="332A2F10"/>
    <w:rsid w:val="3330E232"/>
    <w:rsid w:val="333233FD"/>
    <w:rsid w:val="333A0578"/>
    <w:rsid w:val="333D9E97"/>
    <w:rsid w:val="334BFA37"/>
    <w:rsid w:val="3369C474"/>
    <w:rsid w:val="3372A41B"/>
    <w:rsid w:val="337F32F4"/>
    <w:rsid w:val="33824CB7"/>
    <w:rsid w:val="338EBE07"/>
    <w:rsid w:val="33963533"/>
    <w:rsid w:val="3397C8CE"/>
    <w:rsid w:val="33AC0400"/>
    <w:rsid w:val="33BE33BF"/>
    <w:rsid w:val="33C3A40D"/>
    <w:rsid w:val="33CA1F08"/>
    <w:rsid w:val="33CFAD1A"/>
    <w:rsid w:val="33D21D53"/>
    <w:rsid w:val="33D7CD27"/>
    <w:rsid w:val="33E7F48D"/>
    <w:rsid w:val="33F0E725"/>
    <w:rsid w:val="33FFB121"/>
    <w:rsid w:val="34037154"/>
    <w:rsid w:val="341E47E2"/>
    <w:rsid w:val="3431B452"/>
    <w:rsid w:val="34395CD6"/>
    <w:rsid w:val="343A6308"/>
    <w:rsid w:val="344CE3F6"/>
    <w:rsid w:val="34553108"/>
    <w:rsid w:val="3458ECA3"/>
    <w:rsid w:val="345C8EA8"/>
    <w:rsid w:val="345E32D4"/>
    <w:rsid w:val="345E6C4E"/>
    <w:rsid w:val="34723EC0"/>
    <w:rsid w:val="347351FC"/>
    <w:rsid w:val="347624F9"/>
    <w:rsid w:val="347D5922"/>
    <w:rsid w:val="34984BA3"/>
    <w:rsid w:val="34CAE95E"/>
    <w:rsid w:val="34DF76D6"/>
    <w:rsid w:val="34F95A3C"/>
    <w:rsid w:val="350BDD78"/>
    <w:rsid w:val="3511BD97"/>
    <w:rsid w:val="351BAC49"/>
    <w:rsid w:val="352B2EB8"/>
    <w:rsid w:val="35349123"/>
    <w:rsid w:val="353BBF41"/>
    <w:rsid w:val="354901D9"/>
    <w:rsid w:val="35491C0A"/>
    <w:rsid w:val="3549B7D8"/>
    <w:rsid w:val="354B1C0F"/>
    <w:rsid w:val="35538605"/>
    <w:rsid w:val="355AB6A6"/>
    <w:rsid w:val="356DA22B"/>
    <w:rsid w:val="3579B210"/>
    <w:rsid w:val="357B1133"/>
    <w:rsid w:val="357ED338"/>
    <w:rsid w:val="35B177E6"/>
    <w:rsid w:val="35B2C40A"/>
    <w:rsid w:val="35B3B5C9"/>
    <w:rsid w:val="35BD7A0F"/>
    <w:rsid w:val="35BD9D57"/>
    <w:rsid w:val="35D03696"/>
    <w:rsid w:val="35D73B94"/>
    <w:rsid w:val="35DBB452"/>
    <w:rsid w:val="35FFC3FB"/>
    <w:rsid w:val="36099A5A"/>
    <w:rsid w:val="361FA68E"/>
    <w:rsid w:val="3623F70E"/>
    <w:rsid w:val="36245760"/>
    <w:rsid w:val="362837CF"/>
    <w:rsid w:val="3629C7C6"/>
    <w:rsid w:val="364D895B"/>
    <w:rsid w:val="365452C5"/>
    <w:rsid w:val="367690EB"/>
    <w:rsid w:val="368D768B"/>
    <w:rsid w:val="369097DF"/>
    <w:rsid w:val="3692D916"/>
    <w:rsid w:val="36A324C7"/>
    <w:rsid w:val="36B2A841"/>
    <w:rsid w:val="36B3742B"/>
    <w:rsid w:val="36C02543"/>
    <w:rsid w:val="36C10542"/>
    <w:rsid w:val="36D9C562"/>
    <w:rsid w:val="36E4FB9F"/>
    <w:rsid w:val="36EB2826"/>
    <w:rsid w:val="3706DD6F"/>
    <w:rsid w:val="3718B434"/>
    <w:rsid w:val="371F22C5"/>
    <w:rsid w:val="37284F87"/>
    <w:rsid w:val="3734214C"/>
    <w:rsid w:val="3736AC52"/>
    <w:rsid w:val="373A0FF1"/>
    <w:rsid w:val="3741163C"/>
    <w:rsid w:val="374F8BE7"/>
    <w:rsid w:val="375F299E"/>
    <w:rsid w:val="37699A06"/>
    <w:rsid w:val="3789BE65"/>
    <w:rsid w:val="37A36F48"/>
    <w:rsid w:val="37A891A6"/>
    <w:rsid w:val="37AF9DA2"/>
    <w:rsid w:val="37B0368C"/>
    <w:rsid w:val="37B3DC63"/>
    <w:rsid w:val="37B74AAA"/>
    <w:rsid w:val="37C5346D"/>
    <w:rsid w:val="37CA2444"/>
    <w:rsid w:val="37D5572E"/>
    <w:rsid w:val="37D8ED5A"/>
    <w:rsid w:val="37DDF3B5"/>
    <w:rsid w:val="37E2CDF0"/>
    <w:rsid w:val="37E9348B"/>
    <w:rsid w:val="37E9B59D"/>
    <w:rsid w:val="37FAECFE"/>
    <w:rsid w:val="3809CC2C"/>
    <w:rsid w:val="381E9137"/>
    <w:rsid w:val="38320CEC"/>
    <w:rsid w:val="383512DA"/>
    <w:rsid w:val="3838E0B8"/>
    <w:rsid w:val="383F86D8"/>
    <w:rsid w:val="383FD637"/>
    <w:rsid w:val="384FD98E"/>
    <w:rsid w:val="385E7352"/>
    <w:rsid w:val="38623A40"/>
    <w:rsid w:val="386D3CC3"/>
    <w:rsid w:val="386FAC0E"/>
    <w:rsid w:val="387545F5"/>
    <w:rsid w:val="38839367"/>
    <w:rsid w:val="38986606"/>
    <w:rsid w:val="38A3C538"/>
    <w:rsid w:val="38A52E08"/>
    <w:rsid w:val="38AD0DB8"/>
    <w:rsid w:val="38BBD62D"/>
    <w:rsid w:val="38C65F85"/>
    <w:rsid w:val="38E511B3"/>
    <w:rsid w:val="38F96813"/>
    <w:rsid w:val="38F96F00"/>
    <w:rsid w:val="38F9D5F9"/>
    <w:rsid w:val="39064790"/>
    <w:rsid w:val="39099D56"/>
    <w:rsid w:val="391F9F1D"/>
    <w:rsid w:val="392A6521"/>
    <w:rsid w:val="394405C6"/>
    <w:rsid w:val="394F592F"/>
    <w:rsid w:val="3951B609"/>
    <w:rsid w:val="3951CF80"/>
    <w:rsid w:val="39684F02"/>
    <w:rsid w:val="398E5781"/>
    <w:rsid w:val="39A15E99"/>
    <w:rsid w:val="39A2A5F0"/>
    <w:rsid w:val="39CD33CE"/>
    <w:rsid w:val="39D51D82"/>
    <w:rsid w:val="39FCCF63"/>
    <w:rsid w:val="3A00D976"/>
    <w:rsid w:val="3A1CEEEC"/>
    <w:rsid w:val="3A1FC775"/>
    <w:rsid w:val="3A2279BD"/>
    <w:rsid w:val="3A23F7A8"/>
    <w:rsid w:val="3A29B716"/>
    <w:rsid w:val="3A549BB0"/>
    <w:rsid w:val="3A5644CD"/>
    <w:rsid w:val="3A6327F7"/>
    <w:rsid w:val="3A6A61E9"/>
    <w:rsid w:val="3A7476CE"/>
    <w:rsid w:val="3A7752BF"/>
    <w:rsid w:val="3A855F72"/>
    <w:rsid w:val="3A933A98"/>
    <w:rsid w:val="3A961E10"/>
    <w:rsid w:val="3A97EC26"/>
    <w:rsid w:val="3AA576D9"/>
    <w:rsid w:val="3AB4D23F"/>
    <w:rsid w:val="3ABAC3F6"/>
    <w:rsid w:val="3ABEB2C7"/>
    <w:rsid w:val="3AEA33FB"/>
    <w:rsid w:val="3AECAB1E"/>
    <w:rsid w:val="3AF23F53"/>
    <w:rsid w:val="3AF783FD"/>
    <w:rsid w:val="3AFBF971"/>
    <w:rsid w:val="3B002A98"/>
    <w:rsid w:val="3B19ED5D"/>
    <w:rsid w:val="3B2739B4"/>
    <w:rsid w:val="3B2D12D1"/>
    <w:rsid w:val="3B2FDFF0"/>
    <w:rsid w:val="3B3543DE"/>
    <w:rsid w:val="3B45274A"/>
    <w:rsid w:val="3B49656D"/>
    <w:rsid w:val="3B551CEA"/>
    <w:rsid w:val="3B5A78FB"/>
    <w:rsid w:val="3B67551A"/>
    <w:rsid w:val="3B6EA83A"/>
    <w:rsid w:val="3B70356F"/>
    <w:rsid w:val="3B800890"/>
    <w:rsid w:val="3B8F2F66"/>
    <w:rsid w:val="3B9A73C0"/>
    <w:rsid w:val="3BA05B2B"/>
    <w:rsid w:val="3BB158AA"/>
    <w:rsid w:val="3BC1A22C"/>
    <w:rsid w:val="3BC3F1E2"/>
    <w:rsid w:val="3BEB14CF"/>
    <w:rsid w:val="3BFBFFD8"/>
    <w:rsid w:val="3C064E82"/>
    <w:rsid w:val="3C06ABC3"/>
    <w:rsid w:val="3C0F465E"/>
    <w:rsid w:val="3C2E2C46"/>
    <w:rsid w:val="3C378AB5"/>
    <w:rsid w:val="3C41BB58"/>
    <w:rsid w:val="3C433656"/>
    <w:rsid w:val="3C460DF9"/>
    <w:rsid w:val="3C4E563D"/>
    <w:rsid w:val="3C526160"/>
    <w:rsid w:val="3C5FC1B5"/>
    <w:rsid w:val="3C66FA94"/>
    <w:rsid w:val="3C71CDFD"/>
    <w:rsid w:val="3C74482F"/>
    <w:rsid w:val="3C789B91"/>
    <w:rsid w:val="3C78A717"/>
    <w:rsid w:val="3C7F6492"/>
    <w:rsid w:val="3C81A2B6"/>
    <w:rsid w:val="3C86FDA1"/>
    <w:rsid w:val="3CA5FD7B"/>
    <w:rsid w:val="3CB2B867"/>
    <w:rsid w:val="3CD0AD1A"/>
    <w:rsid w:val="3CEA1206"/>
    <w:rsid w:val="3CF1861D"/>
    <w:rsid w:val="3CF5E131"/>
    <w:rsid w:val="3D0265AD"/>
    <w:rsid w:val="3D09E6DB"/>
    <w:rsid w:val="3D1CDE42"/>
    <w:rsid w:val="3D1DF1DF"/>
    <w:rsid w:val="3D1FE685"/>
    <w:rsid w:val="3D2F3EBB"/>
    <w:rsid w:val="3D45D3FC"/>
    <w:rsid w:val="3D56601F"/>
    <w:rsid w:val="3D5F8441"/>
    <w:rsid w:val="3D6059F3"/>
    <w:rsid w:val="3D6CAEE2"/>
    <w:rsid w:val="3D85F7CB"/>
    <w:rsid w:val="3D97959E"/>
    <w:rsid w:val="3DA2E1ED"/>
    <w:rsid w:val="3DAA1E0E"/>
    <w:rsid w:val="3DB7BE99"/>
    <w:rsid w:val="3DB8CF5A"/>
    <w:rsid w:val="3DB95AAC"/>
    <w:rsid w:val="3DC15291"/>
    <w:rsid w:val="3DCD7F4B"/>
    <w:rsid w:val="3DD39173"/>
    <w:rsid w:val="3DD3B27D"/>
    <w:rsid w:val="3DE8866E"/>
    <w:rsid w:val="3DEAA32B"/>
    <w:rsid w:val="3DF3713A"/>
    <w:rsid w:val="3DF5978E"/>
    <w:rsid w:val="3DFC24FC"/>
    <w:rsid w:val="3E061636"/>
    <w:rsid w:val="3E0D9502"/>
    <w:rsid w:val="3E3A83FC"/>
    <w:rsid w:val="3E425770"/>
    <w:rsid w:val="3E52DB08"/>
    <w:rsid w:val="3E73788F"/>
    <w:rsid w:val="3E73CC90"/>
    <w:rsid w:val="3E7834B7"/>
    <w:rsid w:val="3E83D392"/>
    <w:rsid w:val="3E912D6E"/>
    <w:rsid w:val="3EB2B60A"/>
    <w:rsid w:val="3EB8D10E"/>
    <w:rsid w:val="3EB9FF1F"/>
    <w:rsid w:val="3ED13951"/>
    <w:rsid w:val="3EDF8F08"/>
    <w:rsid w:val="3EE83EA8"/>
    <w:rsid w:val="3EEDDE05"/>
    <w:rsid w:val="3EFB03E3"/>
    <w:rsid w:val="3F01D8F5"/>
    <w:rsid w:val="3F21091A"/>
    <w:rsid w:val="3F2F373C"/>
    <w:rsid w:val="3F3927C0"/>
    <w:rsid w:val="3F3A139A"/>
    <w:rsid w:val="3F46FF20"/>
    <w:rsid w:val="3F4A74B5"/>
    <w:rsid w:val="3F5402C0"/>
    <w:rsid w:val="3F5638DE"/>
    <w:rsid w:val="3F7F4361"/>
    <w:rsid w:val="3F906218"/>
    <w:rsid w:val="3FD87DE7"/>
    <w:rsid w:val="3FDFA4DE"/>
    <w:rsid w:val="4002358E"/>
    <w:rsid w:val="4003A02E"/>
    <w:rsid w:val="4011EE3A"/>
    <w:rsid w:val="405CE5B2"/>
    <w:rsid w:val="406A9B2E"/>
    <w:rsid w:val="407A2542"/>
    <w:rsid w:val="407AA220"/>
    <w:rsid w:val="4086B1B0"/>
    <w:rsid w:val="408988BE"/>
    <w:rsid w:val="40B073FC"/>
    <w:rsid w:val="40B3FEBD"/>
    <w:rsid w:val="40B65905"/>
    <w:rsid w:val="40E13985"/>
    <w:rsid w:val="40E4D06E"/>
    <w:rsid w:val="40E77091"/>
    <w:rsid w:val="40E920F5"/>
    <w:rsid w:val="40EDB0AF"/>
    <w:rsid w:val="40EE06B4"/>
    <w:rsid w:val="40F82E1D"/>
    <w:rsid w:val="40FC9547"/>
    <w:rsid w:val="411B5E08"/>
    <w:rsid w:val="41273E60"/>
    <w:rsid w:val="41297678"/>
    <w:rsid w:val="412CEEB0"/>
    <w:rsid w:val="4133BD76"/>
    <w:rsid w:val="4147FB19"/>
    <w:rsid w:val="4150F0D5"/>
    <w:rsid w:val="415510F5"/>
    <w:rsid w:val="415A8073"/>
    <w:rsid w:val="416823A3"/>
    <w:rsid w:val="416EEE63"/>
    <w:rsid w:val="41712E77"/>
    <w:rsid w:val="41753A10"/>
    <w:rsid w:val="417A722F"/>
    <w:rsid w:val="4186D945"/>
    <w:rsid w:val="41891718"/>
    <w:rsid w:val="419012A6"/>
    <w:rsid w:val="4193B75C"/>
    <w:rsid w:val="41AE6D6E"/>
    <w:rsid w:val="41B62CC7"/>
    <w:rsid w:val="41B7B59E"/>
    <w:rsid w:val="41B92B46"/>
    <w:rsid w:val="41BEF443"/>
    <w:rsid w:val="41CC6BFD"/>
    <w:rsid w:val="41CD4EA8"/>
    <w:rsid w:val="41DA441D"/>
    <w:rsid w:val="41ED1F4A"/>
    <w:rsid w:val="41F3F60A"/>
    <w:rsid w:val="41FD4795"/>
    <w:rsid w:val="4202207C"/>
    <w:rsid w:val="420D35F6"/>
    <w:rsid w:val="421E51C7"/>
    <w:rsid w:val="42279FFE"/>
    <w:rsid w:val="4229BEFF"/>
    <w:rsid w:val="423255C3"/>
    <w:rsid w:val="42330EFF"/>
    <w:rsid w:val="4249285E"/>
    <w:rsid w:val="424FF65C"/>
    <w:rsid w:val="426027E5"/>
    <w:rsid w:val="42637AC6"/>
    <w:rsid w:val="426FCB28"/>
    <w:rsid w:val="42B1B323"/>
    <w:rsid w:val="42BD79A6"/>
    <w:rsid w:val="42BFDB4D"/>
    <w:rsid w:val="42CD7913"/>
    <w:rsid w:val="42D0494A"/>
    <w:rsid w:val="42DD8696"/>
    <w:rsid w:val="42F6F939"/>
    <w:rsid w:val="42FA1CB7"/>
    <w:rsid w:val="42FBB619"/>
    <w:rsid w:val="4308EC32"/>
    <w:rsid w:val="430D0071"/>
    <w:rsid w:val="4313E54C"/>
    <w:rsid w:val="431B5A45"/>
    <w:rsid w:val="431CC146"/>
    <w:rsid w:val="432A2BE0"/>
    <w:rsid w:val="432A3C3F"/>
    <w:rsid w:val="432A9584"/>
    <w:rsid w:val="4331C842"/>
    <w:rsid w:val="4338D322"/>
    <w:rsid w:val="43418F50"/>
    <w:rsid w:val="43421B87"/>
    <w:rsid w:val="4352F110"/>
    <w:rsid w:val="435375C0"/>
    <w:rsid w:val="435ABDE3"/>
    <w:rsid w:val="435AEBAF"/>
    <w:rsid w:val="43644324"/>
    <w:rsid w:val="4378FD14"/>
    <w:rsid w:val="43811B8A"/>
    <w:rsid w:val="4381FD3B"/>
    <w:rsid w:val="4383BF1F"/>
    <w:rsid w:val="438F1B27"/>
    <w:rsid w:val="439A88DD"/>
    <w:rsid w:val="43A00125"/>
    <w:rsid w:val="43A447D7"/>
    <w:rsid w:val="43B3EEF8"/>
    <w:rsid w:val="43BCC2A8"/>
    <w:rsid w:val="43C4F162"/>
    <w:rsid w:val="43CE48AB"/>
    <w:rsid w:val="43DBC499"/>
    <w:rsid w:val="43E16680"/>
    <w:rsid w:val="43E88FB5"/>
    <w:rsid w:val="43E95A5B"/>
    <w:rsid w:val="4404221C"/>
    <w:rsid w:val="441E0A68"/>
    <w:rsid w:val="4429CBEE"/>
    <w:rsid w:val="443AC8EF"/>
    <w:rsid w:val="4444DC26"/>
    <w:rsid w:val="445BA154"/>
    <w:rsid w:val="445BCB87"/>
    <w:rsid w:val="445FA715"/>
    <w:rsid w:val="44617606"/>
    <w:rsid w:val="446318CE"/>
    <w:rsid w:val="4466F5C9"/>
    <w:rsid w:val="446EF841"/>
    <w:rsid w:val="4472722F"/>
    <w:rsid w:val="4489CFD5"/>
    <w:rsid w:val="448D347C"/>
    <w:rsid w:val="448E4639"/>
    <w:rsid w:val="449C63D7"/>
    <w:rsid w:val="44A253B8"/>
    <w:rsid w:val="44A55C77"/>
    <w:rsid w:val="44B0C732"/>
    <w:rsid w:val="44B14F36"/>
    <w:rsid w:val="44B1DFBE"/>
    <w:rsid w:val="44BCD002"/>
    <w:rsid w:val="44BCE3A8"/>
    <w:rsid w:val="44DBD77A"/>
    <w:rsid w:val="44E84EAD"/>
    <w:rsid w:val="44ECA13A"/>
    <w:rsid w:val="44EE6353"/>
    <w:rsid w:val="44F33296"/>
    <w:rsid w:val="44FFD815"/>
    <w:rsid w:val="450A523B"/>
    <w:rsid w:val="450BDD40"/>
    <w:rsid w:val="450EE907"/>
    <w:rsid w:val="450F01B8"/>
    <w:rsid w:val="4510C8F3"/>
    <w:rsid w:val="4518D911"/>
    <w:rsid w:val="4519ABA0"/>
    <w:rsid w:val="452A1B36"/>
    <w:rsid w:val="452EE212"/>
    <w:rsid w:val="4535B1CF"/>
    <w:rsid w:val="4536F933"/>
    <w:rsid w:val="4540BC8D"/>
    <w:rsid w:val="4557462E"/>
    <w:rsid w:val="4559BD0C"/>
    <w:rsid w:val="455BEDC6"/>
    <w:rsid w:val="457D4E5E"/>
    <w:rsid w:val="457DA90A"/>
    <w:rsid w:val="458311E0"/>
    <w:rsid w:val="458438AC"/>
    <w:rsid w:val="458D42C1"/>
    <w:rsid w:val="459D7BB7"/>
    <w:rsid w:val="45A0E4FA"/>
    <w:rsid w:val="45A264A1"/>
    <w:rsid w:val="45A3879E"/>
    <w:rsid w:val="45A57583"/>
    <w:rsid w:val="45AE4AAC"/>
    <w:rsid w:val="45B41DE6"/>
    <w:rsid w:val="45B63A6F"/>
    <w:rsid w:val="45C1DEA3"/>
    <w:rsid w:val="45C8E24A"/>
    <w:rsid w:val="45D17241"/>
    <w:rsid w:val="45D455CE"/>
    <w:rsid w:val="45DB1076"/>
    <w:rsid w:val="45DFAFC3"/>
    <w:rsid w:val="45E1CEBF"/>
    <w:rsid w:val="45E362C8"/>
    <w:rsid w:val="45F38A76"/>
    <w:rsid w:val="46048816"/>
    <w:rsid w:val="4616BBCC"/>
    <w:rsid w:val="461D5CF0"/>
    <w:rsid w:val="461FA8F2"/>
    <w:rsid w:val="46238D77"/>
    <w:rsid w:val="4645CFB3"/>
    <w:rsid w:val="4654B583"/>
    <w:rsid w:val="4666DCCE"/>
    <w:rsid w:val="4668FB3B"/>
    <w:rsid w:val="46718E69"/>
    <w:rsid w:val="46735BB0"/>
    <w:rsid w:val="467D9AA9"/>
    <w:rsid w:val="46850E26"/>
    <w:rsid w:val="4699EF1A"/>
    <w:rsid w:val="46AA884F"/>
    <w:rsid w:val="46ADA13A"/>
    <w:rsid w:val="46B05480"/>
    <w:rsid w:val="46B20315"/>
    <w:rsid w:val="46BC444B"/>
    <w:rsid w:val="46CFDCA6"/>
    <w:rsid w:val="46D01AC5"/>
    <w:rsid w:val="46D2AD32"/>
    <w:rsid w:val="46FD5B78"/>
    <w:rsid w:val="47122F1F"/>
    <w:rsid w:val="473640BE"/>
    <w:rsid w:val="47526713"/>
    <w:rsid w:val="4754A051"/>
    <w:rsid w:val="475707C6"/>
    <w:rsid w:val="4769C02F"/>
    <w:rsid w:val="476D7DC7"/>
    <w:rsid w:val="4770CC38"/>
    <w:rsid w:val="47B01246"/>
    <w:rsid w:val="47B959D0"/>
    <w:rsid w:val="47CB7DA0"/>
    <w:rsid w:val="47CC889F"/>
    <w:rsid w:val="47D2247D"/>
    <w:rsid w:val="47DC60D9"/>
    <w:rsid w:val="47E2CA2F"/>
    <w:rsid w:val="47E67B59"/>
    <w:rsid w:val="47F1E27F"/>
    <w:rsid w:val="4804A18E"/>
    <w:rsid w:val="4826737F"/>
    <w:rsid w:val="482EE08E"/>
    <w:rsid w:val="48422962"/>
    <w:rsid w:val="484A3ECD"/>
    <w:rsid w:val="4861BBF8"/>
    <w:rsid w:val="48629754"/>
    <w:rsid w:val="4862AE55"/>
    <w:rsid w:val="487358CE"/>
    <w:rsid w:val="4876BA5B"/>
    <w:rsid w:val="487AFCAF"/>
    <w:rsid w:val="48859DFF"/>
    <w:rsid w:val="489CFA83"/>
    <w:rsid w:val="48AAFF90"/>
    <w:rsid w:val="48AD1B84"/>
    <w:rsid w:val="48B200B8"/>
    <w:rsid w:val="48B8641A"/>
    <w:rsid w:val="48D8FCE8"/>
    <w:rsid w:val="48DFE516"/>
    <w:rsid w:val="48E076F5"/>
    <w:rsid w:val="48E66825"/>
    <w:rsid w:val="48E948A5"/>
    <w:rsid w:val="48F20DC0"/>
    <w:rsid w:val="49099344"/>
    <w:rsid w:val="4910A924"/>
    <w:rsid w:val="49175090"/>
    <w:rsid w:val="4921B95E"/>
    <w:rsid w:val="493575DF"/>
    <w:rsid w:val="4936591C"/>
    <w:rsid w:val="4937CAAB"/>
    <w:rsid w:val="49398AAC"/>
    <w:rsid w:val="49496E18"/>
    <w:rsid w:val="494CAD4C"/>
    <w:rsid w:val="497C39B8"/>
    <w:rsid w:val="497C871D"/>
    <w:rsid w:val="498235D0"/>
    <w:rsid w:val="49848452"/>
    <w:rsid w:val="49865CB6"/>
    <w:rsid w:val="498A07EB"/>
    <w:rsid w:val="49920310"/>
    <w:rsid w:val="49A9E9F0"/>
    <w:rsid w:val="49ABF23A"/>
    <w:rsid w:val="49B9CCD4"/>
    <w:rsid w:val="49BC746F"/>
    <w:rsid w:val="49BC9202"/>
    <w:rsid w:val="49BD5133"/>
    <w:rsid w:val="49C0E945"/>
    <w:rsid w:val="49C63962"/>
    <w:rsid w:val="49C65726"/>
    <w:rsid w:val="49E05128"/>
    <w:rsid w:val="49E9E1B3"/>
    <w:rsid w:val="4A1C60EE"/>
    <w:rsid w:val="4A1E76AB"/>
    <w:rsid w:val="4A23307C"/>
    <w:rsid w:val="4A249501"/>
    <w:rsid w:val="4A2CE921"/>
    <w:rsid w:val="4A36A549"/>
    <w:rsid w:val="4A3819D9"/>
    <w:rsid w:val="4A419A53"/>
    <w:rsid w:val="4A44A0F9"/>
    <w:rsid w:val="4A4FD2E1"/>
    <w:rsid w:val="4A621553"/>
    <w:rsid w:val="4A6E91F6"/>
    <w:rsid w:val="4A7C4A46"/>
    <w:rsid w:val="4A88A84A"/>
    <w:rsid w:val="4A8F1A98"/>
    <w:rsid w:val="4AD2A0CC"/>
    <w:rsid w:val="4AE1E640"/>
    <w:rsid w:val="4AE5D61D"/>
    <w:rsid w:val="4AF0369B"/>
    <w:rsid w:val="4AF6DD47"/>
    <w:rsid w:val="4B064DAF"/>
    <w:rsid w:val="4B0D43CD"/>
    <w:rsid w:val="4B16F36F"/>
    <w:rsid w:val="4B19A7C9"/>
    <w:rsid w:val="4B21CE78"/>
    <w:rsid w:val="4B3237C8"/>
    <w:rsid w:val="4B422EC8"/>
    <w:rsid w:val="4B475327"/>
    <w:rsid w:val="4B835869"/>
    <w:rsid w:val="4B838A06"/>
    <w:rsid w:val="4B84A48F"/>
    <w:rsid w:val="4B86889A"/>
    <w:rsid w:val="4B894A05"/>
    <w:rsid w:val="4B94C6E1"/>
    <w:rsid w:val="4B9530D4"/>
    <w:rsid w:val="4BA2C499"/>
    <w:rsid w:val="4BAF8FA3"/>
    <w:rsid w:val="4BB09127"/>
    <w:rsid w:val="4BB2281F"/>
    <w:rsid w:val="4BBBE893"/>
    <w:rsid w:val="4BD668C8"/>
    <w:rsid w:val="4BE519F3"/>
    <w:rsid w:val="4BF09736"/>
    <w:rsid w:val="4BF2B555"/>
    <w:rsid w:val="4BF3FC81"/>
    <w:rsid w:val="4C10256B"/>
    <w:rsid w:val="4C1779C1"/>
    <w:rsid w:val="4C1816F9"/>
    <w:rsid w:val="4C4D79E7"/>
    <w:rsid w:val="4C4DE83A"/>
    <w:rsid w:val="4C579BAD"/>
    <w:rsid w:val="4C5E3626"/>
    <w:rsid w:val="4C63CFB0"/>
    <w:rsid w:val="4C66B086"/>
    <w:rsid w:val="4C83686E"/>
    <w:rsid w:val="4C921800"/>
    <w:rsid w:val="4C9B8EBA"/>
    <w:rsid w:val="4C9F655B"/>
    <w:rsid w:val="4CA21E10"/>
    <w:rsid w:val="4CAB58E0"/>
    <w:rsid w:val="4CACD7BE"/>
    <w:rsid w:val="4CB2C3D0"/>
    <w:rsid w:val="4CB3E517"/>
    <w:rsid w:val="4CB3FAF7"/>
    <w:rsid w:val="4CBBBCAE"/>
    <w:rsid w:val="4CC48C5F"/>
    <w:rsid w:val="4CD1E22B"/>
    <w:rsid w:val="4CE29E5A"/>
    <w:rsid w:val="4CEBC8F6"/>
    <w:rsid w:val="4CF3045A"/>
    <w:rsid w:val="4D19592B"/>
    <w:rsid w:val="4D296FDE"/>
    <w:rsid w:val="4D3950FE"/>
    <w:rsid w:val="4D43FE8D"/>
    <w:rsid w:val="4D6AEA3A"/>
    <w:rsid w:val="4D6D4E11"/>
    <w:rsid w:val="4D712E22"/>
    <w:rsid w:val="4D77E8E8"/>
    <w:rsid w:val="4D7FB11F"/>
    <w:rsid w:val="4D901DFF"/>
    <w:rsid w:val="4DA44B76"/>
    <w:rsid w:val="4DEA9313"/>
    <w:rsid w:val="4DEFC92E"/>
    <w:rsid w:val="4DF72E3B"/>
    <w:rsid w:val="4DF9C77D"/>
    <w:rsid w:val="4E0234E9"/>
    <w:rsid w:val="4E0F08FB"/>
    <w:rsid w:val="4E1D7834"/>
    <w:rsid w:val="4E2A2337"/>
    <w:rsid w:val="4E312B18"/>
    <w:rsid w:val="4E40E883"/>
    <w:rsid w:val="4E487BF7"/>
    <w:rsid w:val="4E5C88AA"/>
    <w:rsid w:val="4E716A1C"/>
    <w:rsid w:val="4E8CF9DE"/>
    <w:rsid w:val="4EAC9293"/>
    <w:rsid w:val="4EB76979"/>
    <w:rsid w:val="4EBFD01D"/>
    <w:rsid w:val="4EEF4F84"/>
    <w:rsid w:val="4EFE653A"/>
    <w:rsid w:val="4F0118B7"/>
    <w:rsid w:val="4F014D9C"/>
    <w:rsid w:val="4F0DECC7"/>
    <w:rsid w:val="4F15FF03"/>
    <w:rsid w:val="4F1E3DEC"/>
    <w:rsid w:val="4F1F3A0B"/>
    <w:rsid w:val="4F22D651"/>
    <w:rsid w:val="4F3413FE"/>
    <w:rsid w:val="4F3E75BF"/>
    <w:rsid w:val="4F465AA4"/>
    <w:rsid w:val="4F55FC19"/>
    <w:rsid w:val="4F5AE569"/>
    <w:rsid w:val="4F67AA46"/>
    <w:rsid w:val="4F74F013"/>
    <w:rsid w:val="4F7CC0F8"/>
    <w:rsid w:val="4F84BA0D"/>
    <w:rsid w:val="4F8C171C"/>
    <w:rsid w:val="4F90DC3E"/>
    <w:rsid w:val="4F939D92"/>
    <w:rsid w:val="4FA425FF"/>
    <w:rsid w:val="4FA538AF"/>
    <w:rsid w:val="4FA69CC0"/>
    <w:rsid w:val="4FAA2176"/>
    <w:rsid w:val="4FAC42FE"/>
    <w:rsid w:val="4FC37A21"/>
    <w:rsid w:val="4FCAE458"/>
    <w:rsid w:val="4FD7ECF7"/>
    <w:rsid w:val="4FD8B347"/>
    <w:rsid w:val="4FDD3816"/>
    <w:rsid w:val="4FEC90D5"/>
    <w:rsid w:val="4FFB27B7"/>
    <w:rsid w:val="5000B576"/>
    <w:rsid w:val="50113E42"/>
    <w:rsid w:val="50159FF8"/>
    <w:rsid w:val="5019113A"/>
    <w:rsid w:val="50362AAD"/>
    <w:rsid w:val="50407489"/>
    <w:rsid w:val="5041FC4A"/>
    <w:rsid w:val="5045569B"/>
    <w:rsid w:val="504BC53A"/>
    <w:rsid w:val="50606AFA"/>
    <w:rsid w:val="506A1B4C"/>
    <w:rsid w:val="507531DE"/>
    <w:rsid w:val="508F8B2A"/>
    <w:rsid w:val="50A4B93A"/>
    <w:rsid w:val="50B7B4CD"/>
    <w:rsid w:val="50C0DEF6"/>
    <w:rsid w:val="50C3ADDE"/>
    <w:rsid w:val="50C66B6D"/>
    <w:rsid w:val="50C82AB2"/>
    <w:rsid w:val="50CA1084"/>
    <w:rsid w:val="50CDB527"/>
    <w:rsid w:val="50D82ECC"/>
    <w:rsid w:val="510E28FB"/>
    <w:rsid w:val="51336B15"/>
    <w:rsid w:val="5135899E"/>
    <w:rsid w:val="5136CE37"/>
    <w:rsid w:val="515CC8F6"/>
    <w:rsid w:val="515CD34D"/>
    <w:rsid w:val="515ECC86"/>
    <w:rsid w:val="516CFC86"/>
    <w:rsid w:val="518ED8DF"/>
    <w:rsid w:val="519847FC"/>
    <w:rsid w:val="519890A6"/>
    <w:rsid w:val="51A25521"/>
    <w:rsid w:val="51A4E930"/>
    <w:rsid w:val="51AA5321"/>
    <w:rsid w:val="51B40806"/>
    <w:rsid w:val="51BB6DF1"/>
    <w:rsid w:val="51BC8787"/>
    <w:rsid w:val="51BF4B7F"/>
    <w:rsid w:val="51C11F03"/>
    <w:rsid w:val="51CBB80A"/>
    <w:rsid w:val="51D0ACE9"/>
    <w:rsid w:val="51DFB918"/>
    <w:rsid w:val="51E8088B"/>
    <w:rsid w:val="51F7B4CA"/>
    <w:rsid w:val="51F9306B"/>
    <w:rsid w:val="520FA343"/>
    <w:rsid w:val="521A584A"/>
    <w:rsid w:val="5225E7E5"/>
    <w:rsid w:val="5234C6F1"/>
    <w:rsid w:val="523C0ECE"/>
    <w:rsid w:val="5247E7C7"/>
    <w:rsid w:val="525723A3"/>
    <w:rsid w:val="52627313"/>
    <w:rsid w:val="5272775C"/>
    <w:rsid w:val="527A6656"/>
    <w:rsid w:val="527B828B"/>
    <w:rsid w:val="527D7CBD"/>
    <w:rsid w:val="529C7221"/>
    <w:rsid w:val="52A87A11"/>
    <w:rsid w:val="52ACA338"/>
    <w:rsid w:val="52D69542"/>
    <w:rsid w:val="53080B75"/>
    <w:rsid w:val="530B2A5E"/>
    <w:rsid w:val="53135293"/>
    <w:rsid w:val="5331BCF7"/>
    <w:rsid w:val="534C02F5"/>
    <w:rsid w:val="534E98D4"/>
    <w:rsid w:val="534FAFB3"/>
    <w:rsid w:val="536C17B6"/>
    <w:rsid w:val="537CA833"/>
    <w:rsid w:val="53823D34"/>
    <w:rsid w:val="53837114"/>
    <w:rsid w:val="53897C89"/>
    <w:rsid w:val="539B3518"/>
    <w:rsid w:val="53B2824B"/>
    <w:rsid w:val="53C1FAFE"/>
    <w:rsid w:val="53CCF009"/>
    <w:rsid w:val="53CF83F5"/>
    <w:rsid w:val="53D4A504"/>
    <w:rsid w:val="53D51658"/>
    <w:rsid w:val="53E91A54"/>
    <w:rsid w:val="53FE1ED3"/>
    <w:rsid w:val="54005A30"/>
    <w:rsid w:val="5403EE24"/>
    <w:rsid w:val="540E999A"/>
    <w:rsid w:val="541D39BA"/>
    <w:rsid w:val="543E2DE2"/>
    <w:rsid w:val="54423178"/>
    <w:rsid w:val="5444DB4F"/>
    <w:rsid w:val="54468107"/>
    <w:rsid w:val="544C30BA"/>
    <w:rsid w:val="546A6F3A"/>
    <w:rsid w:val="54772D01"/>
    <w:rsid w:val="547917C1"/>
    <w:rsid w:val="54894739"/>
    <w:rsid w:val="548C27CA"/>
    <w:rsid w:val="548E29B0"/>
    <w:rsid w:val="549CBDFC"/>
    <w:rsid w:val="54A0424D"/>
    <w:rsid w:val="54AD89BE"/>
    <w:rsid w:val="54B9255E"/>
    <w:rsid w:val="54BCF39B"/>
    <w:rsid w:val="54C4A953"/>
    <w:rsid w:val="54D4F528"/>
    <w:rsid w:val="54DA8764"/>
    <w:rsid w:val="54DB7D14"/>
    <w:rsid w:val="54E0B9EF"/>
    <w:rsid w:val="54E24331"/>
    <w:rsid w:val="54EF8B05"/>
    <w:rsid w:val="54FD647F"/>
    <w:rsid w:val="5501FD32"/>
    <w:rsid w:val="55151CB4"/>
    <w:rsid w:val="5528DCB2"/>
    <w:rsid w:val="5530395D"/>
    <w:rsid w:val="55341672"/>
    <w:rsid w:val="5535FAA4"/>
    <w:rsid w:val="553B7193"/>
    <w:rsid w:val="55461B75"/>
    <w:rsid w:val="55479913"/>
    <w:rsid w:val="554EC2E3"/>
    <w:rsid w:val="555E6B46"/>
    <w:rsid w:val="557C9ADA"/>
    <w:rsid w:val="557DCE86"/>
    <w:rsid w:val="55809968"/>
    <w:rsid w:val="5589483D"/>
    <w:rsid w:val="55A97BE4"/>
    <w:rsid w:val="55AB0FDB"/>
    <w:rsid w:val="55B0EFA8"/>
    <w:rsid w:val="55BDDD55"/>
    <w:rsid w:val="55C00790"/>
    <w:rsid w:val="55C25456"/>
    <w:rsid w:val="55C42E68"/>
    <w:rsid w:val="55D0680C"/>
    <w:rsid w:val="55E50CFD"/>
    <w:rsid w:val="55F56268"/>
    <w:rsid w:val="5612A6F6"/>
    <w:rsid w:val="561EB0C6"/>
    <w:rsid w:val="56220097"/>
    <w:rsid w:val="56440465"/>
    <w:rsid w:val="5657F82A"/>
    <w:rsid w:val="565A5A48"/>
    <w:rsid w:val="565DD84A"/>
    <w:rsid w:val="56668E82"/>
    <w:rsid w:val="566F246A"/>
    <w:rsid w:val="567A9E9E"/>
    <w:rsid w:val="567E8BE1"/>
    <w:rsid w:val="5681ECAD"/>
    <w:rsid w:val="568AFD90"/>
    <w:rsid w:val="56AA263A"/>
    <w:rsid w:val="56B768F2"/>
    <w:rsid w:val="56C927A6"/>
    <w:rsid w:val="56CFC851"/>
    <w:rsid w:val="56DF0460"/>
    <w:rsid w:val="56F59CC7"/>
    <w:rsid w:val="5705B4D3"/>
    <w:rsid w:val="570E4343"/>
    <w:rsid w:val="5710C344"/>
    <w:rsid w:val="5714349E"/>
    <w:rsid w:val="5715D539"/>
    <w:rsid w:val="571E2A68"/>
    <w:rsid w:val="57241106"/>
    <w:rsid w:val="57257CF8"/>
    <w:rsid w:val="57367870"/>
    <w:rsid w:val="5736CEB0"/>
    <w:rsid w:val="5743D05B"/>
    <w:rsid w:val="5752EFCC"/>
    <w:rsid w:val="5757DAE1"/>
    <w:rsid w:val="578722C3"/>
    <w:rsid w:val="579CA2C3"/>
    <w:rsid w:val="579E0F21"/>
    <w:rsid w:val="57A9EF63"/>
    <w:rsid w:val="57B02EF8"/>
    <w:rsid w:val="57B31318"/>
    <w:rsid w:val="57D103AE"/>
    <w:rsid w:val="57D187B2"/>
    <w:rsid w:val="57D632C5"/>
    <w:rsid w:val="57E0122F"/>
    <w:rsid w:val="57E06579"/>
    <w:rsid w:val="57E90443"/>
    <w:rsid w:val="57F29F77"/>
    <w:rsid w:val="58064F9F"/>
    <w:rsid w:val="5808B098"/>
    <w:rsid w:val="58156568"/>
    <w:rsid w:val="58364F88"/>
    <w:rsid w:val="583BABCE"/>
    <w:rsid w:val="584BD001"/>
    <w:rsid w:val="584E5300"/>
    <w:rsid w:val="585749BC"/>
    <w:rsid w:val="585DFB64"/>
    <w:rsid w:val="58626320"/>
    <w:rsid w:val="58633154"/>
    <w:rsid w:val="5876A75D"/>
    <w:rsid w:val="58775CE3"/>
    <w:rsid w:val="58A32EE2"/>
    <w:rsid w:val="58AB034D"/>
    <w:rsid w:val="58AB40B4"/>
    <w:rsid w:val="58B133CF"/>
    <w:rsid w:val="58B7065D"/>
    <w:rsid w:val="58BE71FE"/>
    <w:rsid w:val="58C7D4B7"/>
    <w:rsid w:val="58D1D4D4"/>
    <w:rsid w:val="58D2674D"/>
    <w:rsid w:val="58EB44AC"/>
    <w:rsid w:val="59072A5C"/>
    <w:rsid w:val="591928B6"/>
    <w:rsid w:val="5948D30C"/>
    <w:rsid w:val="5948D75B"/>
    <w:rsid w:val="594B99A9"/>
    <w:rsid w:val="594F3CFB"/>
    <w:rsid w:val="5957F5F1"/>
    <w:rsid w:val="595D6865"/>
    <w:rsid w:val="5962DF92"/>
    <w:rsid w:val="5965027B"/>
    <w:rsid w:val="5965654D"/>
    <w:rsid w:val="5975B26B"/>
    <w:rsid w:val="5986265E"/>
    <w:rsid w:val="5998C6DE"/>
    <w:rsid w:val="59B77A9A"/>
    <w:rsid w:val="59C35E80"/>
    <w:rsid w:val="59C60C4F"/>
    <w:rsid w:val="59CB5F35"/>
    <w:rsid w:val="59E6FBB1"/>
    <w:rsid w:val="59E8DD3E"/>
    <w:rsid w:val="59F7BBDC"/>
    <w:rsid w:val="5A03AED4"/>
    <w:rsid w:val="5A10372A"/>
    <w:rsid w:val="5A11FE12"/>
    <w:rsid w:val="5A1B2D8A"/>
    <w:rsid w:val="5A38343A"/>
    <w:rsid w:val="5A38B3F3"/>
    <w:rsid w:val="5A4E28EE"/>
    <w:rsid w:val="5A6B468D"/>
    <w:rsid w:val="5A737F5C"/>
    <w:rsid w:val="5A74E638"/>
    <w:rsid w:val="5A758CC1"/>
    <w:rsid w:val="5A9436EF"/>
    <w:rsid w:val="5AA67EFB"/>
    <w:rsid w:val="5AAF5164"/>
    <w:rsid w:val="5AB1E8BB"/>
    <w:rsid w:val="5AC78836"/>
    <w:rsid w:val="5AC8EF79"/>
    <w:rsid w:val="5AD3E718"/>
    <w:rsid w:val="5AD72BBE"/>
    <w:rsid w:val="5ADB66C2"/>
    <w:rsid w:val="5ADF22AE"/>
    <w:rsid w:val="5AE41E00"/>
    <w:rsid w:val="5AE7DA13"/>
    <w:rsid w:val="5B1413F0"/>
    <w:rsid w:val="5B379A94"/>
    <w:rsid w:val="5B387D08"/>
    <w:rsid w:val="5B40969B"/>
    <w:rsid w:val="5B514223"/>
    <w:rsid w:val="5B5DBA5F"/>
    <w:rsid w:val="5B79B553"/>
    <w:rsid w:val="5B7AC9ED"/>
    <w:rsid w:val="5B8247CF"/>
    <w:rsid w:val="5B8479F4"/>
    <w:rsid w:val="5B90C457"/>
    <w:rsid w:val="5B90F864"/>
    <w:rsid w:val="5B95341F"/>
    <w:rsid w:val="5BA25904"/>
    <w:rsid w:val="5BAD1048"/>
    <w:rsid w:val="5BB5F17E"/>
    <w:rsid w:val="5BBB4CE3"/>
    <w:rsid w:val="5BC300B5"/>
    <w:rsid w:val="5BCE2AFD"/>
    <w:rsid w:val="5BD02ED7"/>
    <w:rsid w:val="5BDF9BBF"/>
    <w:rsid w:val="5BE5CDFB"/>
    <w:rsid w:val="5BE7DEDB"/>
    <w:rsid w:val="5BEFF19A"/>
    <w:rsid w:val="5BF1FAA8"/>
    <w:rsid w:val="5C0ACFB7"/>
    <w:rsid w:val="5C1213C3"/>
    <w:rsid w:val="5C1D00FB"/>
    <w:rsid w:val="5C1EC814"/>
    <w:rsid w:val="5C26BA90"/>
    <w:rsid w:val="5C283B66"/>
    <w:rsid w:val="5C28DA88"/>
    <w:rsid w:val="5C32500B"/>
    <w:rsid w:val="5C32D9EF"/>
    <w:rsid w:val="5C3F4477"/>
    <w:rsid w:val="5C42D9D2"/>
    <w:rsid w:val="5C4437BF"/>
    <w:rsid w:val="5C4BBD4D"/>
    <w:rsid w:val="5C59D38F"/>
    <w:rsid w:val="5C5B6414"/>
    <w:rsid w:val="5C6F422C"/>
    <w:rsid w:val="5C828D7C"/>
    <w:rsid w:val="5C9A9D0C"/>
    <w:rsid w:val="5C9EF6FF"/>
    <w:rsid w:val="5C9F197D"/>
    <w:rsid w:val="5CA9777F"/>
    <w:rsid w:val="5CB72055"/>
    <w:rsid w:val="5CCCBF9C"/>
    <w:rsid w:val="5CD8D2B7"/>
    <w:rsid w:val="5CD8FD78"/>
    <w:rsid w:val="5CE08117"/>
    <w:rsid w:val="5CE77503"/>
    <w:rsid w:val="5CE8AE52"/>
    <w:rsid w:val="5CEBB94A"/>
    <w:rsid w:val="5CF7A4AA"/>
    <w:rsid w:val="5CF7E30C"/>
    <w:rsid w:val="5CF84B33"/>
    <w:rsid w:val="5D0C35E0"/>
    <w:rsid w:val="5D12C1C5"/>
    <w:rsid w:val="5D200EE7"/>
    <w:rsid w:val="5D22CD02"/>
    <w:rsid w:val="5D2E6C74"/>
    <w:rsid w:val="5D3EE27E"/>
    <w:rsid w:val="5D3FDB24"/>
    <w:rsid w:val="5D4B9D77"/>
    <w:rsid w:val="5D5BEB98"/>
    <w:rsid w:val="5D6CD701"/>
    <w:rsid w:val="5D6CDC15"/>
    <w:rsid w:val="5D90E9B7"/>
    <w:rsid w:val="5DC421C9"/>
    <w:rsid w:val="5DC6264F"/>
    <w:rsid w:val="5DCEFE27"/>
    <w:rsid w:val="5DDDE12B"/>
    <w:rsid w:val="5DDDFFAC"/>
    <w:rsid w:val="5DE522CA"/>
    <w:rsid w:val="5DE804A1"/>
    <w:rsid w:val="5DFF869E"/>
    <w:rsid w:val="5E382461"/>
    <w:rsid w:val="5E3C711C"/>
    <w:rsid w:val="5E50A146"/>
    <w:rsid w:val="5E5EA86E"/>
    <w:rsid w:val="5E62ADAA"/>
    <w:rsid w:val="5E66F60E"/>
    <w:rsid w:val="5E6AB226"/>
    <w:rsid w:val="5E6F2F4B"/>
    <w:rsid w:val="5E82FCF4"/>
    <w:rsid w:val="5E9AF988"/>
    <w:rsid w:val="5E9BA0A9"/>
    <w:rsid w:val="5EADF9FC"/>
    <w:rsid w:val="5EBAFCC5"/>
    <w:rsid w:val="5EC38829"/>
    <w:rsid w:val="5ECF4EDB"/>
    <w:rsid w:val="5ECFB3D7"/>
    <w:rsid w:val="5EDDE66E"/>
    <w:rsid w:val="5EE52948"/>
    <w:rsid w:val="5EE90613"/>
    <w:rsid w:val="5EF23C64"/>
    <w:rsid w:val="5EFDDDC5"/>
    <w:rsid w:val="5F01A6DD"/>
    <w:rsid w:val="5F01BF99"/>
    <w:rsid w:val="5F01C819"/>
    <w:rsid w:val="5F158BD4"/>
    <w:rsid w:val="5F15E117"/>
    <w:rsid w:val="5F17DC17"/>
    <w:rsid w:val="5F201F68"/>
    <w:rsid w:val="5F240B29"/>
    <w:rsid w:val="5F35AD33"/>
    <w:rsid w:val="5F3A33D8"/>
    <w:rsid w:val="5F3D59EE"/>
    <w:rsid w:val="5F3F0941"/>
    <w:rsid w:val="5F48993D"/>
    <w:rsid w:val="5F54AB48"/>
    <w:rsid w:val="5F6022A8"/>
    <w:rsid w:val="5F6DC4B9"/>
    <w:rsid w:val="5F70E2F2"/>
    <w:rsid w:val="5F764BA7"/>
    <w:rsid w:val="5F795F26"/>
    <w:rsid w:val="5F7E0CE3"/>
    <w:rsid w:val="5F8BFC95"/>
    <w:rsid w:val="5F8F4DBB"/>
    <w:rsid w:val="5F904A47"/>
    <w:rsid w:val="5FA7D4C9"/>
    <w:rsid w:val="5FA7F3E1"/>
    <w:rsid w:val="5FA86E70"/>
    <w:rsid w:val="5FB4B642"/>
    <w:rsid w:val="5FBEB895"/>
    <w:rsid w:val="5FC0CE00"/>
    <w:rsid w:val="5FCBFB43"/>
    <w:rsid w:val="5FDDB77B"/>
    <w:rsid w:val="5FE2E250"/>
    <w:rsid w:val="5FE6C852"/>
    <w:rsid w:val="5FE8E7D7"/>
    <w:rsid w:val="5FEDA565"/>
    <w:rsid w:val="60002F7E"/>
    <w:rsid w:val="60197EE1"/>
    <w:rsid w:val="60246D94"/>
    <w:rsid w:val="60359958"/>
    <w:rsid w:val="6038E864"/>
    <w:rsid w:val="60499196"/>
    <w:rsid w:val="6053E722"/>
    <w:rsid w:val="605CB9F3"/>
    <w:rsid w:val="6082AC4B"/>
    <w:rsid w:val="6093E55A"/>
    <w:rsid w:val="6095B3E3"/>
    <w:rsid w:val="609A77B4"/>
    <w:rsid w:val="609F1DD3"/>
    <w:rsid w:val="60A443FB"/>
    <w:rsid w:val="60B978F0"/>
    <w:rsid w:val="60BFA401"/>
    <w:rsid w:val="60C055A3"/>
    <w:rsid w:val="60CD754C"/>
    <w:rsid w:val="60D83147"/>
    <w:rsid w:val="60DC5DC9"/>
    <w:rsid w:val="612EADCB"/>
    <w:rsid w:val="61377935"/>
    <w:rsid w:val="61400C0E"/>
    <w:rsid w:val="6147AD5B"/>
    <w:rsid w:val="614ACD8A"/>
    <w:rsid w:val="6153DA2B"/>
    <w:rsid w:val="6161E202"/>
    <w:rsid w:val="616208E9"/>
    <w:rsid w:val="6168230C"/>
    <w:rsid w:val="616F5E33"/>
    <w:rsid w:val="6177C961"/>
    <w:rsid w:val="6182EF63"/>
    <w:rsid w:val="618BCF2C"/>
    <w:rsid w:val="618C0D0C"/>
    <w:rsid w:val="6196524F"/>
    <w:rsid w:val="61ADAEEB"/>
    <w:rsid w:val="61B73888"/>
    <w:rsid w:val="61C03905"/>
    <w:rsid w:val="61D16DB8"/>
    <w:rsid w:val="61E20A24"/>
    <w:rsid w:val="61EA666C"/>
    <w:rsid w:val="61EA9BDA"/>
    <w:rsid w:val="61F02BFE"/>
    <w:rsid w:val="61F1CFA4"/>
    <w:rsid w:val="61FDA270"/>
    <w:rsid w:val="61FEE14E"/>
    <w:rsid w:val="62013DEB"/>
    <w:rsid w:val="6205BE24"/>
    <w:rsid w:val="62097D37"/>
    <w:rsid w:val="621016EA"/>
    <w:rsid w:val="6211D657"/>
    <w:rsid w:val="6217238F"/>
    <w:rsid w:val="62229707"/>
    <w:rsid w:val="622363BE"/>
    <w:rsid w:val="622E4107"/>
    <w:rsid w:val="6231334C"/>
    <w:rsid w:val="623251A1"/>
    <w:rsid w:val="623295C2"/>
    <w:rsid w:val="6241EF62"/>
    <w:rsid w:val="625C7D77"/>
    <w:rsid w:val="62739440"/>
    <w:rsid w:val="62775D5C"/>
    <w:rsid w:val="6280BEDA"/>
    <w:rsid w:val="62901BB0"/>
    <w:rsid w:val="6290E0FA"/>
    <w:rsid w:val="629513DE"/>
    <w:rsid w:val="629D4A18"/>
    <w:rsid w:val="629EF8A7"/>
    <w:rsid w:val="62B00167"/>
    <w:rsid w:val="62BAE397"/>
    <w:rsid w:val="62CC5F1F"/>
    <w:rsid w:val="62D8B203"/>
    <w:rsid w:val="62F7F0CE"/>
    <w:rsid w:val="63044E1F"/>
    <w:rsid w:val="63062510"/>
    <w:rsid w:val="630A146C"/>
    <w:rsid w:val="6315ABD0"/>
    <w:rsid w:val="6322239E"/>
    <w:rsid w:val="63237A87"/>
    <w:rsid w:val="633741CE"/>
    <w:rsid w:val="633DBC1B"/>
    <w:rsid w:val="6352FD93"/>
    <w:rsid w:val="635DA46E"/>
    <w:rsid w:val="63706781"/>
    <w:rsid w:val="6372764D"/>
    <w:rsid w:val="6373407E"/>
    <w:rsid w:val="63873D01"/>
    <w:rsid w:val="63974954"/>
    <w:rsid w:val="63AC6AF6"/>
    <w:rsid w:val="63C6195E"/>
    <w:rsid w:val="63CCD0B8"/>
    <w:rsid w:val="63D0D077"/>
    <w:rsid w:val="63D1E96D"/>
    <w:rsid w:val="63D7DA79"/>
    <w:rsid w:val="63DA7AFC"/>
    <w:rsid w:val="63DAAAD9"/>
    <w:rsid w:val="63DAF69E"/>
    <w:rsid w:val="63E32EDC"/>
    <w:rsid w:val="63E87890"/>
    <w:rsid w:val="63ED074E"/>
    <w:rsid w:val="63EF8E24"/>
    <w:rsid w:val="64033D0D"/>
    <w:rsid w:val="640F62F7"/>
    <w:rsid w:val="641E6FCD"/>
    <w:rsid w:val="64272036"/>
    <w:rsid w:val="6427E651"/>
    <w:rsid w:val="64340142"/>
    <w:rsid w:val="643F55D1"/>
    <w:rsid w:val="6444258E"/>
    <w:rsid w:val="644D4A53"/>
    <w:rsid w:val="64508F62"/>
    <w:rsid w:val="646DDB70"/>
    <w:rsid w:val="647115AF"/>
    <w:rsid w:val="6479AB3A"/>
    <w:rsid w:val="6479CE6A"/>
    <w:rsid w:val="6499ADD3"/>
    <w:rsid w:val="649B7113"/>
    <w:rsid w:val="64A0E53A"/>
    <w:rsid w:val="64A56272"/>
    <w:rsid w:val="64A6C053"/>
    <w:rsid w:val="64B103BF"/>
    <w:rsid w:val="64B7D27B"/>
    <w:rsid w:val="64CCF7D6"/>
    <w:rsid w:val="64CFDA90"/>
    <w:rsid w:val="64D66852"/>
    <w:rsid w:val="64E42B52"/>
    <w:rsid w:val="64E98B92"/>
    <w:rsid w:val="64F7B918"/>
    <w:rsid w:val="64F8F0DC"/>
    <w:rsid w:val="64FA870F"/>
    <w:rsid w:val="64FC180A"/>
    <w:rsid w:val="64FE274F"/>
    <w:rsid w:val="6502EC5C"/>
    <w:rsid w:val="65085113"/>
    <w:rsid w:val="6510C53C"/>
    <w:rsid w:val="6513D934"/>
    <w:rsid w:val="65164987"/>
    <w:rsid w:val="652137FA"/>
    <w:rsid w:val="65735545"/>
    <w:rsid w:val="657930DC"/>
    <w:rsid w:val="657B68D0"/>
    <w:rsid w:val="658D2DCD"/>
    <w:rsid w:val="6597276E"/>
    <w:rsid w:val="659E2E82"/>
    <w:rsid w:val="65A2E760"/>
    <w:rsid w:val="65AA9955"/>
    <w:rsid w:val="65B4DDFA"/>
    <w:rsid w:val="65CA71A9"/>
    <w:rsid w:val="65CBA161"/>
    <w:rsid w:val="65CE8B3E"/>
    <w:rsid w:val="65E2993A"/>
    <w:rsid w:val="65EDE829"/>
    <w:rsid w:val="65FEDC16"/>
    <w:rsid w:val="660FC13A"/>
    <w:rsid w:val="6615F76C"/>
    <w:rsid w:val="66231D3B"/>
    <w:rsid w:val="6636675B"/>
    <w:rsid w:val="6636AFF5"/>
    <w:rsid w:val="663FA2A1"/>
    <w:rsid w:val="664715FC"/>
    <w:rsid w:val="665B54CD"/>
    <w:rsid w:val="665C9B9B"/>
    <w:rsid w:val="665E2827"/>
    <w:rsid w:val="666CEF13"/>
    <w:rsid w:val="6670615F"/>
    <w:rsid w:val="6682ECEC"/>
    <w:rsid w:val="66AB3825"/>
    <w:rsid w:val="66B3F865"/>
    <w:rsid w:val="66C23B6E"/>
    <w:rsid w:val="66D9FC49"/>
    <w:rsid w:val="66EAF672"/>
    <w:rsid w:val="66F64DCC"/>
    <w:rsid w:val="670831EC"/>
    <w:rsid w:val="6713857F"/>
    <w:rsid w:val="672B1D46"/>
    <w:rsid w:val="672D91B5"/>
    <w:rsid w:val="673587FB"/>
    <w:rsid w:val="6746A924"/>
    <w:rsid w:val="674B6EA1"/>
    <w:rsid w:val="675D49CE"/>
    <w:rsid w:val="678A16C9"/>
    <w:rsid w:val="679067E7"/>
    <w:rsid w:val="6796225B"/>
    <w:rsid w:val="679D676E"/>
    <w:rsid w:val="67A1E0BA"/>
    <w:rsid w:val="67A21582"/>
    <w:rsid w:val="67B45ADA"/>
    <w:rsid w:val="67C827BE"/>
    <w:rsid w:val="67EAE75C"/>
    <w:rsid w:val="67F4D7FB"/>
    <w:rsid w:val="67FB4E90"/>
    <w:rsid w:val="6817E34D"/>
    <w:rsid w:val="6823DF00"/>
    <w:rsid w:val="682F7A3C"/>
    <w:rsid w:val="683A1658"/>
    <w:rsid w:val="68401630"/>
    <w:rsid w:val="6847C788"/>
    <w:rsid w:val="68612E53"/>
    <w:rsid w:val="6864FEB8"/>
    <w:rsid w:val="6868B69F"/>
    <w:rsid w:val="6869195C"/>
    <w:rsid w:val="68738B7C"/>
    <w:rsid w:val="6874A50D"/>
    <w:rsid w:val="68835F12"/>
    <w:rsid w:val="688C2B7E"/>
    <w:rsid w:val="689456D1"/>
    <w:rsid w:val="6894D761"/>
    <w:rsid w:val="689E472A"/>
    <w:rsid w:val="68B5A8A0"/>
    <w:rsid w:val="68CF770A"/>
    <w:rsid w:val="68D76484"/>
    <w:rsid w:val="68E41234"/>
    <w:rsid w:val="68FAA00E"/>
    <w:rsid w:val="6921DE47"/>
    <w:rsid w:val="692A7DA1"/>
    <w:rsid w:val="6930B4AE"/>
    <w:rsid w:val="693CD022"/>
    <w:rsid w:val="694D8263"/>
    <w:rsid w:val="695E7047"/>
    <w:rsid w:val="6975D478"/>
    <w:rsid w:val="697AD7DF"/>
    <w:rsid w:val="6982C2AF"/>
    <w:rsid w:val="69858A0B"/>
    <w:rsid w:val="69A0747A"/>
    <w:rsid w:val="69AB51D8"/>
    <w:rsid w:val="69C2F744"/>
    <w:rsid w:val="69CE8B85"/>
    <w:rsid w:val="69D04828"/>
    <w:rsid w:val="69D84C43"/>
    <w:rsid w:val="69D8A20C"/>
    <w:rsid w:val="69E5F750"/>
    <w:rsid w:val="69EB377F"/>
    <w:rsid w:val="69EC49E2"/>
    <w:rsid w:val="69ECABC8"/>
    <w:rsid w:val="69EFCED2"/>
    <w:rsid w:val="69F933D0"/>
    <w:rsid w:val="6A01E94B"/>
    <w:rsid w:val="6A1A7038"/>
    <w:rsid w:val="6A2DF2A9"/>
    <w:rsid w:val="6A3EB69C"/>
    <w:rsid w:val="6A400239"/>
    <w:rsid w:val="6A415613"/>
    <w:rsid w:val="6A4BD8C2"/>
    <w:rsid w:val="6A4E1F8E"/>
    <w:rsid w:val="6A4FED63"/>
    <w:rsid w:val="6A5AE579"/>
    <w:rsid w:val="6A5F2E83"/>
    <w:rsid w:val="6A61DCAE"/>
    <w:rsid w:val="6A69AD34"/>
    <w:rsid w:val="6A7CA9EE"/>
    <w:rsid w:val="6A7E0E98"/>
    <w:rsid w:val="6AA12CA9"/>
    <w:rsid w:val="6AA843F2"/>
    <w:rsid w:val="6AA98ADE"/>
    <w:rsid w:val="6AAA4BCF"/>
    <w:rsid w:val="6ABA5703"/>
    <w:rsid w:val="6ABDD79E"/>
    <w:rsid w:val="6AC8F8DE"/>
    <w:rsid w:val="6ACA1980"/>
    <w:rsid w:val="6AD28F37"/>
    <w:rsid w:val="6AD2F174"/>
    <w:rsid w:val="6ADDC441"/>
    <w:rsid w:val="6AE4814C"/>
    <w:rsid w:val="6AEA8770"/>
    <w:rsid w:val="6AED5D6B"/>
    <w:rsid w:val="6AF1E23E"/>
    <w:rsid w:val="6B0A9DB0"/>
    <w:rsid w:val="6B1AD192"/>
    <w:rsid w:val="6B2993D0"/>
    <w:rsid w:val="6B2BB5D0"/>
    <w:rsid w:val="6B354539"/>
    <w:rsid w:val="6B3998EA"/>
    <w:rsid w:val="6B3BBB56"/>
    <w:rsid w:val="6B3FDA5F"/>
    <w:rsid w:val="6B40C37A"/>
    <w:rsid w:val="6B44FA3C"/>
    <w:rsid w:val="6B4BB2D7"/>
    <w:rsid w:val="6B64E773"/>
    <w:rsid w:val="6B6F3B67"/>
    <w:rsid w:val="6B7C33F6"/>
    <w:rsid w:val="6B7D2D14"/>
    <w:rsid w:val="6B7D85D8"/>
    <w:rsid w:val="6B7FECC0"/>
    <w:rsid w:val="6B88C091"/>
    <w:rsid w:val="6B8A3584"/>
    <w:rsid w:val="6B8C73CD"/>
    <w:rsid w:val="6B8DDD6A"/>
    <w:rsid w:val="6B8F7079"/>
    <w:rsid w:val="6B9576F9"/>
    <w:rsid w:val="6B9BF8FA"/>
    <w:rsid w:val="6B9CA903"/>
    <w:rsid w:val="6BA94AB4"/>
    <w:rsid w:val="6BBC5E3A"/>
    <w:rsid w:val="6BCB9500"/>
    <w:rsid w:val="6BD3485F"/>
    <w:rsid w:val="6BD7A38F"/>
    <w:rsid w:val="6BE28AF8"/>
    <w:rsid w:val="6BE3D093"/>
    <w:rsid w:val="6BEA3FB0"/>
    <w:rsid w:val="6BEC99D2"/>
    <w:rsid w:val="6BEDAD9C"/>
    <w:rsid w:val="6BF370FF"/>
    <w:rsid w:val="6BFC38E6"/>
    <w:rsid w:val="6BFE07CE"/>
    <w:rsid w:val="6C13A3BC"/>
    <w:rsid w:val="6C143CEB"/>
    <w:rsid w:val="6C19DD7D"/>
    <w:rsid w:val="6C2F3950"/>
    <w:rsid w:val="6C328AB8"/>
    <w:rsid w:val="6C356442"/>
    <w:rsid w:val="6C380711"/>
    <w:rsid w:val="6C41336F"/>
    <w:rsid w:val="6C59075D"/>
    <w:rsid w:val="6C65FDF9"/>
    <w:rsid w:val="6C736B2B"/>
    <w:rsid w:val="6C78854B"/>
    <w:rsid w:val="6C80F74A"/>
    <w:rsid w:val="6CA88CD1"/>
    <w:rsid w:val="6CAC255D"/>
    <w:rsid w:val="6CAFF090"/>
    <w:rsid w:val="6CB08C78"/>
    <w:rsid w:val="6CB43BDB"/>
    <w:rsid w:val="6CBA5092"/>
    <w:rsid w:val="6CBD6598"/>
    <w:rsid w:val="6CC39969"/>
    <w:rsid w:val="6CC727E7"/>
    <w:rsid w:val="6CDBA8F6"/>
    <w:rsid w:val="6CFE9D18"/>
    <w:rsid w:val="6D201B9F"/>
    <w:rsid w:val="6D2F7154"/>
    <w:rsid w:val="6D405E7D"/>
    <w:rsid w:val="6D580DD7"/>
    <w:rsid w:val="6D642502"/>
    <w:rsid w:val="6D6D7EAF"/>
    <w:rsid w:val="6D8CEB3C"/>
    <w:rsid w:val="6D977198"/>
    <w:rsid w:val="6D9EAB61"/>
    <w:rsid w:val="6DA07E98"/>
    <w:rsid w:val="6DA25922"/>
    <w:rsid w:val="6DB10CBB"/>
    <w:rsid w:val="6DBD19F7"/>
    <w:rsid w:val="6DBE14B5"/>
    <w:rsid w:val="6DCCE6AC"/>
    <w:rsid w:val="6DDC4697"/>
    <w:rsid w:val="6DEACBD0"/>
    <w:rsid w:val="6DED8159"/>
    <w:rsid w:val="6DEEF779"/>
    <w:rsid w:val="6DEFE0AE"/>
    <w:rsid w:val="6E0AACFE"/>
    <w:rsid w:val="6E0D3260"/>
    <w:rsid w:val="6E13323F"/>
    <w:rsid w:val="6E1581AB"/>
    <w:rsid w:val="6E16F6D8"/>
    <w:rsid w:val="6E22810B"/>
    <w:rsid w:val="6E2E4AD6"/>
    <w:rsid w:val="6E469E3E"/>
    <w:rsid w:val="6E4FD81B"/>
    <w:rsid w:val="6E53A8E9"/>
    <w:rsid w:val="6E58FB2E"/>
    <w:rsid w:val="6E5D62A5"/>
    <w:rsid w:val="6E60EFCA"/>
    <w:rsid w:val="6E68C693"/>
    <w:rsid w:val="6E73874C"/>
    <w:rsid w:val="6E77A63D"/>
    <w:rsid w:val="6EA3D03F"/>
    <w:rsid w:val="6EA884CB"/>
    <w:rsid w:val="6EB1EC81"/>
    <w:rsid w:val="6EB2F26F"/>
    <w:rsid w:val="6EB34DC3"/>
    <w:rsid w:val="6EB71440"/>
    <w:rsid w:val="6EB74B5C"/>
    <w:rsid w:val="6EBBFFE0"/>
    <w:rsid w:val="6EF97933"/>
    <w:rsid w:val="6F056F07"/>
    <w:rsid w:val="6F133B63"/>
    <w:rsid w:val="6F1564BD"/>
    <w:rsid w:val="6F3729AC"/>
    <w:rsid w:val="6F3E8C8F"/>
    <w:rsid w:val="6F5C6C39"/>
    <w:rsid w:val="6F6A47F5"/>
    <w:rsid w:val="6F73A761"/>
    <w:rsid w:val="6F886FDA"/>
    <w:rsid w:val="6F9EB686"/>
    <w:rsid w:val="6FA32C55"/>
    <w:rsid w:val="6FAD7B7F"/>
    <w:rsid w:val="6FC08BE1"/>
    <w:rsid w:val="6FC5912A"/>
    <w:rsid w:val="6FD3A1A5"/>
    <w:rsid w:val="6FE0FBC3"/>
    <w:rsid w:val="6FE86954"/>
    <w:rsid w:val="700DA2B5"/>
    <w:rsid w:val="701AA0AB"/>
    <w:rsid w:val="701E64F3"/>
    <w:rsid w:val="701FA5D2"/>
    <w:rsid w:val="70216A1C"/>
    <w:rsid w:val="7037385C"/>
    <w:rsid w:val="703E78B9"/>
    <w:rsid w:val="703F9DD3"/>
    <w:rsid w:val="706CEFC7"/>
    <w:rsid w:val="7070DAA3"/>
    <w:rsid w:val="70794BC5"/>
    <w:rsid w:val="7081FB7D"/>
    <w:rsid w:val="70824A2C"/>
    <w:rsid w:val="7087152A"/>
    <w:rsid w:val="708736DF"/>
    <w:rsid w:val="7096A437"/>
    <w:rsid w:val="70971025"/>
    <w:rsid w:val="70C2B845"/>
    <w:rsid w:val="70D18F77"/>
    <w:rsid w:val="70D9C37B"/>
    <w:rsid w:val="70E6322E"/>
    <w:rsid w:val="70EB6FA6"/>
    <w:rsid w:val="70F1D64B"/>
    <w:rsid w:val="70F97A43"/>
    <w:rsid w:val="70F9FD22"/>
    <w:rsid w:val="70FD28B1"/>
    <w:rsid w:val="710869BD"/>
    <w:rsid w:val="710BC82A"/>
    <w:rsid w:val="7112CDC1"/>
    <w:rsid w:val="71196763"/>
    <w:rsid w:val="711C80BF"/>
    <w:rsid w:val="711F38CB"/>
    <w:rsid w:val="71254516"/>
    <w:rsid w:val="712C0725"/>
    <w:rsid w:val="7134D85B"/>
    <w:rsid w:val="713BFB85"/>
    <w:rsid w:val="717F1420"/>
    <w:rsid w:val="71869697"/>
    <w:rsid w:val="718901E8"/>
    <w:rsid w:val="71890879"/>
    <w:rsid w:val="718CA6EF"/>
    <w:rsid w:val="71919D70"/>
    <w:rsid w:val="71939602"/>
    <w:rsid w:val="7195DD65"/>
    <w:rsid w:val="71974D7B"/>
    <w:rsid w:val="71987AE9"/>
    <w:rsid w:val="71B31199"/>
    <w:rsid w:val="71B428C4"/>
    <w:rsid w:val="71B4B1B4"/>
    <w:rsid w:val="71BC3EA1"/>
    <w:rsid w:val="71D50171"/>
    <w:rsid w:val="71EA544C"/>
    <w:rsid w:val="71EF16F4"/>
    <w:rsid w:val="71F03AAA"/>
    <w:rsid w:val="7221199A"/>
    <w:rsid w:val="72290B38"/>
    <w:rsid w:val="722F60C7"/>
    <w:rsid w:val="723060CB"/>
    <w:rsid w:val="723C734D"/>
    <w:rsid w:val="72425EF6"/>
    <w:rsid w:val="725A4AC1"/>
    <w:rsid w:val="726C067B"/>
    <w:rsid w:val="727E3052"/>
    <w:rsid w:val="7285E075"/>
    <w:rsid w:val="72986C48"/>
    <w:rsid w:val="729ABD05"/>
    <w:rsid w:val="72A903A0"/>
    <w:rsid w:val="72B45E1B"/>
    <w:rsid w:val="72BBD367"/>
    <w:rsid w:val="72C3CE61"/>
    <w:rsid w:val="72CC98AB"/>
    <w:rsid w:val="72D09A1F"/>
    <w:rsid w:val="72D48B2F"/>
    <w:rsid w:val="72EB4872"/>
    <w:rsid w:val="72EC9988"/>
    <w:rsid w:val="72EF137D"/>
    <w:rsid w:val="72F24346"/>
    <w:rsid w:val="72F2F4DB"/>
    <w:rsid w:val="72FD86DB"/>
    <w:rsid w:val="7307501A"/>
    <w:rsid w:val="730FCB93"/>
    <w:rsid w:val="73116B22"/>
    <w:rsid w:val="73273AC4"/>
    <w:rsid w:val="73279949"/>
    <w:rsid w:val="732D0317"/>
    <w:rsid w:val="733C5B31"/>
    <w:rsid w:val="73469CCB"/>
    <w:rsid w:val="734D89CF"/>
    <w:rsid w:val="7352A4AC"/>
    <w:rsid w:val="735716C0"/>
    <w:rsid w:val="73595B52"/>
    <w:rsid w:val="7362CCF2"/>
    <w:rsid w:val="7367E7D5"/>
    <w:rsid w:val="73711F3B"/>
    <w:rsid w:val="73853326"/>
    <w:rsid w:val="7385E7E5"/>
    <w:rsid w:val="7387BB0A"/>
    <w:rsid w:val="738A05EE"/>
    <w:rsid w:val="73A868BB"/>
    <w:rsid w:val="73B7C236"/>
    <w:rsid w:val="73C50E85"/>
    <w:rsid w:val="73D27046"/>
    <w:rsid w:val="73D63996"/>
    <w:rsid w:val="73D681A8"/>
    <w:rsid w:val="73DBB986"/>
    <w:rsid w:val="73E719E8"/>
    <w:rsid w:val="73F41481"/>
    <w:rsid w:val="73F7BCF4"/>
    <w:rsid w:val="741F18EF"/>
    <w:rsid w:val="746119A9"/>
    <w:rsid w:val="746285AB"/>
    <w:rsid w:val="746596BA"/>
    <w:rsid w:val="749F8B18"/>
    <w:rsid w:val="74A49CD0"/>
    <w:rsid w:val="74AFA770"/>
    <w:rsid w:val="74AFB190"/>
    <w:rsid w:val="74B0D04D"/>
    <w:rsid w:val="74BC010D"/>
    <w:rsid w:val="74BC7BB7"/>
    <w:rsid w:val="74C0A93B"/>
    <w:rsid w:val="74F29FF2"/>
    <w:rsid w:val="74F37E1B"/>
    <w:rsid w:val="74F892B7"/>
    <w:rsid w:val="74FF76F4"/>
    <w:rsid w:val="75062C63"/>
    <w:rsid w:val="7507DB86"/>
    <w:rsid w:val="7509FC4E"/>
    <w:rsid w:val="7510BC3E"/>
    <w:rsid w:val="75114BB4"/>
    <w:rsid w:val="751311C3"/>
    <w:rsid w:val="7514E81C"/>
    <w:rsid w:val="7516EA9B"/>
    <w:rsid w:val="7517207D"/>
    <w:rsid w:val="75174D9C"/>
    <w:rsid w:val="753523DC"/>
    <w:rsid w:val="75383034"/>
    <w:rsid w:val="753E8F2B"/>
    <w:rsid w:val="753F5188"/>
    <w:rsid w:val="753F9229"/>
    <w:rsid w:val="753FCB99"/>
    <w:rsid w:val="75407BA9"/>
    <w:rsid w:val="756790AF"/>
    <w:rsid w:val="756C10A8"/>
    <w:rsid w:val="7570989C"/>
    <w:rsid w:val="7571A67E"/>
    <w:rsid w:val="7581A6C5"/>
    <w:rsid w:val="758C35A8"/>
    <w:rsid w:val="758FA556"/>
    <w:rsid w:val="75926820"/>
    <w:rsid w:val="7594A349"/>
    <w:rsid w:val="75A50ECE"/>
    <w:rsid w:val="75CFC984"/>
    <w:rsid w:val="75D21CF3"/>
    <w:rsid w:val="75DD1940"/>
    <w:rsid w:val="75E7AE0A"/>
    <w:rsid w:val="75E9FAAC"/>
    <w:rsid w:val="75EF0C02"/>
    <w:rsid w:val="75F052C4"/>
    <w:rsid w:val="75F645B2"/>
    <w:rsid w:val="76069EBE"/>
    <w:rsid w:val="760D29AF"/>
    <w:rsid w:val="760D8068"/>
    <w:rsid w:val="76128AA7"/>
    <w:rsid w:val="761B4E71"/>
    <w:rsid w:val="762AE195"/>
    <w:rsid w:val="7648290D"/>
    <w:rsid w:val="765B8254"/>
    <w:rsid w:val="76621F66"/>
    <w:rsid w:val="7672D3CF"/>
    <w:rsid w:val="7672F491"/>
    <w:rsid w:val="7680FF6F"/>
    <w:rsid w:val="76880B0B"/>
    <w:rsid w:val="76927754"/>
    <w:rsid w:val="769B2AB9"/>
    <w:rsid w:val="769DF6C0"/>
    <w:rsid w:val="76D0BD16"/>
    <w:rsid w:val="76D4CDC4"/>
    <w:rsid w:val="76DB5E59"/>
    <w:rsid w:val="76DD6A56"/>
    <w:rsid w:val="76F24245"/>
    <w:rsid w:val="76F5E3B9"/>
    <w:rsid w:val="76F8BB5C"/>
    <w:rsid w:val="76FA5CFB"/>
    <w:rsid w:val="76FB94F6"/>
    <w:rsid w:val="7711E251"/>
    <w:rsid w:val="7712807D"/>
    <w:rsid w:val="77219E65"/>
    <w:rsid w:val="77308510"/>
    <w:rsid w:val="773EC4DE"/>
    <w:rsid w:val="7747438E"/>
    <w:rsid w:val="774BD328"/>
    <w:rsid w:val="775910BF"/>
    <w:rsid w:val="775E4A33"/>
    <w:rsid w:val="77697231"/>
    <w:rsid w:val="77790099"/>
    <w:rsid w:val="777ACA9B"/>
    <w:rsid w:val="778FB8A7"/>
    <w:rsid w:val="7792186C"/>
    <w:rsid w:val="77971D06"/>
    <w:rsid w:val="77A23E0E"/>
    <w:rsid w:val="77A72592"/>
    <w:rsid w:val="77A91136"/>
    <w:rsid w:val="77E008D5"/>
    <w:rsid w:val="77E0CDFC"/>
    <w:rsid w:val="77E255AD"/>
    <w:rsid w:val="77E2AFF0"/>
    <w:rsid w:val="77E50298"/>
    <w:rsid w:val="77E7ED53"/>
    <w:rsid w:val="77FD6EFA"/>
    <w:rsid w:val="780EB4C0"/>
    <w:rsid w:val="781628E5"/>
    <w:rsid w:val="781FD626"/>
    <w:rsid w:val="782E1EB9"/>
    <w:rsid w:val="782E2DA4"/>
    <w:rsid w:val="7834350B"/>
    <w:rsid w:val="783BB4F8"/>
    <w:rsid w:val="783DA0A2"/>
    <w:rsid w:val="783F7C48"/>
    <w:rsid w:val="7854241F"/>
    <w:rsid w:val="785EA54E"/>
    <w:rsid w:val="785F9319"/>
    <w:rsid w:val="7881CD01"/>
    <w:rsid w:val="78C89E8F"/>
    <w:rsid w:val="78C8E460"/>
    <w:rsid w:val="78CA8597"/>
    <w:rsid w:val="78CDD51C"/>
    <w:rsid w:val="78D853BC"/>
    <w:rsid w:val="78E05F8A"/>
    <w:rsid w:val="78FA44C8"/>
    <w:rsid w:val="790C2C0A"/>
    <w:rsid w:val="79106387"/>
    <w:rsid w:val="79275FDA"/>
    <w:rsid w:val="792F7A27"/>
    <w:rsid w:val="793557DD"/>
    <w:rsid w:val="7941AF0E"/>
    <w:rsid w:val="7943109D"/>
    <w:rsid w:val="794FC13B"/>
    <w:rsid w:val="7954D31C"/>
    <w:rsid w:val="7968429A"/>
    <w:rsid w:val="79728AA4"/>
    <w:rsid w:val="79782FDC"/>
    <w:rsid w:val="7981F171"/>
    <w:rsid w:val="7989440E"/>
    <w:rsid w:val="798E00BC"/>
    <w:rsid w:val="79910AA8"/>
    <w:rsid w:val="79A08F4D"/>
    <w:rsid w:val="79A5D007"/>
    <w:rsid w:val="79AF99F5"/>
    <w:rsid w:val="79C2BC13"/>
    <w:rsid w:val="79D24EEA"/>
    <w:rsid w:val="79D42F1A"/>
    <w:rsid w:val="79DE9BB0"/>
    <w:rsid w:val="79E9C60A"/>
    <w:rsid w:val="79FFDA2E"/>
    <w:rsid w:val="7A164689"/>
    <w:rsid w:val="7A177F2F"/>
    <w:rsid w:val="7A243C40"/>
    <w:rsid w:val="7A2D847B"/>
    <w:rsid w:val="7A5DC77C"/>
    <w:rsid w:val="7A6DCB5A"/>
    <w:rsid w:val="7A8EBCFB"/>
    <w:rsid w:val="7A93EDE5"/>
    <w:rsid w:val="7A950DB8"/>
    <w:rsid w:val="7A9591AC"/>
    <w:rsid w:val="7A96FF31"/>
    <w:rsid w:val="7A9B0C47"/>
    <w:rsid w:val="7A9EEA90"/>
    <w:rsid w:val="7AA9FCE6"/>
    <w:rsid w:val="7AE18DF9"/>
    <w:rsid w:val="7AE45F47"/>
    <w:rsid w:val="7AE4FB53"/>
    <w:rsid w:val="7AEA5D6A"/>
    <w:rsid w:val="7AF53E75"/>
    <w:rsid w:val="7AF7F51E"/>
    <w:rsid w:val="7B17BD53"/>
    <w:rsid w:val="7B1F2548"/>
    <w:rsid w:val="7B264867"/>
    <w:rsid w:val="7B2D2469"/>
    <w:rsid w:val="7B3C1D74"/>
    <w:rsid w:val="7B48C563"/>
    <w:rsid w:val="7B51A435"/>
    <w:rsid w:val="7B53F44A"/>
    <w:rsid w:val="7B55E9BD"/>
    <w:rsid w:val="7B6C8263"/>
    <w:rsid w:val="7B88F35A"/>
    <w:rsid w:val="7B8C3D81"/>
    <w:rsid w:val="7BA36EA7"/>
    <w:rsid w:val="7BAA4E5D"/>
    <w:rsid w:val="7BB21321"/>
    <w:rsid w:val="7BB590CF"/>
    <w:rsid w:val="7BBA6516"/>
    <w:rsid w:val="7BBF931B"/>
    <w:rsid w:val="7BC3B861"/>
    <w:rsid w:val="7BCD6F14"/>
    <w:rsid w:val="7BE34D88"/>
    <w:rsid w:val="7BF8C4D2"/>
    <w:rsid w:val="7BFE7124"/>
    <w:rsid w:val="7C187761"/>
    <w:rsid w:val="7C1A72C3"/>
    <w:rsid w:val="7C28D8F1"/>
    <w:rsid w:val="7C44B65C"/>
    <w:rsid w:val="7C67CCB2"/>
    <w:rsid w:val="7C71A2C6"/>
    <w:rsid w:val="7C736DDE"/>
    <w:rsid w:val="7C7876A4"/>
    <w:rsid w:val="7C7A98EF"/>
    <w:rsid w:val="7C8C5295"/>
    <w:rsid w:val="7CA87EF4"/>
    <w:rsid w:val="7CB43D78"/>
    <w:rsid w:val="7CBB2AEF"/>
    <w:rsid w:val="7CC28CCD"/>
    <w:rsid w:val="7CC4ECD0"/>
    <w:rsid w:val="7CCBD933"/>
    <w:rsid w:val="7CCE900F"/>
    <w:rsid w:val="7CCFC428"/>
    <w:rsid w:val="7CEF4E72"/>
    <w:rsid w:val="7CF321A5"/>
    <w:rsid w:val="7D086C99"/>
    <w:rsid w:val="7D08B157"/>
    <w:rsid w:val="7D19E60A"/>
    <w:rsid w:val="7D1D8356"/>
    <w:rsid w:val="7D251C3E"/>
    <w:rsid w:val="7D25C792"/>
    <w:rsid w:val="7D264BCA"/>
    <w:rsid w:val="7D2EF559"/>
    <w:rsid w:val="7D3FB318"/>
    <w:rsid w:val="7D46D545"/>
    <w:rsid w:val="7D496C07"/>
    <w:rsid w:val="7D5E4134"/>
    <w:rsid w:val="7D60780D"/>
    <w:rsid w:val="7D67D8F6"/>
    <w:rsid w:val="7D8D5C31"/>
    <w:rsid w:val="7D9D7A05"/>
    <w:rsid w:val="7DA7492E"/>
    <w:rsid w:val="7DAA32BC"/>
    <w:rsid w:val="7DC55C35"/>
    <w:rsid w:val="7DC5D7E6"/>
    <w:rsid w:val="7DFE854B"/>
    <w:rsid w:val="7E03C696"/>
    <w:rsid w:val="7E11CFA7"/>
    <w:rsid w:val="7E17E265"/>
    <w:rsid w:val="7E1FE207"/>
    <w:rsid w:val="7E3EF6E7"/>
    <w:rsid w:val="7E4489CC"/>
    <w:rsid w:val="7E4AB7E1"/>
    <w:rsid w:val="7E4CE31A"/>
    <w:rsid w:val="7E511805"/>
    <w:rsid w:val="7E520397"/>
    <w:rsid w:val="7E57E0AD"/>
    <w:rsid w:val="7E63FCB0"/>
    <w:rsid w:val="7E727D86"/>
    <w:rsid w:val="7E82269B"/>
    <w:rsid w:val="7EAB411B"/>
    <w:rsid w:val="7EAE98EF"/>
    <w:rsid w:val="7EC2780C"/>
    <w:rsid w:val="7ECCB839"/>
    <w:rsid w:val="7EE53AF8"/>
    <w:rsid w:val="7EE57696"/>
    <w:rsid w:val="7EEB86B0"/>
    <w:rsid w:val="7F063D67"/>
    <w:rsid w:val="7F0AC314"/>
    <w:rsid w:val="7F0C21AA"/>
    <w:rsid w:val="7F1F3A6E"/>
    <w:rsid w:val="7F25A875"/>
    <w:rsid w:val="7F3087C3"/>
    <w:rsid w:val="7F518B0F"/>
    <w:rsid w:val="7F5CAD8F"/>
    <w:rsid w:val="7F6698CB"/>
    <w:rsid w:val="7F78F509"/>
    <w:rsid w:val="7F87F448"/>
    <w:rsid w:val="7F89880A"/>
    <w:rsid w:val="7F8C5D45"/>
    <w:rsid w:val="7F9179B2"/>
    <w:rsid w:val="7F9CC8D1"/>
    <w:rsid w:val="7FB0E99C"/>
    <w:rsid w:val="7FB35E76"/>
    <w:rsid w:val="7FB5F66C"/>
    <w:rsid w:val="7FC26E84"/>
    <w:rsid w:val="7FC9C847"/>
    <w:rsid w:val="7FCD7D74"/>
    <w:rsid w:val="7FD0DFA6"/>
    <w:rsid w:val="7FE823E2"/>
    <w:rsid w:val="7FE8EA92"/>
    <w:rsid w:val="7FF1014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C2870"/>
  <w15:chartTrackingRefBased/>
  <w15:docId w15:val="{061B95E5-3EF5-4EE9-88FB-D83952DB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EastAsia" w:hAnsi="Arial Nova" w:cs="Open Sans"/>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AC7"/>
    <w:pPr>
      <w:spacing w:after="120" w:line="288" w:lineRule="auto"/>
    </w:pPr>
    <w:rPr>
      <w:rFonts w:eastAsiaTheme="minorHAnsi"/>
    </w:rPr>
  </w:style>
  <w:style w:type="paragraph" w:styleId="Heading1">
    <w:name w:val="heading 1"/>
    <w:basedOn w:val="Normal"/>
    <w:next w:val="Normal"/>
    <w:link w:val="Heading1Char"/>
    <w:uiPriority w:val="9"/>
    <w:qFormat/>
    <w:rsid w:val="00183AC7"/>
    <w:pPr>
      <w:keepNext/>
      <w:keepLines/>
      <w:tabs>
        <w:tab w:val="left" w:pos="1814"/>
      </w:tabs>
      <w:spacing w:after="240" w:line="245" w:lineRule="auto"/>
      <w:outlineLvl w:val="0"/>
    </w:pPr>
    <w:rPr>
      <w:rFonts w:eastAsiaTheme="majorEastAsia" w:cs="Times New Roman (Headings CS)"/>
      <w:b/>
      <w:caps/>
      <w:color w:val="2A114C"/>
      <w:sz w:val="44"/>
      <w:szCs w:val="32"/>
    </w:rPr>
  </w:style>
  <w:style w:type="paragraph" w:styleId="Heading2">
    <w:name w:val="heading 2"/>
    <w:basedOn w:val="Normal"/>
    <w:next w:val="Normal"/>
    <w:link w:val="Heading2Char"/>
    <w:uiPriority w:val="9"/>
    <w:qFormat/>
    <w:rsid w:val="00183AC7"/>
    <w:pPr>
      <w:keepNext/>
      <w:keepLines/>
      <w:adjustRightInd w:val="0"/>
      <w:spacing w:before="360" w:after="240"/>
      <w:outlineLvl w:val="1"/>
    </w:pPr>
    <w:rPr>
      <w:rFonts w:eastAsiaTheme="majorEastAsia" w:cs="Open Sans Semibold"/>
      <w:b/>
      <w:bCs/>
      <w:color w:val="472978" w:themeColor="accent1"/>
      <w:sz w:val="36"/>
      <w:szCs w:val="36"/>
    </w:rPr>
  </w:style>
  <w:style w:type="paragraph" w:styleId="Heading3">
    <w:name w:val="heading 3"/>
    <w:basedOn w:val="Normal"/>
    <w:next w:val="Normal"/>
    <w:link w:val="Heading3Char"/>
    <w:uiPriority w:val="9"/>
    <w:qFormat/>
    <w:rsid w:val="00183AC7"/>
    <w:pPr>
      <w:keepNext/>
      <w:keepLines/>
      <w:spacing w:before="240" w:after="240"/>
      <w:outlineLvl w:val="2"/>
    </w:pPr>
    <w:rPr>
      <w:rFonts w:eastAsiaTheme="majorEastAsia" w:cs="Open Sans Semibold"/>
      <w:b/>
      <w:bCs/>
      <w:color w:val="247699" w:themeColor="accent3"/>
      <w:sz w:val="30"/>
      <w:szCs w:val="32"/>
    </w:rPr>
  </w:style>
  <w:style w:type="paragraph" w:styleId="Heading4">
    <w:name w:val="heading 4"/>
    <w:basedOn w:val="Heading3"/>
    <w:next w:val="Normal"/>
    <w:link w:val="Heading4Char"/>
    <w:uiPriority w:val="9"/>
    <w:qFormat/>
    <w:rsid w:val="00183AC7"/>
    <w:pPr>
      <w:outlineLvl w:val="3"/>
    </w:pPr>
    <w:rPr>
      <w:color w:val="353535" w:themeColor="accent4"/>
      <w:sz w:val="26"/>
      <w:szCs w:val="28"/>
    </w:rPr>
  </w:style>
  <w:style w:type="paragraph" w:styleId="Heading5">
    <w:name w:val="heading 5"/>
    <w:basedOn w:val="Heading4"/>
    <w:next w:val="Normal"/>
    <w:link w:val="Heading5Char"/>
    <w:uiPriority w:val="9"/>
    <w:qFormat/>
    <w:rsid w:val="00183AC7"/>
    <w:pPr>
      <w:spacing w:after="120"/>
      <w:outlineLvl w:val="4"/>
    </w:pPr>
    <w:rPr>
      <w:i/>
      <w:iCs/>
      <w:color w:val="000000" w:themeColor="text1"/>
      <w:sz w:val="22"/>
      <w:szCs w:val="25"/>
    </w:rPr>
  </w:style>
  <w:style w:type="paragraph" w:styleId="Heading6">
    <w:name w:val="heading 6"/>
    <w:basedOn w:val="Heading3"/>
    <w:next w:val="Normal"/>
    <w:link w:val="Heading6Char"/>
    <w:uiPriority w:val="9"/>
    <w:semiHidden/>
    <w:qFormat/>
    <w:rsid w:val="00183AC7"/>
    <w:pPr>
      <w:spacing w:after="120"/>
      <w:outlineLvl w:val="5"/>
    </w:pPr>
    <w:rPr>
      <w:i/>
      <w:iCs/>
      <w:color w:val="353535" w:themeColor="accent4"/>
      <w:sz w:val="22"/>
      <w:szCs w:val="22"/>
    </w:rPr>
  </w:style>
  <w:style w:type="paragraph" w:styleId="Heading7">
    <w:name w:val="heading 7"/>
    <w:basedOn w:val="Normal"/>
    <w:next w:val="Normal"/>
    <w:link w:val="Heading7Char"/>
    <w:uiPriority w:val="9"/>
    <w:semiHidden/>
    <w:qFormat/>
    <w:rsid w:val="00183AC7"/>
    <w:pPr>
      <w:keepNext/>
      <w:keepLines/>
      <w:spacing w:before="40" w:line="259" w:lineRule="auto"/>
      <w:outlineLvl w:val="6"/>
    </w:pPr>
    <w:rPr>
      <w:rFonts w:asciiTheme="majorHAnsi" w:eastAsiaTheme="majorEastAsia" w:hAnsiTheme="majorHAnsi" w:cstheme="majorBidi"/>
      <w:i/>
      <w:iCs/>
      <w:color w:val="23143B" w:themeColor="accent1" w:themeShade="7F"/>
      <w:szCs w:val="22"/>
    </w:rPr>
  </w:style>
  <w:style w:type="paragraph" w:styleId="Heading8">
    <w:name w:val="heading 8"/>
    <w:basedOn w:val="Normal"/>
    <w:next w:val="Normal"/>
    <w:link w:val="Heading8Char"/>
    <w:uiPriority w:val="9"/>
    <w:semiHidden/>
    <w:qFormat/>
    <w:rsid w:val="00183AC7"/>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83AC7"/>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83AC7"/>
    <w:pPr>
      <w:spacing w:before="240"/>
    </w:pPr>
    <w:rPr>
      <w:rFonts w:eastAsia="Times New Roman"/>
      <w:bCs/>
      <w:sz w:val="16"/>
      <w:lang w:eastAsia="en-GB"/>
    </w:rPr>
  </w:style>
  <w:style w:type="character" w:customStyle="1" w:styleId="HeaderChar">
    <w:name w:val="Header Char"/>
    <w:basedOn w:val="DefaultParagraphFont"/>
    <w:link w:val="Header"/>
    <w:uiPriority w:val="99"/>
    <w:rsid w:val="00183AC7"/>
    <w:rPr>
      <w:rFonts w:eastAsia="Times New Roman"/>
      <w:bCs/>
      <w:sz w:val="16"/>
      <w:lang w:eastAsia="en-GB"/>
    </w:rPr>
  </w:style>
  <w:style w:type="paragraph" w:styleId="Footer">
    <w:name w:val="footer"/>
    <w:basedOn w:val="Normal"/>
    <w:link w:val="FooterChar"/>
    <w:uiPriority w:val="99"/>
    <w:unhideWhenUsed/>
    <w:rsid w:val="00183AC7"/>
    <w:pPr>
      <w:tabs>
        <w:tab w:val="right" w:pos="7710"/>
      </w:tabs>
    </w:pPr>
    <w:rPr>
      <w:color w:val="472978" w:themeColor="accent1"/>
      <w:sz w:val="18"/>
    </w:rPr>
  </w:style>
  <w:style w:type="character" w:customStyle="1" w:styleId="FooterChar">
    <w:name w:val="Footer Char"/>
    <w:basedOn w:val="DefaultParagraphFont"/>
    <w:link w:val="Footer"/>
    <w:uiPriority w:val="99"/>
    <w:rsid w:val="00183AC7"/>
    <w:rPr>
      <w:rFonts w:eastAsiaTheme="minorHAnsi"/>
      <w:color w:val="472978" w:themeColor="accent1"/>
      <w:sz w:val="18"/>
    </w:rPr>
  </w:style>
  <w:style w:type="paragraph" w:styleId="Subtitle">
    <w:name w:val="Subtitle"/>
    <w:basedOn w:val="Normal"/>
    <w:next w:val="Normal"/>
    <w:link w:val="SubtitleChar"/>
    <w:uiPriority w:val="11"/>
    <w:qFormat/>
    <w:rsid w:val="00183AC7"/>
    <w:pPr>
      <w:numPr>
        <w:ilvl w:val="1"/>
      </w:numPr>
      <w:spacing w:line="480" w:lineRule="exact"/>
      <w:ind w:left="720" w:hanging="720"/>
    </w:pPr>
    <w:rPr>
      <w:rFonts w:eastAsiaTheme="minorEastAsia" w:cs="Times New Roman (Body CS)"/>
      <w:caps/>
      <w:color w:val="472978" w:themeColor="accent1"/>
      <w:spacing w:val="10"/>
      <w:sz w:val="48"/>
      <w:szCs w:val="22"/>
    </w:rPr>
  </w:style>
  <w:style w:type="character" w:customStyle="1" w:styleId="SubtitleChar">
    <w:name w:val="Subtitle Char"/>
    <w:basedOn w:val="DefaultParagraphFont"/>
    <w:link w:val="Subtitle"/>
    <w:uiPriority w:val="11"/>
    <w:rsid w:val="00183AC7"/>
    <w:rPr>
      <w:rFonts w:cs="Times New Roman (Body CS)"/>
      <w:caps/>
      <w:color w:val="472978" w:themeColor="accent1"/>
      <w:spacing w:val="10"/>
      <w:sz w:val="48"/>
      <w:szCs w:val="22"/>
    </w:rPr>
  </w:style>
  <w:style w:type="paragraph" w:styleId="Title">
    <w:name w:val="Title"/>
    <w:basedOn w:val="Normal"/>
    <w:next w:val="Normal"/>
    <w:link w:val="TitleChar"/>
    <w:uiPriority w:val="10"/>
    <w:qFormat/>
    <w:rsid w:val="00183AC7"/>
    <w:pPr>
      <w:spacing w:before="4800" w:after="360" w:line="216" w:lineRule="auto"/>
      <w:contextualSpacing/>
    </w:pPr>
    <w:rPr>
      <w:rFonts w:eastAsiaTheme="majorEastAsia" w:cs="Times New Roman (Headings CS)"/>
      <w:b/>
      <w:caps/>
      <w:color w:val="2A114C"/>
      <w:kern w:val="28"/>
      <w:sz w:val="56"/>
      <w:szCs w:val="56"/>
    </w:rPr>
  </w:style>
  <w:style w:type="character" w:customStyle="1" w:styleId="TitleChar">
    <w:name w:val="Title Char"/>
    <w:basedOn w:val="DefaultParagraphFont"/>
    <w:link w:val="Title"/>
    <w:uiPriority w:val="10"/>
    <w:rsid w:val="00183AC7"/>
    <w:rPr>
      <w:rFonts w:eastAsiaTheme="majorEastAsia" w:cs="Times New Roman (Headings CS)"/>
      <w:b/>
      <w:caps/>
      <w:color w:val="2A114C"/>
      <w:kern w:val="28"/>
      <w:sz w:val="56"/>
      <w:szCs w:val="56"/>
    </w:rPr>
  </w:style>
  <w:style w:type="character" w:customStyle="1" w:styleId="Heading1Char">
    <w:name w:val="Heading 1 Char"/>
    <w:basedOn w:val="DefaultParagraphFont"/>
    <w:link w:val="Heading1"/>
    <w:uiPriority w:val="9"/>
    <w:rsid w:val="00183AC7"/>
    <w:rPr>
      <w:rFonts w:eastAsiaTheme="majorEastAsia" w:cs="Times New Roman (Headings CS)"/>
      <w:b/>
      <w:caps/>
      <w:color w:val="2A114C"/>
      <w:sz w:val="44"/>
      <w:szCs w:val="32"/>
    </w:rPr>
  </w:style>
  <w:style w:type="character" w:customStyle="1" w:styleId="Heading2Char">
    <w:name w:val="Heading 2 Char"/>
    <w:basedOn w:val="DefaultParagraphFont"/>
    <w:link w:val="Heading2"/>
    <w:uiPriority w:val="9"/>
    <w:rsid w:val="00183AC7"/>
    <w:rPr>
      <w:rFonts w:eastAsiaTheme="majorEastAsia" w:cs="Open Sans Semibold"/>
      <w:b/>
      <w:bCs/>
      <w:color w:val="472978" w:themeColor="accent1"/>
      <w:sz w:val="36"/>
      <w:szCs w:val="36"/>
    </w:rPr>
  </w:style>
  <w:style w:type="character" w:customStyle="1" w:styleId="Heading3Char">
    <w:name w:val="Heading 3 Char"/>
    <w:basedOn w:val="DefaultParagraphFont"/>
    <w:link w:val="Heading3"/>
    <w:uiPriority w:val="9"/>
    <w:rsid w:val="00183AC7"/>
    <w:rPr>
      <w:rFonts w:eastAsiaTheme="majorEastAsia" w:cs="Open Sans Semibold"/>
      <w:b/>
      <w:bCs/>
      <w:color w:val="247699" w:themeColor="accent3"/>
      <w:sz w:val="30"/>
      <w:szCs w:val="32"/>
    </w:rPr>
  </w:style>
  <w:style w:type="character" w:customStyle="1" w:styleId="Heading4Char">
    <w:name w:val="Heading 4 Char"/>
    <w:basedOn w:val="DefaultParagraphFont"/>
    <w:link w:val="Heading4"/>
    <w:uiPriority w:val="9"/>
    <w:rsid w:val="00183AC7"/>
    <w:rPr>
      <w:rFonts w:eastAsiaTheme="majorEastAsia" w:cs="Open Sans Semibold"/>
      <w:b/>
      <w:bCs/>
      <w:color w:val="353535" w:themeColor="accent4"/>
      <w:sz w:val="26"/>
      <w:szCs w:val="28"/>
    </w:rPr>
  </w:style>
  <w:style w:type="character" w:customStyle="1" w:styleId="Heading5Char">
    <w:name w:val="Heading 5 Char"/>
    <w:basedOn w:val="DefaultParagraphFont"/>
    <w:link w:val="Heading5"/>
    <w:uiPriority w:val="9"/>
    <w:rsid w:val="00183AC7"/>
    <w:rPr>
      <w:rFonts w:eastAsiaTheme="majorEastAsia" w:cs="Open Sans Semibold"/>
      <w:b/>
      <w:bCs/>
      <w:i/>
      <w:iCs/>
      <w:sz w:val="22"/>
      <w:szCs w:val="25"/>
    </w:rPr>
  </w:style>
  <w:style w:type="paragraph" w:styleId="ListParagraph">
    <w:name w:val="List Paragraph"/>
    <w:basedOn w:val="Normal"/>
    <w:link w:val="ListParagraphChar"/>
    <w:uiPriority w:val="34"/>
    <w:unhideWhenUsed/>
    <w:qFormat/>
    <w:rsid w:val="00183AC7"/>
    <w:pPr>
      <w:numPr>
        <w:numId w:val="49"/>
      </w:numPr>
      <w:spacing w:before="40"/>
      <w:contextualSpacing/>
    </w:pPr>
    <w:rPr>
      <w:rFonts w:cs="Times New Roman (Body CS)"/>
    </w:rPr>
  </w:style>
  <w:style w:type="paragraph" w:styleId="BlockText">
    <w:name w:val="Block Text"/>
    <w:basedOn w:val="Normal"/>
    <w:uiPriority w:val="99"/>
    <w:semiHidden/>
    <w:rsid w:val="00183AC7"/>
    <w:pPr>
      <w:pBdr>
        <w:top w:val="single" w:sz="12" w:space="5" w:color="ECE2ED"/>
        <w:left w:val="single" w:sz="12" w:space="5" w:color="ECE2ED"/>
        <w:bottom w:val="single" w:sz="12" w:space="5" w:color="ECE2ED"/>
        <w:right w:val="single" w:sz="12" w:space="5" w:color="ECE2ED"/>
      </w:pBdr>
      <w:shd w:val="clear" w:color="auto" w:fill="ECE2ED"/>
      <w:ind w:left="170" w:right="170"/>
    </w:pPr>
    <w:rPr>
      <w:rFonts w:eastAsiaTheme="minorEastAsia"/>
      <w:iCs/>
    </w:rPr>
  </w:style>
  <w:style w:type="paragraph" w:customStyle="1" w:styleId="TableTitle">
    <w:name w:val="Table Title"/>
    <w:basedOn w:val="Normal"/>
    <w:qFormat/>
    <w:rsid w:val="00183AC7"/>
    <w:pPr>
      <w:spacing w:before="240"/>
    </w:pPr>
    <w:rPr>
      <w:rFonts w:ascii="Open Sans Semibold" w:hAnsi="Open Sans Semibold" w:cs="Times New Roman (Body CS)"/>
      <w:lang w:eastAsia="en-AU"/>
    </w:rPr>
  </w:style>
  <w:style w:type="paragraph" w:customStyle="1" w:styleId="ChartDiagramTitle">
    <w:name w:val="Chart Diagram Title"/>
    <w:basedOn w:val="TableTitle"/>
    <w:qFormat/>
    <w:rsid w:val="00183AC7"/>
    <w:rPr>
      <w:rFonts w:ascii="Arial Nova" w:hAnsi="Arial Nova"/>
    </w:rPr>
  </w:style>
  <w:style w:type="character" w:styleId="PageNumber">
    <w:name w:val="page number"/>
    <w:basedOn w:val="DefaultParagraphFont"/>
    <w:uiPriority w:val="99"/>
    <w:unhideWhenUsed/>
    <w:rsid w:val="00183AC7"/>
    <w:rPr>
      <w:rFonts w:ascii="Arial Nova" w:hAnsi="Arial Nova"/>
      <w:b w:val="0"/>
      <w:i w:val="0"/>
      <w:color w:val="472978" w:themeColor="accent1"/>
      <w:sz w:val="18"/>
    </w:rPr>
  </w:style>
  <w:style w:type="character" w:styleId="Hyperlink">
    <w:name w:val="Hyperlink"/>
    <w:basedOn w:val="DefaultParagraphFont"/>
    <w:uiPriority w:val="99"/>
    <w:rsid w:val="00183AC7"/>
    <w:rPr>
      <w:rFonts w:ascii="Arial Nova" w:hAnsi="Arial Nova"/>
      <w:b w:val="0"/>
      <w:i w:val="0"/>
      <w:color w:val="341E59" w:themeColor="accent1" w:themeShade="BF"/>
      <w:sz w:val="20"/>
      <w:u w:val="single"/>
    </w:rPr>
  </w:style>
  <w:style w:type="paragraph" w:customStyle="1" w:styleId="Subtext">
    <w:name w:val="Subtext"/>
    <w:basedOn w:val="Normal"/>
    <w:autoRedefine/>
    <w:qFormat/>
    <w:rsid w:val="00183AC7"/>
    <w:pPr>
      <w:keepLines/>
      <w:spacing w:before="40" w:after="80" w:line="240" w:lineRule="auto"/>
    </w:pPr>
    <w:rPr>
      <w:sz w:val="18"/>
      <w:szCs w:val="18"/>
    </w:rPr>
  </w:style>
  <w:style w:type="paragraph" w:styleId="TOC1">
    <w:name w:val="toc 1"/>
    <w:basedOn w:val="Normal"/>
    <w:next w:val="Normal"/>
    <w:autoRedefine/>
    <w:uiPriority w:val="39"/>
    <w:rsid w:val="00183AC7"/>
    <w:pPr>
      <w:keepNext/>
      <w:tabs>
        <w:tab w:val="left" w:pos="660"/>
        <w:tab w:val="right" w:leader="dot" w:pos="7655"/>
      </w:tabs>
      <w:spacing w:before="180" w:after="0" w:line="240" w:lineRule="auto"/>
    </w:pPr>
    <w:rPr>
      <w:rFonts w:eastAsiaTheme="minorEastAsia"/>
      <w:b/>
      <w:noProof/>
      <w:color w:val="29114B" w:themeColor="text2"/>
      <w:sz w:val="22"/>
      <w:szCs w:val="22"/>
      <w:lang w:eastAsia="en-AU"/>
    </w:rPr>
  </w:style>
  <w:style w:type="paragraph" w:styleId="TOC3">
    <w:name w:val="toc 3"/>
    <w:basedOn w:val="Normal"/>
    <w:next w:val="Normal"/>
    <w:autoRedefine/>
    <w:uiPriority w:val="39"/>
    <w:rsid w:val="00183AC7"/>
    <w:pPr>
      <w:tabs>
        <w:tab w:val="right" w:pos="7655"/>
      </w:tabs>
      <w:spacing w:after="40" w:line="240" w:lineRule="auto"/>
    </w:pPr>
    <w:rPr>
      <w:szCs w:val="22"/>
    </w:rPr>
  </w:style>
  <w:style w:type="paragraph" w:customStyle="1" w:styleId="Introduction">
    <w:name w:val="Introduction"/>
    <w:basedOn w:val="Normal"/>
    <w:next w:val="Normal"/>
    <w:qFormat/>
    <w:rsid w:val="00183AC7"/>
    <w:pPr>
      <w:pBdr>
        <w:left w:val="single" w:sz="24" w:space="7" w:color="472978" w:themeColor="accent1"/>
      </w:pBdr>
      <w:spacing w:after="0"/>
      <w:ind w:left="227"/>
    </w:pPr>
    <w:rPr>
      <w:color w:val="353535" w:themeColor="accent4"/>
      <w:szCs w:val="22"/>
    </w:rPr>
  </w:style>
  <w:style w:type="table" w:styleId="TableGrid">
    <w:name w:val="Table Grid"/>
    <w:aliases w:val="AOFM-Table Header Row"/>
    <w:basedOn w:val="TableNormal"/>
    <w:uiPriority w:val="39"/>
    <w:rsid w:val="00183AC7"/>
    <w:rPr>
      <w:rFonts w:eastAsiaTheme="minorHAnsi"/>
      <w:sz w:val="19"/>
    </w:rPr>
    <w:tblPr>
      <w:tblStyleRowBandSize w:val="1"/>
      <w:tblBorders>
        <w:top w:val="single" w:sz="4" w:space="0" w:color="C5C2C2" w:themeColor="background2" w:themeShade="D9"/>
        <w:left w:val="single" w:sz="4" w:space="0" w:color="C5C2C2" w:themeColor="background2" w:themeShade="D9"/>
        <w:bottom w:val="single" w:sz="4" w:space="0" w:color="C5C2C2" w:themeColor="background2" w:themeShade="D9"/>
        <w:right w:val="single" w:sz="4" w:space="0" w:color="C5C2C2" w:themeColor="background2" w:themeShade="D9"/>
        <w:insideH w:val="single" w:sz="4" w:space="0" w:color="C5C2C2" w:themeColor="background2" w:themeShade="D9"/>
        <w:insideV w:val="single" w:sz="4" w:space="0" w:color="C5C2C2" w:themeColor="background2" w:themeShade="D9"/>
      </w:tblBorders>
    </w:tblPr>
    <w:tcPr>
      <w:shd w:val="clear" w:color="auto" w:fill="FFFFFF" w:themeFill="background1"/>
      <w:tcMar>
        <w:top w:w="28" w:type="dxa"/>
        <w:left w:w="85" w:type="dxa"/>
        <w:bottom w:w="28" w:type="dxa"/>
        <w:right w:w="85" w:type="dxa"/>
      </w:tcMar>
    </w:tcPr>
    <w:tblStylePr w:type="firstRow">
      <w:rPr>
        <w:rFonts w:ascii="Sitka Display" w:hAnsi="Sitka Display"/>
        <w:b/>
        <w:i w:val="0"/>
        <w:sz w:val="19"/>
      </w:rPr>
      <w:tblPr/>
      <w:trPr>
        <w:tblHeader/>
      </w:trPr>
      <w:tcPr>
        <w:tcBorders>
          <w:top w:val="single" w:sz="4" w:space="0" w:color="1B5772" w:themeColor="accent3" w:themeShade="BF"/>
          <w:left w:val="single" w:sz="4" w:space="0" w:color="1B5772" w:themeColor="accent3" w:themeShade="BF"/>
          <w:bottom w:val="single" w:sz="4" w:space="0" w:color="1B5772" w:themeColor="accent3" w:themeShade="BF"/>
          <w:right w:val="single" w:sz="4" w:space="0" w:color="1B5772" w:themeColor="accent3" w:themeShade="BF"/>
          <w:insideH w:val="single" w:sz="4" w:space="0" w:color="1B5772" w:themeColor="accent3" w:themeShade="BF"/>
          <w:insideV w:val="single" w:sz="4" w:space="0" w:color="1B5772" w:themeColor="accent3" w:themeShade="BF"/>
        </w:tcBorders>
        <w:shd w:val="clear" w:color="auto" w:fill="472978" w:themeFill="accent1"/>
      </w:tcPr>
    </w:tblStylePr>
    <w:tblStylePr w:type="band1Horz">
      <w:rPr>
        <w:rFonts w:ascii="Sitka Display" w:hAnsi="Sitka Display"/>
        <w:b w:val="0"/>
        <w:i w:val="0"/>
      </w:rPr>
    </w:tblStylePr>
    <w:tblStylePr w:type="band2Horz">
      <w:rPr>
        <w:rFonts w:ascii="Sitka Display" w:hAnsi="Sitka Display"/>
        <w:b w:val="0"/>
        <w:i w:val="0"/>
      </w:rPr>
    </w:tblStylePr>
  </w:style>
  <w:style w:type="paragraph" w:customStyle="1" w:styleId="SectionOverviewTOC2">
    <w:name w:val="Section Overview TOC 2"/>
    <w:qFormat/>
    <w:rsid w:val="00183AC7"/>
    <w:pPr>
      <w:tabs>
        <w:tab w:val="right" w:pos="7655"/>
      </w:tabs>
      <w:spacing w:before="80" w:after="80" w:line="259" w:lineRule="auto"/>
      <w:ind w:left="425" w:right="-87"/>
    </w:pPr>
    <w:rPr>
      <w:rFonts w:ascii="Open Sans" w:eastAsia="Times New Roman" w:hAnsi="Open Sans"/>
      <w:color w:val="FFFFFF" w:themeColor="background1"/>
      <w:sz w:val="22"/>
      <w:szCs w:val="22"/>
      <w:lang w:eastAsia="en-GB"/>
    </w:rPr>
  </w:style>
  <w:style w:type="paragraph" w:customStyle="1" w:styleId="PartTitle">
    <w:name w:val="Part Title"/>
    <w:next w:val="Introduction"/>
    <w:qFormat/>
    <w:rsid w:val="00B076E9"/>
    <w:pPr>
      <w:spacing w:after="600" w:line="216" w:lineRule="auto"/>
      <w:contextualSpacing/>
      <w:outlineLvl w:val="0"/>
    </w:pPr>
    <w:rPr>
      <w:rFonts w:eastAsiaTheme="majorEastAsia" w:cs="Open Sans Extrabold"/>
      <w:b/>
      <w:bCs/>
      <w:caps/>
      <w:noProof/>
      <w:color w:val="29114B" w:themeColor="text2"/>
      <w:sz w:val="44"/>
      <w:szCs w:val="32"/>
    </w:rPr>
  </w:style>
  <w:style w:type="numbering" w:customStyle="1" w:styleId="AOFMNumericList">
    <w:name w:val="AOFM — Numeric List"/>
    <w:uiPriority w:val="99"/>
    <w:rsid w:val="00183AC7"/>
    <w:pPr>
      <w:numPr>
        <w:numId w:val="1"/>
      </w:numPr>
    </w:pPr>
  </w:style>
  <w:style w:type="numbering" w:customStyle="1" w:styleId="AOFMBulletList">
    <w:name w:val="AOFM — Bullet List"/>
    <w:uiPriority w:val="99"/>
    <w:rsid w:val="00183AC7"/>
    <w:pPr>
      <w:numPr>
        <w:numId w:val="6"/>
      </w:numPr>
    </w:pPr>
  </w:style>
  <w:style w:type="paragraph" w:customStyle="1" w:styleId="NumberedList">
    <w:name w:val="Numbered List"/>
    <w:basedOn w:val="OutlineNumbered1"/>
    <w:semiHidden/>
    <w:qFormat/>
    <w:rsid w:val="00183AC7"/>
  </w:style>
  <w:style w:type="numbering" w:customStyle="1" w:styleId="CurrentList1">
    <w:name w:val="Current List1"/>
    <w:uiPriority w:val="99"/>
    <w:rsid w:val="00183AC7"/>
    <w:pPr>
      <w:numPr>
        <w:numId w:val="2"/>
      </w:numPr>
    </w:pPr>
  </w:style>
  <w:style w:type="numbering" w:customStyle="1" w:styleId="CurrentList2">
    <w:name w:val="Current List2"/>
    <w:uiPriority w:val="99"/>
    <w:rsid w:val="00183AC7"/>
    <w:pPr>
      <w:numPr>
        <w:numId w:val="3"/>
      </w:numPr>
    </w:pPr>
  </w:style>
  <w:style w:type="numbering" w:customStyle="1" w:styleId="CurrentList3">
    <w:name w:val="Current List3"/>
    <w:uiPriority w:val="99"/>
    <w:rsid w:val="00183AC7"/>
    <w:pPr>
      <w:numPr>
        <w:numId w:val="4"/>
      </w:numPr>
    </w:pPr>
  </w:style>
  <w:style w:type="numbering" w:customStyle="1" w:styleId="CurrentList4">
    <w:name w:val="Current List4"/>
    <w:uiPriority w:val="99"/>
    <w:rsid w:val="00183AC7"/>
    <w:pPr>
      <w:numPr>
        <w:numId w:val="5"/>
      </w:numPr>
    </w:pPr>
  </w:style>
  <w:style w:type="character" w:customStyle="1" w:styleId="Heading6Char">
    <w:name w:val="Heading 6 Char"/>
    <w:basedOn w:val="DefaultParagraphFont"/>
    <w:link w:val="Heading6"/>
    <w:uiPriority w:val="9"/>
    <w:semiHidden/>
    <w:rsid w:val="00183AC7"/>
    <w:rPr>
      <w:rFonts w:eastAsiaTheme="majorEastAsia" w:cs="Open Sans Semibold"/>
      <w:b/>
      <w:bCs/>
      <w:i/>
      <w:iCs/>
      <w:color w:val="353535" w:themeColor="accent4"/>
      <w:sz w:val="22"/>
      <w:szCs w:val="22"/>
    </w:rPr>
  </w:style>
  <w:style w:type="paragraph" w:customStyle="1" w:styleId="BlockHeader">
    <w:name w:val="Block Header"/>
    <w:basedOn w:val="BlockText"/>
    <w:next w:val="BalloonText"/>
    <w:semiHidden/>
    <w:rsid w:val="00183AC7"/>
    <w:pPr>
      <w:spacing w:before="240" w:after="200"/>
    </w:pPr>
    <w:rPr>
      <w:b/>
      <w:bCs/>
    </w:rPr>
  </w:style>
  <w:style w:type="paragraph" w:styleId="Quote">
    <w:name w:val="Quote"/>
    <w:basedOn w:val="Normal"/>
    <w:next w:val="Normal"/>
    <w:link w:val="QuoteChar"/>
    <w:uiPriority w:val="29"/>
    <w:semiHidden/>
    <w:qFormat/>
    <w:rsid w:val="00183AC7"/>
    <w:pPr>
      <w:spacing w:before="240" w:after="240"/>
      <w:ind w:left="862" w:right="862"/>
      <w:jc w:val="center"/>
    </w:pPr>
    <w:rPr>
      <w:b/>
      <w:bCs/>
      <w:color w:val="353535" w:themeColor="accent4"/>
      <w:szCs w:val="22"/>
    </w:rPr>
  </w:style>
  <w:style w:type="paragraph" w:styleId="BalloonText">
    <w:name w:val="Balloon Text"/>
    <w:basedOn w:val="Normal"/>
    <w:link w:val="BalloonTextChar"/>
    <w:uiPriority w:val="99"/>
    <w:semiHidden/>
    <w:unhideWhenUsed/>
    <w:rsid w:val="00183AC7"/>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83AC7"/>
    <w:rPr>
      <w:rFonts w:ascii="Times New Roman" w:eastAsiaTheme="minorHAnsi" w:hAnsi="Times New Roman"/>
      <w:sz w:val="18"/>
      <w:szCs w:val="18"/>
    </w:rPr>
  </w:style>
  <w:style w:type="character" w:customStyle="1" w:styleId="QuoteChar">
    <w:name w:val="Quote Char"/>
    <w:basedOn w:val="DefaultParagraphFont"/>
    <w:link w:val="Quote"/>
    <w:uiPriority w:val="29"/>
    <w:semiHidden/>
    <w:rsid w:val="00183AC7"/>
    <w:rPr>
      <w:rFonts w:eastAsiaTheme="minorHAnsi"/>
      <w:b/>
      <w:bCs/>
      <w:color w:val="353535" w:themeColor="accent4"/>
      <w:szCs w:val="22"/>
    </w:rPr>
  </w:style>
  <w:style w:type="paragraph" w:customStyle="1" w:styleId="SectionOverviewTOC">
    <w:name w:val="Section Overview TOC"/>
    <w:basedOn w:val="Normal"/>
    <w:qFormat/>
    <w:rsid w:val="00183AC7"/>
    <w:pPr>
      <w:spacing w:before="200"/>
    </w:pPr>
    <w:rPr>
      <w:color w:val="FFFFFF" w:themeColor="background1"/>
      <w:sz w:val="25"/>
      <w:szCs w:val="25"/>
    </w:rPr>
  </w:style>
  <w:style w:type="paragraph" w:customStyle="1" w:styleId="SectionOverviewTOC1">
    <w:name w:val="Section Overview TOC 1"/>
    <w:basedOn w:val="Normal"/>
    <w:qFormat/>
    <w:rsid w:val="00183AC7"/>
    <w:pPr>
      <w:numPr>
        <w:numId w:val="7"/>
      </w:numPr>
      <w:tabs>
        <w:tab w:val="left" w:leader="dot" w:pos="0"/>
        <w:tab w:val="right" w:pos="7655"/>
      </w:tabs>
      <w:spacing w:before="200"/>
      <w:ind w:left="425" w:hanging="357"/>
    </w:pPr>
    <w:rPr>
      <w:rFonts w:cs="Times New Roman (Body CS)"/>
      <w:b/>
      <w:bCs/>
      <w:color w:val="FFFFFF" w:themeColor="background1"/>
      <w:sz w:val="25"/>
      <w:szCs w:val="25"/>
      <w14:numSpacing w14:val="tabular"/>
    </w:rPr>
  </w:style>
  <w:style w:type="paragraph" w:customStyle="1" w:styleId="TableHeaderStandard">
    <w:name w:val="Table Header — Standard"/>
    <w:qFormat/>
    <w:rsid w:val="00183AC7"/>
    <w:pPr>
      <w:spacing w:after="40" w:line="245" w:lineRule="auto"/>
    </w:pPr>
    <w:rPr>
      <w:rFonts w:eastAsiaTheme="minorHAnsi" w:cs="Times New Roman (Body CS)"/>
      <w:b/>
      <w:sz w:val="19"/>
    </w:rPr>
  </w:style>
  <w:style w:type="paragraph" w:customStyle="1" w:styleId="PurposeSubtitle">
    <w:name w:val="Purpose Subtitle"/>
    <w:qFormat/>
    <w:rsid w:val="00183AC7"/>
    <w:pPr>
      <w:spacing w:after="480" w:line="250" w:lineRule="auto"/>
    </w:pPr>
    <w:rPr>
      <w:rFonts w:eastAsiaTheme="majorEastAsia"/>
      <w:b/>
      <w:bCs/>
      <w:color w:val="FFFFFF" w:themeColor="background1"/>
      <w:sz w:val="28"/>
      <w:szCs w:val="36"/>
    </w:rPr>
  </w:style>
  <w:style w:type="table" w:styleId="TableGridLight">
    <w:name w:val="Grid Table Light"/>
    <w:aliases w:val="AOFM First Column"/>
    <w:basedOn w:val="TableNormal"/>
    <w:uiPriority w:val="40"/>
    <w:rsid w:val="00183AC7"/>
    <w:rPr>
      <w:rFonts w:eastAsiaTheme="minorHAnsi"/>
      <w:sz w:val="19"/>
    </w:rPr>
    <w:tblPr>
      <w:tblBorders>
        <w:top w:val="single" w:sz="4" w:space="0" w:color="C5C2C2" w:themeColor="background2" w:themeShade="D9"/>
        <w:left w:val="single" w:sz="4" w:space="0" w:color="C5C2C2" w:themeColor="background2" w:themeShade="D9"/>
        <w:bottom w:val="single" w:sz="4" w:space="0" w:color="C5C2C2" w:themeColor="background2" w:themeShade="D9"/>
        <w:right w:val="single" w:sz="4" w:space="0" w:color="C5C2C2" w:themeColor="background2" w:themeShade="D9"/>
        <w:insideH w:val="single" w:sz="4" w:space="0" w:color="C5C2C2" w:themeColor="background2" w:themeShade="D9"/>
        <w:insideV w:val="single" w:sz="4" w:space="0" w:color="C5C2C2" w:themeColor="background2" w:themeShade="D9"/>
      </w:tblBorders>
    </w:tblPr>
    <w:tcPr>
      <w:shd w:val="clear" w:color="auto" w:fill="FFFFFF" w:themeFill="background1"/>
      <w:tcMar>
        <w:top w:w="28" w:type="dxa"/>
        <w:left w:w="85" w:type="dxa"/>
        <w:bottom w:w="28" w:type="dxa"/>
        <w:right w:w="85" w:type="dxa"/>
      </w:tcMar>
    </w:tcPr>
    <w:tblStylePr w:type="firstCol">
      <w:rPr>
        <w:rFonts w:ascii="Sitka Display" w:hAnsi="Sitka Display"/>
        <w:b/>
        <w:i w:val="0"/>
        <w:sz w:val="19"/>
      </w:rPr>
      <w:tblPr/>
      <w:tcPr>
        <w:tcBorders>
          <w:top w:val="single" w:sz="4" w:space="0" w:color="1B5772" w:themeColor="accent3" w:themeShade="BF"/>
          <w:left w:val="single" w:sz="4" w:space="0" w:color="1B5772" w:themeColor="accent3" w:themeShade="BF"/>
          <w:bottom w:val="single" w:sz="4" w:space="0" w:color="1B5772" w:themeColor="accent3" w:themeShade="BF"/>
          <w:right w:val="single" w:sz="4" w:space="0" w:color="1B5772" w:themeColor="accent3" w:themeShade="BF"/>
          <w:insideH w:val="single" w:sz="4" w:space="0" w:color="1B5772" w:themeColor="accent3" w:themeShade="BF"/>
          <w:insideV w:val="single" w:sz="4" w:space="0" w:color="1B5772" w:themeColor="accent3" w:themeShade="BF"/>
        </w:tcBorders>
        <w:shd w:val="clear" w:color="auto" w:fill="472978" w:themeFill="accent1"/>
      </w:tcPr>
    </w:tblStylePr>
  </w:style>
  <w:style w:type="paragraph" w:customStyle="1" w:styleId="TableHeaderFinancials">
    <w:name w:val="Table Header — Financials"/>
    <w:basedOn w:val="TableHeaderStandard"/>
    <w:qFormat/>
    <w:rsid w:val="00183AC7"/>
    <w:pPr>
      <w:spacing w:before="20" w:after="20" w:line="240" w:lineRule="auto"/>
    </w:pPr>
    <w:rPr>
      <w:sz w:val="16"/>
      <w:szCs w:val="16"/>
    </w:rPr>
  </w:style>
  <w:style w:type="paragraph" w:customStyle="1" w:styleId="TableBodyFinancials">
    <w:name w:val="Table Body — Financials"/>
    <w:basedOn w:val="Normal"/>
    <w:qFormat/>
    <w:rsid w:val="00183AC7"/>
    <w:pPr>
      <w:spacing w:after="40" w:line="240" w:lineRule="auto"/>
    </w:pPr>
  </w:style>
  <w:style w:type="paragraph" w:customStyle="1" w:styleId="TableBodyCopy">
    <w:name w:val="Table Body Copy"/>
    <w:basedOn w:val="Normal"/>
    <w:qFormat/>
    <w:rsid w:val="00183AC7"/>
    <w:pPr>
      <w:spacing w:after="40" w:line="240" w:lineRule="auto"/>
    </w:pPr>
    <w:rPr>
      <w:sz w:val="19"/>
    </w:rPr>
  </w:style>
  <w:style w:type="paragraph" w:customStyle="1" w:styleId="FootnoteList">
    <w:name w:val="Footnote List"/>
    <w:basedOn w:val="ListParagraph"/>
    <w:qFormat/>
    <w:rsid w:val="00183AC7"/>
    <w:pPr>
      <w:numPr>
        <w:numId w:val="10"/>
      </w:numPr>
      <w:spacing w:after="40"/>
    </w:pPr>
    <w:rPr>
      <w:szCs w:val="16"/>
    </w:rPr>
  </w:style>
  <w:style w:type="numbering" w:customStyle="1" w:styleId="CurrentList5">
    <w:name w:val="Current List5"/>
    <w:uiPriority w:val="99"/>
    <w:rsid w:val="00183AC7"/>
    <w:pPr>
      <w:numPr>
        <w:numId w:val="8"/>
      </w:numPr>
    </w:pPr>
  </w:style>
  <w:style w:type="numbering" w:customStyle="1" w:styleId="CurrentList6">
    <w:name w:val="Current List6"/>
    <w:uiPriority w:val="99"/>
    <w:rsid w:val="00183AC7"/>
    <w:pPr>
      <w:numPr>
        <w:numId w:val="9"/>
      </w:numPr>
    </w:pPr>
  </w:style>
  <w:style w:type="numbering" w:customStyle="1" w:styleId="CurrentList10">
    <w:name w:val="Current List10"/>
    <w:uiPriority w:val="99"/>
    <w:rsid w:val="00183AC7"/>
    <w:pPr>
      <w:numPr>
        <w:numId w:val="14"/>
      </w:numPr>
    </w:pPr>
  </w:style>
  <w:style w:type="character" w:styleId="CommentReference">
    <w:name w:val="annotation reference"/>
    <w:basedOn w:val="DefaultParagraphFont"/>
    <w:semiHidden/>
    <w:unhideWhenUsed/>
    <w:rsid w:val="00183AC7"/>
    <w:rPr>
      <w:rFonts w:ascii="Open Sans" w:hAnsi="Open Sans"/>
      <w:b w:val="0"/>
      <w:i w:val="0"/>
      <w:sz w:val="16"/>
      <w:szCs w:val="16"/>
    </w:rPr>
  </w:style>
  <w:style w:type="character" w:customStyle="1" w:styleId="ListParagraphChar">
    <w:name w:val="List Paragraph Char"/>
    <w:basedOn w:val="DefaultParagraphFont"/>
    <w:link w:val="ListParagraph"/>
    <w:uiPriority w:val="34"/>
    <w:rsid w:val="00183AC7"/>
    <w:rPr>
      <w:rFonts w:eastAsiaTheme="minorHAnsi" w:cs="Times New Roman (Body CS)"/>
    </w:rPr>
  </w:style>
  <w:style w:type="character" w:customStyle="1" w:styleId="Heading7Char">
    <w:name w:val="Heading 7 Char"/>
    <w:basedOn w:val="DefaultParagraphFont"/>
    <w:link w:val="Heading7"/>
    <w:uiPriority w:val="9"/>
    <w:semiHidden/>
    <w:rsid w:val="00183AC7"/>
    <w:rPr>
      <w:rFonts w:asciiTheme="majorHAnsi" w:eastAsiaTheme="majorEastAsia" w:hAnsiTheme="majorHAnsi" w:cstheme="majorBidi"/>
      <w:i/>
      <w:iCs/>
      <w:color w:val="23143B" w:themeColor="accent1" w:themeShade="7F"/>
      <w:szCs w:val="22"/>
    </w:rPr>
  </w:style>
  <w:style w:type="character" w:customStyle="1" w:styleId="Heading8Char">
    <w:name w:val="Heading 8 Char"/>
    <w:basedOn w:val="DefaultParagraphFont"/>
    <w:link w:val="Heading8"/>
    <w:uiPriority w:val="9"/>
    <w:semiHidden/>
    <w:rsid w:val="00183AC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3AC7"/>
    <w:rPr>
      <w:rFonts w:asciiTheme="majorHAnsi" w:eastAsiaTheme="majorEastAsia" w:hAnsiTheme="majorHAnsi" w:cstheme="majorBidi"/>
      <w:i/>
      <w:iCs/>
      <w:color w:val="272727" w:themeColor="text1" w:themeTint="D8"/>
      <w:sz w:val="21"/>
      <w:szCs w:val="21"/>
    </w:rPr>
  </w:style>
  <w:style w:type="numbering" w:customStyle="1" w:styleId="CurrentList11">
    <w:name w:val="Current List11"/>
    <w:uiPriority w:val="99"/>
    <w:rsid w:val="00183AC7"/>
    <w:pPr>
      <w:numPr>
        <w:numId w:val="15"/>
      </w:numPr>
    </w:pPr>
  </w:style>
  <w:style w:type="paragraph" w:customStyle="1" w:styleId="FooterWhite">
    <w:name w:val="Footer White"/>
    <w:basedOn w:val="Footer"/>
    <w:qFormat/>
    <w:rsid w:val="00183AC7"/>
    <w:rPr>
      <w:color w:val="FFFFFF" w:themeColor="background1"/>
    </w:rPr>
  </w:style>
  <w:style w:type="character" w:styleId="UnresolvedMention">
    <w:name w:val="Unresolved Mention"/>
    <w:basedOn w:val="DefaultParagraphFont"/>
    <w:uiPriority w:val="99"/>
    <w:unhideWhenUsed/>
    <w:rsid w:val="00183AC7"/>
    <w:rPr>
      <w:rFonts w:ascii="Open Sans" w:hAnsi="Open Sans"/>
      <w:b w:val="0"/>
      <w:i w:val="0"/>
      <w:color w:val="605E5C"/>
      <w:shd w:val="clear" w:color="auto" w:fill="E1DFDD"/>
    </w:rPr>
  </w:style>
  <w:style w:type="paragraph" w:styleId="NormalWeb">
    <w:name w:val="Normal (Web)"/>
    <w:basedOn w:val="Normal"/>
    <w:uiPriority w:val="99"/>
    <w:semiHidden/>
    <w:unhideWhenUsed/>
    <w:rsid w:val="00183AC7"/>
    <w:pPr>
      <w:spacing w:before="100" w:beforeAutospacing="1" w:after="100" w:afterAutospacing="1" w:line="240" w:lineRule="auto"/>
    </w:pPr>
    <w:rPr>
      <w:rFonts w:ascii="Times New Roman" w:hAnsi="Times New Roman"/>
      <w:sz w:val="24"/>
      <w:lang w:eastAsia="en-AU"/>
    </w:rPr>
  </w:style>
  <w:style w:type="paragraph" w:styleId="FootnoteText">
    <w:name w:val="footnote text"/>
    <w:basedOn w:val="Normal"/>
    <w:link w:val="FootnoteTextChar"/>
    <w:rsid w:val="00183AC7"/>
    <w:pPr>
      <w:keepNext/>
      <w:tabs>
        <w:tab w:val="left" w:pos="284"/>
      </w:tabs>
      <w:spacing w:after="80" w:line="240" w:lineRule="auto"/>
      <w:ind w:left="284" w:hanging="284"/>
    </w:pPr>
    <w:rPr>
      <w:sz w:val="16"/>
      <w:szCs w:val="18"/>
      <w:lang w:val="en-US" w:eastAsia="en-AU"/>
    </w:rPr>
  </w:style>
  <w:style w:type="character" w:customStyle="1" w:styleId="FootnoteTextChar">
    <w:name w:val="Footnote Text Char"/>
    <w:basedOn w:val="DefaultParagraphFont"/>
    <w:link w:val="FootnoteText"/>
    <w:rsid w:val="00183AC7"/>
    <w:rPr>
      <w:rFonts w:eastAsiaTheme="minorHAnsi"/>
      <w:sz w:val="16"/>
      <w:szCs w:val="18"/>
      <w:lang w:val="en-US" w:eastAsia="en-AU"/>
    </w:rPr>
  </w:style>
  <w:style w:type="paragraph" w:styleId="CommentText">
    <w:name w:val="annotation text"/>
    <w:basedOn w:val="Normal"/>
    <w:link w:val="CommentTextChar"/>
    <w:uiPriority w:val="99"/>
    <w:unhideWhenUsed/>
    <w:rsid w:val="00183AC7"/>
    <w:pPr>
      <w:spacing w:line="240" w:lineRule="auto"/>
    </w:pPr>
  </w:style>
  <w:style w:type="character" w:customStyle="1" w:styleId="CommentTextChar">
    <w:name w:val="Comment Text Char"/>
    <w:basedOn w:val="DefaultParagraphFont"/>
    <w:link w:val="CommentText"/>
    <w:uiPriority w:val="99"/>
    <w:rsid w:val="00183AC7"/>
    <w:rPr>
      <w:rFonts w:eastAsiaTheme="minorHAnsi"/>
    </w:rPr>
  </w:style>
  <w:style w:type="paragraph" w:styleId="CommentSubject">
    <w:name w:val="annotation subject"/>
    <w:basedOn w:val="CommentText"/>
    <w:next w:val="CommentText"/>
    <w:link w:val="CommentSubjectChar"/>
    <w:uiPriority w:val="99"/>
    <w:semiHidden/>
    <w:unhideWhenUsed/>
    <w:rsid w:val="00183AC7"/>
    <w:rPr>
      <w:b/>
      <w:bCs/>
    </w:rPr>
  </w:style>
  <w:style w:type="character" w:customStyle="1" w:styleId="CommentSubjectChar">
    <w:name w:val="Comment Subject Char"/>
    <w:basedOn w:val="CommentTextChar"/>
    <w:link w:val="CommentSubject"/>
    <w:uiPriority w:val="99"/>
    <w:semiHidden/>
    <w:rsid w:val="00183AC7"/>
    <w:rPr>
      <w:rFonts w:eastAsiaTheme="minorHAnsi"/>
      <w:b/>
      <w:bCs/>
    </w:rPr>
  </w:style>
  <w:style w:type="paragraph" w:styleId="Revision">
    <w:name w:val="Revision"/>
    <w:hidden/>
    <w:uiPriority w:val="99"/>
    <w:semiHidden/>
    <w:rsid w:val="00183AC7"/>
    <w:rPr>
      <w:rFonts w:eastAsiaTheme="minorHAnsi"/>
      <w:sz w:val="22"/>
      <w:szCs w:val="22"/>
    </w:rPr>
  </w:style>
  <w:style w:type="numbering" w:customStyle="1" w:styleId="CurrentList7">
    <w:name w:val="Current List7"/>
    <w:uiPriority w:val="99"/>
    <w:rsid w:val="00183AC7"/>
    <w:pPr>
      <w:numPr>
        <w:numId w:val="11"/>
      </w:numPr>
    </w:pPr>
  </w:style>
  <w:style w:type="numbering" w:customStyle="1" w:styleId="CurrentList8">
    <w:name w:val="Current List8"/>
    <w:uiPriority w:val="99"/>
    <w:rsid w:val="00183AC7"/>
    <w:pPr>
      <w:numPr>
        <w:numId w:val="12"/>
      </w:numPr>
    </w:pPr>
  </w:style>
  <w:style w:type="numbering" w:customStyle="1" w:styleId="CurrentList9">
    <w:name w:val="Current List9"/>
    <w:uiPriority w:val="99"/>
    <w:rsid w:val="00183AC7"/>
    <w:pPr>
      <w:numPr>
        <w:numId w:val="13"/>
      </w:numPr>
    </w:pPr>
  </w:style>
  <w:style w:type="character" w:styleId="FootnoteReference">
    <w:name w:val="footnote reference"/>
    <w:basedOn w:val="DefaultParagraphFont"/>
    <w:rsid w:val="00183AC7"/>
    <w:rPr>
      <w:rFonts w:ascii="Arial Nova" w:hAnsi="Arial Nova"/>
      <w:sz w:val="16"/>
      <w:szCs w:val="20"/>
      <w:vertAlign w:val="superscript"/>
    </w:rPr>
  </w:style>
  <w:style w:type="paragraph" w:customStyle="1" w:styleId="TableColumnHeadingCentred">
    <w:name w:val="Table Column Heading Centred"/>
    <w:basedOn w:val="Normal"/>
    <w:rsid w:val="00183AC7"/>
    <w:pPr>
      <w:spacing w:before="20" w:after="20" w:line="240" w:lineRule="auto"/>
      <w:jc w:val="center"/>
    </w:pPr>
    <w:rPr>
      <w:b/>
      <w:color w:val="FFFFFF" w:themeColor="background1"/>
      <w:sz w:val="18"/>
      <w:lang w:eastAsia="en-AU"/>
    </w:rPr>
  </w:style>
  <w:style w:type="paragraph" w:customStyle="1" w:styleId="TableTextRight">
    <w:name w:val="Table Text Right"/>
    <w:basedOn w:val="Normal"/>
    <w:rsid w:val="00183AC7"/>
    <w:pPr>
      <w:spacing w:before="20" w:after="20" w:line="240" w:lineRule="auto"/>
      <w:jc w:val="right"/>
    </w:pPr>
    <w:rPr>
      <w:sz w:val="16"/>
      <w:lang w:eastAsia="en-AU"/>
    </w:rPr>
  </w:style>
  <w:style w:type="paragraph" w:customStyle="1" w:styleId="ChartMainHeading">
    <w:name w:val="Chart Main Heading"/>
    <w:basedOn w:val="Normal"/>
    <w:next w:val="Normal"/>
    <w:link w:val="ChartMainHeadingChar"/>
    <w:qFormat/>
    <w:rsid w:val="00183AC7"/>
    <w:pPr>
      <w:keepNext/>
      <w:spacing w:before="240" w:after="0" w:line="240" w:lineRule="auto"/>
    </w:pPr>
    <w:rPr>
      <w:b/>
      <w:color w:val="472978" w:themeColor="accent1"/>
      <w:lang w:eastAsia="en-AU"/>
    </w:rPr>
  </w:style>
  <w:style w:type="character" w:customStyle="1" w:styleId="ChartMainHeadingChar">
    <w:name w:val="Chart Main Heading Char"/>
    <w:link w:val="ChartMainHeading"/>
    <w:locked/>
    <w:rsid w:val="00183AC7"/>
    <w:rPr>
      <w:rFonts w:eastAsiaTheme="minorHAnsi"/>
      <w:b/>
      <w:color w:val="472978" w:themeColor="accent1"/>
      <w:lang w:eastAsia="en-AU"/>
    </w:rPr>
  </w:style>
  <w:style w:type="table" w:styleId="PlainTable2">
    <w:name w:val="Plain Table 2"/>
    <w:basedOn w:val="TableNormal"/>
    <w:uiPriority w:val="42"/>
    <w:rsid w:val="00183AC7"/>
    <w:rPr>
      <w:rFonts w:eastAsia="Times New Roman" w:cs="Times New Roman"/>
      <w:sz w:val="16"/>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Left">
    <w:name w:val="Table Text Left"/>
    <w:basedOn w:val="Normal"/>
    <w:link w:val="TableTextLeftChar"/>
    <w:rsid w:val="00183AC7"/>
    <w:pPr>
      <w:spacing w:before="20" w:after="20" w:line="240" w:lineRule="auto"/>
    </w:pPr>
    <w:rPr>
      <w:sz w:val="16"/>
      <w:lang w:eastAsia="en-AU"/>
    </w:rPr>
  </w:style>
  <w:style w:type="character" w:customStyle="1" w:styleId="TableTextLeftChar">
    <w:name w:val="Table Text Left Char"/>
    <w:link w:val="TableTextLeft"/>
    <w:rsid w:val="00183AC7"/>
    <w:rPr>
      <w:rFonts w:eastAsiaTheme="minorHAnsi"/>
      <w:sz w:val="16"/>
      <w:lang w:eastAsia="en-AU"/>
    </w:rPr>
  </w:style>
  <w:style w:type="paragraph" w:customStyle="1" w:styleId="Bullet">
    <w:name w:val="Bullet"/>
    <w:basedOn w:val="Normal"/>
    <w:link w:val="BulletChar"/>
    <w:qFormat/>
    <w:rsid w:val="00183AC7"/>
    <w:pPr>
      <w:numPr>
        <w:numId w:val="16"/>
      </w:numPr>
      <w:ind w:left="312" w:hanging="312"/>
    </w:pPr>
    <w:rPr>
      <w:rFonts w:cs="Times New Roman (Body CS)"/>
      <w:bCs/>
      <w:iCs/>
    </w:rPr>
  </w:style>
  <w:style w:type="character" w:customStyle="1" w:styleId="BulletChar">
    <w:name w:val="Bullet Char"/>
    <w:basedOn w:val="ListParagraphChar"/>
    <w:link w:val="Bullet"/>
    <w:rsid w:val="00183AC7"/>
    <w:rPr>
      <w:rFonts w:eastAsiaTheme="minorHAnsi" w:cs="Times New Roman (Body CS)"/>
      <w:bCs/>
      <w:iCs/>
    </w:rPr>
  </w:style>
  <w:style w:type="paragraph" w:customStyle="1" w:styleId="BulletLevel2">
    <w:name w:val="Bullet Level 2"/>
    <w:basedOn w:val="Normal"/>
    <w:link w:val="BulletLevel2Char"/>
    <w:rsid w:val="00183AC7"/>
    <w:pPr>
      <w:numPr>
        <w:ilvl w:val="1"/>
        <w:numId w:val="16"/>
      </w:numPr>
      <w:spacing w:line="240" w:lineRule="auto"/>
      <w:ind w:left="828" w:hanging="357"/>
    </w:pPr>
    <w:rPr>
      <w:rFonts w:cs="Times New Roman (Body CS)"/>
      <w:bCs/>
      <w:iCs/>
    </w:rPr>
  </w:style>
  <w:style w:type="character" w:customStyle="1" w:styleId="BulletLevel2Char">
    <w:name w:val="Bullet Level 2 Char"/>
    <w:basedOn w:val="ListParagraphChar"/>
    <w:link w:val="BulletLevel2"/>
    <w:rsid w:val="00183AC7"/>
    <w:rPr>
      <w:rFonts w:eastAsiaTheme="minorHAnsi" w:cs="Times New Roman (Body CS)"/>
      <w:bCs/>
      <w:iCs/>
    </w:rPr>
  </w:style>
  <w:style w:type="paragraph" w:customStyle="1" w:styleId="DoubleDot">
    <w:name w:val="Double Dot"/>
    <w:basedOn w:val="Normal"/>
    <w:link w:val="DoubleDotChar"/>
    <w:rsid w:val="00183AC7"/>
    <w:pPr>
      <w:numPr>
        <w:ilvl w:val="2"/>
        <w:numId w:val="16"/>
      </w:numPr>
    </w:pPr>
    <w:rPr>
      <w:rFonts w:cs="Times New Roman (Body CS)"/>
      <w:b/>
      <w:bCs/>
      <w:i/>
      <w:iCs/>
    </w:rPr>
  </w:style>
  <w:style w:type="character" w:customStyle="1" w:styleId="DoubleDotChar">
    <w:name w:val="Double Dot Char"/>
    <w:basedOn w:val="ListParagraphChar"/>
    <w:link w:val="DoubleDot"/>
    <w:rsid w:val="00183AC7"/>
    <w:rPr>
      <w:rFonts w:eastAsiaTheme="minorHAnsi" w:cs="Times New Roman (Body CS)"/>
      <w:b/>
      <w:bCs/>
      <w:i/>
      <w:iCs/>
    </w:rPr>
  </w:style>
  <w:style w:type="paragraph" w:customStyle="1" w:styleId="TableColumnHeadingLeft">
    <w:name w:val="Table Column Heading Left"/>
    <w:basedOn w:val="Normal"/>
    <w:rsid w:val="00183AC7"/>
    <w:pPr>
      <w:spacing w:before="20" w:after="20" w:line="240" w:lineRule="auto"/>
    </w:pPr>
    <w:rPr>
      <w:b/>
      <w:color w:val="FFFFFF" w:themeColor="background1"/>
      <w:sz w:val="18"/>
      <w:lang w:eastAsia="en-AU"/>
    </w:rPr>
  </w:style>
  <w:style w:type="paragraph" w:customStyle="1" w:styleId="ChartandTableFootnoteAlpha">
    <w:name w:val="Chart and Table Footnote Alpha"/>
    <w:link w:val="ChartandTableFootnoteAlphaChar"/>
    <w:rsid w:val="00183AC7"/>
    <w:pPr>
      <w:tabs>
        <w:tab w:val="num" w:pos="283"/>
      </w:tabs>
      <w:ind w:left="283" w:hanging="283"/>
      <w:jc w:val="both"/>
    </w:pPr>
    <w:rPr>
      <w:rFonts w:eastAsia="Times New Roman" w:cs="Times New Roman"/>
      <w:color w:val="000000"/>
      <w:sz w:val="16"/>
      <w:szCs w:val="16"/>
      <w:lang w:eastAsia="en-AU"/>
    </w:rPr>
  </w:style>
  <w:style w:type="character" w:customStyle="1" w:styleId="ChartandTableFootnoteAlphaChar">
    <w:name w:val="Chart and Table Footnote Alpha Char"/>
    <w:link w:val="ChartandTableFootnoteAlpha"/>
    <w:rsid w:val="00183AC7"/>
    <w:rPr>
      <w:rFonts w:eastAsia="Times New Roman" w:cs="Times New Roman"/>
      <w:color w:val="000000"/>
      <w:sz w:val="16"/>
      <w:szCs w:val="16"/>
      <w:lang w:eastAsia="en-AU"/>
    </w:rPr>
  </w:style>
  <w:style w:type="paragraph" w:customStyle="1" w:styleId="TableMainHeading">
    <w:name w:val="Table Main Heading"/>
    <w:basedOn w:val="Normal"/>
    <w:next w:val="Normal"/>
    <w:qFormat/>
    <w:rsid w:val="00183AC7"/>
    <w:pPr>
      <w:keepNext/>
      <w:spacing w:before="120" w:line="240" w:lineRule="auto"/>
    </w:pPr>
    <w:rPr>
      <w:b/>
      <w:lang w:eastAsia="en-AU"/>
    </w:rPr>
  </w:style>
  <w:style w:type="paragraph" w:customStyle="1" w:styleId="TableColumnHeadingRight">
    <w:name w:val="Table Column Heading Right"/>
    <w:basedOn w:val="Normal"/>
    <w:rsid w:val="00183AC7"/>
    <w:pPr>
      <w:spacing w:before="20" w:after="20" w:line="240" w:lineRule="auto"/>
      <w:jc w:val="right"/>
    </w:pPr>
    <w:rPr>
      <w:b/>
      <w:color w:val="FFFFFF" w:themeColor="background1"/>
      <w:sz w:val="18"/>
      <w:lang w:eastAsia="en-AU"/>
    </w:rPr>
  </w:style>
  <w:style w:type="paragraph" w:customStyle="1" w:styleId="ChartorTableNote">
    <w:name w:val="Chart or Table Note"/>
    <w:next w:val="Normal"/>
    <w:link w:val="ChartorTableNoteChar"/>
    <w:rsid w:val="00183AC7"/>
    <w:pPr>
      <w:spacing w:before="60" w:after="60"/>
      <w:ind w:left="284" w:hanging="284"/>
    </w:pPr>
    <w:rPr>
      <w:rFonts w:eastAsia="Times New Roman" w:cs="Times New Roman"/>
      <w:color w:val="000000"/>
      <w:spacing w:val="-2"/>
      <w:sz w:val="16"/>
      <w:lang w:eastAsia="en-AU"/>
    </w:rPr>
  </w:style>
  <w:style w:type="character" w:customStyle="1" w:styleId="ChartorTableNoteChar">
    <w:name w:val="Chart or Table Note Char"/>
    <w:link w:val="ChartorTableNote"/>
    <w:locked/>
    <w:rsid w:val="00183AC7"/>
    <w:rPr>
      <w:rFonts w:eastAsia="Times New Roman" w:cs="Times New Roman"/>
      <w:color w:val="000000"/>
      <w:spacing w:val="-2"/>
      <w:sz w:val="16"/>
      <w:lang w:eastAsia="en-AU"/>
    </w:rPr>
  </w:style>
  <w:style w:type="paragraph" w:customStyle="1" w:styleId="TableSecondHeading">
    <w:name w:val="Table Second Heading"/>
    <w:basedOn w:val="Normal"/>
    <w:next w:val="Normal"/>
    <w:rsid w:val="00183AC7"/>
    <w:pPr>
      <w:keepNext/>
      <w:spacing w:after="20" w:line="240" w:lineRule="auto"/>
    </w:pPr>
    <w:rPr>
      <w:color w:val="472978" w:themeColor="accent1"/>
      <w:lang w:eastAsia="en-AU"/>
    </w:rPr>
  </w:style>
  <w:style w:type="paragraph" w:customStyle="1" w:styleId="TableTextCentered">
    <w:name w:val="Table Text Centered"/>
    <w:basedOn w:val="Normal"/>
    <w:rsid w:val="00183AC7"/>
    <w:pPr>
      <w:spacing w:before="20" w:after="20" w:line="240" w:lineRule="auto"/>
      <w:jc w:val="center"/>
    </w:pPr>
    <w:rPr>
      <w:sz w:val="16"/>
      <w:lang w:eastAsia="en-AU"/>
    </w:rPr>
  </w:style>
  <w:style w:type="character" w:customStyle="1" w:styleId="Italics">
    <w:name w:val="Italics"/>
    <w:rsid w:val="00183AC7"/>
    <w:rPr>
      <w:i/>
    </w:rPr>
  </w:style>
  <w:style w:type="paragraph" w:customStyle="1" w:styleId="Note">
    <w:name w:val="Note"/>
    <w:basedOn w:val="Normal"/>
    <w:next w:val="Normal"/>
    <w:link w:val="NoteChar"/>
    <w:rsid w:val="00183AC7"/>
    <w:pPr>
      <w:keepNext/>
      <w:tabs>
        <w:tab w:val="left" w:pos="284"/>
      </w:tabs>
      <w:spacing w:after="0" w:line="240" w:lineRule="auto"/>
      <w:ind w:left="284" w:hanging="284"/>
    </w:pPr>
    <w:rPr>
      <w:szCs w:val="18"/>
      <w:lang w:val="en-US" w:eastAsia="en-AU"/>
    </w:rPr>
  </w:style>
  <w:style w:type="character" w:customStyle="1" w:styleId="NoteChar">
    <w:name w:val="Note Char"/>
    <w:link w:val="Note"/>
    <w:rsid w:val="00183AC7"/>
    <w:rPr>
      <w:rFonts w:eastAsiaTheme="minorHAnsi"/>
      <w:szCs w:val="18"/>
      <w:lang w:val="en-US" w:eastAsia="en-AU"/>
    </w:rPr>
  </w:style>
  <w:style w:type="paragraph" w:customStyle="1" w:styleId="BoxText">
    <w:name w:val="Box Text"/>
    <w:basedOn w:val="Normal"/>
    <w:link w:val="BoxTextChar"/>
    <w:rsid w:val="00183AC7"/>
    <w:rPr>
      <w:rFonts w:cstheme="minorBidi"/>
      <w:sz w:val="18"/>
      <w:szCs w:val="22"/>
    </w:rPr>
  </w:style>
  <w:style w:type="character" w:customStyle="1" w:styleId="BoxTextChar">
    <w:name w:val="Box Text Char"/>
    <w:link w:val="BoxText"/>
    <w:rsid w:val="00183AC7"/>
    <w:rPr>
      <w:rFonts w:eastAsiaTheme="minorHAnsi" w:cstheme="minorBidi"/>
      <w:sz w:val="18"/>
      <w:szCs w:val="22"/>
    </w:rPr>
  </w:style>
  <w:style w:type="paragraph" w:styleId="NoSpacing">
    <w:name w:val="No Spacing"/>
    <w:uiPriority w:val="1"/>
    <w:qFormat/>
    <w:rsid w:val="00183AC7"/>
    <w:pPr>
      <w:jc w:val="both"/>
    </w:pPr>
    <w:rPr>
      <w:rFonts w:eastAsia="Times New Roman" w:cs="Times New Roman"/>
      <w:color w:val="000000"/>
      <w:sz w:val="16"/>
      <w:szCs w:val="18"/>
      <w:lang w:eastAsia="en-AU"/>
    </w:rPr>
  </w:style>
  <w:style w:type="paragraph" w:customStyle="1" w:styleId="ListParagraphTablesStandard">
    <w:name w:val="List Paragraph — Tables Standard"/>
    <w:basedOn w:val="ListParagraph"/>
    <w:semiHidden/>
    <w:qFormat/>
    <w:rsid w:val="00183AC7"/>
    <w:rPr>
      <w:sz w:val="19"/>
      <w:szCs w:val="19"/>
    </w:rPr>
  </w:style>
  <w:style w:type="paragraph" w:customStyle="1" w:styleId="ListParagraphTablesFinancials">
    <w:name w:val="List Paragraph — Tables Financials"/>
    <w:basedOn w:val="ListParagraphTablesStandard"/>
    <w:semiHidden/>
    <w:qFormat/>
    <w:rsid w:val="00183AC7"/>
    <w:rPr>
      <w:sz w:val="16"/>
      <w:szCs w:val="16"/>
    </w:rPr>
  </w:style>
  <w:style w:type="paragraph" w:styleId="IntenseQuote">
    <w:name w:val="Intense Quote"/>
    <w:basedOn w:val="Normal"/>
    <w:next w:val="Normal"/>
    <w:link w:val="IntenseQuoteChar"/>
    <w:uiPriority w:val="30"/>
    <w:semiHidden/>
    <w:qFormat/>
    <w:rsid w:val="00183AC7"/>
    <w:pPr>
      <w:pBdr>
        <w:top w:val="single" w:sz="4" w:space="10" w:color="472978" w:themeColor="accent1"/>
        <w:bottom w:val="single" w:sz="4" w:space="10" w:color="472978" w:themeColor="accent1"/>
      </w:pBdr>
      <w:spacing w:before="360" w:after="360"/>
      <w:ind w:left="864" w:right="864"/>
      <w:jc w:val="center"/>
    </w:pPr>
    <w:rPr>
      <w:i/>
      <w:iCs/>
      <w:color w:val="472978" w:themeColor="accent1"/>
    </w:rPr>
  </w:style>
  <w:style w:type="character" w:customStyle="1" w:styleId="IntenseQuoteChar">
    <w:name w:val="Intense Quote Char"/>
    <w:basedOn w:val="DefaultParagraphFont"/>
    <w:link w:val="IntenseQuote"/>
    <w:uiPriority w:val="30"/>
    <w:semiHidden/>
    <w:rsid w:val="00183AC7"/>
    <w:rPr>
      <w:rFonts w:eastAsiaTheme="minorHAnsi"/>
      <w:i/>
      <w:iCs/>
      <w:color w:val="472978" w:themeColor="accent1"/>
    </w:rPr>
  </w:style>
  <w:style w:type="paragraph" w:customStyle="1" w:styleId="ChartGraphic">
    <w:name w:val="Chart Graphic"/>
    <w:basedOn w:val="Normal"/>
    <w:rsid w:val="00183AC7"/>
    <w:pPr>
      <w:spacing w:after="0" w:line="240" w:lineRule="auto"/>
      <w:jc w:val="center"/>
    </w:pPr>
    <w:rPr>
      <w:lang w:eastAsia="en-AU"/>
    </w:rPr>
  </w:style>
  <w:style w:type="character" w:customStyle="1" w:styleId="TableGraphicChar">
    <w:name w:val="Table Graphic Char"/>
    <w:link w:val="TableGraphic"/>
    <w:locked/>
    <w:rsid w:val="00183AC7"/>
    <w:rPr>
      <w:rFonts w:cs="Open Sans Semibold"/>
      <w:color w:val="472978" w:themeColor="accent1"/>
      <w:sz w:val="24"/>
    </w:rPr>
  </w:style>
  <w:style w:type="paragraph" w:customStyle="1" w:styleId="TableGraphic">
    <w:name w:val="Table Graphic"/>
    <w:basedOn w:val="Normal"/>
    <w:next w:val="Normal"/>
    <w:link w:val="TableGraphicChar"/>
    <w:rsid w:val="00183AC7"/>
    <w:pPr>
      <w:spacing w:after="0" w:line="240" w:lineRule="auto"/>
      <w:ind w:right="-113"/>
    </w:pPr>
    <w:rPr>
      <w:rFonts w:eastAsiaTheme="minorEastAsia" w:cs="Open Sans Semibold"/>
      <w:color w:val="472978" w:themeColor="accent1"/>
      <w:sz w:val="24"/>
    </w:rPr>
  </w:style>
  <w:style w:type="character" w:styleId="SubtleEmphasis">
    <w:name w:val="Subtle Emphasis"/>
    <w:basedOn w:val="DefaultParagraphFont"/>
    <w:uiPriority w:val="19"/>
    <w:qFormat/>
    <w:rsid w:val="00183AC7"/>
    <w:rPr>
      <w:i/>
      <w:iCs/>
      <w:color w:val="404040" w:themeColor="text1" w:themeTint="BF"/>
    </w:rPr>
  </w:style>
  <w:style w:type="character" w:styleId="FollowedHyperlink">
    <w:name w:val="FollowedHyperlink"/>
    <w:basedOn w:val="DefaultParagraphFont"/>
    <w:uiPriority w:val="99"/>
    <w:semiHidden/>
    <w:unhideWhenUsed/>
    <w:rsid w:val="00183AC7"/>
    <w:rPr>
      <w:color w:val="472978" w:themeColor="followedHyperlink"/>
      <w:u w:val="single"/>
    </w:rPr>
  </w:style>
  <w:style w:type="character" w:styleId="Emphasis">
    <w:name w:val="Emphasis"/>
    <w:basedOn w:val="DefaultParagraphFont"/>
    <w:uiPriority w:val="20"/>
    <w:qFormat/>
    <w:rsid w:val="00183AC7"/>
    <w:rPr>
      <w:i/>
      <w:iCs/>
    </w:rPr>
  </w:style>
  <w:style w:type="character" w:styleId="IntenseEmphasis">
    <w:name w:val="Intense Emphasis"/>
    <w:basedOn w:val="DefaultParagraphFont"/>
    <w:uiPriority w:val="21"/>
    <w:semiHidden/>
    <w:qFormat/>
    <w:rsid w:val="00183AC7"/>
    <w:rPr>
      <w:i/>
      <w:iCs/>
      <w:color w:val="472978" w:themeColor="accent1"/>
    </w:rPr>
  </w:style>
  <w:style w:type="paragraph" w:styleId="TOCHeading">
    <w:name w:val="TOC Heading"/>
    <w:basedOn w:val="Heading1"/>
    <w:next w:val="Normal"/>
    <w:uiPriority w:val="39"/>
    <w:rsid w:val="00183AC7"/>
    <w:pPr>
      <w:tabs>
        <w:tab w:val="clear" w:pos="1814"/>
      </w:tabs>
      <w:spacing w:before="240" w:after="0" w:line="259" w:lineRule="auto"/>
      <w:outlineLvl w:val="9"/>
    </w:pPr>
    <w:rPr>
      <w:rFonts w:cstheme="majorBidi"/>
      <w:b w:val="0"/>
      <w:caps w:val="0"/>
      <w:color w:val="341E59" w:themeColor="accent1" w:themeShade="BF"/>
      <w:sz w:val="32"/>
      <w:lang w:val="en-US"/>
    </w:rPr>
  </w:style>
  <w:style w:type="paragraph" w:styleId="TOC4">
    <w:name w:val="toc 4"/>
    <w:basedOn w:val="Normal"/>
    <w:next w:val="Normal"/>
    <w:autoRedefine/>
    <w:uiPriority w:val="39"/>
    <w:rsid w:val="00183AC7"/>
    <w:pPr>
      <w:spacing w:after="100" w:line="259" w:lineRule="auto"/>
      <w:ind w:left="660"/>
    </w:pPr>
    <w:rPr>
      <w:rFonts w:asciiTheme="minorHAnsi" w:eastAsiaTheme="minorEastAsia" w:hAnsiTheme="minorHAnsi" w:cstheme="minorBidi"/>
      <w:szCs w:val="22"/>
      <w:lang w:eastAsia="en-AU"/>
    </w:rPr>
  </w:style>
  <w:style w:type="paragraph" w:styleId="TOC5">
    <w:name w:val="toc 5"/>
    <w:basedOn w:val="Normal"/>
    <w:next w:val="Normal"/>
    <w:autoRedefine/>
    <w:uiPriority w:val="39"/>
    <w:rsid w:val="00183AC7"/>
    <w:pPr>
      <w:spacing w:after="100" w:line="259" w:lineRule="auto"/>
      <w:ind w:left="880"/>
    </w:pPr>
    <w:rPr>
      <w:rFonts w:asciiTheme="minorHAnsi" w:eastAsiaTheme="minorEastAsia" w:hAnsiTheme="minorHAnsi" w:cstheme="minorBidi"/>
      <w:szCs w:val="22"/>
      <w:lang w:eastAsia="en-AU"/>
    </w:rPr>
  </w:style>
  <w:style w:type="paragraph" w:styleId="TOC6">
    <w:name w:val="toc 6"/>
    <w:basedOn w:val="Normal"/>
    <w:next w:val="Normal"/>
    <w:autoRedefine/>
    <w:uiPriority w:val="39"/>
    <w:rsid w:val="00183AC7"/>
    <w:pPr>
      <w:spacing w:after="100" w:line="259" w:lineRule="auto"/>
      <w:ind w:left="1100"/>
    </w:pPr>
    <w:rPr>
      <w:rFonts w:asciiTheme="minorHAnsi" w:eastAsiaTheme="minorEastAsia" w:hAnsiTheme="minorHAnsi" w:cstheme="minorBidi"/>
      <w:szCs w:val="22"/>
      <w:lang w:eastAsia="en-AU"/>
    </w:rPr>
  </w:style>
  <w:style w:type="paragraph" w:styleId="TOC7">
    <w:name w:val="toc 7"/>
    <w:basedOn w:val="Normal"/>
    <w:next w:val="Normal"/>
    <w:autoRedefine/>
    <w:uiPriority w:val="39"/>
    <w:rsid w:val="00183AC7"/>
    <w:pPr>
      <w:spacing w:after="100" w:line="259" w:lineRule="auto"/>
      <w:ind w:left="1320"/>
    </w:pPr>
    <w:rPr>
      <w:rFonts w:asciiTheme="minorHAnsi" w:eastAsiaTheme="minorEastAsia" w:hAnsiTheme="minorHAnsi" w:cstheme="minorBidi"/>
      <w:szCs w:val="22"/>
      <w:lang w:eastAsia="en-AU"/>
    </w:rPr>
  </w:style>
  <w:style w:type="paragraph" w:styleId="TOC8">
    <w:name w:val="toc 8"/>
    <w:basedOn w:val="Normal"/>
    <w:next w:val="Normal"/>
    <w:autoRedefine/>
    <w:uiPriority w:val="39"/>
    <w:rsid w:val="00183AC7"/>
    <w:pPr>
      <w:spacing w:after="100" w:line="259" w:lineRule="auto"/>
      <w:ind w:left="1540"/>
    </w:pPr>
    <w:rPr>
      <w:rFonts w:asciiTheme="minorHAnsi" w:eastAsiaTheme="minorEastAsia" w:hAnsiTheme="minorHAnsi" w:cstheme="minorBidi"/>
      <w:szCs w:val="22"/>
      <w:lang w:eastAsia="en-AU"/>
    </w:rPr>
  </w:style>
  <w:style w:type="paragraph" w:styleId="TOC9">
    <w:name w:val="toc 9"/>
    <w:basedOn w:val="Normal"/>
    <w:next w:val="Normal"/>
    <w:autoRedefine/>
    <w:uiPriority w:val="39"/>
    <w:rsid w:val="00183AC7"/>
    <w:pPr>
      <w:spacing w:after="100" w:line="259" w:lineRule="auto"/>
      <w:ind w:left="1760"/>
    </w:pPr>
    <w:rPr>
      <w:rFonts w:asciiTheme="minorHAnsi" w:eastAsiaTheme="minorEastAsia" w:hAnsiTheme="minorHAnsi" w:cstheme="minorBidi"/>
      <w:szCs w:val="22"/>
      <w:lang w:eastAsia="en-AU"/>
    </w:rPr>
  </w:style>
  <w:style w:type="character" w:styleId="Mention">
    <w:name w:val="Mention"/>
    <w:basedOn w:val="DefaultParagraphFont"/>
    <w:uiPriority w:val="99"/>
    <w:unhideWhenUsed/>
    <w:rsid w:val="00183AC7"/>
    <w:rPr>
      <w:color w:val="472978" w:themeColor="accent1"/>
      <w:shd w:val="clear" w:color="auto" w:fill="E1DFDD"/>
    </w:rPr>
  </w:style>
  <w:style w:type="paragraph" w:styleId="Index1">
    <w:name w:val="index 1"/>
    <w:basedOn w:val="Normal"/>
    <w:next w:val="Normal"/>
    <w:autoRedefine/>
    <w:uiPriority w:val="99"/>
    <w:semiHidden/>
    <w:rsid w:val="00183AC7"/>
    <w:pPr>
      <w:spacing w:after="0"/>
      <w:ind w:left="220" w:hanging="220"/>
    </w:pPr>
    <w:rPr>
      <w:rFonts w:cstheme="minorHAnsi"/>
      <w:sz w:val="18"/>
      <w:szCs w:val="18"/>
    </w:rPr>
  </w:style>
  <w:style w:type="paragraph" w:styleId="Index2">
    <w:name w:val="index 2"/>
    <w:basedOn w:val="Normal"/>
    <w:next w:val="Normal"/>
    <w:autoRedefine/>
    <w:uiPriority w:val="99"/>
    <w:semiHidden/>
    <w:rsid w:val="00183AC7"/>
    <w:pPr>
      <w:spacing w:after="0"/>
      <w:ind w:left="440" w:hanging="220"/>
    </w:pPr>
    <w:rPr>
      <w:rFonts w:asciiTheme="minorHAnsi" w:hAnsiTheme="minorHAnsi" w:cstheme="minorHAnsi"/>
      <w:sz w:val="18"/>
      <w:szCs w:val="18"/>
    </w:rPr>
  </w:style>
  <w:style w:type="paragraph" w:styleId="Index3">
    <w:name w:val="index 3"/>
    <w:basedOn w:val="Normal"/>
    <w:next w:val="Normal"/>
    <w:autoRedefine/>
    <w:uiPriority w:val="99"/>
    <w:semiHidden/>
    <w:rsid w:val="00183AC7"/>
    <w:pPr>
      <w:spacing w:after="0"/>
      <w:ind w:left="660" w:hanging="220"/>
    </w:pPr>
    <w:rPr>
      <w:rFonts w:asciiTheme="minorHAnsi" w:hAnsiTheme="minorHAnsi" w:cstheme="minorHAnsi"/>
      <w:sz w:val="18"/>
      <w:szCs w:val="18"/>
    </w:rPr>
  </w:style>
  <w:style w:type="paragraph" w:styleId="Index4">
    <w:name w:val="index 4"/>
    <w:basedOn w:val="Normal"/>
    <w:next w:val="Normal"/>
    <w:autoRedefine/>
    <w:uiPriority w:val="99"/>
    <w:semiHidden/>
    <w:rsid w:val="00183AC7"/>
    <w:pPr>
      <w:spacing w:after="0"/>
      <w:ind w:left="880" w:hanging="220"/>
    </w:pPr>
    <w:rPr>
      <w:rFonts w:asciiTheme="minorHAnsi" w:hAnsiTheme="minorHAnsi" w:cstheme="minorHAnsi"/>
      <w:sz w:val="18"/>
      <w:szCs w:val="18"/>
    </w:rPr>
  </w:style>
  <w:style w:type="paragraph" w:styleId="Index5">
    <w:name w:val="index 5"/>
    <w:basedOn w:val="Normal"/>
    <w:next w:val="Normal"/>
    <w:autoRedefine/>
    <w:uiPriority w:val="99"/>
    <w:semiHidden/>
    <w:rsid w:val="00183AC7"/>
    <w:pPr>
      <w:spacing w:after="0"/>
      <w:ind w:left="1100" w:hanging="220"/>
    </w:pPr>
    <w:rPr>
      <w:rFonts w:asciiTheme="minorHAnsi" w:hAnsiTheme="minorHAnsi" w:cstheme="minorHAnsi"/>
      <w:sz w:val="18"/>
      <w:szCs w:val="18"/>
    </w:rPr>
  </w:style>
  <w:style w:type="paragraph" w:styleId="Index6">
    <w:name w:val="index 6"/>
    <w:basedOn w:val="Normal"/>
    <w:next w:val="Normal"/>
    <w:autoRedefine/>
    <w:uiPriority w:val="99"/>
    <w:semiHidden/>
    <w:rsid w:val="00183AC7"/>
    <w:pPr>
      <w:spacing w:after="0"/>
      <w:ind w:left="1320" w:hanging="220"/>
    </w:pPr>
    <w:rPr>
      <w:rFonts w:asciiTheme="minorHAnsi" w:hAnsiTheme="minorHAnsi" w:cstheme="minorHAnsi"/>
      <w:sz w:val="18"/>
      <w:szCs w:val="18"/>
    </w:rPr>
  </w:style>
  <w:style w:type="paragraph" w:styleId="Index7">
    <w:name w:val="index 7"/>
    <w:basedOn w:val="Normal"/>
    <w:next w:val="Normal"/>
    <w:autoRedefine/>
    <w:uiPriority w:val="99"/>
    <w:semiHidden/>
    <w:rsid w:val="00183AC7"/>
    <w:pPr>
      <w:spacing w:after="0"/>
      <w:ind w:left="1540" w:hanging="220"/>
    </w:pPr>
    <w:rPr>
      <w:rFonts w:asciiTheme="minorHAnsi" w:hAnsiTheme="minorHAnsi" w:cstheme="minorHAnsi"/>
      <w:sz w:val="18"/>
      <w:szCs w:val="18"/>
    </w:rPr>
  </w:style>
  <w:style w:type="paragraph" w:styleId="Index8">
    <w:name w:val="index 8"/>
    <w:basedOn w:val="Normal"/>
    <w:next w:val="Normal"/>
    <w:autoRedefine/>
    <w:uiPriority w:val="99"/>
    <w:semiHidden/>
    <w:rsid w:val="00183AC7"/>
    <w:pPr>
      <w:spacing w:after="0"/>
      <w:ind w:left="1660" w:hanging="220"/>
    </w:pPr>
    <w:rPr>
      <w:rFonts w:asciiTheme="minorHAnsi" w:hAnsiTheme="minorHAnsi" w:cstheme="minorHAnsi"/>
      <w:sz w:val="18"/>
      <w:szCs w:val="18"/>
    </w:rPr>
  </w:style>
  <w:style w:type="paragraph" w:customStyle="1" w:styleId="BoxDash">
    <w:name w:val="Box Dash"/>
    <w:basedOn w:val="Normal"/>
    <w:rsid w:val="00183AC7"/>
    <w:pPr>
      <w:numPr>
        <w:ilvl w:val="1"/>
        <w:numId w:val="32"/>
      </w:numPr>
      <w:spacing w:line="240" w:lineRule="auto"/>
      <w:ind w:left="568"/>
    </w:pPr>
    <w:rPr>
      <w:rFonts w:eastAsia="Times New Roman" w:cs="Times New Roman"/>
      <w:color w:val="auto"/>
      <w:lang w:eastAsia="en-AU"/>
    </w:rPr>
  </w:style>
  <w:style w:type="paragraph" w:styleId="IndexHeading">
    <w:name w:val="index heading"/>
    <w:basedOn w:val="Normal"/>
    <w:next w:val="Index1"/>
    <w:uiPriority w:val="99"/>
    <w:semiHidden/>
    <w:rsid w:val="00183AC7"/>
    <w:pPr>
      <w:pBdr>
        <w:top w:val="single" w:sz="12" w:space="0" w:color="auto"/>
      </w:pBdr>
      <w:spacing w:before="360" w:after="240"/>
    </w:pPr>
    <w:rPr>
      <w:rFonts w:asciiTheme="minorHAnsi" w:hAnsiTheme="minorHAnsi" w:cstheme="minorHAnsi"/>
      <w:b/>
      <w:bCs/>
      <w:i/>
      <w:iCs/>
      <w:sz w:val="26"/>
      <w:szCs w:val="26"/>
    </w:rPr>
  </w:style>
  <w:style w:type="character" w:styleId="IntenseReference">
    <w:name w:val="Intense Reference"/>
    <w:basedOn w:val="DefaultParagraphFont"/>
    <w:uiPriority w:val="32"/>
    <w:semiHidden/>
    <w:qFormat/>
    <w:rsid w:val="00183AC7"/>
    <w:rPr>
      <w:b/>
      <w:bCs/>
      <w:smallCaps/>
      <w:color w:val="472978" w:themeColor="accent1"/>
      <w:spacing w:val="5"/>
    </w:rPr>
  </w:style>
  <w:style w:type="character" w:styleId="Strong">
    <w:name w:val="Strong"/>
    <w:basedOn w:val="DefaultParagraphFont"/>
    <w:uiPriority w:val="22"/>
    <w:qFormat/>
    <w:rsid w:val="00183AC7"/>
    <w:rPr>
      <w:b/>
      <w:bCs/>
    </w:rPr>
  </w:style>
  <w:style w:type="table" w:styleId="ListTable2">
    <w:name w:val="List Table 2"/>
    <w:basedOn w:val="TableNormal"/>
    <w:uiPriority w:val="47"/>
    <w:rsid w:val="00183AC7"/>
    <w:rPr>
      <w:rFonts w:eastAsiaTheme="minorHAns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n">
    <w:name w:val="Sin"/>
    <w:basedOn w:val="FootnoteList"/>
    <w:semiHidden/>
    <w:rsid w:val="00183AC7"/>
    <w:pPr>
      <w:keepLines/>
      <w:numPr>
        <w:numId w:val="0"/>
      </w:numPr>
      <w:ind w:left="284" w:hanging="284"/>
    </w:pPr>
  </w:style>
  <w:style w:type="paragraph" w:customStyle="1" w:styleId="ChartorTableNoteAlpha">
    <w:name w:val="Chart or Table Note Alpha"/>
    <w:basedOn w:val="ChartorTableNote"/>
    <w:qFormat/>
    <w:rsid w:val="001F10B3"/>
    <w:pPr>
      <w:numPr>
        <w:numId w:val="17"/>
      </w:numPr>
    </w:pPr>
  </w:style>
  <w:style w:type="paragraph" w:customStyle="1" w:styleId="Separator">
    <w:name w:val="Separator"/>
    <w:uiPriority w:val="99"/>
    <w:rsid w:val="00D672E5"/>
    <w:pPr>
      <w:widowControl w:val="0"/>
      <w:autoSpaceDE w:val="0"/>
      <w:autoSpaceDN w:val="0"/>
      <w:adjustRightInd w:val="0"/>
    </w:pPr>
    <w:rPr>
      <w:rFonts w:cs="Times New Roman"/>
      <w:b/>
      <w:bCs/>
      <w:sz w:val="16"/>
      <w:szCs w:val="16"/>
      <w:lang w:eastAsia="en-AU"/>
    </w:rPr>
  </w:style>
  <w:style w:type="paragraph" w:customStyle="1" w:styleId="Main">
    <w:name w:val="Main"/>
    <w:uiPriority w:val="99"/>
    <w:rsid w:val="00183AC7"/>
    <w:pPr>
      <w:widowControl w:val="0"/>
      <w:autoSpaceDE w:val="0"/>
      <w:autoSpaceDN w:val="0"/>
      <w:adjustRightInd w:val="0"/>
      <w:ind w:left="115" w:hanging="116"/>
    </w:pPr>
    <w:rPr>
      <w:rFonts w:cs="Times New Roman"/>
      <w:sz w:val="16"/>
      <w:lang w:eastAsia="en-AU"/>
    </w:rPr>
  </w:style>
  <w:style w:type="paragraph" w:customStyle="1" w:styleId="Sub1">
    <w:name w:val="Sub1"/>
    <w:uiPriority w:val="99"/>
    <w:semiHidden/>
    <w:rsid w:val="00183AC7"/>
    <w:pPr>
      <w:widowControl w:val="0"/>
      <w:autoSpaceDE w:val="0"/>
      <w:autoSpaceDN w:val="0"/>
      <w:adjustRightInd w:val="0"/>
      <w:ind w:left="345" w:hanging="116"/>
    </w:pPr>
    <w:rPr>
      <w:rFonts w:ascii="Times New Roman" w:hAnsi="Times New Roman" w:cs="Times New Roman"/>
      <w:sz w:val="16"/>
      <w:lang w:eastAsia="en-AU"/>
    </w:rPr>
  </w:style>
  <w:style w:type="paragraph" w:customStyle="1" w:styleId="Default">
    <w:name w:val="Default"/>
    <w:basedOn w:val="Normal"/>
    <w:unhideWhenUsed/>
    <w:rsid w:val="00183AC7"/>
    <w:pPr>
      <w:autoSpaceDE w:val="0"/>
      <w:autoSpaceDN w:val="0"/>
      <w:spacing w:after="0" w:line="240" w:lineRule="auto"/>
    </w:pPr>
    <w:rPr>
      <w:lang w:eastAsia="en-AU"/>
    </w:rPr>
  </w:style>
  <w:style w:type="paragraph" w:customStyle="1" w:styleId="BoxDoubleDot">
    <w:name w:val="Box Double Dot"/>
    <w:basedOn w:val="Normal"/>
    <w:rsid w:val="00183AC7"/>
    <w:pPr>
      <w:numPr>
        <w:ilvl w:val="2"/>
        <w:numId w:val="32"/>
      </w:numPr>
      <w:spacing w:line="240" w:lineRule="auto"/>
      <w:ind w:left="851" w:hanging="284"/>
    </w:pPr>
    <w:rPr>
      <w:rFonts w:ascii="Calibri" w:eastAsia="Times New Roman" w:hAnsi="Calibri" w:cs="Times New Roman"/>
      <w:color w:val="auto"/>
      <w:sz w:val="22"/>
      <w:lang w:eastAsia="en-AU"/>
    </w:rPr>
  </w:style>
  <w:style w:type="paragraph" w:customStyle="1" w:styleId="Heading1-alpha">
    <w:name w:val="Heading 1 - alpha"/>
    <w:basedOn w:val="Heading1"/>
    <w:rsid w:val="00592520"/>
    <w:pPr>
      <w:numPr>
        <w:numId w:val="18"/>
      </w:numPr>
      <w:spacing w:after="360" w:line="240" w:lineRule="auto"/>
      <w:ind w:left="720"/>
    </w:pPr>
  </w:style>
  <w:style w:type="paragraph" w:customStyle="1" w:styleId="Normal-numbered">
    <w:name w:val="Normal - numbered"/>
    <w:basedOn w:val="Bullet"/>
    <w:qFormat/>
    <w:rsid w:val="00183AC7"/>
    <w:pPr>
      <w:numPr>
        <w:numId w:val="47"/>
      </w:numPr>
      <w:ind w:left="284" w:hanging="284"/>
    </w:pPr>
  </w:style>
  <w:style w:type="paragraph" w:customStyle="1" w:styleId="Tableheading-normaltext">
    <w:name w:val="Table heading - normal text"/>
    <w:basedOn w:val="Heading3"/>
    <w:qFormat/>
    <w:rsid w:val="00183AC7"/>
    <w:pPr>
      <w:spacing w:after="120"/>
    </w:pPr>
  </w:style>
  <w:style w:type="paragraph" w:customStyle="1" w:styleId="Boxheading">
    <w:name w:val="Box heading"/>
    <w:basedOn w:val="BoxText"/>
    <w:qFormat/>
    <w:rsid w:val="00183AC7"/>
    <w:rPr>
      <w:b/>
      <w:sz w:val="22"/>
    </w:rPr>
  </w:style>
  <w:style w:type="paragraph" w:customStyle="1" w:styleId="Tabletext-bullet">
    <w:name w:val="Table text - bullet"/>
    <w:basedOn w:val="TableTextLeft"/>
    <w:qFormat/>
    <w:rsid w:val="00183AC7"/>
    <w:pPr>
      <w:numPr>
        <w:numId w:val="19"/>
      </w:numPr>
      <w:ind w:left="284" w:hanging="284"/>
    </w:pPr>
  </w:style>
  <w:style w:type="paragraph" w:customStyle="1" w:styleId="Pullquote">
    <w:name w:val="Pull quote"/>
    <w:basedOn w:val="Normal"/>
    <w:qFormat/>
    <w:rsid w:val="00183AC7"/>
    <w:pPr>
      <w:spacing w:after="0" w:line="276" w:lineRule="auto"/>
    </w:pPr>
    <w:rPr>
      <w:color w:val="FFFFFF" w:themeColor="background1"/>
    </w:rPr>
  </w:style>
  <w:style w:type="paragraph" w:customStyle="1" w:styleId="Caption-tablenote">
    <w:name w:val="Caption - table note"/>
    <w:basedOn w:val="ChartorTableNote"/>
    <w:qFormat/>
    <w:rsid w:val="00183AC7"/>
    <w:pPr>
      <w:ind w:left="0" w:firstLine="0"/>
    </w:pPr>
    <w:rPr>
      <w:rFonts w:eastAsia="Open Sans"/>
    </w:rPr>
  </w:style>
  <w:style w:type="table" w:styleId="GridTable1Light-Accent5">
    <w:name w:val="Grid Table 1 Light Accent 5"/>
    <w:basedOn w:val="TableNormal"/>
    <w:uiPriority w:val="46"/>
    <w:rsid w:val="00183AC7"/>
    <w:rPr>
      <w:rFonts w:eastAsiaTheme="minorHAnsi"/>
      <w:sz w:val="16"/>
    </w:rPr>
    <w:tblPr>
      <w:tblStyleRowBandSize w:val="1"/>
      <w:tblStyleColBandSize w:val="1"/>
      <w:tblBorders>
        <w:top w:val="single" w:sz="4" w:space="0" w:color="A6D6C0" w:themeColor="accent5" w:themeTint="66"/>
        <w:left w:val="single" w:sz="4" w:space="0" w:color="A6D6C0" w:themeColor="accent5" w:themeTint="66"/>
        <w:bottom w:val="single" w:sz="4" w:space="0" w:color="A6D6C0" w:themeColor="accent5" w:themeTint="66"/>
        <w:right w:val="single" w:sz="4" w:space="0" w:color="A6D6C0" w:themeColor="accent5" w:themeTint="66"/>
        <w:insideH w:val="single" w:sz="4" w:space="0" w:color="A6D6C0" w:themeColor="accent5" w:themeTint="66"/>
        <w:insideV w:val="single" w:sz="4" w:space="0" w:color="A6D6C0" w:themeColor="accent5" w:themeTint="66"/>
      </w:tblBorders>
    </w:tblPr>
    <w:tblStylePr w:type="firstRow">
      <w:rPr>
        <w:b/>
        <w:bCs/>
      </w:rPr>
      <w:tblPr/>
      <w:tcPr>
        <w:tcBorders>
          <w:bottom w:val="single" w:sz="12" w:space="0" w:color="7AC1A1" w:themeColor="accent5" w:themeTint="99"/>
        </w:tcBorders>
      </w:tcPr>
    </w:tblStylePr>
    <w:tblStylePr w:type="lastRow">
      <w:rPr>
        <w:b/>
        <w:bCs/>
      </w:rPr>
      <w:tblPr/>
      <w:tcPr>
        <w:tcBorders>
          <w:top w:val="double" w:sz="2" w:space="0" w:color="7AC1A1" w:themeColor="accent5" w:themeTint="99"/>
        </w:tcBorders>
      </w:tcPr>
    </w:tblStylePr>
    <w:tblStylePr w:type="firstCol">
      <w:rPr>
        <w:b/>
        <w:bCs/>
      </w:rPr>
    </w:tblStylePr>
    <w:tblStylePr w:type="lastCol">
      <w:rPr>
        <w:b/>
        <w:bCs/>
      </w:rPr>
    </w:tblStylePr>
  </w:style>
  <w:style w:type="paragraph" w:customStyle="1" w:styleId="Chartnotenotab">
    <w:name w:val="Chart note no tab"/>
    <w:basedOn w:val="ChartorTableNote"/>
    <w:qFormat/>
    <w:rsid w:val="00183AC7"/>
    <w:pPr>
      <w:ind w:left="0" w:firstLine="0"/>
    </w:pPr>
  </w:style>
  <w:style w:type="paragraph" w:styleId="Bibliography">
    <w:name w:val="Bibliography"/>
    <w:basedOn w:val="Normal"/>
    <w:next w:val="Normal"/>
    <w:uiPriority w:val="37"/>
    <w:semiHidden/>
    <w:unhideWhenUsed/>
    <w:rsid w:val="00183AC7"/>
  </w:style>
  <w:style w:type="paragraph" w:styleId="BodyText">
    <w:name w:val="Body Text"/>
    <w:basedOn w:val="Normal"/>
    <w:link w:val="BodyTextChar"/>
    <w:uiPriority w:val="99"/>
    <w:unhideWhenUsed/>
    <w:rsid w:val="00183AC7"/>
  </w:style>
  <w:style w:type="character" w:customStyle="1" w:styleId="BodyTextChar">
    <w:name w:val="Body Text Char"/>
    <w:basedOn w:val="DefaultParagraphFont"/>
    <w:link w:val="BodyText"/>
    <w:uiPriority w:val="99"/>
    <w:rsid w:val="00183AC7"/>
    <w:rPr>
      <w:rFonts w:eastAsiaTheme="minorHAnsi"/>
    </w:rPr>
  </w:style>
  <w:style w:type="paragraph" w:styleId="BodyText2">
    <w:name w:val="Body Text 2"/>
    <w:basedOn w:val="Normal"/>
    <w:link w:val="BodyText2Char"/>
    <w:uiPriority w:val="99"/>
    <w:semiHidden/>
    <w:unhideWhenUsed/>
    <w:rsid w:val="00183AC7"/>
    <w:pPr>
      <w:spacing w:line="480" w:lineRule="auto"/>
    </w:pPr>
  </w:style>
  <w:style w:type="character" w:customStyle="1" w:styleId="BodyText2Char">
    <w:name w:val="Body Text 2 Char"/>
    <w:basedOn w:val="DefaultParagraphFont"/>
    <w:link w:val="BodyText2"/>
    <w:uiPriority w:val="99"/>
    <w:semiHidden/>
    <w:rsid w:val="00183AC7"/>
    <w:rPr>
      <w:rFonts w:eastAsiaTheme="minorHAnsi"/>
    </w:rPr>
  </w:style>
  <w:style w:type="paragraph" w:styleId="BodyText3">
    <w:name w:val="Body Text 3"/>
    <w:basedOn w:val="Normal"/>
    <w:link w:val="BodyText3Char"/>
    <w:uiPriority w:val="99"/>
    <w:semiHidden/>
    <w:unhideWhenUsed/>
    <w:rsid w:val="00183AC7"/>
    <w:rPr>
      <w:szCs w:val="16"/>
    </w:rPr>
  </w:style>
  <w:style w:type="character" w:customStyle="1" w:styleId="BodyText3Char">
    <w:name w:val="Body Text 3 Char"/>
    <w:basedOn w:val="DefaultParagraphFont"/>
    <w:link w:val="BodyText3"/>
    <w:uiPriority w:val="99"/>
    <w:semiHidden/>
    <w:rsid w:val="00183AC7"/>
    <w:rPr>
      <w:rFonts w:eastAsiaTheme="minorHAnsi"/>
      <w:szCs w:val="16"/>
    </w:rPr>
  </w:style>
  <w:style w:type="paragraph" w:styleId="BodyTextFirstIndent">
    <w:name w:val="Body Text First Indent"/>
    <w:basedOn w:val="BodyText"/>
    <w:link w:val="BodyTextFirstIndentChar"/>
    <w:uiPriority w:val="99"/>
    <w:semiHidden/>
    <w:unhideWhenUsed/>
    <w:rsid w:val="00183AC7"/>
    <w:pPr>
      <w:spacing w:after="160"/>
      <w:ind w:firstLine="360"/>
    </w:pPr>
  </w:style>
  <w:style w:type="character" w:customStyle="1" w:styleId="BodyTextFirstIndentChar">
    <w:name w:val="Body Text First Indent Char"/>
    <w:basedOn w:val="BodyTextChar"/>
    <w:link w:val="BodyTextFirstIndent"/>
    <w:uiPriority w:val="99"/>
    <w:semiHidden/>
    <w:rsid w:val="00183AC7"/>
    <w:rPr>
      <w:rFonts w:eastAsiaTheme="minorHAnsi"/>
    </w:rPr>
  </w:style>
  <w:style w:type="paragraph" w:styleId="BodyTextIndent">
    <w:name w:val="Body Text Indent"/>
    <w:basedOn w:val="Normal"/>
    <w:link w:val="BodyTextIndentChar"/>
    <w:uiPriority w:val="99"/>
    <w:semiHidden/>
    <w:unhideWhenUsed/>
    <w:rsid w:val="00183AC7"/>
    <w:pPr>
      <w:ind w:left="283"/>
    </w:pPr>
  </w:style>
  <w:style w:type="character" w:customStyle="1" w:styleId="BodyTextIndentChar">
    <w:name w:val="Body Text Indent Char"/>
    <w:basedOn w:val="DefaultParagraphFont"/>
    <w:link w:val="BodyTextIndent"/>
    <w:uiPriority w:val="99"/>
    <w:semiHidden/>
    <w:rsid w:val="00183AC7"/>
    <w:rPr>
      <w:rFonts w:eastAsiaTheme="minorHAnsi"/>
    </w:rPr>
  </w:style>
  <w:style w:type="paragraph" w:styleId="BodyTextFirstIndent2">
    <w:name w:val="Body Text First Indent 2"/>
    <w:basedOn w:val="BodyTextIndent"/>
    <w:link w:val="BodyTextFirstIndent2Char"/>
    <w:uiPriority w:val="99"/>
    <w:semiHidden/>
    <w:unhideWhenUsed/>
    <w:rsid w:val="00183AC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83AC7"/>
    <w:rPr>
      <w:rFonts w:eastAsiaTheme="minorHAnsi"/>
    </w:rPr>
  </w:style>
  <w:style w:type="paragraph" w:styleId="BodyTextIndent2">
    <w:name w:val="Body Text Indent 2"/>
    <w:basedOn w:val="Normal"/>
    <w:link w:val="BodyTextIndent2Char"/>
    <w:uiPriority w:val="99"/>
    <w:semiHidden/>
    <w:unhideWhenUsed/>
    <w:rsid w:val="00183AC7"/>
    <w:pPr>
      <w:spacing w:line="480" w:lineRule="auto"/>
      <w:ind w:left="283"/>
    </w:pPr>
  </w:style>
  <w:style w:type="character" w:customStyle="1" w:styleId="BodyTextIndent2Char">
    <w:name w:val="Body Text Indent 2 Char"/>
    <w:basedOn w:val="DefaultParagraphFont"/>
    <w:link w:val="BodyTextIndent2"/>
    <w:uiPriority w:val="99"/>
    <w:semiHidden/>
    <w:rsid w:val="00183AC7"/>
    <w:rPr>
      <w:rFonts w:eastAsiaTheme="minorHAnsi"/>
    </w:rPr>
  </w:style>
  <w:style w:type="paragraph" w:styleId="BodyTextIndent3">
    <w:name w:val="Body Text Indent 3"/>
    <w:basedOn w:val="Normal"/>
    <w:link w:val="BodyTextIndent3Char"/>
    <w:uiPriority w:val="99"/>
    <w:semiHidden/>
    <w:unhideWhenUsed/>
    <w:rsid w:val="00183AC7"/>
    <w:pPr>
      <w:ind w:left="283"/>
    </w:pPr>
    <w:rPr>
      <w:szCs w:val="16"/>
    </w:rPr>
  </w:style>
  <w:style w:type="character" w:customStyle="1" w:styleId="BodyTextIndent3Char">
    <w:name w:val="Body Text Indent 3 Char"/>
    <w:basedOn w:val="DefaultParagraphFont"/>
    <w:link w:val="BodyTextIndent3"/>
    <w:uiPriority w:val="99"/>
    <w:semiHidden/>
    <w:rsid w:val="00183AC7"/>
    <w:rPr>
      <w:rFonts w:eastAsiaTheme="minorHAnsi"/>
      <w:szCs w:val="16"/>
    </w:rPr>
  </w:style>
  <w:style w:type="paragraph" w:styleId="Caption">
    <w:name w:val="caption"/>
    <w:basedOn w:val="Normal"/>
    <w:next w:val="Normal"/>
    <w:uiPriority w:val="35"/>
    <w:unhideWhenUsed/>
    <w:qFormat/>
    <w:rsid w:val="00183AC7"/>
    <w:pPr>
      <w:spacing w:after="200" w:line="240" w:lineRule="auto"/>
    </w:pPr>
    <w:rPr>
      <w:i/>
      <w:iCs/>
      <w:color w:val="29114B" w:themeColor="text2"/>
      <w:sz w:val="18"/>
      <w:szCs w:val="18"/>
    </w:rPr>
  </w:style>
  <w:style w:type="paragraph" w:styleId="Closing">
    <w:name w:val="Closing"/>
    <w:basedOn w:val="Normal"/>
    <w:link w:val="ClosingChar"/>
    <w:uiPriority w:val="99"/>
    <w:semiHidden/>
    <w:unhideWhenUsed/>
    <w:rsid w:val="00183AC7"/>
    <w:pPr>
      <w:spacing w:after="0" w:line="240" w:lineRule="auto"/>
      <w:ind w:left="4252"/>
    </w:pPr>
  </w:style>
  <w:style w:type="character" w:customStyle="1" w:styleId="ClosingChar">
    <w:name w:val="Closing Char"/>
    <w:basedOn w:val="DefaultParagraphFont"/>
    <w:link w:val="Closing"/>
    <w:uiPriority w:val="99"/>
    <w:semiHidden/>
    <w:rsid w:val="00183AC7"/>
    <w:rPr>
      <w:rFonts w:eastAsiaTheme="minorHAnsi"/>
    </w:rPr>
  </w:style>
  <w:style w:type="paragraph" w:styleId="Date">
    <w:name w:val="Date"/>
    <w:basedOn w:val="Normal"/>
    <w:next w:val="Normal"/>
    <w:link w:val="DateChar"/>
    <w:uiPriority w:val="99"/>
    <w:semiHidden/>
    <w:unhideWhenUsed/>
    <w:rsid w:val="00183AC7"/>
  </w:style>
  <w:style w:type="character" w:customStyle="1" w:styleId="DateChar">
    <w:name w:val="Date Char"/>
    <w:basedOn w:val="DefaultParagraphFont"/>
    <w:link w:val="Date"/>
    <w:uiPriority w:val="99"/>
    <w:semiHidden/>
    <w:rsid w:val="00183AC7"/>
    <w:rPr>
      <w:rFonts w:eastAsiaTheme="minorHAnsi"/>
    </w:rPr>
  </w:style>
  <w:style w:type="paragraph" w:styleId="DocumentMap">
    <w:name w:val="Document Map"/>
    <w:basedOn w:val="Normal"/>
    <w:link w:val="DocumentMapChar"/>
    <w:uiPriority w:val="99"/>
    <w:semiHidden/>
    <w:unhideWhenUsed/>
    <w:rsid w:val="00183AC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83AC7"/>
    <w:rPr>
      <w:rFonts w:ascii="Segoe UI" w:eastAsiaTheme="minorHAnsi" w:hAnsi="Segoe UI" w:cs="Segoe UI"/>
      <w:szCs w:val="16"/>
    </w:rPr>
  </w:style>
  <w:style w:type="paragraph" w:styleId="E-mailSignature">
    <w:name w:val="E-mail Signature"/>
    <w:basedOn w:val="Normal"/>
    <w:link w:val="E-mailSignatureChar"/>
    <w:uiPriority w:val="99"/>
    <w:semiHidden/>
    <w:unhideWhenUsed/>
    <w:rsid w:val="00183AC7"/>
    <w:pPr>
      <w:spacing w:after="0" w:line="240" w:lineRule="auto"/>
    </w:pPr>
  </w:style>
  <w:style w:type="character" w:customStyle="1" w:styleId="E-mailSignatureChar">
    <w:name w:val="E-mail Signature Char"/>
    <w:basedOn w:val="DefaultParagraphFont"/>
    <w:link w:val="E-mailSignature"/>
    <w:uiPriority w:val="99"/>
    <w:semiHidden/>
    <w:rsid w:val="00183AC7"/>
    <w:rPr>
      <w:rFonts w:eastAsiaTheme="minorHAnsi"/>
    </w:rPr>
  </w:style>
  <w:style w:type="paragraph" w:styleId="EndnoteText">
    <w:name w:val="endnote text"/>
    <w:basedOn w:val="Normal"/>
    <w:link w:val="EndnoteTextChar"/>
    <w:uiPriority w:val="99"/>
    <w:semiHidden/>
    <w:unhideWhenUsed/>
    <w:rsid w:val="00183AC7"/>
    <w:pPr>
      <w:spacing w:after="0" w:line="240" w:lineRule="auto"/>
    </w:pPr>
  </w:style>
  <w:style w:type="character" w:customStyle="1" w:styleId="EndnoteTextChar">
    <w:name w:val="Endnote Text Char"/>
    <w:basedOn w:val="DefaultParagraphFont"/>
    <w:link w:val="EndnoteText"/>
    <w:uiPriority w:val="99"/>
    <w:semiHidden/>
    <w:rsid w:val="00183AC7"/>
    <w:rPr>
      <w:rFonts w:eastAsiaTheme="minorHAnsi"/>
    </w:rPr>
  </w:style>
  <w:style w:type="paragraph" w:styleId="EnvelopeAddress">
    <w:name w:val="envelope address"/>
    <w:basedOn w:val="Normal"/>
    <w:uiPriority w:val="99"/>
    <w:semiHidden/>
    <w:unhideWhenUsed/>
    <w:rsid w:val="00183AC7"/>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183AC7"/>
    <w:pPr>
      <w:spacing w:after="0" w:line="240" w:lineRule="auto"/>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183AC7"/>
    <w:pPr>
      <w:spacing w:after="0" w:line="240" w:lineRule="auto"/>
    </w:pPr>
    <w:rPr>
      <w:i/>
      <w:iCs/>
    </w:rPr>
  </w:style>
  <w:style w:type="character" w:customStyle="1" w:styleId="HTMLAddressChar">
    <w:name w:val="HTML Address Char"/>
    <w:basedOn w:val="DefaultParagraphFont"/>
    <w:link w:val="HTMLAddress"/>
    <w:uiPriority w:val="99"/>
    <w:semiHidden/>
    <w:rsid w:val="00183AC7"/>
    <w:rPr>
      <w:rFonts w:eastAsiaTheme="minorHAnsi"/>
      <w:i/>
      <w:iCs/>
    </w:rPr>
  </w:style>
  <w:style w:type="paragraph" w:styleId="HTMLPreformatted">
    <w:name w:val="HTML Preformatted"/>
    <w:basedOn w:val="Normal"/>
    <w:link w:val="HTMLPreformattedChar"/>
    <w:uiPriority w:val="99"/>
    <w:semiHidden/>
    <w:unhideWhenUsed/>
    <w:rsid w:val="00183AC7"/>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83AC7"/>
    <w:rPr>
      <w:rFonts w:ascii="Consolas" w:eastAsiaTheme="minorHAnsi" w:hAnsi="Consolas"/>
    </w:rPr>
  </w:style>
  <w:style w:type="paragraph" w:styleId="List">
    <w:name w:val="List"/>
    <w:basedOn w:val="Normal"/>
    <w:uiPriority w:val="99"/>
    <w:semiHidden/>
    <w:unhideWhenUsed/>
    <w:rsid w:val="00183AC7"/>
    <w:pPr>
      <w:ind w:left="283" w:hanging="283"/>
      <w:contextualSpacing/>
    </w:pPr>
  </w:style>
  <w:style w:type="paragraph" w:styleId="List2">
    <w:name w:val="List 2"/>
    <w:basedOn w:val="Normal"/>
    <w:uiPriority w:val="99"/>
    <w:semiHidden/>
    <w:unhideWhenUsed/>
    <w:rsid w:val="00183AC7"/>
    <w:pPr>
      <w:ind w:left="566" w:hanging="283"/>
      <w:contextualSpacing/>
    </w:pPr>
  </w:style>
  <w:style w:type="paragraph" w:styleId="List3">
    <w:name w:val="List 3"/>
    <w:basedOn w:val="Normal"/>
    <w:uiPriority w:val="99"/>
    <w:semiHidden/>
    <w:unhideWhenUsed/>
    <w:rsid w:val="00183AC7"/>
    <w:pPr>
      <w:ind w:left="849" w:hanging="283"/>
      <w:contextualSpacing/>
    </w:pPr>
  </w:style>
  <w:style w:type="paragraph" w:styleId="List4">
    <w:name w:val="List 4"/>
    <w:basedOn w:val="Normal"/>
    <w:uiPriority w:val="99"/>
    <w:semiHidden/>
    <w:unhideWhenUsed/>
    <w:rsid w:val="00183AC7"/>
    <w:pPr>
      <w:ind w:left="1132" w:hanging="283"/>
      <w:contextualSpacing/>
    </w:pPr>
  </w:style>
  <w:style w:type="paragraph" w:styleId="List5">
    <w:name w:val="List 5"/>
    <w:basedOn w:val="Normal"/>
    <w:uiPriority w:val="99"/>
    <w:semiHidden/>
    <w:unhideWhenUsed/>
    <w:rsid w:val="00183AC7"/>
    <w:pPr>
      <w:ind w:left="1415" w:hanging="283"/>
      <w:contextualSpacing/>
    </w:pPr>
  </w:style>
  <w:style w:type="paragraph" w:styleId="ListBullet">
    <w:name w:val="List Bullet"/>
    <w:basedOn w:val="Normal"/>
    <w:uiPriority w:val="99"/>
    <w:semiHidden/>
    <w:unhideWhenUsed/>
    <w:rsid w:val="00183AC7"/>
    <w:pPr>
      <w:numPr>
        <w:numId w:val="20"/>
      </w:numPr>
      <w:contextualSpacing/>
    </w:pPr>
  </w:style>
  <w:style w:type="paragraph" w:styleId="ListBullet2">
    <w:name w:val="List Bullet 2"/>
    <w:basedOn w:val="Normal"/>
    <w:uiPriority w:val="99"/>
    <w:semiHidden/>
    <w:unhideWhenUsed/>
    <w:rsid w:val="00183AC7"/>
    <w:pPr>
      <w:numPr>
        <w:numId w:val="21"/>
      </w:numPr>
      <w:contextualSpacing/>
    </w:pPr>
  </w:style>
  <w:style w:type="paragraph" w:styleId="ListBullet3">
    <w:name w:val="List Bullet 3"/>
    <w:basedOn w:val="Normal"/>
    <w:uiPriority w:val="99"/>
    <w:semiHidden/>
    <w:unhideWhenUsed/>
    <w:rsid w:val="00183AC7"/>
    <w:pPr>
      <w:numPr>
        <w:numId w:val="22"/>
      </w:numPr>
      <w:contextualSpacing/>
    </w:pPr>
  </w:style>
  <w:style w:type="paragraph" w:styleId="ListBullet4">
    <w:name w:val="List Bullet 4"/>
    <w:basedOn w:val="Normal"/>
    <w:uiPriority w:val="99"/>
    <w:semiHidden/>
    <w:unhideWhenUsed/>
    <w:rsid w:val="00183AC7"/>
    <w:pPr>
      <w:numPr>
        <w:numId w:val="23"/>
      </w:numPr>
      <w:contextualSpacing/>
    </w:pPr>
  </w:style>
  <w:style w:type="paragraph" w:styleId="ListBullet5">
    <w:name w:val="List Bullet 5"/>
    <w:basedOn w:val="Normal"/>
    <w:uiPriority w:val="99"/>
    <w:semiHidden/>
    <w:unhideWhenUsed/>
    <w:rsid w:val="00183AC7"/>
    <w:pPr>
      <w:numPr>
        <w:numId w:val="24"/>
      </w:numPr>
      <w:contextualSpacing/>
    </w:pPr>
  </w:style>
  <w:style w:type="paragraph" w:styleId="ListContinue">
    <w:name w:val="List Continue"/>
    <w:basedOn w:val="Normal"/>
    <w:uiPriority w:val="99"/>
    <w:semiHidden/>
    <w:unhideWhenUsed/>
    <w:rsid w:val="00183AC7"/>
    <w:pPr>
      <w:ind w:left="283"/>
      <w:contextualSpacing/>
    </w:pPr>
  </w:style>
  <w:style w:type="paragraph" w:styleId="ListContinue2">
    <w:name w:val="List Continue 2"/>
    <w:basedOn w:val="Normal"/>
    <w:uiPriority w:val="99"/>
    <w:semiHidden/>
    <w:unhideWhenUsed/>
    <w:rsid w:val="00183AC7"/>
    <w:pPr>
      <w:ind w:left="566"/>
      <w:contextualSpacing/>
    </w:pPr>
  </w:style>
  <w:style w:type="paragraph" w:styleId="ListContinue3">
    <w:name w:val="List Continue 3"/>
    <w:basedOn w:val="Normal"/>
    <w:uiPriority w:val="99"/>
    <w:semiHidden/>
    <w:unhideWhenUsed/>
    <w:rsid w:val="00183AC7"/>
    <w:pPr>
      <w:ind w:left="849"/>
      <w:contextualSpacing/>
    </w:pPr>
  </w:style>
  <w:style w:type="paragraph" w:styleId="ListContinue4">
    <w:name w:val="List Continue 4"/>
    <w:basedOn w:val="Normal"/>
    <w:uiPriority w:val="99"/>
    <w:semiHidden/>
    <w:unhideWhenUsed/>
    <w:rsid w:val="00183AC7"/>
    <w:pPr>
      <w:ind w:left="1132"/>
      <w:contextualSpacing/>
    </w:pPr>
  </w:style>
  <w:style w:type="paragraph" w:styleId="ListContinue5">
    <w:name w:val="List Continue 5"/>
    <w:basedOn w:val="Normal"/>
    <w:uiPriority w:val="99"/>
    <w:semiHidden/>
    <w:unhideWhenUsed/>
    <w:rsid w:val="00183AC7"/>
    <w:pPr>
      <w:ind w:left="1415"/>
      <w:contextualSpacing/>
    </w:pPr>
  </w:style>
  <w:style w:type="paragraph" w:styleId="ListNumber">
    <w:name w:val="List Number"/>
    <w:basedOn w:val="Normal"/>
    <w:uiPriority w:val="99"/>
    <w:semiHidden/>
    <w:unhideWhenUsed/>
    <w:rsid w:val="00183AC7"/>
    <w:pPr>
      <w:numPr>
        <w:numId w:val="25"/>
      </w:numPr>
      <w:contextualSpacing/>
    </w:pPr>
  </w:style>
  <w:style w:type="paragraph" w:styleId="ListNumber2">
    <w:name w:val="List Number 2"/>
    <w:basedOn w:val="Normal"/>
    <w:uiPriority w:val="99"/>
    <w:semiHidden/>
    <w:unhideWhenUsed/>
    <w:rsid w:val="00183AC7"/>
    <w:pPr>
      <w:numPr>
        <w:numId w:val="26"/>
      </w:numPr>
      <w:contextualSpacing/>
    </w:pPr>
  </w:style>
  <w:style w:type="paragraph" w:styleId="ListNumber3">
    <w:name w:val="List Number 3"/>
    <w:basedOn w:val="Normal"/>
    <w:uiPriority w:val="99"/>
    <w:semiHidden/>
    <w:unhideWhenUsed/>
    <w:rsid w:val="00183AC7"/>
    <w:pPr>
      <w:numPr>
        <w:numId w:val="27"/>
      </w:numPr>
      <w:contextualSpacing/>
    </w:pPr>
  </w:style>
  <w:style w:type="paragraph" w:styleId="ListNumber4">
    <w:name w:val="List Number 4"/>
    <w:basedOn w:val="Normal"/>
    <w:uiPriority w:val="99"/>
    <w:semiHidden/>
    <w:unhideWhenUsed/>
    <w:rsid w:val="00183AC7"/>
    <w:pPr>
      <w:numPr>
        <w:numId w:val="28"/>
      </w:numPr>
      <w:contextualSpacing/>
    </w:pPr>
  </w:style>
  <w:style w:type="paragraph" w:styleId="ListNumber5">
    <w:name w:val="List Number 5"/>
    <w:basedOn w:val="Normal"/>
    <w:uiPriority w:val="99"/>
    <w:semiHidden/>
    <w:unhideWhenUsed/>
    <w:rsid w:val="00183AC7"/>
    <w:pPr>
      <w:numPr>
        <w:numId w:val="29"/>
      </w:numPr>
      <w:contextualSpacing/>
    </w:pPr>
  </w:style>
  <w:style w:type="paragraph" w:styleId="MacroText">
    <w:name w:val="macro"/>
    <w:link w:val="MacroTextChar"/>
    <w:uiPriority w:val="99"/>
    <w:semiHidden/>
    <w:unhideWhenUsed/>
    <w:rsid w:val="00183AC7"/>
    <w:pPr>
      <w:tabs>
        <w:tab w:val="left" w:pos="480"/>
        <w:tab w:val="left" w:pos="960"/>
        <w:tab w:val="left" w:pos="1440"/>
        <w:tab w:val="left" w:pos="1920"/>
        <w:tab w:val="left" w:pos="2400"/>
        <w:tab w:val="left" w:pos="2880"/>
        <w:tab w:val="left" w:pos="3360"/>
        <w:tab w:val="left" w:pos="3840"/>
        <w:tab w:val="left" w:pos="4320"/>
      </w:tabs>
      <w:spacing w:line="250" w:lineRule="auto"/>
    </w:pPr>
    <w:rPr>
      <w:rFonts w:ascii="Consolas" w:eastAsia="Times New Roman" w:hAnsi="Consolas" w:cs="Times New Roman"/>
      <w:sz w:val="16"/>
      <w:lang w:eastAsia="en-GB"/>
    </w:rPr>
  </w:style>
  <w:style w:type="character" w:customStyle="1" w:styleId="MacroTextChar">
    <w:name w:val="Macro Text Char"/>
    <w:basedOn w:val="DefaultParagraphFont"/>
    <w:link w:val="MacroText"/>
    <w:uiPriority w:val="99"/>
    <w:semiHidden/>
    <w:rsid w:val="00183AC7"/>
    <w:rPr>
      <w:rFonts w:ascii="Consolas" w:eastAsia="Times New Roman" w:hAnsi="Consolas" w:cs="Times New Roman"/>
      <w:sz w:val="16"/>
      <w:lang w:eastAsia="en-GB"/>
    </w:rPr>
  </w:style>
  <w:style w:type="paragraph" w:styleId="MessageHeader">
    <w:name w:val="Message Header"/>
    <w:basedOn w:val="Normal"/>
    <w:link w:val="MessageHeaderChar"/>
    <w:uiPriority w:val="99"/>
    <w:semiHidden/>
    <w:unhideWhenUsed/>
    <w:rsid w:val="00183A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183AC7"/>
    <w:rPr>
      <w:rFonts w:asciiTheme="majorHAnsi" w:eastAsiaTheme="majorEastAsia" w:hAnsiTheme="majorHAnsi" w:cstheme="majorBidi"/>
      <w:sz w:val="24"/>
      <w:shd w:val="pct20" w:color="auto" w:fill="auto"/>
    </w:rPr>
  </w:style>
  <w:style w:type="paragraph" w:styleId="NormalIndent">
    <w:name w:val="Normal Indent"/>
    <w:basedOn w:val="Normal"/>
    <w:uiPriority w:val="99"/>
    <w:semiHidden/>
    <w:unhideWhenUsed/>
    <w:rsid w:val="00183AC7"/>
    <w:pPr>
      <w:ind w:left="720"/>
    </w:pPr>
  </w:style>
  <w:style w:type="paragraph" w:styleId="NoteHeading">
    <w:name w:val="Note Heading"/>
    <w:basedOn w:val="Normal"/>
    <w:next w:val="Normal"/>
    <w:link w:val="NoteHeadingChar"/>
    <w:uiPriority w:val="99"/>
    <w:semiHidden/>
    <w:unhideWhenUsed/>
    <w:rsid w:val="00183AC7"/>
    <w:pPr>
      <w:spacing w:after="0" w:line="240" w:lineRule="auto"/>
    </w:pPr>
  </w:style>
  <w:style w:type="character" w:customStyle="1" w:styleId="NoteHeadingChar">
    <w:name w:val="Note Heading Char"/>
    <w:basedOn w:val="DefaultParagraphFont"/>
    <w:link w:val="NoteHeading"/>
    <w:uiPriority w:val="99"/>
    <w:semiHidden/>
    <w:rsid w:val="00183AC7"/>
    <w:rPr>
      <w:rFonts w:eastAsiaTheme="minorHAnsi"/>
    </w:rPr>
  </w:style>
  <w:style w:type="paragraph" w:styleId="PlainText">
    <w:name w:val="Plain Text"/>
    <w:basedOn w:val="Normal"/>
    <w:link w:val="PlainTextChar"/>
    <w:uiPriority w:val="99"/>
    <w:semiHidden/>
    <w:unhideWhenUsed/>
    <w:rsid w:val="00183AC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83AC7"/>
    <w:rPr>
      <w:rFonts w:ascii="Consolas" w:eastAsiaTheme="minorHAnsi" w:hAnsi="Consolas"/>
      <w:sz w:val="21"/>
      <w:szCs w:val="21"/>
    </w:rPr>
  </w:style>
  <w:style w:type="paragraph" w:styleId="Salutation">
    <w:name w:val="Salutation"/>
    <w:basedOn w:val="Normal"/>
    <w:next w:val="Normal"/>
    <w:link w:val="SalutationChar"/>
    <w:uiPriority w:val="99"/>
    <w:semiHidden/>
    <w:unhideWhenUsed/>
    <w:rsid w:val="00183AC7"/>
  </w:style>
  <w:style w:type="character" w:customStyle="1" w:styleId="SalutationChar">
    <w:name w:val="Salutation Char"/>
    <w:basedOn w:val="DefaultParagraphFont"/>
    <w:link w:val="Salutation"/>
    <w:uiPriority w:val="99"/>
    <w:semiHidden/>
    <w:rsid w:val="00183AC7"/>
    <w:rPr>
      <w:rFonts w:eastAsiaTheme="minorHAnsi"/>
    </w:rPr>
  </w:style>
  <w:style w:type="paragraph" w:styleId="Signature">
    <w:name w:val="Signature"/>
    <w:basedOn w:val="Normal"/>
    <w:link w:val="SignatureChar"/>
    <w:uiPriority w:val="99"/>
    <w:semiHidden/>
    <w:unhideWhenUsed/>
    <w:rsid w:val="00183AC7"/>
    <w:pPr>
      <w:spacing w:after="0" w:line="240" w:lineRule="auto"/>
      <w:ind w:left="4252"/>
    </w:pPr>
  </w:style>
  <w:style w:type="character" w:customStyle="1" w:styleId="SignatureChar">
    <w:name w:val="Signature Char"/>
    <w:basedOn w:val="DefaultParagraphFont"/>
    <w:link w:val="Signature"/>
    <w:uiPriority w:val="99"/>
    <w:semiHidden/>
    <w:rsid w:val="00183AC7"/>
    <w:rPr>
      <w:rFonts w:eastAsiaTheme="minorHAnsi"/>
    </w:rPr>
  </w:style>
  <w:style w:type="paragraph" w:styleId="TableofAuthorities">
    <w:name w:val="table of authorities"/>
    <w:basedOn w:val="Normal"/>
    <w:next w:val="Normal"/>
    <w:uiPriority w:val="99"/>
    <w:semiHidden/>
    <w:unhideWhenUsed/>
    <w:rsid w:val="00183AC7"/>
    <w:pPr>
      <w:spacing w:after="0"/>
      <w:ind w:left="200" w:hanging="200"/>
    </w:pPr>
  </w:style>
  <w:style w:type="paragraph" w:styleId="TableofFigures">
    <w:name w:val="table of figures"/>
    <w:basedOn w:val="Normal"/>
    <w:next w:val="Normal"/>
    <w:uiPriority w:val="99"/>
    <w:semiHidden/>
    <w:unhideWhenUsed/>
    <w:rsid w:val="00183AC7"/>
    <w:pPr>
      <w:spacing w:after="0"/>
    </w:pPr>
  </w:style>
  <w:style w:type="paragraph" w:styleId="TOAHeading">
    <w:name w:val="toa heading"/>
    <w:basedOn w:val="Normal"/>
    <w:next w:val="Normal"/>
    <w:uiPriority w:val="99"/>
    <w:semiHidden/>
    <w:unhideWhenUsed/>
    <w:rsid w:val="00183AC7"/>
    <w:pPr>
      <w:spacing w:before="120"/>
    </w:pPr>
    <w:rPr>
      <w:rFonts w:asciiTheme="majorHAnsi" w:eastAsiaTheme="majorEastAsia" w:hAnsiTheme="majorHAnsi" w:cstheme="majorBidi"/>
      <w:b/>
      <w:bCs/>
      <w:sz w:val="24"/>
    </w:rPr>
  </w:style>
  <w:style w:type="paragraph" w:customStyle="1" w:styleId="Glossary">
    <w:name w:val="Glossary"/>
    <w:qFormat/>
    <w:rsid w:val="00183AC7"/>
    <w:rPr>
      <w:rFonts w:eastAsia="Times New Roman" w:cs="Times New Roman"/>
      <w:color w:val="000000"/>
      <w:sz w:val="16"/>
      <w:szCs w:val="16"/>
      <w:lang w:eastAsia="en-AU"/>
    </w:rPr>
  </w:style>
  <w:style w:type="paragraph" w:customStyle="1" w:styleId="Boxbullet0">
    <w:name w:val="Box bullet"/>
    <w:basedOn w:val="BoxText"/>
    <w:rsid w:val="0051621E"/>
    <w:pPr>
      <w:numPr>
        <w:numId w:val="30"/>
      </w:numPr>
      <w:spacing w:line="240" w:lineRule="auto"/>
      <w:ind w:left="284" w:hanging="284"/>
    </w:pPr>
  </w:style>
  <w:style w:type="paragraph" w:styleId="TOC2">
    <w:name w:val="toc 2"/>
    <w:basedOn w:val="Normal"/>
    <w:next w:val="Normal"/>
    <w:autoRedefine/>
    <w:uiPriority w:val="39"/>
    <w:rsid w:val="00183AC7"/>
    <w:pPr>
      <w:tabs>
        <w:tab w:val="right" w:leader="dot" w:pos="7655"/>
      </w:tabs>
      <w:spacing w:before="40" w:after="20" w:line="240" w:lineRule="auto"/>
    </w:pPr>
    <w:rPr>
      <w:rFonts w:eastAsiaTheme="majorEastAsia"/>
      <w:noProof/>
      <w:color w:val="472978" w:themeColor="accent1"/>
    </w:rPr>
  </w:style>
  <w:style w:type="paragraph" w:customStyle="1" w:styleId="HeaderOdd">
    <w:name w:val="Header Odd"/>
    <w:basedOn w:val="Header"/>
    <w:qFormat/>
    <w:rsid w:val="00183AC7"/>
    <w:rPr>
      <w:b/>
    </w:rPr>
  </w:style>
  <w:style w:type="character" w:styleId="PlaceholderText">
    <w:name w:val="Placeholder Text"/>
    <w:basedOn w:val="DefaultParagraphFont"/>
    <w:uiPriority w:val="99"/>
    <w:semiHidden/>
    <w:rsid w:val="00183AC7"/>
    <w:rPr>
      <w:color w:val="808080"/>
    </w:rPr>
  </w:style>
  <w:style w:type="paragraph" w:customStyle="1" w:styleId="Contents">
    <w:name w:val="Contents"/>
    <w:basedOn w:val="Heading1"/>
    <w:rsid w:val="00183AC7"/>
    <w:pPr>
      <w:outlineLvl w:val="9"/>
    </w:pPr>
    <w:rPr>
      <w:color w:val="29114B" w:themeColor="text2"/>
    </w:rPr>
  </w:style>
  <w:style w:type="paragraph" w:customStyle="1" w:styleId="ColumnHeadingLeft">
    <w:name w:val="Column Heading Left"/>
    <w:basedOn w:val="TableTextLeft"/>
    <w:qFormat/>
    <w:rsid w:val="00183AC7"/>
    <w:pPr>
      <w:spacing w:before="40" w:after="40"/>
    </w:pPr>
    <w:rPr>
      <w:b/>
      <w:sz w:val="18"/>
      <w:szCs w:val="18"/>
    </w:rPr>
  </w:style>
  <w:style w:type="character" w:styleId="BookTitle">
    <w:name w:val="Book Title"/>
    <w:basedOn w:val="DefaultParagraphFont"/>
    <w:uiPriority w:val="33"/>
    <w:unhideWhenUsed/>
    <w:qFormat/>
    <w:rsid w:val="00183AC7"/>
    <w:rPr>
      <w:rFonts w:ascii="Arial Nova" w:hAnsi="Arial Nova"/>
      <w:b/>
      <w:bCs/>
      <w:i/>
      <w:iCs/>
      <w:spacing w:val="5"/>
    </w:rPr>
  </w:style>
  <w:style w:type="paragraph" w:customStyle="1" w:styleId="HeaderWhite">
    <w:name w:val="Header White"/>
    <w:basedOn w:val="Header"/>
    <w:qFormat/>
    <w:rsid w:val="00183AC7"/>
    <w:pPr>
      <w:jc w:val="right"/>
    </w:pPr>
    <w:rPr>
      <w:color w:val="FFFFFF" w:themeColor="background1"/>
      <w:lang w:val="en-US"/>
    </w:rPr>
  </w:style>
  <w:style w:type="paragraph" w:customStyle="1" w:styleId="ChapterHeading">
    <w:name w:val="Chapter Heading"/>
    <w:basedOn w:val="Heading1"/>
    <w:qFormat/>
    <w:rsid w:val="00183AC7"/>
    <w:pPr>
      <w:spacing w:before="7440"/>
    </w:pPr>
    <w:rPr>
      <w:color w:val="FFFFFF" w:themeColor="background1"/>
      <w:sz w:val="74"/>
    </w:rPr>
  </w:style>
  <w:style w:type="paragraph" w:customStyle="1" w:styleId="PageNumberWhite">
    <w:name w:val="Page Number White"/>
    <w:basedOn w:val="Footer"/>
    <w:qFormat/>
    <w:rsid w:val="00183AC7"/>
    <w:pPr>
      <w:jc w:val="right"/>
    </w:pPr>
    <w:rPr>
      <w:color w:val="FFFFFF" w:themeColor="background1"/>
    </w:rPr>
  </w:style>
  <w:style w:type="table" w:customStyle="1" w:styleId="AOFMTablemain">
    <w:name w:val="AOFM Table main"/>
    <w:basedOn w:val="TableNormal"/>
    <w:uiPriority w:val="99"/>
    <w:rsid w:val="00183AC7"/>
    <w:rPr>
      <w:rFonts w:eastAsiaTheme="minorHAnsi"/>
      <w:sz w:val="16"/>
    </w:rPr>
    <w:tblPr>
      <w:tblStyleRowBandSize w:val="1"/>
      <w:tblStyleColBandSize w:val="1"/>
      <w:tblBorders>
        <w:bottom w:val="single" w:sz="4" w:space="0" w:color="29114B" w:themeColor="text2"/>
        <w:insideH w:val="single" w:sz="4" w:space="0" w:color="29114B" w:themeColor="text2"/>
        <w:insideV w:val="single" w:sz="4" w:space="0" w:color="29114B" w:themeColor="text2"/>
      </w:tblBorders>
    </w:tblPr>
    <w:tcPr>
      <w:tcMar>
        <w:top w:w="85" w:type="dxa"/>
        <w:bottom w:w="85" w:type="dxa"/>
      </w:tcMar>
    </w:tcPr>
    <w:tblStylePr w:type="firstRow">
      <w:tblPr/>
      <w:tcPr>
        <w:tcBorders>
          <w:top w:val="nil"/>
          <w:left w:val="nil"/>
          <w:bottom w:val="nil"/>
          <w:right w:val="nil"/>
          <w:insideH w:val="nil"/>
          <w:insideV w:val="nil"/>
          <w:tl2br w:val="nil"/>
          <w:tr2bl w:val="nil"/>
        </w:tcBorders>
        <w:shd w:val="clear" w:color="auto" w:fill="472978" w:themeFill="accent1"/>
      </w:tcPr>
    </w:tblStylePr>
    <w:tblStylePr w:type="lastRow">
      <w:rPr>
        <w:b/>
      </w:rPr>
    </w:tblStylePr>
    <w:tblStylePr w:type="band2Horz">
      <w:tblPr/>
      <w:tcPr>
        <w:shd w:val="clear" w:color="auto" w:fill="BDE2F8"/>
      </w:tcPr>
    </w:tblStylePr>
  </w:style>
  <w:style w:type="table" w:styleId="GridTable1Light">
    <w:name w:val="Grid Table 1 Light"/>
    <w:basedOn w:val="TableNormal"/>
    <w:uiPriority w:val="46"/>
    <w:rsid w:val="00183AC7"/>
    <w:rPr>
      <w:rFonts w:eastAsiaTheme="minorHAnsi"/>
      <w:sz w:val="16"/>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ash">
    <w:name w:val="Dash"/>
    <w:basedOn w:val="Normal"/>
    <w:rsid w:val="00183AC7"/>
    <w:pPr>
      <w:tabs>
        <w:tab w:val="num" w:pos="567"/>
      </w:tabs>
      <w:spacing w:line="240" w:lineRule="auto"/>
      <w:ind w:left="568" w:hanging="284"/>
    </w:pPr>
    <w:rPr>
      <w:rFonts w:eastAsia="Times New Roman" w:cs="Times New Roman"/>
      <w:color w:val="auto"/>
      <w:lang w:eastAsia="en-AU"/>
    </w:rPr>
  </w:style>
  <w:style w:type="paragraph" w:customStyle="1" w:styleId="OutlineNumbered1">
    <w:name w:val="Outline Numbered 1"/>
    <w:basedOn w:val="Normal"/>
    <w:link w:val="OutlineNumbered1Char"/>
    <w:rsid w:val="00183AC7"/>
    <w:pPr>
      <w:numPr>
        <w:numId w:val="34"/>
      </w:numPr>
      <w:spacing w:line="240" w:lineRule="auto"/>
    </w:pPr>
    <w:rPr>
      <w:rFonts w:eastAsia="Times New Roman" w:cs="Times New Roman"/>
      <w:color w:val="auto"/>
      <w:lang w:eastAsia="en-AU"/>
    </w:rPr>
  </w:style>
  <w:style w:type="paragraph" w:customStyle="1" w:styleId="OneLevelNumberedParagraph">
    <w:name w:val="One Level Numbered Paragraph"/>
    <w:basedOn w:val="Normal"/>
    <w:rsid w:val="00183AC7"/>
    <w:pPr>
      <w:numPr>
        <w:numId w:val="33"/>
      </w:numPr>
      <w:spacing w:line="240" w:lineRule="auto"/>
      <w:ind w:left="170" w:hanging="170"/>
    </w:pPr>
    <w:rPr>
      <w:rFonts w:eastAsia="Times New Roman" w:cs="Times New Roman"/>
      <w:color w:val="auto"/>
      <w:lang w:eastAsia="en-AU"/>
    </w:rPr>
  </w:style>
  <w:style w:type="paragraph" w:customStyle="1" w:styleId="OutlineNumbered2">
    <w:name w:val="Outline Numbered 2"/>
    <w:basedOn w:val="Normal"/>
    <w:rsid w:val="00183AC7"/>
    <w:pPr>
      <w:numPr>
        <w:ilvl w:val="1"/>
        <w:numId w:val="34"/>
      </w:numPr>
      <w:spacing w:line="240" w:lineRule="auto"/>
    </w:pPr>
    <w:rPr>
      <w:rFonts w:eastAsia="Times New Roman" w:cs="Times New Roman"/>
      <w:color w:val="auto"/>
      <w:lang w:eastAsia="en-AU"/>
    </w:rPr>
  </w:style>
  <w:style w:type="paragraph" w:customStyle="1" w:styleId="OutlineNumbered3">
    <w:name w:val="Outline Numbered 3"/>
    <w:basedOn w:val="Normal"/>
    <w:rsid w:val="00183AC7"/>
    <w:pPr>
      <w:numPr>
        <w:ilvl w:val="2"/>
        <w:numId w:val="34"/>
      </w:numPr>
      <w:spacing w:line="240" w:lineRule="auto"/>
    </w:pPr>
    <w:rPr>
      <w:rFonts w:eastAsia="Times New Roman" w:cs="Times New Roman"/>
      <w:color w:val="auto"/>
      <w:lang w:eastAsia="en-AU"/>
    </w:rPr>
  </w:style>
  <w:style w:type="numbering" w:customStyle="1" w:styleId="OutlineList">
    <w:name w:val="OutlineList"/>
    <w:uiPriority w:val="99"/>
    <w:rsid w:val="00183AC7"/>
    <w:pPr>
      <w:numPr>
        <w:numId w:val="48"/>
      </w:numPr>
    </w:pPr>
  </w:style>
  <w:style w:type="numbering" w:customStyle="1" w:styleId="BulletedList">
    <w:name w:val="Bulleted List"/>
    <w:uiPriority w:val="99"/>
    <w:rsid w:val="00183AC7"/>
    <w:pPr>
      <w:numPr>
        <w:numId w:val="31"/>
      </w:numPr>
    </w:pPr>
  </w:style>
  <w:style w:type="numbering" w:customStyle="1" w:styleId="BoxBulletedList">
    <w:name w:val="Box Bulleted List"/>
    <w:uiPriority w:val="99"/>
    <w:rsid w:val="00183AC7"/>
    <w:pPr>
      <w:numPr>
        <w:numId w:val="35"/>
      </w:numPr>
    </w:pPr>
  </w:style>
  <w:style w:type="numbering" w:customStyle="1" w:styleId="OneLevelList">
    <w:name w:val="OneLevelList"/>
    <w:uiPriority w:val="99"/>
    <w:rsid w:val="00183AC7"/>
    <w:pPr>
      <w:numPr>
        <w:numId w:val="36"/>
      </w:numPr>
    </w:pPr>
  </w:style>
  <w:style w:type="numbering" w:customStyle="1" w:styleId="ChartandTableFootnoteAlphaList">
    <w:name w:val="ChartandTableFootnoteAlphaList"/>
    <w:uiPriority w:val="99"/>
    <w:rsid w:val="00183AC7"/>
    <w:pPr>
      <w:numPr>
        <w:numId w:val="50"/>
      </w:numPr>
    </w:pPr>
  </w:style>
  <w:style w:type="paragraph" w:customStyle="1" w:styleId="OutlineNumberedDot">
    <w:name w:val="Outline Numbered Dot"/>
    <w:basedOn w:val="Bullet"/>
    <w:qFormat/>
    <w:rsid w:val="00183AC7"/>
    <w:pPr>
      <w:tabs>
        <w:tab w:val="num" w:pos="283"/>
      </w:tabs>
      <w:spacing w:line="240" w:lineRule="auto"/>
      <w:ind w:left="851" w:hanging="284"/>
    </w:pPr>
    <w:rPr>
      <w:rFonts w:eastAsia="Times New Roman" w:cs="Times New Roman"/>
      <w:bCs w:val="0"/>
      <w:iCs w:val="0"/>
      <w:color w:val="auto"/>
      <w:lang w:eastAsia="en-AU"/>
    </w:rPr>
  </w:style>
  <w:style w:type="paragraph" w:customStyle="1" w:styleId="OutlineNumberedDash">
    <w:name w:val="Outline Numbered Dash"/>
    <w:basedOn w:val="Dash"/>
    <w:qFormat/>
    <w:rsid w:val="00183AC7"/>
    <w:pPr>
      <w:ind w:left="851"/>
    </w:pPr>
  </w:style>
  <w:style w:type="table" w:styleId="ListTable3-Accent1">
    <w:name w:val="List Table 3 Accent 1"/>
    <w:basedOn w:val="TableNormal"/>
    <w:uiPriority w:val="48"/>
    <w:rsid w:val="006328BC"/>
    <w:rPr>
      <w:rFonts w:asciiTheme="minorHAnsi" w:hAnsiTheme="minorHAnsi" w:cstheme="minorBidi"/>
      <w:color w:val="auto"/>
      <w:sz w:val="24"/>
      <w:szCs w:val="24"/>
    </w:rPr>
    <w:tblPr>
      <w:tblStyleRowBandSize w:val="1"/>
      <w:tblStyleColBandSize w:val="1"/>
      <w:tblBorders>
        <w:top w:val="single" w:sz="4" w:space="0" w:color="472978" w:themeColor="accent1"/>
        <w:left w:val="single" w:sz="4" w:space="0" w:color="472978" w:themeColor="accent1"/>
        <w:bottom w:val="single" w:sz="4" w:space="0" w:color="472978" w:themeColor="accent1"/>
        <w:right w:val="single" w:sz="4" w:space="0" w:color="472978" w:themeColor="accent1"/>
      </w:tblBorders>
    </w:tblPr>
    <w:tblStylePr w:type="firstRow">
      <w:rPr>
        <w:b/>
        <w:bCs/>
        <w:color w:val="FFFFFF" w:themeColor="background1"/>
      </w:rPr>
      <w:tblPr/>
      <w:tcPr>
        <w:shd w:val="clear" w:color="auto" w:fill="472978" w:themeFill="accent1"/>
      </w:tcPr>
    </w:tblStylePr>
    <w:tblStylePr w:type="lastRow">
      <w:rPr>
        <w:b/>
        <w:bCs/>
      </w:rPr>
      <w:tblPr/>
      <w:tcPr>
        <w:tcBorders>
          <w:top w:val="double" w:sz="4" w:space="0" w:color="47297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2978" w:themeColor="accent1"/>
          <w:right w:val="single" w:sz="4" w:space="0" w:color="472978" w:themeColor="accent1"/>
        </w:tcBorders>
      </w:tcPr>
    </w:tblStylePr>
    <w:tblStylePr w:type="band1Horz">
      <w:tblPr/>
      <w:tcPr>
        <w:tcBorders>
          <w:top w:val="single" w:sz="4" w:space="0" w:color="472978" w:themeColor="accent1"/>
          <w:bottom w:val="single" w:sz="4" w:space="0" w:color="47297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2978" w:themeColor="accent1"/>
          <w:left w:val="nil"/>
        </w:tcBorders>
      </w:tcPr>
    </w:tblStylePr>
    <w:tblStylePr w:type="swCell">
      <w:tblPr/>
      <w:tcPr>
        <w:tcBorders>
          <w:top w:val="double" w:sz="4" w:space="0" w:color="472978" w:themeColor="accent1"/>
          <w:right w:val="nil"/>
        </w:tcBorders>
      </w:tcPr>
    </w:tblStylePr>
  </w:style>
  <w:style w:type="table" w:customStyle="1" w:styleId="AOFM-TableHeaderRow2">
    <w:name w:val="AOFM-Table Header Row2"/>
    <w:basedOn w:val="TableNormal"/>
    <w:next w:val="TableGrid"/>
    <w:uiPriority w:val="39"/>
    <w:rsid w:val="00BA0C55"/>
    <w:rPr>
      <w:rFonts w:cstheme="minorBidi"/>
      <w:color w:val="auto"/>
      <w:sz w:val="18"/>
      <w:szCs w:val="24"/>
    </w:rPr>
    <w:tblPr>
      <w:tblStyleRowBandSize w:val="1"/>
      <w:tblBorders>
        <w:top w:val="single" w:sz="4" w:space="0" w:color="C5C2C2" w:themeColor="background2" w:themeShade="D9"/>
        <w:left w:val="single" w:sz="4" w:space="0" w:color="C5C2C2" w:themeColor="background2" w:themeShade="D9"/>
        <w:bottom w:val="single" w:sz="4" w:space="0" w:color="C5C2C2" w:themeColor="background2" w:themeShade="D9"/>
        <w:right w:val="single" w:sz="4" w:space="0" w:color="C5C2C2" w:themeColor="background2" w:themeShade="D9"/>
        <w:insideH w:val="single" w:sz="4" w:space="0" w:color="C5C2C2" w:themeColor="background2" w:themeShade="D9"/>
        <w:insideV w:val="single" w:sz="4" w:space="0" w:color="C5C2C2" w:themeColor="background2" w:themeShade="D9"/>
      </w:tblBorders>
    </w:tblPr>
    <w:tcPr>
      <w:shd w:val="clear" w:color="auto" w:fill="FFFFFF" w:themeFill="background1"/>
      <w:tcMar>
        <w:top w:w="28" w:type="dxa"/>
        <w:left w:w="85" w:type="dxa"/>
        <w:bottom w:w="28" w:type="dxa"/>
        <w:right w:w="85" w:type="dxa"/>
      </w:tcMar>
    </w:tcPr>
    <w:tblStylePr w:type="firstRow">
      <w:rPr>
        <w:rFonts w:ascii="Open Sans Light" w:hAnsi="Open Sans Light"/>
        <w:b/>
        <w:i w:val="0"/>
        <w:sz w:val="19"/>
      </w:rPr>
      <w:tblPr/>
      <w:trPr>
        <w:tblHeader/>
      </w:trPr>
      <w:tcPr>
        <w:tcBorders>
          <w:top w:val="single" w:sz="4" w:space="0" w:color="1B5772" w:themeColor="accent3" w:themeShade="BF"/>
          <w:left w:val="single" w:sz="4" w:space="0" w:color="1B5772" w:themeColor="accent3" w:themeShade="BF"/>
          <w:bottom w:val="single" w:sz="4" w:space="0" w:color="1B5772" w:themeColor="accent3" w:themeShade="BF"/>
          <w:right w:val="single" w:sz="4" w:space="0" w:color="1B5772" w:themeColor="accent3" w:themeShade="BF"/>
          <w:insideH w:val="single" w:sz="4" w:space="0" w:color="1B5772" w:themeColor="accent3" w:themeShade="BF"/>
          <w:insideV w:val="single" w:sz="4" w:space="0" w:color="1B5772" w:themeColor="accent3" w:themeShade="BF"/>
        </w:tcBorders>
        <w:shd w:val="clear" w:color="auto" w:fill="472978" w:themeFill="accent1"/>
      </w:tcPr>
    </w:tblStylePr>
    <w:tblStylePr w:type="band1Horz">
      <w:rPr>
        <w:rFonts w:ascii="Open Sans Light" w:hAnsi="Open Sans Light"/>
        <w:b w:val="0"/>
        <w:i w:val="0"/>
      </w:rPr>
    </w:tblStylePr>
    <w:tblStylePr w:type="band2Horz">
      <w:rPr>
        <w:rFonts w:ascii="Open Sans Light" w:hAnsi="Open Sans Light"/>
        <w:b w:val="0"/>
        <w:i w:val="0"/>
      </w:rPr>
    </w:tblStylePr>
  </w:style>
  <w:style w:type="table" w:customStyle="1" w:styleId="AOFM-TableHeaderRow1">
    <w:name w:val="AOFM-Table Header Row1"/>
    <w:basedOn w:val="TableNormal"/>
    <w:next w:val="TableGrid"/>
    <w:uiPriority w:val="39"/>
    <w:rsid w:val="00920159"/>
    <w:rPr>
      <w:rFonts w:ascii="Open Sans" w:hAnsi="Open Sans" w:cstheme="minorBidi"/>
      <w:color w:val="auto"/>
      <w:sz w:val="19"/>
      <w:szCs w:val="24"/>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Mar>
        <w:top w:w="28" w:type="dxa"/>
        <w:left w:w="85" w:type="dxa"/>
        <w:bottom w:w="28" w:type="dxa"/>
        <w:right w:w="85" w:type="dxa"/>
      </w:tcMar>
    </w:tcPr>
    <w:tblStylePr w:type="firstRow">
      <w:tblPr/>
      <w:tcPr>
        <w:shd w:val="clear" w:color="auto" w:fill="CC4051" w:themeFill="accent2"/>
      </w:tcPr>
    </w:tblStylePr>
    <w:tblStylePr w:type="band1Horz">
      <w:rPr>
        <w:rFonts w:ascii="Open Sans Light" w:hAnsi="Open Sans Light"/>
        <w:b w:val="0"/>
        <w:i w:val="0"/>
      </w:rPr>
    </w:tblStylePr>
    <w:tblStylePr w:type="band2Horz">
      <w:rPr>
        <w:rFonts w:ascii="Open Sans Light" w:hAnsi="Open Sans Light"/>
        <w:b w:val="0"/>
        <w:i w:val="0"/>
      </w:rPr>
    </w:tblStylePr>
  </w:style>
  <w:style w:type="paragraph" w:customStyle="1" w:styleId="TableColumnHeadingLeftWhite">
    <w:name w:val="Table Column Heading Left White"/>
    <w:basedOn w:val="TableColumnHeadingLeft"/>
    <w:qFormat/>
    <w:rsid w:val="00D02852"/>
    <w:rPr>
      <w:rFonts w:ascii="Open Sans" w:eastAsia="Times New Roman" w:hAnsi="Open Sans" w:cs="Times New Roman"/>
    </w:rPr>
  </w:style>
  <w:style w:type="character" w:customStyle="1" w:styleId="Bold">
    <w:name w:val="Bold"/>
    <w:basedOn w:val="DefaultParagraphFont"/>
    <w:rsid w:val="007F146B"/>
    <w:rPr>
      <w:rFonts w:ascii="Open Sans" w:hAnsi="Open Sans"/>
      <w:b/>
      <w:i w:val="0"/>
    </w:rPr>
  </w:style>
  <w:style w:type="character" w:customStyle="1" w:styleId="italic">
    <w:name w:val="italic"/>
    <w:basedOn w:val="DefaultParagraphFont"/>
    <w:rsid w:val="007F146B"/>
    <w:rPr>
      <w:i/>
    </w:rPr>
  </w:style>
  <w:style w:type="table" w:styleId="GridTable1Light-Accent1">
    <w:name w:val="Grid Table 1 Light Accent 1"/>
    <w:basedOn w:val="TableNormal"/>
    <w:uiPriority w:val="46"/>
    <w:rsid w:val="007F146B"/>
    <w:tblPr>
      <w:tblStyleRowBandSize w:val="1"/>
      <w:tblStyleColBandSize w:val="1"/>
      <w:tblBorders>
        <w:top w:val="single" w:sz="4" w:space="0" w:color="B096DB" w:themeColor="accent1" w:themeTint="66"/>
        <w:left w:val="single" w:sz="4" w:space="0" w:color="B096DB" w:themeColor="accent1" w:themeTint="66"/>
        <w:bottom w:val="single" w:sz="4" w:space="0" w:color="B096DB" w:themeColor="accent1" w:themeTint="66"/>
        <w:right w:val="single" w:sz="4" w:space="0" w:color="B096DB" w:themeColor="accent1" w:themeTint="66"/>
        <w:insideH w:val="single" w:sz="4" w:space="0" w:color="B096DB" w:themeColor="accent1" w:themeTint="66"/>
        <w:insideV w:val="single" w:sz="4" w:space="0" w:color="B096DB" w:themeColor="accent1" w:themeTint="66"/>
      </w:tblBorders>
    </w:tblPr>
    <w:tblStylePr w:type="firstRow">
      <w:rPr>
        <w:b/>
        <w:bCs/>
      </w:rPr>
      <w:tblPr/>
      <w:tcPr>
        <w:tcBorders>
          <w:bottom w:val="single" w:sz="12" w:space="0" w:color="8962C9" w:themeColor="accent1" w:themeTint="99"/>
        </w:tcBorders>
      </w:tcPr>
    </w:tblStylePr>
    <w:tblStylePr w:type="lastRow">
      <w:rPr>
        <w:b/>
        <w:bCs/>
      </w:rPr>
      <w:tblPr/>
      <w:tcPr>
        <w:tcBorders>
          <w:top w:val="double" w:sz="2" w:space="0" w:color="8962C9" w:themeColor="accent1" w:themeTint="99"/>
        </w:tcBorders>
      </w:tcPr>
    </w:tblStylePr>
    <w:tblStylePr w:type="firstCol">
      <w:rPr>
        <w:b/>
        <w:bCs/>
      </w:rPr>
    </w:tblStylePr>
    <w:tblStylePr w:type="lastCol">
      <w:rPr>
        <w:b/>
        <w:bCs/>
      </w:rPr>
    </w:tblStylePr>
  </w:style>
  <w:style w:type="paragraph" w:customStyle="1" w:styleId="SingleReturn">
    <w:name w:val="Single Return"/>
    <w:basedOn w:val="FootnoteList"/>
    <w:rsid w:val="00C9692F"/>
    <w:pPr>
      <w:keepLines/>
      <w:numPr>
        <w:numId w:val="0"/>
      </w:numPr>
      <w:spacing w:before="0" w:after="0" w:line="250" w:lineRule="auto"/>
      <w:ind w:left="284" w:hanging="284"/>
    </w:pPr>
    <w:rPr>
      <w:rFonts w:ascii="Open Sans" w:eastAsia="Times New Roman" w:hAnsi="Open Sans"/>
      <w:color w:val="000000"/>
      <w:lang w:eastAsia="en-GB"/>
    </w:rPr>
  </w:style>
  <w:style w:type="paragraph" w:customStyle="1" w:styleId="BodyText1">
    <w:name w:val="Body Text1"/>
    <w:basedOn w:val="Normal"/>
    <w:link w:val="BodyText1Char"/>
    <w:rsid w:val="004F0185"/>
    <w:pPr>
      <w:suppressAutoHyphens/>
      <w:autoSpaceDE w:val="0"/>
      <w:autoSpaceDN w:val="0"/>
      <w:adjustRightInd w:val="0"/>
      <w:spacing w:after="142" w:line="260" w:lineRule="atLeast"/>
      <w:textAlignment w:val="center"/>
    </w:pPr>
    <w:rPr>
      <w:rFonts w:ascii="Open Sans" w:eastAsia="DengXian" w:hAnsi="Open Sans"/>
      <w:color w:val="000000"/>
      <w:lang w:val="en-US" w:eastAsia="zh-CN"/>
    </w:rPr>
  </w:style>
  <w:style w:type="character" w:customStyle="1" w:styleId="BodyText1Char">
    <w:name w:val="Body Text1 Char"/>
    <w:basedOn w:val="DefaultParagraphFont"/>
    <w:link w:val="BodyText1"/>
    <w:rsid w:val="004F0185"/>
    <w:rPr>
      <w:rFonts w:ascii="Open Sans" w:eastAsia="DengXian" w:hAnsi="Open Sans"/>
      <w:color w:val="000000"/>
      <w:lang w:val="en-US" w:eastAsia="zh-CN"/>
    </w:rPr>
  </w:style>
  <w:style w:type="paragraph" w:customStyle="1" w:styleId="paragraph">
    <w:name w:val="paragraph"/>
    <w:basedOn w:val="Normal"/>
    <w:rsid w:val="000C34E7"/>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0C34E7"/>
  </w:style>
  <w:style w:type="character" w:customStyle="1" w:styleId="eop">
    <w:name w:val="eop"/>
    <w:basedOn w:val="DefaultParagraphFont"/>
    <w:rsid w:val="000C34E7"/>
  </w:style>
  <w:style w:type="character" w:customStyle="1" w:styleId="cf01">
    <w:name w:val="cf01"/>
    <w:basedOn w:val="DefaultParagraphFont"/>
    <w:rsid w:val="00A75EE8"/>
    <w:rPr>
      <w:rFonts w:ascii="Segoe UI" w:hAnsi="Segoe UI" w:cs="Segoe UI" w:hint="default"/>
      <w:sz w:val="18"/>
      <w:szCs w:val="18"/>
    </w:rPr>
  </w:style>
  <w:style w:type="table" w:styleId="ListTable2-Accent1">
    <w:name w:val="List Table 2 Accent 1"/>
    <w:basedOn w:val="TableNormal"/>
    <w:uiPriority w:val="47"/>
    <w:rsid w:val="00BE073A"/>
    <w:tblPr>
      <w:tblStyleRowBandSize w:val="1"/>
      <w:tblStyleColBandSize w:val="1"/>
      <w:tblBorders>
        <w:top w:val="single" w:sz="4" w:space="0" w:color="8962C9" w:themeColor="accent1" w:themeTint="99"/>
        <w:bottom w:val="single" w:sz="4" w:space="0" w:color="8962C9" w:themeColor="accent1" w:themeTint="99"/>
        <w:insideH w:val="single" w:sz="4" w:space="0" w:color="8962C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CAED" w:themeFill="accent1" w:themeFillTint="33"/>
      </w:tcPr>
    </w:tblStylePr>
    <w:tblStylePr w:type="band1Horz">
      <w:tblPr/>
      <w:tcPr>
        <w:shd w:val="clear" w:color="auto" w:fill="D7CAED" w:themeFill="accent1" w:themeFillTint="33"/>
      </w:tcPr>
    </w:tblStylePr>
  </w:style>
  <w:style w:type="table" w:styleId="GridTable4-Accent1">
    <w:name w:val="Grid Table 4 Accent 1"/>
    <w:basedOn w:val="TableNormal"/>
    <w:uiPriority w:val="49"/>
    <w:rsid w:val="00BE073A"/>
    <w:tblPr>
      <w:tblStyleRowBandSize w:val="1"/>
      <w:tblStyleColBandSize w:val="1"/>
      <w:tblBorders>
        <w:top w:val="single" w:sz="4" w:space="0" w:color="8962C9" w:themeColor="accent1" w:themeTint="99"/>
        <w:left w:val="single" w:sz="4" w:space="0" w:color="8962C9" w:themeColor="accent1" w:themeTint="99"/>
        <w:bottom w:val="single" w:sz="4" w:space="0" w:color="8962C9" w:themeColor="accent1" w:themeTint="99"/>
        <w:right w:val="single" w:sz="4" w:space="0" w:color="8962C9" w:themeColor="accent1" w:themeTint="99"/>
        <w:insideH w:val="single" w:sz="4" w:space="0" w:color="8962C9" w:themeColor="accent1" w:themeTint="99"/>
        <w:insideV w:val="single" w:sz="4" w:space="0" w:color="8962C9" w:themeColor="accent1" w:themeTint="99"/>
      </w:tblBorders>
    </w:tblPr>
    <w:tblStylePr w:type="firstRow">
      <w:rPr>
        <w:b/>
        <w:bCs/>
        <w:color w:val="FFFFFF" w:themeColor="background1"/>
      </w:rPr>
      <w:tblPr/>
      <w:tcPr>
        <w:tcBorders>
          <w:top w:val="single" w:sz="4" w:space="0" w:color="472978" w:themeColor="accent1"/>
          <w:left w:val="single" w:sz="4" w:space="0" w:color="472978" w:themeColor="accent1"/>
          <w:bottom w:val="single" w:sz="4" w:space="0" w:color="472978" w:themeColor="accent1"/>
          <w:right w:val="single" w:sz="4" w:space="0" w:color="472978" w:themeColor="accent1"/>
          <w:insideH w:val="nil"/>
          <w:insideV w:val="nil"/>
        </w:tcBorders>
        <w:shd w:val="clear" w:color="auto" w:fill="472978" w:themeFill="accent1"/>
      </w:tcPr>
    </w:tblStylePr>
    <w:tblStylePr w:type="lastRow">
      <w:rPr>
        <w:b/>
        <w:bCs/>
      </w:rPr>
      <w:tblPr/>
      <w:tcPr>
        <w:tcBorders>
          <w:top w:val="double" w:sz="4" w:space="0" w:color="472978" w:themeColor="accent1"/>
        </w:tcBorders>
      </w:tcPr>
    </w:tblStylePr>
    <w:tblStylePr w:type="firstCol">
      <w:rPr>
        <w:b/>
        <w:bCs/>
      </w:rPr>
    </w:tblStylePr>
    <w:tblStylePr w:type="lastCol">
      <w:rPr>
        <w:b/>
        <w:bCs/>
      </w:rPr>
    </w:tblStylePr>
    <w:tblStylePr w:type="band1Vert">
      <w:tblPr/>
      <w:tcPr>
        <w:shd w:val="clear" w:color="auto" w:fill="D7CAED" w:themeFill="accent1" w:themeFillTint="33"/>
      </w:tcPr>
    </w:tblStylePr>
    <w:tblStylePr w:type="band1Horz">
      <w:tblPr/>
      <w:tcPr>
        <w:shd w:val="clear" w:color="auto" w:fill="D7CAED" w:themeFill="accent1" w:themeFillTint="33"/>
      </w:tcPr>
    </w:tblStylePr>
  </w:style>
  <w:style w:type="table" w:customStyle="1" w:styleId="AOFM-TableHeaderRow11">
    <w:name w:val="AOFM-Table Header Row11"/>
    <w:basedOn w:val="TableNormal"/>
    <w:next w:val="TableGrid"/>
    <w:uiPriority w:val="39"/>
    <w:rsid w:val="009301C6"/>
    <w:rPr>
      <w:rFonts w:ascii="Open Sans" w:hAnsi="Open Sans" w:cstheme="minorBidi"/>
      <w:color w:val="auto"/>
      <w:sz w:val="19"/>
      <w:szCs w:val="24"/>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Mar>
        <w:top w:w="28" w:type="dxa"/>
        <w:left w:w="85" w:type="dxa"/>
        <w:bottom w:w="28" w:type="dxa"/>
        <w:right w:w="85" w:type="dxa"/>
      </w:tcMar>
    </w:tcPr>
    <w:tblStylePr w:type="firstRow">
      <w:tblPr/>
      <w:tcPr>
        <w:shd w:val="clear" w:color="auto" w:fill="CC4051" w:themeFill="accent2"/>
      </w:tcPr>
    </w:tblStylePr>
    <w:tblStylePr w:type="band1Horz">
      <w:rPr>
        <w:rFonts w:ascii="Open Sans Light" w:hAnsi="Open Sans Light"/>
        <w:b w:val="0"/>
        <w:i w:val="0"/>
      </w:rPr>
    </w:tblStylePr>
    <w:tblStylePr w:type="band2Horz">
      <w:rPr>
        <w:rFonts w:ascii="Open Sans Light" w:hAnsi="Open Sans Light"/>
        <w:b w:val="0"/>
        <w:i w:val="0"/>
      </w:rPr>
    </w:tblStylePr>
  </w:style>
  <w:style w:type="table" w:customStyle="1" w:styleId="AOFM-TableHeaderRow12">
    <w:name w:val="AOFM-Table Header Row12"/>
    <w:basedOn w:val="TableNormal"/>
    <w:next w:val="TableGrid"/>
    <w:uiPriority w:val="39"/>
    <w:rsid w:val="006F098D"/>
    <w:rPr>
      <w:rFonts w:ascii="Open Sans" w:hAnsi="Open Sans" w:cs="Arial"/>
      <w:color w:val="auto"/>
      <w:sz w:val="19"/>
      <w:szCs w:val="24"/>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Mar>
        <w:top w:w="28" w:type="dxa"/>
        <w:left w:w="85" w:type="dxa"/>
        <w:bottom w:w="28" w:type="dxa"/>
        <w:right w:w="85" w:type="dxa"/>
      </w:tcMar>
    </w:tcPr>
    <w:tblStylePr w:type="firstRow">
      <w:tblPr/>
      <w:tcPr>
        <w:shd w:val="clear" w:color="auto" w:fill="295B7F"/>
      </w:tcPr>
    </w:tblStylePr>
    <w:tblStylePr w:type="band1Horz">
      <w:rPr>
        <w:rFonts w:ascii="Open Sans Light" w:hAnsi="Open Sans Light"/>
        <w:b w:val="0"/>
        <w:i w:val="0"/>
      </w:rPr>
    </w:tblStylePr>
    <w:tblStylePr w:type="band2Horz">
      <w:rPr>
        <w:rFonts w:ascii="Open Sans Light" w:hAnsi="Open Sans Light"/>
        <w:b w:val="0"/>
        <w:i w:val="0"/>
      </w:rPr>
    </w:tblStylePr>
  </w:style>
  <w:style w:type="table" w:styleId="GridTable4-Accent2">
    <w:name w:val="Grid Table 4 Accent 2"/>
    <w:basedOn w:val="TableNormal"/>
    <w:uiPriority w:val="49"/>
    <w:rsid w:val="0061234F"/>
    <w:rPr>
      <w:rFonts w:asciiTheme="minorHAnsi" w:hAnsiTheme="minorHAnsi" w:cstheme="minorBidi"/>
      <w:color w:val="auto"/>
      <w:sz w:val="22"/>
      <w:szCs w:val="22"/>
    </w:rPr>
    <w:tblPr>
      <w:tblStyleRowBandSize w:val="1"/>
      <w:tblStyleColBandSize w:val="1"/>
      <w:tblBorders>
        <w:top w:val="single" w:sz="4" w:space="0" w:color="E08C96" w:themeColor="accent2" w:themeTint="99"/>
        <w:left w:val="single" w:sz="4" w:space="0" w:color="E08C96" w:themeColor="accent2" w:themeTint="99"/>
        <w:bottom w:val="single" w:sz="4" w:space="0" w:color="E08C96" w:themeColor="accent2" w:themeTint="99"/>
        <w:right w:val="single" w:sz="4" w:space="0" w:color="E08C96" w:themeColor="accent2" w:themeTint="99"/>
        <w:insideH w:val="single" w:sz="4" w:space="0" w:color="E08C96" w:themeColor="accent2" w:themeTint="99"/>
        <w:insideV w:val="single" w:sz="4" w:space="0" w:color="E08C96" w:themeColor="accent2" w:themeTint="99"/>
      </w:tblBorders>
    </w:tblPr>
    <w:tblStylePr w:type="firstRow">
      <w:rPr>
        <w:b/>
        <w:bCs/>
        <w:color w:val="FFFFFF" w:themeColor="background1"/>
      </w:rPr>
      <w:tblPr/>
      <w:tcPr>
        <w:tcBorders>
          <w:top w:val="single" w:sz="4" w:space="0" w:color="CC4051" w:themeColor="accent2"/>
          <w:left w:val="single" w:sz="4" w:space="0" w:color="CC4051" w:themeColor="accent2"/>
          <w:bottom w:val="single" w:sz="4" w:space="0" w:color="CC4051" w:themeColor="accent2"/>
          <w:right w:val="single" w:sz="4" w:space="0" w:color="CC4051" w:themeColor="accent2"/>
          <w:insideH w:val="nil"/>
          <w:insideV w:val="nil"/>
        </w:tcBorders>
        <w:shd w:val="clear" w:color="auto" w:fill="CC4051" w:themeFill="accent2"/>
      </w:tcPr>
    </w:tblStylePr>
    <w:tblStylePr w:type="lastRow">
      <w:rPr>
        <w:b/>
        <w:bCs/>
      </w:rPr>
      <w:tblPr/>
      <w:tcPr>
        <w:tcBorders>
          <w:top w:val="double" w:sz="4" w:space="0" w:color="CC4051" w:themeColor="accent2"/>
        </w:tcBorders>
      </w:tcPr>
    </w:tblStylePr>
    <w:tblStylePr w:type="firstCol">
      <w:rPr>
        <w:b/>
        <w:bCs/>
      </w:rPr>
    </w:tblStylePr>
    <w:tblStylePr w:type="lastCol">
      <w:rPr>
        <w:b/>
        <w:bCs/>
      </w:rPr>
    </w:tblStylePr>
    <w:tblStylePr w:type="band1Vert">
      <w:tblPr/>
      <w:tcPr>
        <w:shd w:val="clear" w:color="auto" w:fill="F4D8DB" w:themeFill="accent2" w:themeFillTint="33"/>
      </w:tcPr>
    </w:tblStylePr>
    <w:tblStylePr w:type="band1Horz">
      <w:tblPr/>
      <w:tcPr>
        <w:shd w:val="clear" w:color="auto" w:fill="F4D8DB" w:themeFill="accent2" w:themeFillTint="33"/>
      </w:tcPr>
    </w:tblStylePr>
  </w:style>
  <w:style w:type="table" w:styleId="GridTable7Colorful-Accent1">
    <w:name w:val="Grid Table 7 Colorful Accent 1"/>
    <w:basedOn w:val="TableNormal"/>
    <w:uiPriority w:val="52"/>
    <w:rsid w:val="00C64738"/>
    <w:rPr>
      <w:color w:val="341E59" w:themeColor="accent1" w:themeShade="BF"/>
    </w:rPr>
    <w:tblPr>
      <w:tblStyleRowBandSize w:val="1"/>
      <w:tblStyleColBandSize w:val="1"/>
      <w:tblBorders>
        <w:top w:val="single" w:sz="4" w:space="0" w:color="8962C9" w:themeColor="accent1" w:themeTint="99"/>
        <w:left w:val="single" w:sz="4" w:space="0" w:color="8962C9" w:themeColor="accent1" w:themeTint="99"/>
        <w:bottom w:val="single" w:sz="4" w:space="0" w:color="8962C9" w:themeColor="accent1" w:themeTint="99"/>
        <w:right w:val="single" w:sz="4" w:space="0" w:color="8962C9" w:themeColor="accent1" w:themeTint="99"/>
        <w:insideH w:val="single" w:sz="4" w:space="0" w:color="8962C9" w:themeColor="accent1" w:themeTint="99"/>
        <w:insideV w:val="single" w:sz="4" w:space="0" w:color="8962C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CAED" w:themeFill="accent1" w:themeFillTint="33"/>
      </w:tcPr>
    </w:tblStylePr>
    <w:tblStylePr w:type="band1Horz">
      <w:tblPr/>
      <w:tcPr>
        <w:shd w:val="clear" w:color="auto" w:fill="D7CAED" w:themeFill="accent1" w:themeFillTint="33"/>
      </w:tcPr>
    </w:tblStylePr>
    <w:tblStylePr w:type="neCell">
      <w:tblPr/>
      <w:tcPr>
        <w:tcBorders>
          <w:bottom w:val="single" w:sz="4" w:space="0" w:color="8962C9" w:themeColor="accent1" w:themeTint="99"/>
        </w:tcBorders>
      </w:tcPr>
    </w:tblStylePr>
    <w:tblStylePr w:type="nwCell">
      <w:tblPr/>
      <w:tcPr>
        <w:tcBorders>
          <w:bottom w:val="single" w:sz="4" w:space="0" w:color="8962C9" w:themeColor="accent1" w:themeTint="99"/>
        </w:tcBorders>
      </w:tcPr>
    </w:tblStylePr>
    <w:tblStylePr w:type="seCell">
      <w:tblPr/>
      <w:tcPr>
        <w:tcBorders>
          <w:top w:val="single" w:sz="4" w:space="0" w:color="8962C9" w:themeColor="accent1" w:themeTint="99"/>
        </w:tcBorders>
      </w:tcPr>
    </w:tblStylePr>
    <w:tblStylePr w:type="swCell">
      <w:tblPr/>
      <w:tcPr>
        <w:tcBorders>
          <w:top w:val="single" w:sz="4" w:space="0" w:color="8962C9" w:themeColor="accent1" w:themeTint="99"/>
        </w:tcBorders>
      </w:tcPr>
    </w:tblStylePr>
  </w:style>
  <w:style w:type="table" w:styleId="GridTable5Dark-Accent1">
    <w:name w:val="Grid Table 5 Dark Accent 1"/>
    <w:basedOn w:val="TableNormal"/>
    <w:uiPriority w:val="50"/>
    <w:rsid w:val="00F74CD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CA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29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29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29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2978" w:themeFill="accent1"/>
      </w:tcPr>
    </w:tblStylePr>
    <w:tblStylePr w:type="band1Vert">
      <w:tblPr/>
      <w:tcPr>
        <w:shd w:val="clear" w:color="auto" w:fill="B096DB" w:themeFill="accent1" w:themeFillTint="66"/>
      </w:tcPr>
    </w:tblStylePr>
    <w:tblStylePr w:type="band1Horz">
      <w:tblPr/>
      <w:tcPr>
        <w:shd w:val="clear" w:color="auto" w:fill="B096DB" w:themeFill="accent1" w:themeFillTint="66"/>
      </w:tcPr>
    </w:tblStylePr>
  </w:style>
  <w:style w:type="paragraph" w:customStyle="1" w:styleId="pf0">
    <w:name w:val="pf0"/>
    <w:basedOn w:val="Normal"/>
    <w:rsid w:val="00366ED9"/>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table" w:customStyle="1" w:styleId="AOFM-TableHeaderRow13">
    <w:name w:val="AOFM-Table Header Row13"/>
    <w:basedOn w:val="TableNormal"/>
    <w:next w:val="TableGrid"/>
    <w:uiPriority w:val="39"/>
    <w:rsid w:val="00ED2E4A"/>
    <w:rPr>
      <w:rFonts w:ascii="Open Sans" w:hAnsi="Open Sans" w:cs="Arial"/>
      <w:color w:val="auto"/>
      <w:sz w:val="19"/>
      <w:szCs w:val="24"/>
    </w:rPr>
    <w:tblPr>
      <w:tblStyleRow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Mar>
        <w:top w:w="28" w:type="dxa"/>
        <w:left w:w="85" w:type="dxa"/>
        <w:bottom w:w="28" w:type="dxa"/>
        <w:right w:w="85" w:type="dxa"/>
      </w:tcMar>
    </w:tcPr>
    <w:tblStylePr w:type="firstRow">
      <w:tblPr/>
      <w:tcPr>
        <w:shd w:val="clear" w:color="auto" w:fill="295B7F"/>
      </w:tcPr>
    </w:tblStylePr>
    <w:tblStylePr w:type="band1Horz">
      <w:rPr>
        <w:rFonts w:ascii="Open Sans Light" w:hAnsi="Open Sans Light"/>
        <w:b w:val="0"/>
        <w:i w:val="0"/>
      </w:rPr>
    </w:tblStylePr>
    <w:tblStylePr w:type="band2Horz">
      <w:rPr>
        <w:rFonts w:ascii="Open Sans Light" w:hAnsi="Open Sans Light"/>
        <w:b w:val="0"/>
        <w:i w:val="0"/>
      </w:rPr>
    </w:tblStylePr>
  </w:style>
  <w:style w:type="paragraph" w:customStyle="1" w:styleId="FooterOdd">
    <w:name w:val="Footer Odd"/>
    <w:basedOn w:val="Footer"/>
    <w:rsid w:val="003C623B"/>
    <w:pPr>
      <w:keepNext/>
      <w:tabs>
        <w:tab w:val="clear" w:pos="7710"/>
      </w:tabs>
      <w:spacing w:after="0" w:line="240" w:lineRule="auto"/>
      <w:jc w:val="right"/>
    </w:pPr>
    <w:rPr>
      <w:rFonts w:eastAsia="Times New Roman" w:cs="Times New Roman"/>
      <w:sz w:val="20"/>
      <w:lang w:eastAsia="en-AU"/>
    </w:rPr>
  </w:style>
  <w:style w:type="character" w:customStyle="1" w:styleId="OutlineNumbered1Char">
    <w:name w:val="Outline Numbered 1 Char"/>
    <w:basedOn w:val="DefaultParagraphFont"/>
    <w:link w:val="OutlineNumbered1"/>
    <w:rsid w:val="008A6ADC"/>
    <w:rPr>
      <w:rFonts w:eastAsia="Times New Roman" w:cs="Times New Roman"/>
      <w:color w:val="auto"/>
      <w:lang w:eastAsia="en-AU"/>
    </w:rPr>
  </w:style>
  <w:style w:type="paragraph" w:customStyle="1" w:styleId="BoxBullet">
    <w:name w:val="Box Bullet"/>
    <w:basedOn w:val="Normal"/>
    <w:rsid w:val="00183AC7"/>
    <w:pPr>
      <w:numPr>
        <w:numId w:val="32"/>
      </w:numPr>
      <w:spacing w:line="240" w:lineRule="auto"/>
      <w:ind w:left="284" w:hanging="284"/>
    </w:pPr>
    <w:rPr>
      <w:rFonts w:ascii="Calibri" w:eastAsia="Times New Roman" w:hAnsi="Calibri" w:cs="Times New Roman"/>
      <w:color w:val="auto"/>
      <w:sz w:val="22"/>
      <w:lang w:eastAsia="en-AU"/>
    </w:rPr>
  </w:style>
  <w:style w:type="table" w:styleId="PlainTable1">
    <w:name w:val="Plain Table 1"/>
    <w:basedOn w:val="TableNormal"/>
    <w:uiPriority w:val="41"/>
    <w:rsid w:val="00183AC7"/>
    <w:rPr>
      <w:rFonts w:eastAsiaTheme="minorHAnsi"/>
      <w:sz w:val="16"/>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183AC7"/>
    <w:rPr>
      <w:rFonts w:eastAsiaTheme="minorHAnsi"/>
      <w:sz w:val="1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xSecondHeading">
    <w:name w:val="Box Second Heading"/>
    <w:basedOn w:val="BoxText"/>
    <w:qFormat/>
    <w:rsid w:val="008B66E5"/>
    <w:pPr>
      <w:spacing w:after="6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037">
      <w:bodyDiv w:val="1"/>
      <w:marLeft w:val="0"/>
      <w:marRight w:val="0"/>
      <w:marTop w:val="0"/>
      <w:marBottom w:val="0"/>
      <w:divBdr>
        <w:top w:val="none" w:sz="0" w:space="0" w:color="auto"/>
        <w:left w:val="none" w:sz="0" w:space="0" w:color="auto"/>
        <w:bottom w:val="none" w:sz="0" w:space="0" w:color="auto"/>
        <w:right w:val="none" w:sz="0" w:space="0" w:color="auto"/>
      </w:divBdr>
    </w:div>
    <w:div w:id="10574652">
      <w:bodyDiv w:val="1"/>
      <w:marLeft w:val="0"/>
      <w:marRight w:val="0"/>
      <w:marTop w:val="0"/>
      <w:marBottom w:val="0"/>
      <w:divBdr>
        <w:top w:val="none" w:sz="0" w:space="0" w:color="auto"/>
        <w:left w:val="none" w:sz="0" w:space="0" w:color="auto"/>
        <w:bottom w:val="none" w:sz="0" w:space="0" w:color="auto"/>
        <w:right w:val="none" w:sz="0" w:space="0" w:color="auto"/>
      </w:divBdr>
    </w:div>
    <w:div w:id="11030161">
      <w:bodyDiv w:val="1"/>
      <w:marLeft w:val="0"/>
      <w:marRight w:val="0"/>
      <w:marTop w:val="0"/>
      <w:marBottom w:val="0"/>
      <w:divBdr>
        <w:top w:val="none" w:sz="0" w:space="0" w:color="auto"/>
        <w:left w:val="none" w:sz="0" w:space="0" w:color="auto"/>
        <w:bottom w:val="none" w:sz="0" w:space="0" w:color="auto"/>
        <w:right w:val="none" w:sz="0" w:space="0" w:color="auto"/>
      </w:divBdr>
    </w:div>
    <w:div w:id="16808279">
      <w:bodyDiv w:val="1"/>
      <w:marLeft w:val="0"/>
      <w:marRight w:val="0"/>
      <w:marTop w:val="0"/>
      <w:marBottom w:val="0"/>
      <w:divBdr>
        <w:top w:val="none" w:sz="0" w:space="0" w:color="auto"/>
        <w:left w:val="none" w:sz="0" w:space="0" w:color="auto"/>
        <w:bottom w:val="none" w:sz="0" w:space="0" w:color="auto"/>
        <w:right w:val="none" w:sz="0" w:space="0" w:color="auto"/>
      </w:divBdr>
    </w:div>
    <w:div w:id="35279700">
      <w:bodyDiv w:val="1"/>
      <w:marLeft w:val="0"/>
      <w:marRight w:val="0"/>
      <w:marTop w:val="0"/>
      <w:marBottom w:val="0"/>
      <w:divBdr>
        <w:top w:val="none" w:sz="0" w:space="0" w:color="auto"/>
        <w:left w:val="none" w:sz="0" w:space="0" w:color="auto"/>
        <w:bottom w:val="none" w:sz="0" w:space="0" w:color="auto"/>
        <w:right w:val="none" w:sz="0" w:space="0" w:color="auto"/>
      </w:divBdr>
    </w:div>
    <w:div w:id="41641073">
      <w:bodyDiv w:val="1"/>
      <w:marLeft w:val="0"/>
      <w:marRight w:val="0"/>
      <w:marTop w:val="0"/>
      <w:marBottom w:val="0"/>
      <w:divBdr>
        <w:top w:val="none" w:sz="0" w:space="0" w:color="auto"/>
        <w:left w:val="none" w:sz="0" w:space="0" w:color="auto"/>
        <w:bottom w:val="none" w:sz="0" w:space="0" w:color="auto"/>
        <w:right w:val="none" w:sz="0" w:space="0" w:color="auto"/>
      </w:divBdr>
    </w:div>
    <w:div w:id="47606142">
      <w:bodyDiv w:val="1"/>
      <w:marLeft w:val="0"/>
      <w:marRight w:val="0"/>
      <w:marTop w:val="0"/>
      <w:marBottom w:val="0"/>
      <w:divBdr>
        <w:top w:val="none" w:sz="0" w:space="0" w:color="auto"/>
        <w:left w:val="none" w:sz="0" w:space="0" w:color="auto"/>
        <w:bottom w:val="none" w:sz="0" w:space="0" w:color="auto"/>
        <w:right w:val="none" w:sz="0" w:space="0" w:color="auto"/>
      </w:divBdr>
    </w:div>
    <w:div w:id="47606655">
      <w:bodyDiv w:val="1"/>
      <w:marLeft w:val="0"/>
      <w:marRight w:val="0"/>
      <w:marTop w:val="0"/>
      <w:marBottom w:val="0"/>
      <w:divBdr>
        <w:top w:val="none" w:sz="0" w:space="0" w:color="auto"/>
        <w:left w:val="none" w:sz="0" w:space="0" w:color="auto"/>
        <w:bottom w:val="none" w:sz="0" w:space="0" w:color="auto"/>
        <w:right w:val="none" w:sz="0" w:space="0" w:color="auto"/>
      </w:divBdr>
    </w:div>
    <w:div w:id="47921674">
      <w:bodyDiv w:val="1"/>
      <w:marLeft w:val="0"/>
      <w:marRight w:val="0"/>
      <w:marTop w:val="0"/>
      <w:marBottom w:val="0"/>
      <w:divBdr>
        <w:top w:val="none" w:sz="0" w:space="0" w:color="auto"/>
        <w:left w:val="none" w:sz="0" w:space="0" w:color="auto"/>
        <w:bottom w:val="none" w:sz="0" w:space="0" w:color="auto"/>
        <w:right w:val="none" w:sz="0" w:space="0" w:color="auto"/>
      </w:divBdr>
    </w:div>
    <w:div w:id="51583610">
      <w:bodyDiv w:val="1"/>
      <w:marLeft w:val="0"/>
      <w:marRight w:val="0"/>
      <w:marTop w:val="0"/>
      <w:marBottom w:val="0"/>
      <w:divBdr>
        <w:top w:val="none" w:sz="0" w:space="0" w:color="auto"/>
        <w:left w:val="none" w:sz="0" w:space="0" w:color="auto"/>
        <w:bottom w:val="none" w:sz="0" w:space="0" w:color="auto"/>
        <w:right w:val="none" w:sz="0" w:space="0" w:color="auto"/>
      </w:divBdr>
    </w:div>
    <w:div w:id="52051246">
      <w:bodyDiv w:val="1"/>
      <w:marLeft w:val="0"/>
      <w:marRight w:val="0"/>
      <w:marTop w:val="0"/>
      <w:marBottom w:val="0"/>
      <w:divBdr>
        <w:top w:val="none" w:sz="0" w:space="0" w:color="auto"/>
        <w:left w:val="none" w:sz="0" w:space="0" w:color="auto"/>
        <w:bottom w:val="none" w:sz="0" w:space="0" w:color="auto"/>
        <w:right w:val="none" w:sz="0" w:space="0" w:color="auto"/>
      </w:divBdr>
    </w:div>
    <w:div w:id="55445146">
      <w:bodyDiv w:val="1"/>
      <w:marLeft w:val="0"/>
      <w:marRight w:val="0"/>
      <w:marTop w:val="0"/>
      <w:marBottom w:val="0"/>
      <w:divBdr>
        <w:top w:val="none" w:sz="0" w:space="0" w:color="auto"/>
        <w:left w:val="none" w:sz="0" w:space="0" w:color="auto"/>
        <w:bottom w:val="none" w:sz="0" w:space="0" w:color="auto"/>
        <w:right w:val="none" w:sz="0" w:space="0" w:color="auto"/>
      </w:divBdr>
    </w:div>
    <w:div w:id="72553556">
      <w:bodyDiv w:val="1"/>
      <w:marLeft w:val="0"/>
      <w:marRight w:val="0"/>
      <w:marTop w:val="0"/>
      <w:marBottom w:val="0"/>
      <w:divBdr>
        <w:top w:val="none" w:sz="0" w:space="0" w:color="auto"/>
        <w:left w:val="none" w:sz="0" w:space="0" w:color="auto"/>
        <w:bottom w:val="none" w:sz="0" w:space="0" w:color="auto"/>
        <w:right w:val="none" w:sz="0" w:space="0" w:color="auto"/>
      </w:divBdr>
    </w:div>
    <w:div w:id="72826238">
      <w:bodyDiv w:val="1"/>
      <w:marLeft w:val="0"/>
      <w:marRight w:val="0"/>
      <w:marTop w:val="0"/>
      <w:marBottom w:val="0"/>
      <w:divBdr>
        <w:top w:val="none" w:sz="0" w:space="0" w:color="auto"/>
        <w:left w:val="none" w:sz="0" w:space="0" w:color="auto"/>
        <w:bottom w:val="none" w:sz="0" w:space="0" w:color="auto"/>
        <w:right w:val="none" w:sz="0" w:space="0" w:color="auto"/>
      </w:divBdr>
    </w:div>
    <w:div w:id="77018130">
      <w:bodyDiv w:val="1"/>
      <w:marLeft w:val="0"/>
      <w:marRight w:val="0"/>
      <w:marTop w:val="0"/>
      <w:marBottom w:val="0"/>
      <w:divBdr>
        <w:top w:val="none" w:sz="0" w:space="0" w:color="auto"/>
        <w:left w:val="none" w:sz="0" w:space="0" w:color="auto"/>
        <w:bottom w:val="none" w:sz="0" w:space="0" w:color="auto"/>
        <w:right w:val="none" w:sz="0" w:space="0" w:color="auto"/>
      </w:divBdr>
    </w:div>
    <w:div w:id="82846687">
      <w:bodyDiv w:val="1"/>
      <w:marLeft w:val="0"/>
      <w:marRight w:val="0"/>
      <w:marTop w:val="0"/>
      <w:marBottom w:val="0"/>
      <w:divBdr>
        <w:top w:val="none" w:sz="0" w:space="0" w:color="auto"/>
        <w:left w:val="none" w:sz="0" w:space="0" w:color="auto"/>
        <w:bottom w:val="none" w:sz="0" w:space="0" w:color="auto"/>
        <w:right w:val="none" w:sz="0" w:space="0" w:color="auto"/>
      </w:divBdr>
    </w:div>
    <w:div w:id="84108265">
      <w:bodyDiv w:val="1"/>
      <w:marLeft w:val="0"/>
      <w:marRight w:val="0"/>
      <w:marTop w:val="0"/>
      <w:marBottom w:val="0"/>
      <w:divBdr>
        <w:top w:val="none" w:sz="0" w:space="0" w:color="auto"/>
        <w:left w:val="none" w:sz="0" w:space="0" w:color="auto"/>
        <w:bottom w:val="none" w:sz="0" w:space="0" w:color="auto"/>
        <w:right w:val="none" w:sz="0" w:space="0" w:color="auto"/>
      </w:divBdr>
    </w:div>
    <w:div w:id="90783083">
      <w:bodyDiv w:val="1"/>
      <w:marLeft w:val="0"/>
      <w:marRight w:val="0"/>
      <w:marTop w:val="0"/>
      <w:marBottom w:val="0"/>
      <w:divBdr>
        <w:top w:val="none" w:sz="0" w:space="0" w:color="auto"/>
        <w:left w:val="none" w:sz="0" w:space="0" w:color="auto"/>
        <w:bottom w:val="none" w:sz="0" w:space="0" w:color="auto"/>
        <w:right w:val="none" w:sz="0" w:space="0" w:color="auto"/>
      </w:divBdr>
    </w:div>
    <w:div w:id="96566385">
      <w:bodyDiv w:val="1"/>
      <w:marLeft w:val="0"/>
      <w:marRight w:val="0"/>
      <w:marTop w:val="0"/>
      <w:marBottom w:val="0"/>
      <w:divBdr>
        <w:top w:val="none" w:sz="0" w:space="0" w:color="auto"/>
        <w:left w:val="none" w:sz="0" w:space="0" w:color="auto"/>
        <w:bottom w:val="none" w:sz="0" w:space="0" w:color="auto"/>
        <w:right w:val="none" w:sz="0" w:space="0" w:color="auto"/>
      </w:divBdr>
    </w:div>
    <w:div w:id="99759847">
      <w:bodyDiv w:val="1"/>
      <w:marLeft w:val="0"/>
      <w:marRight w:val="0"/>
      <w:marTop w:val="0"/>
      <w:marBottom w:val="0"/>
      <w:divBdr>
        <w:top w:val="none" w:sz="0" w:space="0" w:color="auto"/>
        <w:left w:val="none" w:sz="0" w:space="0" w:color="auto"/>
        <w:bottom w:val="none" w:sz="0" w:space="0" w:color="auto"/>
        <w:right w:val="none" w:sz="0" w:space="0" w:color="auto"/>
      </w:divBdr>
    </w:div>
    <w:div w:id="102112419">
      <w:bodyDiv w:val="1"/>
      <w:marLeft w:val="0"/>
      <w:marRight w:val="0"/>
      <w:marTop w:val="0"/>
      <w:marBottom w:val="0"/>
      <w:divBdr>
        <w:top w:val="none" w:sz="0" w:space="0" w:color="auto"/>
        <w:left w:val="none" w:sz="0" w:space="0" w:color="auto"/>
        <w:bottom w:val="none" w:sz="0" w:space="0" w:color="auto"/>
        <w:right w:val="none" w:sz="0" w:space="0" w:color="auto"/>
      </w:divBdr>
    </w:div>
    <w:div w:id="104038171">
      <w:bodyDiv w:val="1"/>
      <w:marLeft w:val="0"/>
      <w:marRight w:val="0"/>
      <w:marTop w:val="0"/>
      <w:marBottom w:val="0"/>
      <w:divBdr>
        <w:top w:val="none" w:sz="0" w:space="0" w:color="auto"/>
        <w:left w:val="none" w:sz="0" w:space="0" w:color="auto"/>
        <w:bottom w:val="none" w:sz="0" w:space="0" w:color="auto"/>
        <w:right w:val="none" w:sz="0" w:space="0" w:color="auto"/>
      </w:divBdr>
    </w:div>
    <w:div w:id="112674537">
      <w:bodyDiv w:val="1"/>
      <w:marLeft w:val="0"/>
      <w:marRight w:val="0"/>
      <w:marTop w:val="0"/>
      <w:marBottom w:val="0"/>
      <w:divBdr>
        <w:top w:val="none" w:sz="0" w:space="0" w:color="auto"/>
        <w:left w:val="none" w:sz="0" w:space="0" w:color="auto"/>
        <w:bottom w:val="none" w:sz="0" w:space="0" w:color="auto"/>
        <w:right w:val="none" w:sz="0" w:space="0" w:color="auto"/>
      </w:divBdr>
    </w:div>
    <w:div w:id="116024896">
      <w:bodyDiv w:val="1"/>
      <w:marLeft w:val="0"/>
      <w:marRight w:val="0"/>
      <w:marTop w:val="0"/>
      <w:marBottom w:val="0"/>
      <w:divBdr>
        <w:top w:val="none" w:sz="0" w:space="0" w:color="auto"/>
        <w:left w:val="none" w:sz="0" w:space="0" w:color="auto"/>
        <w:bottom w:val="none" w:sz="0" w:space="0" w:color="auto"/>
        <w:right w:val="none" w:sz="0" w:space="0" w:color="auto"/>
      </w:divBdr>
    </w:div>
    <w:div w:id="118840018">
      <w:bodyDiv w:val="1"/>
      <w:marLeft w:val="0"/>
      <w:marRight w:val="0"/>
      <w:marTop w:val="0"/>
      <w:marBottom w:val="0"/>
      <w:divBdr>
        <w:top w:val="none" w:sz="0" w:space="0" w:color="auto"/>
        <w:left w:val="none" w:sz="0" w:space="0" w:color="auto"/>
        <w:bottom w:val="none" w:sz="0" w:space="0" w:color="auto"/>
        <w:right w:val="none" w:sz="0" w:space="0" w:color="auto"/>
      </w:divBdr>
    </w:div>
    <w:div w:id="120341769">
      <w:bodyDiv w:val="1"/>
      <w:marLeft w:val="0"/>
      <w:marRight w:val="0"/>
      <w:marTop w:val="0"/>
      <w:marBottom w:val="0"/>
      <w:divBdr>
        <w:top w:val="none" w:sz="0" w:space="0" w:color="auto"/>
        <w:left w:val="none" w:sz="0" w:space="0" w:color="auto"/>
        <w:bottom w:val="none" w:sz="0" w:space="0" w:color="auto"/>
        <w:right w:val="none" w:sz="0" w:space="0" w:color="auto"/>
      </w:divBdr>
    </w:div>
    <w:div w:id="131876364">
      <w:bodyDiv w:val="1"/>
      <w:marLeft w:val="0"/>
      <w:marRight w:val="0"/>
      <w:marTop w:val="0"/>
      <w:marBottom w:val="0"/>
      <w:divBdr>
        <w:top w:val="none" w:sz="0" w:space="0" w:color="auto"/>
        <w:left w:val="none" w:sz="0" w:space="0" w:color="auto"/>
        <w:bottom w:val="none" w:sz="0" w:space="0" w:color="auto"/>
        <w:right w:val="none" w:sz="0" w:space="0" w:color="auto"/>
      </w:divBdr>
    </w:div>
    <w:div w:id="135343551">
      <w:bodyDiv w:val="1"/>
      <w:marLeft w:val="0"/>
      <w:marRight w:val="0"/>
      <w:marTop w:val="0"/>
      <w:marBottom w:val="0"/>
      <w:divBdr>
        <w:top w:val="none" w:sz="0" w:space="0" w:color="auto"/>
        <w:left w:val="none" w:sz="0" w:space="0" w:color="auto"/>
        <w:bottom w:val="none" w:sz="0" w:space="0" w:color="auto"/>
        <w:right w:val="none" w:sz="0" w:space="0" w:color="auto"/>
      </w:divBdr>
    </w:div>
    <w:div w:id="142089125">
      <w:bodyDiv w:val="1"/>
      <w:marLeft w:val="0"/>
      <w:marRight w:val="0"/>
      <w:marTop w:val="0"/>
      <w:marBottom w:val="0"/>
      <w:divBdr>
        <w:top w:val="none" w:sz="0" w:space="0" w:color="auto"/>
        <w:left w:val="none" w:sz="0" w:space="0" w:color="auto"/>
        <w:bottom w:val="none" w:sz="0" w:space="0" w:color="auto"/>
        <w:right w:val="none" w:sz="0" w:space="0" w:color="auto"/>
      </w:divBdr>
    </w:div>
    <w:div w:id="144441731">
      <w:bodyDiv w:val="1"/>
      <w:marLeft w:val="0"/>
      <w:marRight w:val="0"/>
      <w:marTop w:val="0"/>
      <w:marBottom w:val="0"/>
      <w:divBdr>
        <w:top w:val="none" w:sz="0" w:space="0" w:color="auto"/>
        <w:left w:val="none" w:sz="0" w:space="0" w:color="auto"/>
        <w:bottom w:val="none" w:sz="0" w:space="0" w:color="auto"/>
        <w:right w:val="none" w:sz="0" w:space="0" w:color="auto"/>
      </w:divBdr>
    </w:div>
    <w:div w:id="146171242">
      <w:bodyDiv w:val="1"/>
      <w:marLeft w:val="0"/>
      <w:marRight w:val="0"/>
      <w:marTop w:val="0"/>
      <w:marBottom w:val="0"/>
      <w:divBdr>
        <w:top w:val="none" w:sz="0" w:space="0" w:color="auto"/>
        <w:left w:val="none" w:sz="0" w:space="0" w:color="auto"/>
        <w:bottom w:val="none" w:sz="0" w:space="0" w:color="auto"/>
        <w:right w:val="none" w:sz="0" w:space="0" w:color="auto"/>
      </w:divBdr>
    </w:div>
    <w:div w:id="157887114">
      <w:bodyDiv w:val="1"/>
      <w:marLeft w:val="0"/>
      <w:marRight w:val="0"/>
      <w:marTop w:val="0"/>
      <w:marBottom w:val="0"/>
      <w:divBdr>
        <w:top w:val="none" w:sz="0" w:space="0" w:color="auto"/>
        <w:left w:val="none" w:sz="0" w:space="0" w:color="auto"/>
        <w:bottom w:val="none" w:sz="0" w:space="0" w:color="auto"/>
        <w:right w:val="none" w:sz="0" w:space="0" w:color="auto"/>
      </w:divBdr>
    </w:div>
    <w:div w:id="168524736">
      <w:bodyDiv w:val="1"/>
      <w:marLeft w:val="0"/>
      <w:marRight w:val="0"/>
      <w:marTop w:val="0"/>
      <w:marBottom w:val="0"/>
      <w:divBdr>
        <w:top w:val="none" w:sz="0" w:space="0" w:color="auto"/>
        <w:left w:val="none" w:sz="0" w:space="0" w:color="auto"/>
        <w:bottom w:val="none" w:sz="0" w:space="0" w:color="auto"/>
        <w:right w:val="none" w:sz="0" w:space="0" w:color="auto"/>
      </w:divBdr>
    </w:div>
    <w:div w:id="173960703">
      <w:bodyDiv w:val="1"/>
      <w:marLeft w:val="0"/>
      <w:marRight w:val="0"/>
      <w:marTop w:val="0"/>
      <w:marBottom w:val="0"/>
      <w:divBdr>
        <w:top w:val="none" w:sz="0" w:space="0" w:color="auto"/>
        <w:left w:val="none" w:sz="0" w:space="0" w:color="auto"/>
        <w:bottom w:val="none" w:sz="0" w:space="0" w:color="auto"/>
        <w:right w:val="none" w:sz="0" w:space="0" w:color="auto"/>
      </w:divBdr>
    </w:div>
    <w:div w:id="183204939">
      <w:bodyDiv w:val="1"/>
      <w:marLeft w:val="0"/>
      <w:marRight w:val="0"/>
      <w:marTop w:val="0"/>
      <w:marBottom w:val="0"/>
      <w:divBdr>
        <w:top w:val="none" w:sz="0" w:space="0" w:color="auto"/>
        <w:left w:val="none" w:sz="0" w:space="0" w:color="auto"/>
        <w:bottom w:val="none" w:sz="0" w:space="0" w:color="auto"/>
        <w:right w:val="none" w:sz="0" w:space="0" w:color="auto"/>
      </w:divBdr>
    </w:div>
    <w:div w:id="186332030">
      <w:bodyDiv w:val="1"/>
      <w:marLeft w:val="0"/>
      <w:marRight w:val="0"/>
      <w:marTop w:val="0"/>
      <w:marBottom w:val="0"/>
      <w:divBdr>
        <w:top w:val="none" w:sz="0" w:space="0" w:color="auto"/>
        <w:left w:val="none" w:sz="0" w:space="0" w:color="auto"/>
        <w:bottom w:val="none" w:sz="0" w:space="0" w:color="auto"/>
        <w:right w:val="none" w:sz="0" w:space="0" w:color="auto"/>
      </w:divBdr>
    </w:div>
    <w:div w:id="189227563">
      <w:bodyDiv w:val="1"/>
      <w:marLeft w:val="0"/>
      <w:marRight w:val="0"/>
      <w:marTop w:val="0"/>
      <w:marBottom w:val="0"/>
      <w:divBdr>
        <w:top w:val="none" w:sz="0" w:space="0" w:color="auto"/>
        <w:left w:val="none" w:sz="0" w:space="0" w:color="auto"/>
        <w:bottom w:val="none" w:sz="0" w:space="0" w:color="auto"/>
        <w:right w:val="none" w:sz="0" w:space="0" w:color="auto"/>
      </w:divBdr>
    </w:div>
    <w:div w:id="190729637">
      <w:bodyDiv w:val="1"/>
      <w:marLeft w:val="0"/>
      <w:marRight w:val="0"/>
      <w:marTop w:val="0"/>
      <w:marBottom w:val="0"/>
      <w:divBdr>
        <w:top w:val="none" w:sz="0" w:space="0" w:color="auto"/>
        <w:left w:val="none" w:sz="0" w:space="0" w:color="auto"/>
        <w:bottom w:val="none" w:sz="0" w:space="0" w:color="auto"/>
        <w:right w:val="none" w:sz="0" w:space="0" w:color="auto"/>
      </w:divBdr>
    </w:div>
    <w:div w:id="191115313">
      <w:bodyDiv w:val="1"/>
      <w:marLeft w:val="0"/>
      <w:marRight w:val="0"/>
      <w:marTop w:val="0"/>
      <w:marBottom w:val="0"/>
      <w:divBdr>
        <w:top w:val="none" w:sz="0" w:space="0" w:color="auto"/>
        <w:left w:val="none" w:sz="0" w:space="0" w:color="auto"/>
        <w:bottom w:val="none" w:sz="0" w:space="0" w:color="auto"/>
        <w:right w:val="none" w:sz="0" w:space="0" w:color="auto"/>
      </w:divBdr>
    </w:div>
    <w:div w:id="196284419">
      <w:bodyDiv w:val="1"/>
      <w:marLeft w:val="0"/>
      <w:marRight w:val="0"/>
      <w:marTop w:val="0"/>
      <w:marBottom w:val="0"/>
      <w:divBdr>
        <w:top w:val="none" w:sz="0" w:space="0" w:color="auto"/>
        <w:left w:val="none" w:sz="0" w:space="0" w:color="auto"/>
        <w:bottom w:val="none" w:sz="0" w:space="0" w:color="auto"/>
        <w:right w:val="none" w:sz="0" w:space="0" w:color="auto"/>
      </w:divBdr>
    </w:div>
    <w:div w:id="206841193">
      <w:bodyDiv w:val="1"/>
      <w:marLeft w:val="0"/>
      <w:marRight w:val="0"/>
      <w:marTop w:val="0"/>
      <w:marBottom w:val="0"/>
      <w:divBdr>
        <w:top w:val="none" w:sz="0" w:space="0" w:color="auto"/>
        <w:left w:val="none" w:sz="0" w:space="0" w:color="auto"/>
        <w:bottom w:val="none" w:sz="0" w:space="0" w:color="auto"/>
        <w:right w:val="none" w:sz="0" w:space="0" w:color="auto"/>
      </w:divBdr>
    </w:div>
    <w:div w:id="210964309">
      <w:bodyDiv w:val="1"/>
      <w:marLeft w:val="0"/>
      <w:marRight w:val="0"/>
      <w:marTop w:val="0"/>
      <w:marBottom w:val="0"/>
      <w:divBdr>
        <w:top w:val="none" w:sz="0" w:space="0" w:color="auto"/>
        <w:left w:val="none" w:sz="0" w:space="0" w:color="auto"/>
        <w:bottom w:val="none" w:sz="0" w:space="0" w:color="auto"/>
        <w:right w:val="none" w:sz="0" w:space="0" w:color="auto"/>
      </w:divBdr>
    </w:div>
    <w:div w:id="221840862">
      <w:bodyDiv w:val="1"/>
      <w:marLeft w:val="0"/>
      <w:marRight w:val="0"/>
      <w:marTop w:val="0"/>
      <w:marBottom w:val="0"/>
      <w:divBdr>
        <w:top w:val="none" w:sz="0" w:space="0" w:color="auto"/>
        <w:left w:val="none" w:sz="0" w:space="0" w:color="auto"/>
        <w:bottom w:val="none" w:sz="0" w:space="0" w:color="auto"/>
        <w:right w:val="none" w:sz="0" w:space="0" w:color="auto"/>
      </w:divBdr>
    </w:div>
    <w:div w:id="231815200">
      <w:bodyDiv w:val="1"/>
      <w:marLeft w:val="0"/>
      <w:marRight w:val="0"/>
      <w:marTop w:val="0"/>
      <w:marBottom w:val="0"/>
      <w:divBdr>
        <w:top w:val="none" w:sz="0" w:space="0" w:color="auto"/>
        <w:left w:val="none" w:sz="0" w:space="0" w:color="auto"/>
        <w:bottom w:val="none" w:sz="0" w:space="0" w:color="auto"/>
        <w:right w:val="none" w:sz="0" w:space="0" w:color="auto"/>
      </w:divBdr>
    </w:div>
    <w:div w:id="233703628">
      <w:bodyDiv w:val="1"/>
      <w:marLeft w:val="0"/>
      <w:marRight w:val="0"/>
      <w:marTop w:val="0"/>
      <w:marBottom w:val="0"/>
      <w:divBdr>
        <w:top w:val="none" w:sz="0" w:space="0" w:color="auto"/>
        <w:left w:val="none" w:sz="0" w:space="0" w:color="auto"/>
        <w:bottom w:val="none" w:sz="0" w:space="0" w:color="auto"/>
        <w:right w:val="none" w:sz="0" w:space="0" w:color="auto"/>
      </w:divBdr>
    </w:div>
    <w:div w:id="264506968">
      <w:bodyDiv w:val="1"/>
      <w:marLeft w:val="0"/>
      <w:marRight w:val="0"/>
      <w:marTop w:val="0"/>
      <w:marBottom w:val="0"/>
      <w:divBdr>
        <w:top w:val="none" w:sz="0" w:space="0" w:color="auto"/>
        <w:left w:val="none" w:sz="0" w:space="0" w:color="auto"/>
        <w:bottom w:val="none" w:sz="0" w:space="0" w:color="auto"/>
        <w:right w:val="none" w:sz="0" w:space="0" w:color="auto"/>
      </w:divBdr>
    </w:div>
    <w:div w:id="269943104">
      <w:bodyDiv w:val="1"/>
      <w:marLeft w:val="0"/>
      <w:marRight w:val="0"/>
      <w:marTop w:val="0"/>
      <w:marBottom w:val="0"/>
      <w:divBdr>
        <w:top w:val="none" w:sz="0" w:space="0" w:color="auto"/>
        <w:left w:val="none" w:sz="0" w:space="0" w:color="auto"/>
        <w:bottom w:val="none" w:sz="0" w:space="0" w:color="auto"/>
        <w:right w:val="none" w:sz="0" w:space="0" w:color="auto"/>
      </w:divBdr>
    </w:div>
    <w:div w:id="278295282">
      <w:bodyDiv w:val="1"/>
      <w:marLeft w:val="0"/>
      <w:marRight w:val="0"/>
      <w:marTop w:val="0"/>
      <w:marBottom w:val="0"/>
      <w:divBdr>
        <w:top w:val="none" w:sz="0" w:space="0" w:color="auto"/>
        <w:left w:val="none" w:sz="0" w:space="0" w:color="auto"/>
        <w:bottom w:val="none" w:sz="0" w:space="0" w:color="auto"/>
        <w:right w:val="none" w:sz="0" w:space="0" w:color="auto"/>
      </w:divBdr>
    </w:div>
    <w:div w:id="298390064">
      <w:bodyDiv w:val="1"/>
      <w:marLeft w:val="0"/>
      <w:marRight w:val="0"/>
      <w:marTop w:val="0"/>
      <w:marBottom w:val="0"/>
      <w:divBdr>
        <w:top w:val="none" w:sz="0" w:space="0" w:color="auto"/>
        <w:left w:val="none" w:sz="0" w:space="0" w:color="auto"/>
        <w:bottom w:val="none" w:sz="0" w:space="0" w:color="auto"/>
        <w:right w:val="none" w:sz="0" w:space="0" w:color="auto"/>
      </w:divBdr>
    </w:div>
    <w:div w:id="299922415">
      <w:bodyDiv w:val="1"/>
      <w:marLeft w:val="0"/>
      <w:marRight w:val="0"/>
      <w:marTop w:val="0"/>
      <w:marBottom w:val="0"/>
      <w:divBdr>
        <w:top w:val="none" w:sz="0" w:space="0" w:color="auto"/>
        <w:left w:val="none" w:sz="0" w:space="0" w:color="auto"/>
        <w:bottom w:val="none" w:sz="0" w:space="0" w:color="auto"/>
        <w:right w:val="none" w:sz="0" w:space="0" w:color="auto"/>
      </w:divBdr>
    </w:div>
    <w:div w:id="315771099">
      <w:bodyDiv w:val="1"/>
      <w:marLeft w:val="0"/>
      <w:marRight w:val="0"/>
      <w:marTop w:val="0"/>
      <w:marBottom w:val="0"/>
      <w:divBdr>
        <w:top w:val="none" w:sz="0" w:space="0" w:color="auto"/>
        <w:left w:val="none" w:sz="0" w:space="0" w:color="auto"/>
        <w:bottom w:val="none" w:sz="0" w:space="0" w:color="auto"/>
        <w:right w:val="none" w:sz="0" w:space="0" w:color="auto"/>
      </w:divBdr>
    </w:div>
    <w:div w:id="320888132">
      <w:bodyDiv w:val="1"/>
      <w:marLeft w:val="0"/>
      <w:marRight w:val="0"/>
      <w:marTop w:val="0"/>
      <w:marBottom w:val="0"/>
      <w:divBdr>
        <w:top w:val="none" w:sz="0" w:space="0" w:color="auto"/>
        <w:left w:val="none" w:sz="0" w:space="0" w:color="auto"/>
        <w:bottom w:val="none" w:sz="0" w:space="0" w:color="auto"/>
        <w:right w:val="none" w:sz="0" w:space="0" w:color="auto"/>
      </w:divBdr>
    </w:div>
    <w:div w:id="323552258">
      <w:bodyDiv w:val="1"/>
      <w:marLeft w:val="0"/>
      <w:marRight w:val="0"/>
      <w:marTop w:val="0"/>
      <w:marBottom w:val="0"/>
      <w:divBdr>
        <w:top w:val="none" w:sz="0" w:space="0" w:color="auto"/>
        <w:left w:val="none" w:sz="0" w:space="0" w:color="auto"/>
        <w:bottom w:val="none" w:sz="0" w:space="0" w:color="auto"/>
        <w:right w:val="none" w:sz="0" w:space="0" w:color="auto"/>
      </w:divBdr>
    </w:div>
    <w:div w:id="323629657">
      <w:bodyDiv w:val="1"/>
      <w:marLeft w:val="0"/>
      <w:marRight w:val="0"/>
      <w:marTop w:val="0"/>
      <w:marBottom w:val="0"/>
      <w:divBdr>
        <w:top w:val="none" w:sz="0" w:space="0" w:color="auto"/>
        <w:left w:val="none" w:sz="0" w:space="0" w:color="auto"/>
        <w:bottom w:val="none" w:sz="0" w:space="0" w:color="auto"/>
        <w:right w:val="none" w:sz="0" w:space="0" w:color="auto"/>
      </w:divBdr>
    </w:div>
    <w:div w:id="323969507">
      <w:bodyDiv w:val="1"/>
      <w:marLeft w:val="0"/>
      <w:marRight w:val="0"/>
      <w:marTop w:val="0"/>
      <w:marBottom w:val="0"/>
      <w:divBdr>
        <w:top w:val="none" w:sz="0" w:space="0" w:color="auto"/>
        <w:left w:val="none" w:sz="0" w:space="0" w:color="auto"/>
        <w:bottom w:val="none" w:sz="0" w:space="0" w:color="auto"/>
        <w:right w:val="none" w:sz="0" w:space="0" w:color="auto"/>
      </w:divBdr>
    </w:div>
    <w:div w:id="334842160">
      <w:bodyDiv w:val="1"/>
      <w:marLeft w:val="0"/>
      <w:marRight w:val="0"/>
      <w:marTop w:val="0"/>
      <w:marBottom w:val="0"/>
      <w:divBdr>
        <w:top w:val="none" w:sz="0" w:space="0" w:color="auto"/>
        <w:left w:val="none" w:sz="0" w:space="0" w:color="auto"/>
        <w:bottom w:val="none" w:sz="0" w:space="0" w:color="auto"/>
        <w:right w:val="none" w:sz="0" w:space="0" w:color="auto"/>
      </w:divBdr>
    </w:div>
    <w:div w:id="335614599">
      <w:bodyDiv w:val="1"/>
      <w:marLeft w:val="0"/>
      <w:marRight w:val="0"/>
      <w:marTop w:val="0"/>
      <w:marBottom w:val="0"/>
      <w:divBdr>
        <w:top w:val="none" w:sz="0" w:space="0" w:color="auto"/>
        <w:left w:val="none" w:sz="0" w:space="0" w:color="auto"/>
        <w:bottom w:val="none" w:sz="0" w:space="0" w:color="auto"/>
        <w:right w:val="none" w:sz="0" w:space="0" w:color="auto"/>
      </w:divBdr>
    </w:div>
    <w:div w:id="336807476">
      <w:bodyDiv w:val="1"/>
      <w:marLeft w:val="0"/>
      <w:marRight w:val="0"/>
      <w:marTop w:val="0"/>
      <w:marBottom w:val="0"/>
      <w:divBdr>
        <w:top w:val="none" w:sz="0" w:space="0" w:color="auto"/>
        <w:left w:val="none" w:sz="0" w:space="0" w:color="auto"/>
        <w:bottom w:val="none" w:sz="0" w:space="0" w:color="auto"/>
        <w:right w:val="none" w:sz="0" w:space="0" w:color="auto"/>
      </w:divBdr>
    </w:div>
    <w:div w:id="343939027">
      <w:bodyDiv w:val="1"/>
      <w:marLeft w:val="0"/>
      <w:marRight w:val="0"/>
      <w:marTop w:val="0"/>
      <w:marBottom w:val="0"/>
      <w:divBdr>
        <w:top w:val="none" w:sz="0" w:space="0" w:color="auto"/>
        <w:left w:val="none" w:sz="0" w:space="0" w:color="auto"/>
        <w:bottom w:val="none" w:sz="0" w:space="0" w:color="auto"/>
        <w:right w:val="none" w:sz="0" w:space="0" w:color="auto"/>
      </w:divBdr>
    </w:div>
    <w:div w:id="351222583">
      <w:bodyDiv w:val="1"/>
      <w:marLeft w:val="0"/>
      <w:marRight w:val="0"/>
      <w:marTop w:val="0"/>
      <w:marBottom w:val="0"/>
      <w:divBdr>
        <w:top w:val="none" w:sz="0" w:space="0" w:color="auto"/>
        <w:left w:val="none" w:sz="0" w:space="0" w:color="auto"/>
        <w:bottom w:val="none" w:sz="0" w:space="0" w:color="auto"/>
        <w:right w:val="none" w:sz="0" w:space="0" w:color="auto"/>
      </w:divBdr>
    </w:div>
    <w:div w:id="374235325">
      <w:bodyDiv w:val="1"/>
      <w:marLeft w:val="0"/>
      <w:marRight w:val="0"/>
      <w:marTop w:val="0"/>
      <w:marBottom w:val="0"/>
      <w:divBdr>
        <w:top w:val="none" w:sz="0" w:space="0" w:color="auto"/>
        <w:left w:val="none" w:sz="0" w:space="0" w:color="auto"/>
        <w:bottom w:val="none" w:sz="0" w:space="0" w:color="auto"/>
        <w:right w:val="none" w:sz="0" w:space="0" w:color="auto"/>
      </w:divBdr>
    </w:div>
    <w:div w:id="396129393">
      <w:bodyDiv w:val="1"/>
      <w:marLeft w:val="0"/>
      <w:marRight w:val="0"/>
      <w:marTop w:val="0"/>
      <w:marBottom w:val="0"/>
      <w:divBdr>
        <w:top w:val="none" w:sz="0" w:space="0" w:color="auto"/>
        <w:left w:val="none" w:sz="0" w:space="0" w:color="auto"/>
        <w:bottom w:val="none" w:sz="0" w:space="0" w:color="auto"/>
        <w:right w:val="none" w:sz="0" w:space="0" w:color="auto"/>
      </w:divBdr>
    </w:div>
    <w:div w:id="403837297">
      <w:bodyDiv w:val="1"/>
      <w:marLeft w:val="0"/>
      <w:marRight w:val="0"/>
      <w:marTop w:val="0"/>
      <w:marBottom w:val="0"/>
      <w:divBdr>
        <w:top w:val="none" w:sz="0" w:space="0" w:color="auto"/>
        <w:left w:val="none" w:sz="0" w:space="0" w:color="auto"/>
        <w:bottom w:val="none" w:sz="0" w:space="0" w:color="auto"/>
        <w:right w:val="none" w:sz="0" w:space="0" w:color="auto"/>
      </w:divBdr>
    </w:div>
    <w:div w:id="412356390">
      <w:bodyDiv w:val="1"/>
      <w:marLeft w:val="0"/>
      <w:marRight w:val="0"/>
      <w:marTop w:val="0"/>
      <w:marBottom w:val="0"/>
      <w:divBdr>
        <w:top w:val="none" w:sz="0" w:space="0" w:color="auto"/>
        <w:left w:val="none" w:sz="0" w:space="0" w:color="auto"/>
        <w:bottom w:val="none" w:sz="0" w:space="0" w:color="auto"/>
        <w:right w:val="none" w:sz="0" w:space="0" w:color="auto"/>
      </w:divBdr>
    </w:div>
    <w:div w:id="414475410">
      <w:bodyDiv w:val="1"/>
      <w:marLeft w:val="0"/>
      <w:marRight w:val="0"/>
      <w:marTop w:val="0"/>
      <w:marBottom w:val="0"/>
      <w:divBdr>
        <w:top w:val="none" w:sz="0" w:space="0" w:color="auto"/>
        <w:left w:val="none" w:sz="0" w:space="0" w:color="auto"/>
        <w:bottom w:val="none" w:sz="0" w:space="0" w:color="auto"/>
        <w:right w:val="none" w:sz="0" w:space="0" w:color="auto"/>
      </w:divBdr>
    </w:div>
    <w:div w:id="419790403">
      <w:bodyDiv w:val="1"/>
      <w:marLeft w:val="0"/>
      <w:marRight w:val="0"/>
      <w:marTop w:val="0"/>
      <w:marBottom w:val="0"/>
      <w:divBdr>
        <w:top w:val="none" w:sz="0" w:space="0" w:color="auto"/>
        <w:left w:val="none" w:sz="0" w:space="0" w:color="auto"/>
        <w:bottom w:val="none" w:sz="0" w:space="0" w:color="auto"/>
        <w:right w:val="none" w:sz="0" w:space="0" w:color="auto"/>
      </w:divBdr>
    </w:div>
    <w:div w:id="422531096">
      <w:bodyDiv w:val="1"/>
      <w:marLeft w:val="0"/>
      <w:marRight w:val="0"/>
      <w:marTop w:val="0"/>
      <w:marBottom w:val="0"/>
      <w:divBdr>
        <w:top w:val="none" w:sz="0" w:space="0" w:color="auto"/>
        <w:left w:val="none" w:sz="0" w:space="0" w:color="auto"/>
        <w:bottom w:val="none" w:sz="0" w:space="0" w:color="auto"/>
        <w:right w:val="none" w:sz="0" w:space="0" w:color="auto"/>
      </w:divBdr>
    </w:div>
    <w:div w:id="427625673">
      <w:bodyDiv w:val="1"/>
      <w:marLeft w:val="0"/>
      <w:marRight w:val="0"/>
      <w:marTop w:val="0"/>
      <w:marBottom w:val="0"/>
      <w:divBdr>
        <w:top w:val="none" w:sz="0" w:space="0" w:color="auto"/>
        <w:left w:val="none" w:sz="0" w:space="0" w:color="auto"/>
        <w:bottom w:val="none" w:sz="0" w:space="0" w:color="auto"/>
        <w:right w:val="none" w:sz="0" w:space="0" w:color="auto"/>
      </w:divBdr>
    </w:div>
    <w:div w:id="431584482">
      <w:bodyDiv w:val="1"/>
      <w:marLeft w:val="0"/>
      <w:marRight w:val="0"/>
      <w:marTop w:val="0"/>
      <w:marBottom w:val="0"/>
      <w:divBdr>
        <w:top w:val="none" w:sz="0" w:space="0" w:color="auto"/>
        <w:left w:val="none" w:sz="0" w:space="0" w:color="auto"/>
        <w:bottom w:val="none" w:sz="0" w:space="0" w:color="auto"/>
        <w:right w:val="none" w:sz="0" w:space="0" w:color="auto"/>
      </w:divBdr>
    </w:div>
    <w:div w:id="432826463">
      <w:bodyDiv w:val="1"/>
      <w:marLeft w:val="0"/>
      <w:marRight w:val="0"/>
      <w:marTop w:val="0"/>
      <w:marBottom w:val="0"/>
      <w:divBdr>
        <w:top w:val="none" w:sz="0" w:space="0" w:color="auto"/>
        <w:left w:val="none" w:sz="0" w:space="0" w:color="auto"/>
        <w:bottom w:val="none" w:sz="0" w:space="0" w:color="auto"/>
        <w:right w:val="none" w:sz="0" w:space="0" w:color="auto"/>
      </w:divBdr>
    </w:div>
    <w:div w:id="444084004">
      <w:bodyDiv w:val="1"/>
      <w:marLeft w:val="0"/>
      <w:marRight w:val="0"/>
      <w:marTop w:val="0"/>
      <w:marBottom w:val="0"/>
      <w:divBdr>
        <w:top w:val="none" w:sz="0" w:space="0" w:color="auto"/>
        <w:left w:val="none" w:sz="0" w:space="0" w:color="auto"/>
        <w:bottom w:val="none" w:sz="0" w:space="0" w:color="auto"/>
        <w:right w:val="none" w:sz="0" w:space="0" w:color="auto"/>
      </w:divBdr>
    </w:div>
    <w:div w:id="446701221">
      <w:bodyDiv w:val="1"/>
      <w:marLeft w:val="0"/>
      <w:marRight w:val="0"/>
      <w:marTop w:val="0"/>
      <w:marBottom w:val="0"/>
      <w:divBdr>
        <w:top w:val="none" w:sz="0" w:space="0" w:color="auto"/>
        <w:left w:val="none" w:sz="0" w:space="0" w:color="auto"/>
        <w:bottom w:val="none" w:sz="0" w:space="0" w:color="auto"/>
        <w:right w:val="none" w:sz="0" w:space="0" w:color="auto"/>
      </w:divBdr>
    </w:div>
    <w:div w:id="450636408">
      <w:bodyDiv w:val="1"/>
      <w:marLeft w:val="0"/>
      <w:marRight w:val="0"/>
      <w:marTop w:val="0"/>
      <w:marBottom w:val="0"/>
      <w:divBdr>
        <w:top w:val="none" w:sz="0" w:space="0" w:color="auto"/>
        <w:left w:val="none" w:sz="0" w:space="0" w:color="auto"/>
        <w:bottom w:val="none" w:sz="0" w:space="0" w:color="auto"/>
        <w:right w:val="none" w:sz="0" w:space="0" w:color="auto"/>
      </w:divBdr>
    </w:div>
    <w:div w:id="452018139">
      <w:bodyDiv w:val="1"/>
      <w:marLeft w:val="0"/>
      <w:marRight w:val="0"/>
      <w:marTop w:val="0"/>
      <w:marBottom w:val="0"/>
      <w:divBdr>
        <w:top w:val="none" w:sz="0" w:space="0" w:color="auto"/>
        <w:left w:val="none" w:sz="0" w:space="0" w:color="auto"/>
        <w:bottom w:val="none" w:sz="0" w:space="0" w:color="auto"/>
        <w:right w:val="none" w:sz="0" w:space="0" w:color="auto"/>
      </w:divBdr>
    </w:div>
    <w:div w:id="452216746">
      <w:bodyDiv w:val="1"/>
      <w:marLeft w:val="0"/>
      <w:marRight w:val="0"/>
      <w:marTop w:val="0"/>
      <w:marBottom w:val="0"/>
      <w:divBdr>
        <w:top w:val="none" w:sz="0" w:space="0" w:color="auto"/>
        <w:left w:val="none" w:sz="0" w:space="0" w:color="auto"/>
        <w:bottom w:val="none" w:sz="0" w:space="0" w:color="auto"/>
        <w:right w:val="none" w:sz="0" w:space="0" w:color="auto"/>
      </w:divBdr>
    </w:div>
    <w:div w:id="456218759">
      <w:bodyDiv w:val="1"/>
      <w:marLeft w:val="0"/>
      <w:marRight w:val="0"/>
      <w:marTop w:val="0"/>
      <w:marBottom w:val="0"/>
      <w:divBdr>
        <w:top w:val="none" w:sz="0" w:space="0" w:color="auto"/>
        <w:left w:val="none" w:sz="0" w:space="0" w:color="auto"/>
        <w:bottom w:val="none" w:sz="0" w:space="0" w:color="auto"/>
        <w:right w:val="none" w:sz="0" w:space="0" w:color="auto"/>
      </w:divBdr>
      <w:divsChild>
        <w:div w:id="25570519">
          <w:marLeft w:val="0"/>
          <w:marRight w:val="0"/>
          <w:marTop w:val="0"/>
          <w:marBottom w:val="0"/>
          <w:divBdr>
            <w:top w:val="none" w:sz="0" w:space="0" w:color="auto"/>
            <w:left w:val="none" w:sz="0" w:space="0" w:color="auto"/>
            <w:bottom w:val="none" w:sz="0" w:space="0" w:color="auto"/>
            <w:right w:val="none" w:sz="0" w:space="0" w:color="auto"/>
          </w:divBdr>
          <w:divsChild>
            <w:div w:id="2142535135">
              <w:marLeft w:val="0"/>
              <w:marRight w:val="0"/>
              <w:marTop w:val="0"/>
              <w:marBottom w:val="0"/>
              <w:divBdr>
                <w:top w:val="none" w:sz="0" w:space="0" w:color="auto"/>
                <w:left w:val="none" w:sz="0" w:space="0" w:color="auto"/>
                <w:bottom w:val="none" w:sz="0" w:space="0" w:color="auto"/>
                <w:right w:val="none" w:sz="0" w:space="0" w:color="auto"/>
              </w:divBdr>
            </w:div>
          </w:divsChild>
        </w:div>
        <w:div w:id="26955553">
          <w:marLeft w:val="0"/>
          <w:marRight w:val="0"/>
          <w:marTop w:val="0"/>
          <w:marBottom w:val="0"/>
          <w:divBdr>
            <w:top w:val="none" w:sz="0" w:space="0" w:color="auto"/>
            <w:left w:val="none" w:sz="0" w:space="0" w:color="auto"/>
            <w:bottom w:val="none" w:sz="0" w:space="0" w:color="auto"/>
            <w:right w:val="none" w:sz="0" w:space="0" w:color="auto"/>
          </w:divBdr>
          <w:divsChild>
            <w:div w:id="992220592">
              <w:marLeft w:val="0"/>
              <w:marRight w:val="0"/>
              <w:marTop w:val="0"/>
              <w:marBottom w:val="0"/>
              <w:divBdr>
                <w:top w:val="none" w:sz="0" w:space="0" w:color="auto"/>
                <w:left w:val="none" w:sz="0" w:space="0" w:color="auto"/>
                <w:bottom w:val="none" w:sz="0" w:space="0" w:color="auto"/>
                <w:right w:val="none" w:sz="0" w:space="0" w:color="auto"/>
              </w:divBdr>
            </w:div>
          </w:divsChild>
        </w:div>
        <w:div w:id="32001945">
          <w:marLeft w:val="0"/>
          <w:marRight w:val="0"/>
          <w:marTop w:val="0"/>
          <w:marBottom w:val="0"/>
          <w:divBdr>
            <w:top w:val="none" w:sz="0" w:space="0" w:color="auto"/>
            <w:left w:val="none" w:sz="0" w:space="0" w:color="auto"/>
            <w:bottom w:val="none" w:sz="0" w:space="0" w:color="auto"/>
            <w:right w:val="none" w:sz="0" w:space="0" w:color="auto"/>
          </w:divBdr>
          <w:divsChild>
            <w:div w:id="1370839957">
              <w:marLeft w:val="0"/>
              <w:marRight w:val="0"/>
              <w:marTop w:val="0"/>
              <w:marBottom w:val="0"/>
              <w:divBdr>
                <w:top w:val="none" w:sz="0" w:space="0" w:color="auto"/>
                <w:left w:val="none" w:sz="0" w:space="0" w:color="auto"/>
                <w:bottom w:val="none" w:sz="0" w:space="0" w:color="auto"/>
                <w:right w:val="none" w:sz="0" w:space="0" w:color="auto"/>
              </w:divBdr>
            </w:div>
          </w:divsChild>
        </w:div>
        <w:div w:id="259686285">
          <w:marLeft w:val="0"/>
          <w:marRight w:val="0"/>
          <w:marTop w:val="0"/>
          <w:marBottom w:val="0"/>
          <w:divBdr>
            <w:top w:val="none" w:sz="0" w:space="0" w:color="auto"/>
            <w:left w:val="none" w:sz="0" w:space="0" w:color="auto"/>
            <w:bottom w:val="none" w:sz="0" w:space="0" w:color="auto"/>
            <w:right w:val="none" w:sz="0" w:space="0" w:color="auto"/>
          </w:divBdr>
          <w:divsChild>
            <w:div w:id="352077853">
              <w:marLeft w:val="0"/>
              <w:marRight w:val="0"/>
              <w:marTop w:val="0"/>
              <w:marBottom w:val="0"/>
              <w:divBdr>
                <w:top w:val="none" w:sz="0" w:space="0" w:color="auto"/>
                <w:left w:val="none" w:sz="0" w:space="0" w:color="auto"/>
                <w:bottom w:val="none" w:sz="0" w:space="0" w:color="auto"/>
                <w:right w:val="none" w:sz="0" w:space="0" w:color="auto"/>
              </w:divBdr>
            </w:div>
          </w:divsChild>
        </w:div>
        <w:div w:id="363992055">
          <w:marLeft w:val="0"/>
          <w:marRight w:val="0"/>
          <w:marTop w:val="0"/>
          <w:marBottom w:val="0"/>
          <w:divBdr>
            <w:top w:val="none" w:sz="0" w:space="0" w:color="auto"/>
            <w:left w:val="none" w:sz="0" w:space="0" w:color="auto"/>
            <w:bottom w:val="none" w:sz="0" w:space="0" w:color="auto"/>
            <w:right w:val="none" w:sz="0" w:space="0" w:color="auto"/>
          </w:divBdr>
          <w:divsChild>
            <w:div w:id="1457481275">
              <w:marLeft w:val="0"/>
              <w:marRight w:val="0"/>
              <w:marTop w:val="0"/>
              <w:marBottom w:val="0"/>
              <w:divBdr>
                <w:top w:val="none" w:sz="0" w:space="0" w:color="auto"/>
                <w:left w:val="none" w:sz="0" w:space="0" w:color="auto"/>
                <w:bottom w:val="none" w:sz="0" w:space="0" w:color="auto"/>
                <w:right w:val="none" w:sz="0" w:space="0" w:color="auto"/>
              </w:divBdr>
            </w:div>
          </w:divsChild>
        </w:div>
        <w:div w:id="374164273">
          <w:marLeft w:val="0"/>
          <w:marRight w:val="0"/>
          <w:marTop w:val="0"/>
          <w:marBottom w:val="0"/>
          <w:divBdr>
            <w:top w:val="none" w:sz="0" w:space="0" w:color="auto"/>
            <w:left w:val="none" w:sz="0" w:space="0" w:color="auto"/>
            <w:bottom w:val="none" w:sz="0" w:space="0" w:color="auto"/>
            <w:right w:val="none" w:sz="0" w:space="0" w:color="auto"/>
          </w:divBdr>
          <w:divsChild>
            <w:div w:id="2027634072">
              <w:marLeft w:val="0"/>
              <w:marRight w:val="0"/>
              <w:marTop w:val="0"/>
              <w:marBottom w:val="0"/>
              <w:divBdr>
                <w:top w:val="none" w:sz="0" w:space="0" w:color="auto"/>
                <w:left w:val="none" w:sz="0" w:space="0" w:color="auto"/>
                <w:bottom w:val="none" w:sz="0" w:space="0" w:color="auto"/>
                <w:right w:val="none" w:sz="0" w:space="0" w:color="auto"/>
              </w:divBdr>
            </w:div>
          </w:divsChild>
        </w:div>
        <w:div w:id="406809059">
          <w:marLeft w:val="0"/>
          <w:marRight w:val="0"/>
          <w:marTop w:val="0"/>
          <w:marBottom w:val="0"/>
          <w:divBdr>
            <w:top w:val="none" w:sz="0" w:space="0" w:color="auto"/>
            <w:left w:val="none" w:sz="0" w:space="0" w:color="auto"/>
            <w:bottom w:val="none" w:sz="0" w:space="0" w:color="auto"/>
            <w:right w:val="none" w:sz="0" w:space="0" w:color="auto"/>
          </w:divBdr>
          <w:divsChild>
            <w:div w:id="736585018">
              <w:marLeft w:val="0"/>
              <w:marRight w:val="0"/>
              <w:marTop w:val="0"/>
              <w:marBottom w:val="0"/>
              <w:divBdr>
                <w:top w:val="none" w:sz="0" w:space="0" w:color="auto"/>
                <w:left w:val="none" w:sz="0" w:space="0" w:color="auto"/>
                <w:bottom w:val="none" w:sz="0" w:space="0" w:color="auto"/>
                <w:right w:val="none" w:sz="0" w:space="0" w:color="auto"/>
              </w:divBdr>
            </w:div>
          </w:divsChild>
        </w:div>
        <w:div w:id="437985696">
          <w:marLeft w:val="0"/>
          <w:marRight w:val="0"/>
          <w:marTop w:val="0"/>
          <w:marBottom w:val="0"/>
          <w:divBdr>
            <w:top w:val="none" w:sz="0" w:space="0" w:color="auto"/>
            <w:left w:val="none" w:sz="0" w:space="0" w:color="auto"/>
            <w:bottom w:val="none" w:sz="0" w:space="0" w:color="auto"/>
            <w:right w:val="none" w:sz="0" w:space="0" w:color="auto"/>
          </w:divBdr>
          <w:divsChild>
            <w:div w:id="347560717">
              <w:marLeft w:val="0"/>
              <w:marRight w:val="0"/>
              <w:marTop w:val="0"/>
              <w:marBottom w:val="0"/>
              <w:divBdr>
                <w:top w:val="none" w:sz="0" w:space="0" w:color="auto"/>
                <w:left w:val="none" w:sz="0" w:space="0" w:color="auto"/>
                <w:bottom w:val="none" w:sz="0" w:space="0" w:color="auto"/>
                <w:right w:val="none" w:sz="0" w:space="0" w:color="auto"/>
              </w:divBdr>
            </w:div>
          </w:divsChild>
        </w:div>
        <w:div w:id="644822170">
          <w:marLeft w:val="0"/>
          <w:marRight w:val="0"/>
          <w:marTop w:val="0"/>
          <w:marBottom w:val="0"/>
          <w:divBdr>
            <w:top w:val="none" w:sz="0" w:space="0" w:color="auto"/>
            <w:left w:val="none" w:sz="0" w:space="0" w:color="auto"/>
            <w:bottom w:val="none" w:sz="0" w:space="0" w:color="auto"/>
            <w:right w:val="none" w:sz="0" w:space="0" w:color="auto"/>
          </w:divBdr>
          <w:divsChild>
            <w:div w:id="2084452403">
              <w:marLeft w:val="0"/>
              <w:marRight w:val="0"/>
              <w:marTop w:val="0"/>
              <w:marBottom w:val="0"/>
              <w:divBdr>
                <w:top w:val="none" w:sz="0" w:space="0" w:color="auto"/>
                <w:left w:val="none" w:sz="0" w:space="0" w:color="auto"/>
                <w:bottom w:val="none" w:sz="0" w:space="0" w:color="auto"/>
                <w:right w:val="none" w:sz="0" w:space="0" w:color="auto"/>
              </w:divBdr>
            </w:div>
          </w:divsChild>
        </w:div>
        <w:div w:id="689260115">
          <w:marLeft w:val="0"/>
          <w:marRight w:val="0"/>
          <w:marTop w:val="0"/>
          <w:marBottom w:val="0"/>
          <w:divBdr>
            <w:top w:val="none" w:sz="0" w:space="0" w:color="auto"/>
            <w:left w:val="none" w:sz="0" w:space="0" w:color="auto"/>
            <w:bottom w:val="none" w:sz="0" w:space="0" w:color="auto"/>
            <w:right w:val="none" w:sz="0" w:space="0" w:color="auto"/>
          </w:divBdr>
          <w:divsChild>
            <w:div w:id="426077766">
              <w:marLeft w:val="0"/>
              <w:marRight w:val="0"/>
              <w:marTop w:val="0"/>
              <w:marBottom w:val="0"/>
              <w:divBdr>
                <w:top w:val="none" w:sz="0" w:space="0" w:color="auto"/>
                <w:left w:val="none" w:sz="0" w:space="0" w:color="auto"/>
                <w:bottom w:val="none" w:sz="0" w:space="0" w:color="auto"/>
                <w:right w:val="none" w:sz="0" w:space="0" w:color="auto"/>
              </w:divBdr>
            </w:div>
          </w:divsChild>
        </w:div>
        <w:div w:id="1363286409">
          <w:marLeft w:val="0"/>
          <w:marRight w:val="0"/>
          <w:marTop w:val="0"/>
          <w:marBottom w:val="0"/>
          <w:divBdr>
            <w:top w:val="none" w:sz="0" w:space="0" w:color="auto"/>
            <w:left w:val="none" w:sz="0" w:space="0" w:color="auto"/>
            <w:bottom w:val="none" w:sz="0" w:space="0" w:color="auto"/>
            <w:right w:val="none" w:sz="0" w:space="0" w:color="auto"/>
          </w:divBdr>
          <w:divsChild>
            <w:div w:id="24596638">
              <w:marLeft w:val="0"/>
              <w:marRight w:val="0"/>
              <w:marTop w:val="0"/>
              <w:marBottom w:val="0"/>
              <w:divBdr>
                <w:top w:val="none" w:sz="0" w:space="0" w:color="auto"/>
                <w:left w:val="none" w:sz="0" w:space="0" w:color="auto"/>
                <w:bottom w:val="none" w:sz="0" w:space="0" w:color="auto"/>
                <w:right w:val="none" w:sz="0" w:space="0" w:color="auto"/>
              </w:divBdr>
            </w:div>
          </w:divsChild>
        </w:div>
        <w:div w:id="1485928807">
          <w:marLeft w:val="0"/>
          <w:marRight w:val="0"/>
          <w:marTop w:val="0"/>
          <w:marBottom w:val="0"/>
          <w:divBdr>
            <w:top w:val="none" w:sz="0" w:space="0" w:color="auto"/>
            <w:left w:val="none" w:sz="0" w:space="0" w:color="auto"/>
            <w:bottom w:val="none" w:sz="0" w:space="0" w:color="auto"/>
            <w:right w:val="none" w:sz="0" w:space="0" w:color="auto"/>
          </w:divBdr>
          <w:divsChild>
            <w:div w:id="1962611649">
              <w:marLeft w:val="0"/>
              <w:marRight w:val="0"/>
              <w:marTop w:val="0"/>
              <w:marBottom w:val="0"/>
              <w:divBdr>
                <w:top w:val="none" w:sz="0" w:space="0" w:color="auto"/>
                <w:left w:val="none" w:sz="0" w:space="0" w:color="auto"/>
                <w:bottom w:val="none" w:sz="0" w:space="0" w:color="auto"/>
                <w:right w:val="none" w:sz="0" w:space="0" w:color="auto"/>
              </w:divBdr>
            </w:div>
          </w:divsChild>
        </w:div>
        <w:div w:id="1658067309">
          <w:marLeft w:val="0"/>
          <w:marRight w:val="0"/>
          <w:marTop w:val="0"/>
          <w:marBottom w:val="0"/>
          <w:divBdr>
            <w:top w:val="none" w:sz="0" w:space="0" w:color="auto"/>
            <w:left w:val="none" w:sz="0" w:space="0" w:color="auto"/>
            <w:bottom w:val="none" w:sz="0" w:space="0" w:color="auto"/>
            <w:right w:val="none" w:sz="0" w:space="0" w:color="auto"/>
          </w:divBdr>
          <w:divsChild>
            <w:div w:id="963921924">
              <w:marLeft w:val="0"/>
              <w:marRight w:val="0"/>
              <w:marTop w:val="0"/>
              <w:marBottom w:val="0"/>
              <w:divBdr>
                <w:top w:val="none" w:sz="0" w:space="0" w:color="auto"/>
                <w:left w:val="none" w:sz="0" w:space="0" w:color="auto"/>
                <w:bottom w:val="none" w:sz="0" w:space="0" w:color="auto"/>
                <w:right w:val="none" w:sz="0" w:space="0" w:color="auto"/>
              </w:divBdr>
            </w:div>
          </w:divsChild>
        </w:div>
        <w:div w:id="1728912901">
          <w:marLeft w:val="0"/>
          <w:marRight w:val="0"/>
          <w:marTop w:val="0"/>
          <w:marBottom w:val="0"/>
          <w:divBdr>
            <w:top w:val="none" w:sz="0" w:space="0" w:color="auto"/>
            <w:left w:val="none" w:sz="0" w:space="0" w:color="auto"/>
            <w:bottom w:val="none" w:sz="0" w:space="0" w:color="auto"/>
            <w:right w:val="none" w:sz="0" w:space="0" w:color="auto"/>
          </w:divBdr>
          <w:divsChild>
            <w:div w:id="919172584">
              <w:marLeft w:val="0"/>
              <w:marRight w:val="0"/>
              <w:marTop w:val="0"/>
              <w:marBottom w:val="0"/>
              <w:divBdr>
                <w:top w:val="none" w:sz="0" w:space="0" w:color="auto"/>
                <w:left w:val="none" w:sz="0" w:space="0" w:color="auto"/>
                <w:bottom w:val="none" w:sz="0" w:space="0" w:color="auto"/>
                <w:right w:val="none" w:sz="0" w:space="0" w:color="auto"/>
              </w:divBdr>
            </w:div>
          </w:divsChild>
        </w:div>
        <w:div w:id="1768114647">
          <w:marLeft w:val="0"/>
          <w:marRight w:val="0"/>
          <w:marTop w:val="0"/>
          <w:marBottom w:val="0"/>
          <w:divBdr>
            <w:top w:val="none" w:sz="0" w:space="0" w:color="auto"/>
            <w:left w:val="none" w:sz="0" w:space="0" w:color="auto"/>
            <w:bottom w:val="none" w:sz="0" w:space="0" w:color="auto"/>
            <w:right w:val="none" w:sz="0" w:space="0" w:color="auto"/>
          </w:divBdr>
          <w:divsChild>
            <w:div w:id="188642598">
              <w:marLeft w:val="0"/>
              <w:marRight w:val="0"/>
              <w:marTop w:val="0"/>
              <w:marBottom w:val="0"/>
              <w:divBdr>
                <w:top w:val="none" w:sz="0" w:space="0" w:color="auto"/>
                <w:left w:val="none" w:sz="0" w:space="0" w:color="auto"/>
                <w:bottom w:val="none" w:sz="0" w:space="0" w:color="auto"/>
                <w:right w:val="none" w:sz="0" w:space="0" w:color="auto"/>
              </w:divBdr>
            </w:div>
          </w:divsChild>
        </w:div>
        <w:div w:id="2016107193">
          <w:marLeft w:val="0"/>
          <w:marRight w:val="0"/>
          <w:marTop w:val="0"/>
          <w:marBottom w:val="0"/>
          <w:divBdr>
            <w:top w:val="none" w:sz="0" w:space="0" w:color="auto"/>
            <w:left w:val="none" w:sz="0" w:space="0" w:color="auto"/>
            <w:bottom w:val="none" w:sz="0" w:space="0" w:color="auto"/>
            <w:right w:val="none" w:sz="0" w:space="0" w:color="auto"/>
          </w:divBdr>
          <w:divsChild>
            <w:div w:id="143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572">
      <w:bodyDiv w:val="1"/>
      <w:marLeft w:val="0"/>
      <w:marRight w:val="0"/>
      <w:marTop w:val="0"/>
      <w:marBottom w:val="0"/>
      <w:divBdr>
        <w:top w:val="none" w:sz="0" w:space="0" w:color="auto"/>
        <w:left w:val="none" w:sz="0" w:space="0" w:color="auto"/>
        <w:bottom w:val="none" w:sz="0" w:space="0" w:color="auto"/>
        <w:right w:val="none" w:sz="0" w:space="0" w:color="auto"/>
      </w:divBdr>
    </w:div>
    <w:div w:id="465591415">
      <w:bodyDiv w:val="1"/>
      <w:marLeft w:val="0"/>
      <w:marRight w:val="0"/>
      <w:marTop w:val="0"/>
      <w:marBottom w:val="0"/>
      <w:divBdr>
        <w:top w:val="none" w:sz="0" w:space="0" w:color="auto"/>
        <w:left w:val="none" w:sz="0" w:space="0" w:color="auto"/>
        <w:bottom w:val="none" w:sz="0" w:space="0" w:color="auto"/>
        <w:right w:val="none" w:sz="0" w:space="0" w:color="auto"/>
      </w:divBdr>
    </w:div>
    <w:div w:id="475530981">
      <w:bodyDiv w:val="1"/>
      <w:marLeft w:val="0"/>
      <w:marRight w:val="0"/>
      <w:marTop w:val="0"/>
      <w:marBottom w:val="0"/>
      <w:divBdr>
        <w:top w:val="none" w:sz="0" w:space="0" w:color="auto"/>
        <w:left w:val="none" w:sz="0" w:space="0" w:color="auto"/>
        <w:bottom w:val="none" w:sz="0" w:space="0" w:color="auto"/>
        <w:right w:val="none" w:sz="0" w:space="0" w:color="auto"/>
      </w:divBdr>
    </w:div>
    <w:div w:id="476067003">
      <w:bodyDiv w:val="1"/>
      <w:marLeft w:val="0"/>
      <w:marRight w:val="0"/>
      <w:marTop w:val="0"/>
      <w:marBottom w:val="0"/>
      <w:divBdr>
        <w:top w:val="none" w:sz="0" w:space="0" w:color="auto"/>
        <w:left w:val="none" w:sz="0" w:space="0" w:color="auto"/>
        <w:bottom w:val="none" w:sz="0" w:space="0" w:color="auto"/>
        <w:right w:val="none" w:sz="0" w:space="0" w:color="auto"/>
      </w:divBdr>
    </w:div>
    <w:div w:id="477384560">
      <w:bodyDiv w:val="1"/>
      <w:marLeft w:val="0"/>
      <w:marRight w:val="0"/>
      <w:marTop w:val="0"/>
      <w:marBottom w:val="0"/>
      <w:divBdr>
        <w:top w:val="none" w:sz="0" w:space="0" w:color="auto"/>
        <w:left w:val="none" w:sz="0" w:space="0" w:color="auto"/>
        <w:bottom w:val="none" w:sz="0" w:space="0" w:color="auto"/>
        <w:right w:val="none" w:sz="0" w:space="0" w:color="auto"/>
      </w:divBdr>
    </w:div>
    <w:div w:id="479468167">
      <w:bodyDiv w:val="1"/>
      <w:marLeft w:val="0"/>
      <w:marRight w:val="0"/>
      <w:marTop w:val="0"/>
      <w:marBottom w:val="0"/>
      <w:divBdr>
        <w:top w:val="none" w:sz="0" w:space="0" w:color="auto"/>
        <w:left w:val="none" w:sz="0" w:space="0" w:color="auto"/>
        <w:bottom w:val="none" w:sz="0" w:space="0" w:color="auto"/>
        <w:right w:val="none" w:sz="0" w:space="0" w:color="auto"/>
      </w:divBdr>
    </w:div>
    <w:div w:id="486871040">
      <w:bodyDiv w:val="1"/>
      <w:marLeft w:val="0"/>
      <w:marRight w:val="0"/>
      <w:marTop w:val="0"/>
      <w:marBottom w:val="0"/>
      <w:divBdr>
        <w:top w:val="none" w:sz="0" w:space="0" w:color="auto"/>
        <w:left w:val="none" w:sz="0" w:space="0" w:color="auto"/>
        <w:bottom w:val="none" w:sz="0" w:space="0" w:color="auto"/>
        <w:right w:val="none" w:sz="0" w:space="0" w:color="auto"/>
      </w:divBdr>
    </w:div>
    <w:div w:id="487861631">
      <w:bodyDiv w:val="1"/>
      <w:marLeft w:val="0"/>
      <w:marRight w:val="0"/>
      <w:marTop w:val="0"/>
      <w:marBottom w:val="0"/>
      <w:divBdr>
        <w:top w:val="none" w:sz="0" w:space="0" w:color="auto"/>
        <w:left w:val="none" w:sz="0" w:space="0" w:color="auto"/>
        <w:bottom w:val="none" w:sz="0" w:space="0" w:color="auto"/>
        <w:right w:val="none" w:sz="0" w:space="0" w:color="auto"/>
      </w:divBdr>
    </w:div>
    <w:div w:id="493184834">
      <w:bodyDiv w:val="1"/>
      <w:marLeft w:val="0"/>
      <w:marRight w:val="0"/>
      <w:marTop w:val="0"/>
      <w:marBottom w:val="0"/>
      <w:divBdr>
        <w:top w:val="none" w:sz="0" w:space="0" w:color="auto"/>
        <w:left w:val="none" w:sz="0" w:space="0" w:color="auto"/>
        <w:bottom w:val="none" w:sz="0" w:space="0" w:color="auto"/>
        <w:right w:val="none" w:sz="0" w:space="0" w:color="auto"/>
      </w:divBdr>
    </w:div>
    <w:div w:id="493185353">
      <w:bodyDiv w:val="1"/>
      <w:marLeft w:val="0"/>
      <w:marRight w:val="0"/>
      <w:marTop w:val="0"/>
      <w:marBottom w:val="0"/>
      <w:divBdr>
        <w:top w:val="none" w:sz="0" w:space="0" w:color="auto"/>
        <w:left w:val="none" w:sz="0" w:space="0" w:color="auto"/>
        <w:bottom w:val="none" w:sz="0" w:space="0" w:color="auto"/>
        <w:right w:val="none" w:sz="0" w:space="0" w:color="auto"/>
      </w:divBdr>
    </w:div>
    <w:div w:id="501044159">
      <w:bodyDiv w:val="1"/>
      <w:marLeft w:val="0"/>
      <w:marRight w:val="0"/>
      <w:marTop w:val="0"/>
      <w:marBottom w:val="0"/>
      <w:divBdr>
        <w:top w:val="none" w:sz="0" w:space="0" w:color="auto"/>
        <w:left w:val="none" w:sz="0" w:space="0" w:color="auto"/>
        <w:bottom w:val="none" w:sz="0" w:space="0" w:color="auto"/>
        <w:right w:val="none" w:sz="0" w:space="0" w:color="auto"/>
      </w:divBdr>
    </w:div>
    <w:div w:id="501354902">
      <w:bodyDiv w:val="1"/>
      <w:marLeft w:val="0"/>
      <w:marRight w:val="0"/>
      <w:marTop w:val="0"/>
      <w:marBottom w:val="0"/>
      <w:divBdr>
        <w:top w:val="none" w:sz="0" w:space="0" w:color="auto"/>
        <w:left w:val="none" w:sz="0" w:space="0" w:color="auto"/>
        <w:bottom w:val="none" w:sz="0" w:space="0" w:color="auto"/>
        <w:right w:val="none" w:sz="0" w:space="0" w:color="auto"/>
      </w:divBdr>
    </w:div>
    <w:div w:id="503975629">
      <w:bodyDiv w:val="1"/>
      <w:marLeft w:val="0"/>
      <w:marRight w:val="0"/>
      <w:marTop w:val="0"/>
      <w:marBottom w:val="0"/>
      <w:divBdr>
        <w:top w:val="none" w:sz="0" w:space="0" w:color="auto"/>
        <w:left w:val="none" w:sz="0" w:space="0" w:color="auto"/>
        <w:bottom w:val="none" w:sz="0" w:space="0" w:color="auto"/>
        <w:right w:val="none" w:sz="0" w:space="0" w:color="auto"/>
      </w:divBdr>
    </w:div>
    <w:div w:id="507065273">
      <w:bodyDiv w:val="1"/>
      <w:marLeft w:val="0"/>
      <w:marRight w:val="0"/>
      <w:marTop w:val="0"/>
      <w:marBottom w:val="0"/>
      <w:divBdr>
        <w:top w:val="none" w:sz="0" w:space="0" w:color="auto"/>
        <w:left w:val="none" w:sz="0" w:space="0" w:color="auto"/>
        <w:bottom w:val="none" w:sz="0" w:space="0" w:color="auto"/>
        <w:right w:val="none" w:sz="0" w:space="0" w:color="auto"/>
      </w:divBdr>
    </w:div>
    <w:div w:id="507643709">
      <w:bodyDiv w:val="1"/>
      <w:marLeft w:val="0"/>
      <w:marRight w:val="0"/>
      <w:marTop w:val="0"/>
      <w:marBottom w:val="0"/>
      <w:divBdr>
        <w:top w:val="none" w:sz="0" w:space="0" w:color="auto"/>
        <w:left w:val="none" w:sz="0" w:space="0" w:color="auto"/>
        <w:bottom w:val="none" w:sz="0" w:space="0" w:color="auto"/>
        <w:right w:val="none" w:sz="0" w:space="0" w:color="auto"/>
      </w:divBdr>
    </w:div>
    <w:div w:id="513618184">
      <w:bodyDiv w:val="1"/>
      <w:marLeft w:val="0"/>
      <w:marRight w:val="0"/>
      <w:marTop w:val="0"/>
      <w:marBottom w:val="0"/>
      <w:divBdr>
        <w:top w:val="none" w:sz="0" w:space="0" w:color="auto"/>
        <w:left w:val="none" w:sz="0" w:space="0" w:color="auto"/>
        <w:bottom w:val="none" w:sz="0" w:space="0" w:color="auto"/>
        <w:right w:val="none" w:sz="0" w:space="0" w:color="auto"/>
      </w:divBdr>
    </w:div>
    <w:div w:id="516115079">
      <w:bodyDiv w:val="1"/>
      <w:marLeft w:val="0"/>
      <w:marRight w:val="0"/>
      <w:marTop w:val="0"/>
      <w:marBottom w:val="0"/>
      <w:divBdr>
        <w:top w:val="none" w:sz="0" w:space="0" w:color="auto"/>
        <w:left w:val="none" w:sz="0" w:space="0" w:color="auto"/>
        <w:bottom w:val="none" w:sz="0" w:space="0" w:color="auto"/>
        <w:right w:val="none" w:sz="0" w:space="0" w:color="auto"/>
      </w:divBdr>
    </w:div>
    <w:div w:id="517812523">
      <w:bodyDiv w:val="1"/>
      <w:marLeft w:val="0"/>
      <w:marRight w:val="0"/>
      <w:marTop w:val="0"/>
      <w:marBottom w:val="0"/>
      <w:divBdr>
        <w:top w:val="none" w:sz="0" w:space="0" w:color="auto"/>
        <w:left w:val="none" w:sz="0" w:space="0" w:color="auto"/>
        <w:bottom w:val="none" w:sz="0" w:space="0" w:color="auto"/>
        <w:right w:val="none" w:sz="0" w:space="0" w:color="auto"/>
      </w:divBdr>
    </w:div>
    <w:div w:id="537360166">
      <w:bodyDiv w:val="1"/>
      <w:marLeft w:val="0"/>
      <w:marRight w:val="0"/>
      <w:marTop w:val="0"/>
      <w:marBottom w:val="0"/>
      <w:divBdr>
        <w:top w:val="none" w:sz="0" w:space="0" w:color="auto"/>
        <w:left w:val="none" w:sz="0" w:space="0" w:color="auto"/>
        <w:bottom w:val="none" w:sz="0" w:space="0" w:color="auto"/>
        <w:right w:val="none" w:sz="0" w:space="0" w:color="auto"/>
      </w:divBdr>
    </w:div>
    <w:div w:id="546651698">
      <w:bodyDiv w:val="1"/>
      <w:marLeft w:val="0"/>
      <w:marRight w:val="0"/>
      <w:marTop w:val="0"/>
      <w:marBottom w:val="0"/>
      <w:divBdr>
        <w:top w:val="none" w:sz="0" w:space="0" w:color="auto"/>
        <w:left w:val="none" w:sz="0" w:space="0" w:color="auto"/>
        <w:bottom w:val="none" w:sz="0" w:space="0" w:color="auto"/>
        <w:right w:val="none" w:sz="0" w:space="0" w:color="auto"/>
      </w:divBdr>
    </w:div>
    <w:div w:id="552618821">
      <w:bodyDiv w:val="1"/>
      <w:marLeft w:val="0"/>
      <w:marRight w:val="0"/>
      <w:marTop w:val="0"/>
      <w:marBottom w:val="0"/>
      <w:divBdr>
        <w:top w:val="none" w:sz="0" w:space="0" w:color="auto"/>
        <w:left w:val="none" w:sz="0" w:space="0" w:color="auto"/>
        <w:bottom w:val="none" w:sz="0" w:space="0" w:color="auto"/>
        <w:right w:val="none" w:sz="0" w:space="0" w:color="auto"/>
      </w:divBdr>
    </w:div>
    <w:div w:id="555819974">
      <w:bodyDiv w:val="1"/>
      <w:marLeft w:val="0"/>
      <w:marRight w:val="0"/>
      <w:marTop w:val="0"/>
      <w:marBottom w:val="0"/>
      <w:divBdr>
        <w:top w:val="none" w:sz="0" w:space="0" w:color="auto"/>
        <w:left w:val="none" w:sz="0" w:space="0" w:color="auto"/>
        <w:bottom w:val="none" w:sz="0" w:space="0" w:color="auto"/>
        <w:right w:val="none" w:sz="0" w:space="0" w:color="auto"/>
      </w:divBdr>
    </w:div>
    <w:div w:id="556089481">
      <w:bodyDiv w:val="1"/>
      <w:marLeft w:val="0"/>
      <w:marRight w:val="0"/>
      <w:marTop w:val="0"/>
      <w:marBottom w:val="0"/>
      <w:divBdr>
        <w:top w:val="none" w:sz="0" w:space="0" w:color="auto"/>
        <w:left w:val="none" w:sz="0" w:space="0" w:color="auto"/>
        <w:bottom w:val="none" w:sz="0" w:space="0" w:color="auto"/>
        <w:right w:val="none" w:sz="0" w:space="0" w:color="auto"/>
      </w:divBdr>
    </w:div>
    <w:div w:id="559750728">
      <w:bodyDiv w:val="1"/>
      <w:marLeft w:val="0"/>
      <w:marRight w:val="0"/>
      <w:marTop w:val="0"/>
      <w:marBottom w:val="0"/>
      <w:divBdr>
        <w:top w:val="none" w:sz="0" w:space="0" w:color="auto"/>
        <w:left w:val="none" w:sz="0" w:space="0" w:color="auto"/>
        <w:bottom w:val="none" w:sz="0" w:space="0" w:color="auto"/>
        <w:right w:val="none" w:sz="0" w:space="0" w:color="auto"/>
      </w:divBdr>
    </w:div>
    <w:div w:id="563102376">
      <w:bodyDiv w:val="1"/>
      <w:marLeft w:val="0"/>
      <w:marRight w:val="0"/>
      <w:marTop w:val="0"/>
      <w:marBottom w:val="0"/>
      <w:divBdr>
        <w:top w:val="none" w:sz="0" w:space="0" w:color="auto"/>
        <w:left w:val="none" w:sz="0" w:space="0" w:color="auto"/>
        <w:bottom w:val="none" w:sz="0" w:space="0" w:color="auto"/>
        <w:right w:val="none" w:sz="0" w:space="0" w:color="auto"/>
      </w:divBdr>
    </w:div>
    <w:div w:id="568922577">
      <w:bodyDiv w:val="1"/>
      <w:marLeft w:val="0"/>
      <w:marRight w:val="0"/>
      <w:marTop w:val="0"/>
      <w:marBottom w:val="0"/>
      <w:divBdr>
        <w:top w:val="none" w:sz="0" w:space="0" w:color="auto"/>
        <w:left w:val="none" w:sz="0" w:space="0" w:color="auto"/>
        <w:bottom w:val="none" w:sz="0" w:space="0" w:color="auto"/>
        <w:right w:val="none" w:sz="0" w:space="0" w:color="auto"/>
      </w:divBdr>
    </w:div>
    <w:div w:id="570429494">
      <w:bodyDiv w:val="1"/>
      <w:marLeft w:val="0"/>
      <w:marRight w:val="0"/>
      <w:marTop w:val="0"/>
      <w:marBottom w:val="0"/>
      <w:divBdr>
        <w:top w:val="none" w:sz="0" w:space="0" w:color="auto"/>
        <w:left w:val="none" w:sz="0" w:space="0" w:color="auto"/>
        <w:bottom w:val="none" w:sz="0" w:space="0" w:color="auto"/>
        <w:right w:val="none" w:sz="0" w:space="0" w:color="auto"/>
      </w:divBdr>
    </w:div>
    <w:div w:id="576402817">
      <w:bodyDiv w:val="1"/>
      <w:marLeft w:val="0"/>
      <w:marRight w:val="0"/>
      <w:marTop w:val="0"/>
      <w:marBottom w:val="0"/>
      <w:divBdr>
        <w:top w:val="none" w:sz="0" w:space="0" w:color="auto"/>
        <w:left w:val="none" w:sz="0" w:space="0" w:color="auto"/>
        <w:bottom w:val="none" w:sz="0" w:space="0" w:color="auto"/>
        <w:right w:val="none" w:sz="0" w:space="0" w:color="auto"/>
      </w:divBdr>
    </w:div>
    <w:div w:id="580139115">
      <w:bodyDiv w:val="1"/>
      <w:marLeft w:val="0"/>
      <w:marRight w:val="0"/>
      <w:marTop w:val="0"/>
      <w:marBottom w:val="0"/>
      <w:divBdr>
        <w:top w:val="none" w:sz="0" w:space="0" w:color="auto"/>
        <w:left w:val="none" w:sz="0" w:space="0" w:color="auto"/>
        <w:bottom w:val="none" w:sz="0" w:space="0" w:color="auto"/>
        <w:right w:val="none" w:sz="0" w:space="0" w:color="auto"/>
      </w:divBdr>
    </w:div>
    <w:div w:id="588736739">
      <w:bodyDiv w:val="1"/>
      <w:marLeft w:val="0"/>
      <w:marRight w:val="0"/>
      <w:marTop w:val="0"/>
      <w:marBottom w:val="0"/>
      <w:divBdr>
        <w:top w:val="none" w:sz="0" w:space="0" w:color="auto"/>
        <w:left w:val="none" w:sz="0" w:space="0" w:color="auto"/>
        <w:bottom w:val="none" w:sz="0" w:space="0" w:color="auto"/>
        <w:right w:val="none" w:sz="0" w:space="0" w:color="auto"/>
      </w:divBdr>
      <w:divsChild>
        <w:div w:id="546071945">
          <w:marLeft w:val="0"/>
          <w:marRight w:val="0"/>
          <w:marTop w:val="0"/>
          <w:marBottom w:val="0"/>
          <w:divBdr>
            <w:top w:val="none" w:sz="0" w:space="0" w:color="auto"/>
            <w:left w:val="none" w:sz="0" w:space="0" w:color="auto"/>
            <w:bottom w:val="none" w:sz="0" w:space="0" w:color="auto"/>
            <w:right w:val="none" w:sz="0" w:space="0" w:color="auto"/>
          </w:divBdr>
        </w:div>
        <w:div w:id="580062056">
          <w:marLeft w:val="0"/>
          <w:marRight w:val="0"/>
          <w:marTop w:val="0"/>
          <w:marBottom w:val="0"/>
          <w:divBdr>
            <w:top w:val="none" w:sz="0" w:space="0" w:color="auto"/>
            <w:left w:val="none" w:sz="0" w:space="0" w:color="auto"/>
            <w:bottom w:val="none" w:sz="0" w:space="0" w:color="auto"/>
            <w:right w:val="none" w:sz="0" w:space="0" w:color="auto"/>
          </w:divBdr>
        </w:div>
        <w:div w:id="1575045590">
          <w:marLeft w:val="0"/>
          <w:marRight w:val="0"/>
          <w:marTop w:val="0"/>
          <w:marBottom w:val="0"/>
          <w:divBdr>
            <w:top w:val="none" w:sz="0" w:space="0" w:color="auto"/>
            <w:left w:val="none" w:sz="0" w:space="0" w:color="auto"/>
            <w:bottom w:val="none" w:sz="0" w:space="0" w:color="auto"/>
            <w:right w:val="none" w:sz="0" w:space="0" w:color="auto"/>
          </w:divBdr>
        </w:div>
      </w:divsChild>
    </w:div>
    <w:div w:id="594246505">
      <w:bodyDiv w:val="1"/>
      <w:marLeft w:val="0"/>
      <w:marRight w:val="0"/>
      <w:marTop w:val="0"/>
      <w:marBottom w:val="0"/>
      <w:divBdr>
        <w:top w:val="none" w:sz="0" w:space="0" w:color="auto"/>
        <w:left w:val="none" w:sz="0" w:space="0" w:color="auto"/>
        <w:bottom w:val="none" w:sz="0" w:space="0" w:color="auto"/>
        <w:right w:val="none" w:sz="0" w:space="0" w:color="auto"/>
      </w:divBdr>
    </w:div>
    <w:div w:id="606155943">
      <w:bodyDiv w:val="1"/>
      <w:marLeft w:val="0"/>
      <w:marRight w:val="0"/>
      <w:marTop w:val="0"/>
      <w:marBottom w:val="0"/>
      <w:divBdr>
        <w:top w:val="none" w:sz="0" w:space="0" w:color="auto"/>
        <w:left w:val="none" w:sz="0" w:space="0" w:color="auto"/>
        <w:bottom w:val="none" w:sz="0" w:space="0" w:color="auto"/>
        <w:right w:val="none" w:sz="0" w:space="0" w:color="auto"/>
      </w:divBdr>
    </w:div>
    <w:div w:id="616254307">
      <w:bodyDiv w:val="1"/>
      <w:marLeft w:val="0"/>
      <w:marRight w:val="0"/>
      <w:marTop w:val="0"/>
      <w:marBottom w:val="0"/>
      <w:divBdr>
        <w:top w:val="none" w:sz="0" w:space="0" w:color="auto"/>
        <w:left w:val="none" w:sz="0" w:space="0" w:color="auto"/>
        <w:bottom w:val="none" w:sz="0" w:space="0" w:color="auto"/>
        <w:right w:val="none" w:sz="0" w:space="0" w:color="auto"/>
      </w:divBdr>
    </w:div>
    <w:div w:id="636763435">
      <w:bodyDiv w:val="1"/>
      <w:marLeft w:val="0"/>
      <w:marRight w:val="0"/>
      <w:marTop w:val="0"/>
      <w:marBottom w:val="0"/>
      <w:divBdr>
        <w:top w:val="none" w:sz="0" w:space="0" w:color="auto"/>
        <w:left w:val="none" w:sz="0" w:space="0" w:color="auto"/>
        <w:bottom w:val="none" w:sz="0" w:space="0" w:color="auto"/>
        <w:right w:val="none" w:sz="0" w:space="0" w:color="auto"/>
      </w:divBdr>
    </w:div>
    <w:div w:id="641543381">
      <w:bodyDiv w:val="1"/>
      <w:marLeft w:val="0"/>
      <w:marRight w:val="0"/>
      <w:marTop w:val="0"/>
      <w:marBottom w:val="0"/>
      <w:divBdr>
        <w:top w:val="none" w:sz="0" w:space="0" w:color="auto"/>
        <w:left w:val="none" w:sz="0" w:space="0" w:color="auto"/>
        <w:bottom w:val="none" w:sz="0" w:space="0" w:color="auto"/>
        <w:right w:val="none" w:sz="0" w:space="0" w:color="auto"/>
      </w:divBdr>
    </w:div>
    <w:div w:id="645281171">
      <w:bodyDiv w:val="1"/>
      <w:marLeft w:val="0"/>
      <w:marRight w:val="0"/>
      <w:marTop w:val="0"/>
      <w:marBottom w:val="0"/>
      <w:divBdr>
        <w:top w:val="none" w:sz="0" w:space="0" w:color="auto"/>
        <w:left w:val="none" w:sz="0" w:space="0" w:color="auto"/>
        <w:bottom w:val="none" w:sz="0" w:space="0" w:color="auto"/>
        <w:right w:val="none" w:sz="0" w:space="0" w:color="auto"/>
      </w:divBdr>
    </w:div>
    <w:div w:id="647563214">
      <w:bodyDiv w:val="1"/>
      <w:marLeft w:val="0"/>
      <w:marRight w:val="0"/>
      <w:marTop w:val="0"/>
      <w:marBottom w:val="0"/>
      <w:divBdr>
        <w:top w:val="none" w:sz="0" w:space="0" w:color="auto"/>
        <w:left w:val="none" w:sz="0" w:space="0" w:color="auto"/>
        <w:bottom w:val="none" w:sz="0" w:space="0" w:color="auto"/>
        <w:right w:val="none" w:sz="0" w:space="0" w:color="auto"/>
      </w:divBdr>
    </w:div>
    <w:div w:id="660962500">
      <w:bodyDiv w:val="1"/>
      <w:marLeft w:val="0"/>
      <w:marRight w:val="0"/>
      <w:marTop w:val="0"/>
      <w:marBottom w:val="0"/>
      <w:divBdr>
        <w:top w:val="none" w:sz="0" w:space="0" w:color="auto"/>
        <w:left w:val="none" w:sz="0" w:space="0" w:color="auto"/>
        <w:bottom w:val="none" w:sz="0" w:space="0" w:color="auto"/>
        <w:right w:val="none" w:sz="0" w:space="0" w:color="auto"/>
      </w:divBdr>
    </w:div>
    <w:div w:id="664094195">
      <w:bodyDiv w:val="1"/>
      <w:marLeft w:val="0"/>
      <w:marRight w:val="0"/>
      <w:marTop w:val="0"/>
      <w:marBottom w:val="0"/>
      <w:divBdr>
        <w:top w:val="none" w:sz="0" w:space="0" w:color="auto"/>
        <w:left w:val="none" w:sz="0" w:space="0" w:color="auto"/>
        <w:bottom w:val="none" w:sz="0" w:space="0" w:color="auto"/>
        <w:right w:val="none" w:sz="0" w:space="0" w:color="auto"/>
      </w:divBdr>
    </w:div>
    <w:div w:id="668870910">
      <w:bodyDiv w:val="1"/>
      <w:marLeft w:val="0"/>
      <w:marRight w:val="0"/>
      <w:marTop w:val="0"/>
      <w:marBottom w:val="0"/>
      <w:divBdr>
        <w:top w:val="none" w:sz="0" w:space="0" w:color="auto"/>
        <w:left w:val="none" w:sz="0" w:space="0" w:color="auto"/>
        <w:bottom w:val="none" w:sz="0" w:space="0" w:color="auto"/>
        <w:right w:val="none" w:sz="0" w:space="0" w:color="auto"/>
      </w:divBdr>
    </w:div>
    <w:div w:id="674577300">
      <w:bodyDiv w:val="1"/>
      <w:marLeft w:val="0"/>
      <w:marRight w:val="0"/>
      <w:marTop w:val="0"/>
      <w:marBottom w:val="0"/>
      <w:divBdr>
        <w:top w:val="none" w:sz="0" w:space="0" w:color="auto"/>
        <w:left w:val="none" w:sz="0" w:space="0" w:color="auto"/>
        <w:bottom w:val="none" w:sz="0" w:space="0" w:color="auto"/>
        <w:right w:val="none" w:sz="0" w:space="0" w:color="auto"/>
      </w:divBdr>
    </w:div>
    <w:div w:id="679619587">
      <w:bodyDiv w:val="1"/>
      <w:marLeft w:val="0"/>
      <w:marRight w:val="0"/>
      <w:marTop w:val="0"/>
      <w:marBottom w:val="0"/>
      <w:divBdr>
        <w:top w:val="none" w:sz="0" w:space="0" w:color="auto"/>
        <w:left w:val="none" w:sz="0" w:space="0" w:color="auto"/>
        <w:bottom w:val="none" w:sz="0" w:space="0" w:color="auto"/>
        <w:right w:val="none" w:sz="0" w:space="0" w:color="auto"/>
      </w:divBdr>
    </w:div>
    <w:div w:id="681475136">
      <w:bodyDiv w:val="1"/>
      <w:marLeft w:val="0"/>
      <w:marRight w:val="0"/>
      <w:marTop w:val="0"/>
      <w:marBottom w:val="0"/>
      <w:divBdr>
        <w:top w:val="none" w:sz="0" w:space="0" w:color="auto"/>
        <w:left w:val="none" w:sz="0" w:space="0" w:color="auto"/>
        <w:bottom w:val="none" w:sz="0" w:space="0" w:color="auto"/>
        <w:right w:val="none" w:sz="0" w:space="0" w:color="auto"/>
      </w:divBdr>
    </w:div>
    <w:div w:id="688066580">
      <w:bodyDiv w:val="1"/>
      <w:marLeft w:val="0"/>
      <w:marRight w:val="0"/>
      <w:marTop w:val="0"/>
      <w:marBottom w:val="0"/>
      <w:divBdr>
        <w:top w:val="none" w:sz="0" w:space="0" w:color="auto"/>
        <w:left w:val="none" w:sz="0" w:space="0" w:color="auto"/>
        <w:bottom w:val="none" w:sz="0" w:space="0" w:color="auto"/>
        <w:right w:val="none" w:sz="0" w:space="0" w:color="auto"/>
      </w:divBdr>
    </w:div>
    <w:div w:id="713820893">
      <w:bodyDiv w:val="1"/>
      <w:marLeft w:val="0"/>
      <w:marRight w:val="0"/>
      <w:marTop w:val="0"/>
      <w:marBottom w:val="0"/>
      <w:divBdr>
        <w:top w:val="none" w:sz="0" w:space="0" w:color="auto"/>
        <w:left w:val="none" w:sz="0" w:space="0" w:color="auto"/>
        <w:bottom w:val="none" w:sz="0" w:space="0" w:color="auto"/>
        <w:right w:val="none" w:sz="0" w:space="0" w:color="auto"/>
      </w:divBdr>
    </w:div>
    <w:div w:id="726538806">
      <w:bodyDiv w:val="1"/>
      <w:marLeft w:val="0"/>
      <w:marRight w:val="0"/>
      <w:marTop w:val="0"/>
      <w:marBottom w:val="0"/>
      <w:divBdr>
        <w:top w:val="none" w:sz="0" w:space="0" w:color="auto"/>
        <w:left w:val="none" w:sz="0" w:space="0" w:color="auto"/>
        <w:bottom w:val="none" w:sz="0" w:space="0" w:color="auto"/>
        <w:right w:val="none" w:sz="0" w:space="0" w:color="auto"/>
      </w:divBdr>
    </w:div>
    <w:div w:id="733048695">
      <w:bodyDiv w:val="1"/>
      <w:marLeft w:val="0"/>
      <w:marRight w:val="0"/>
      <w:marTop w:val="0"/>
      <w:marBottom w:val="0"/>
      <w:divBdr>
        <w:top w:val="none" w:sz="0" w:space="0" w:color="auto"/>
        <w:left w:val="none" w:sz="0" w:space="0" w:color="auto"/>
        <w:bottom w:val="none" w:sz="0" w:space="0" w:color="auto"/>
        <w:right w:val="none" w:sz="0" w:space="0" w:color="auto"/>
      </w:divBdr>
    </w:div>
    <w:div w:id="734206742">
      <w:bodyDiv w:val="1"/>
      <w:marLeft w:val="0"/>
      <w:marRight w:val="0"/>
      <w:marTop w:val="0"/>
      <w:marBottom w:val="0"/>
      <w:divBdr>
        <w:top w:val="none" w:sz="0" w:space="0" w:color="auto"/>
        <w:left w:val="none" w:sz="0" w:space="0" w:color="auto"/>
        <w:bottom w:val="none" w:sz="0" w:space="0" w:color="auto"/>
        <w:right w:val="none" w:sz="0" w:space="0" w:color="auto"/>
      </w:divBdr>
    </w:div>
    <w:div w:id="745304804">
      <w:bodyDiv w:val="1"/>
      <w:marLeft w:val="0"/>
      <w:marRight w:val="0"/>
      <w:marTop w:val="0"/>
      <w:marBottom w:val="0"/>
      <w:divBdr>
        <w:top w:val="none" w:sz="0" w:space="0" w:color="auto"/>
        <w:left w:val="none" w:sz="0" w:space="0" w:color="auto"/>
        <w:bottom w:val="none" w:sz="0" w:space="0" w:color="auto"/>
        <w:right w:val="none" w:sz="0" w:space="0" w:color="auto"/>
      </w:divBdr>
    </w:div>
    <w:div w:id="748884758">
      <w:bodyDiv w:val="1"/>
      <w:marLeft w:val="0"/>
      <w:marRight w:val="0"/>
      <w:marTop w:val="0"/>
      <w:marBottom w:val="0"/>
      <w:divBdr>
        <w:top w:val="none" w:sz="0" w:space="0" w:color="auto"/>
        <w:left w:val="none" w:sz="0" w:space="0" w:color="auto"/>
        <w:bottom w:val="none" w:sz="0" w:space="0" w:color="auto"/>
        <w:right w:val="none" w:sz="0" w:space="0" w:color="auto"/>
      </w:divBdr>
    </w:div>
    <w:div w:id="750659972">
      <w:bodyDiv w:val="1"/>
      <w:marLeft w:val="0"/>
      <w:marRight w:val="0"/>
      <w:marTop w:val="0"/>
      <w:marBottom w:val="0"/>
      <w:divBdr>
        <w:top w:val="none" w:sz="0" w:space="0" w:color="auto"/>
        <w:left w:val="none" w:sz="0" w:space="0" w:color="auto"/>
        <w:bottom w:val="none" w:sz="0" w:space="0" w:color="auto"/>
        <w:right w:val="none" w:sz="0" w:space="0" w:color="auto"/>
      </w:divBdr>
    </w:div>
    <w:div w:id="751855487">
      <w:bodyDiv w:val="1"/>
      <w:marLeft w:val="0"/>
      <w:marRight w:val="0"/>
      <w:marTop w:val="0"/>
      <w:marBottom w:val="0"/>
      <w:divBdr>
        <w:top w:val="none" w:sz="0" w:space="0" w:color="auto"/>
        <w:left w:val="none" w:sz="0" w:space="0" w:color="auto"/>
        <w:bottom w:val="none" w:sz="0" w:space="0" w:color="auto"/>
        <w:right w:val="none" w:sz="0" w:space="0" w:color="auto"/>
      </w:divBdr>
    </w:div>
    <w:div w:id="756286430">
      <w:bodyDiv w:val="1"/>
      <w:marLeft w:val="0"/>
      <w:marRight w:val="0"/>
      <w:marTop w:val="0"/>
      <w:marBottom w:val="0"/>
      <w:divBdr>
        <w:top w:val="none" w:sz="0" w:space="0" w:color="auto"/>
        <w:left w:val="none" w:sz="0" w:space="0" w:color="auto"/>
        <w:bottom w:val="none" w:sz="0" w:space="0" w:color="auto"/>
        <w:right w:val="none" w:sz="0" w:space="0" w:color="auto"/>
      </w:divBdr>
    </w:div>
    <w:div w:id="757990276">
      <w:bodyDiv w:val="1"/>
      <w:marLeft w:val="0"/>
      <w:marRight w:val="0"/>
      <w:marTop w:val="0"/>
      <w:marBottom w:val="0"/>
      <w:divBdr>
        <w:top w:val="none" w:sz="0" w:space="0" w:color="auto"/>
        <w:left w:val="none" w:sz="0" w:space="0" w:color="auto"/>
        <w:bottom w:val="none" w:sz="0" w:space="0" w:color="auto"/>
        <w:right w:val="none" w:sz="0" w:space="0" w:color="auto"/>
      </w:divBdr>
    </w:div>
    <w:div w:id="760446401">
      <w:bodyDiv w:val="1"/>
      <w:marLeft w:val="0"/>
      <w:marRight w:val="0"/>
      <w:marTop w:val="0"/>
      <w:marBottom w:val="0"/>
      <w:divBdr>
        <w:top w:val="none" w:sz="0" w:space="0" w:color="auto"/>
        <w:left w:val="none" w:sz="0" w:space="0" w:color="auto"/>
        <w:bottom w:val="none" w:sz="0" w:space="0" w:color="auto"/>
        <w:right w:val="none" w:sz="0" w:space="0" w:color="auto"/>
      </w:divBdr>
    </w:div>
    <w:div w:id="778137596">
      <w:bodyDiv w:val="1"/>
      <w:marLeft w:val="0"/>
      <w:marRight w:val="0"/>
      <w:marTop w:val="0"/>
      <w:marBottom w:val="0"/>
      <w:divBdr>
        <w:top w:val="none" w:sz="0" w:space="0" w:color="auto"/>
        <w:left w:val="none" w:sz="0" w:space="0" w:color="auto"/>
        <w:bottom w:val="none" w:sz="0" w:space="0" w:color="auto"/>
        <w:right w:val="none" w:sz="0" w:space="0" w:color="auto"/>
      </w:divBdr>
    </w:div>
    <w:div w:id="783161233">
      <w:bodyDiv w:val="1"/>
      <w:marLeft w:val="0"/>
      <w:marRight w:val="0"/>
      <w:marTop w:val="0"/>
      <w:marBottom w:val="0"/>
      <w:divBdr>
        <w:top w:val="none" w:sz="0" w:space="0" w:color="auto"/>
        <w:left w:val="none" w:sz="0" w:space="0" w:color="auto"/>
        <w:bottom w:val="none" w:sz="0" w:space="0" w:color="auto"/>
        <w:right w:val="none" w:sz="0" w:space="0" w:color="auto"/>
      </w:divBdr>
    </w:div>
    <w:div w:id="795290952">
      <w:bodyDiv w:val="1"/>
      <w:marLeft w:val="0"/>
      <w:marRight w:val="0"/>
      <w:marTop w:val="0"/>
      <w:marBottom w:val="0"/>
      <w:divBdr>
        <w:top w:val="none" w:sz="0" w:space="0" w:color="auto"/>
        <w:left w:val="none" w:sz="0" w:space="0" w:color="auto"/>
        <w:bottom w:val="none" w:sz="0" w:space="0" w:color="auto"/>
        <w:right w:val="none" w:sz="0" w:space="0" w:color="auto"/>
      </w:divBdr>
    </w:div>
    <w:div w:id="795803858">
      <w:bodyDiv w:val="1"/>
      <w:marLeft w:val="0"/>
      <w:marRight w:val="0"/>
      <w:marTop w:val="0"/>
      <w:marBottom w:val="0"/>
      <w:divBdr>
        <w:top w:val="none" w:sz="0" w:space="0" w:color="auto"/>
        <w:left w:val="none" w:sz="0" w:space="0" w:color="auto"/>
        <w:bottom w:val="none" w:sz="0" w:space="0" w:color="auto"/>
        <w:right w:val="none" w:sz="0" w:space="0" w:color="auto"/>
      </w:divBdr>
    </w:div>
    <w:div w:id="826017306">
      <w:bodyDiv w:val="1"/>
      <w:marLeft w:val="0"/>
      <w:marRight w:val="0"/>
      <w:marTop w:val="0"/>
      <w:marBottom w:val="0"/>
      <w:divBdr>
        <w:top w:val="none" w:sz="0" w:space="0" w:color="auto"/>
        <w:left w:val="none" w:sz="0" w:space="0" w:color="auto"/>
        <w:bottom w:val="none" w:sz="0" w:space="0" w:color="auto"/>
        <w:right w:val="none" w:sz="0" w:space="0" w:color="auto"/>
      </w:divBdr>
    </w:div>
    <w:div w:id="826168232">
      <w:bodyDiv w:val="1"/>
      <w:marLeft w:val="0"/>
      <w:marRight w:val="0"/>
      <w:marTop w:val="0"/>
      <w:marBottom w:val="0"/>
      <w:divBdr>
        <w:top w:val="none" w:sz="0" w:space="0" w:color="auto"/>
        <w:left w:val="none" w:sz="0" w:space="0" w:color="auto"/>
        <w:bottom w:val="none" w:sz="0" w:space="0" w:color="auto"/>
        <w:right w:val="none" w:sz="0" w:space="0" w:color="auto"/>
      </w:divBdr>
    </w:div>
    <w:div w:id="826626088">
      <w:bodyDiv w:val="1"/>
      <w:marLeft w:val="0"/>
      <w:marRight w:val="0"/>
      <w:marTop w:val="0"/>
      <w:marBottom w:val="0"/>
      <w:divBdr>
        <w:top w:val="none" w:sz="0" w:space="0" w:color="auto"/>
        <w:left w:val="none" w:sz="0" w:space="0" w:color="auto"/>
        <w:bottom w:val="none" w:sz="0" w:space="0" w:color="auto"/>
        <w:right w:val="none" w:sz="0" w:space="0" w:color="auto"/>
      </w:divBdr>
    </w:div>
    <w:div w:id="830213456">
      <w:bodyDiv w:val="1"/>
      <w:marLeft w:val="0"/>
      <w:marRight w:val="0"/>
      <w:marTop w:val="0"/>
      <w:marBottom w:val="0"/>
      <w:divBdr>
        <w:top w:val="none" w:sz="0" w:space="0" w:color="auto"/>
        <w:left w:val="none" w:sz="0" w:space="0" w:color="auto"/>
        <w:bottom w:val="none" w:sz="0" w:space="0" w:color="auto"/>
        <w:right w:val="none" w:sz="0" w:space="0" w:color="auto"/>
      </w:divBdr>
    </w:div>
    <w:div w:id="851339883">
      <w:bodyDiv w:val="1"/>
      <w:marLeft w:val="0"/>
      <w:marRight w:val="0"/>
      <w:marTop w:val="0"/>
      <w:marBottom w:val="0"/>
      <w:divBdr>
        <w:top w:val="none" w:sz="0" w:space="0" w:color="auto"/>
        <w:left w:val="none" w:sz="0" w:space="0" w:color="auto"/>
        <w:bottom w:val="none" w:sz="0" w:space="0" w:color="auto"/>
        <w:right w:val="none" w:sz="0" w:space="0" w:color="auto"/>
      </w:divBdr>
    </w:div>
    <w:div w:id="857424394">
      <w:bodyDiv w:val="1"/>
      <w:marLeft w:val="0"/>
      <w:marRight w:val="0"/>
      <w:marTop w:val="0"/>
      <w:marBottom w:val="0"/>
      <w:divBdr>
        <w:top w:val="none" w:sz="0" w:space="0" w:color="auto"/>
        <w:left w:val="none" w:sz="0" w:space="0" w:color="auto"/>
        <w:bottom w:val="none" w:sz="0" w:space="0" w:color="auto"/>
        <w:right w:val="none" w:sz="0" w:space="0" w:color="auto"/>
      </w:divBdr>
    </w:div>
    <w:div w:id="857504380">
      <w:bodyDiv w:val="1"/>
      <w:marLeft w:val="0"/>
      <w:marRight w:val="0"/>
      <w:marTop w:val="0"/>
      <w:marBottom w:val="0"/>
      <w:divBdr>
        <w:top w:val="none" w:sz="0" w:space="0" w:color="auto"/>
        <w:left w:val="none" w:sz="0" w:space="0" w:color="auto"/>
        <w:bottom w:val="none" w:sz="0" w:space="0" w:color="auto"/>
        <w:right w:val="none" w:sz="0" w:space="0" w:color="auto"/>
      </w:divBdr>
    </w:div>
    <w:div w:id="859126462">
      <w:bodyDiv w:val="1"/>
      <w:marLeft w:val="0"/>
      <w:marRight w:val="0"/>
      <w:marTop w:val="0"/>
      <w:marBottom w:val="0"/>
      <w:divBdr>
        <w:top w:val="none" w:sz="0" w:space="0" w:color="auto"/>
        <w:left w:val="none" w:sz="0" w:space="0" w:color="auto"/>
        <w:bottom w:val="none" w:sz="0" w:space="0" w:color="auto"/>
        <w:right w:val="none" w:sz="0" w:space="0" w:color="auto"/>
      </w:divBdr>
    </w:div>
    <w:div w:id="865681434">
      <w:bodyDiv w:val="1"/>
      <w:marLeft w:val="0"/>
      <w:marRight w:val="0"/>
      <w:marTop w:val="0"/>
      <w:marBottom w:val="0"/>
      <w:divBdr>
        <w:top w:val="none" w:sz="0" w:space="0" w:color="auto"/>
        <w:left w:val="none" w:sz="0" w:space="0" w:color="auto"/>
        <w:bottom w:val="none" w:sz="0" w:space="0" w:color="auto"/>
        <w:right w:val="none" w:sz="0" w:space="0" w:color="auto"/>
      </w:divBdr>
    </w:div>
    <w:div w:id="867333115">
      <w:bodyDiv w:val="1"/>
      <w:marLeft w:val="0"/>
      <w:marRight w:val="0"/>
      <w:marTop w:val="0"/>
      <w:marBottom w:val="0"/>
      <w:divBdr>
        <w:top w:val="none" w:sz="0" w:space="0" w:color="auto"/>
        <w:left w:val="none" w:sz="0" w:space="0" w:color="auto"/>
        <w:bottom w:val="none" w:sz="0" w:space="0" w:color="auto"/>
        <w:right w:val="none" w:sz="0" w:space="0" w:color="auto"/>
      </w:divBdr>
    </w:div>
    <w:div w:id="870218349">
      <w:bodyDiv w:val="1"/>
      <w:marLeft w:val="0"/>
      <w:marRight w:val="0"/>
      <w:marTop w:val="0"/>
      <w:marBottom w:val="0"/>
      <w:divBdr>
        <w:top w:val="none" w:sz="0" w:space="0" w:color="auto"/>
        <w:left w:val="none" w:sz="0" w:space="0" w:color="auto"/>
        <w:bottom w:val="none" w:sz="0" w:space="0" w:color="auto"/>
        <w:right w:val="none" w:sz="0" w:space="0" w:color="auto"/>
      </w:divBdr>
    </w:div>
    <w:div w:id="875047729">
      <w:bodyDiv w:val="1"/>
      <w:marLeft w:val="0"/>
      <w:marRight w:val="0"/>
      <w:marTop w:val="0"/>
      <w:marBottom w:val="0"/>
      <w:divBdr>
        <w:top w:val="none" w:sz="0" w:space="0" w:color="auto"/>
        <w:left w:val="none" w:sz="0" w:space="0" w:color="auto"/>
        <w:bottom w:val="none" w:sz="0" w:space="0" w:color="auto"/>
        <w:right w:val="none" w:sz="0" w:space="0" w:color="auto"/>
      </w:divBdr>
    </w:div>
    <w:div w:id="879324500">
      <w:bodyDiv w:val="1"/>
      <w:marLeft w:val="0"/>
      <w:marRight w:val="0"/>
      <w:marTop w:val="0"/>
      <w:marBottom w:val="0"/>
      <w:divBdr>
        <w:top w:val="none" w:sz="0" w:space="0" w:color="auto"/>
        <w:left w:val="none" w:sz="0" w:space="0" w:color="auto"/>
        <w:bottom w:val="none" w:sz="0" w:space="0" w:color="auto"/>
        <w:right w:val="none" w:sz="0" w:space="0" w:color="auto"/>
      </w:divBdr>
    </w:div>
    <w:div w:id="881213308">
      <w:bodyDiv w:val="1"/>
      <w:marLeft w:val="0"/>
      <w:marRight w:val="0"/>
      <w:marTop w:val="0"/>
      <w:marBottom w:val="0"/>
      <w:divBdr>
        <w:top w:val="none" w:sz="0" w:space="0" w:color="auto"/>
        <w:left w:val="none" w:sz="0" w:space="0" w:color="auto"/>
        <w:bottom w:val="none" w:sz="0" w:space="0" w:color="auto"/>
        <w:right w:val="none" w:sz="0" w:space="0" w:color="auto"/>
      </w:divBdr>
    </w:div>
    <w:div w:id="884027440">
      <w:bodyDiv w:val="1"/>
      <w:marLeft w:val="0"/>
      <w:marRight w:val="0"/>
      <w:marTop w:val="0"/>
      <w:marBottom w:val="0"/>
      <w:divBdr>
        <w:top w:val="none" w:sz="0" w:space="0" w:color="auto"/>
        <w:left w:val="none" w:sz="0" w:space="0" w:color="auto"/>
        <w:bottom w:val="none" w:sz="0" w:space="0" w:color="auto"/>
        <w:right w:val="none" w:sz="0" w:space="0" w:color="auto"/>
      </w:divBdr>
    </w:div>
    <w:div w:id="884104669">
      <w:bodyDiv w:val="1"/>
      <w:marLeft w:val="0"/>
      <w:marRight w:val="0"/>
      <w:marTop w:val="0"/>
      <w:marBottom w:val="0"/>
      <w:divBdr>
        <w:top w:val="none" w:sz="0" w:space="0" w:color="auto"/>
        <w:left w:val="none" w:sz="0" w:space="0" w:color="auto"/>
        <w:bottom w:val="none" w:sz="0" w:space="0" w:color="auto"/>
        <w:right w:val="none" w:sz="0" w:space="0" w:color="auto"/>
      </w:divBdr>
    </w:div>
    <w:div w:id="884365353">
      <w:bodyDiv w:val="1"/>
      <w:marLeft w:val="0"/>
      <w:marRight w:val="0"/>
      <w:marTop w:val="0"/>
      <w:marBottom w:val="0"/>
      <w:divBdr>
        <w:top w:val="none" w:sz="0" w:space="0" w:color="auto"/>
        <w:left w:val="none" w:sz="0" w:space="0" w:color="auto"/>
        <w:bottom w:val="none" w:sz="0" w:space="0" w:color="auto"/>
        <w:right w:val="none" w:sz="0" w:space="0" w:color="auto"/>
      </w:divBdr>
    </w:div>
    <w:div w:id="900097585">
      <w:bodyDiv w:val="1"/>
      <w:marLeft w:val="0"/>
      <w:marRight w:val="0"/>
      <w:marTop w:val="0"/>
      <w:marBottom w:val="0"/>
      <w:divBdr>
        <w:top w:val="none" w:sz="0" w:space="0" w:color="auto"/>
        <w:left w:val="none" w:sz="0" w:space="0" w:color="auto"/>
        <w:bottom w:val="none" w:sz="0" w:space="0" w:color="auto"/>
        <w:right w:val="none" w:sz="0" w:space="0" w:color="auto"/>
      </w:divBdr>
    </w:div>
    <w:div w:id="909847184">
      <w:bodyDiv w:val="1"/>
      <w:marLeft w:val="0"/>
      <w:marRight w:val="0"/>
      <w:marTop w:val="0"/>
      <w:marBottom w:val="0"/>
      <w:divBdr>
        <w:top w:val="none" w:sz="0" w:space="0" w:color="auto"/>
        <w:left w:val="none" w:sz="0" w:space="0" w:color="auto"/>
        <w:bottom w:val="none" w:sz="0" w:space="0" w:color="auto"/>
        <w:right w:val="none" w:sz="0" w:space="0" w:color="auto"/>
      </w:divBdr>
    </w:div>
    <w:div w:id="911282181">
      <w:bodyDiv w:val="1"/>
      <w:marLeft w:val="0"/>
      <w:marRight w:val="0"/>
      <w:marTop w:val="0"/>
      <w:marBottom w:val="0"/>
      <w:divBdr>
        <w:top w:val="none" w:sz="0" w:space="0" w:color="auto"/>
        <w:left w:val="none" w:sz="0" w:space="0" w:color="auto"/>
        <w:bottom w:val="none" w:sz="0" w:space="0" w:color="auto"/>
        <w:right w:val="none" w:sz="0" w:space="0" w:color="auto"/>
      </w:divBdr>
    </w:div>
    <w:div w:id="930427721">
      <w:bodyDiv w:val="1"/>
      <w:marLeft w:val="0"/>
      <w:marRight w:val="0"/>
      <w:marTop w:val="0"/>
      <w:marBottom w:val="0"/>
      <w:divBdr>
        <w:top w:val="none" w:sz="0" w:space="0" w:color="auto"/>
        <w:left w:val="none" w:sz="0" w:space="0" w:color="auto"/>
        <w:bottom w:val="none" w:sz="0" w:space="0" w:color="auto"/>
        <w:right w:val="none" w:sz="0" w:space="0" w:color="auto"/>
      </w:divBdr>
    </w:div>
    <w:div w:id="931011962">
      <w:bodyDiv w:val="1"/>
      <w:marLeft w:val="0"/>
      <w:marRight w:val="0"/>
      <w:marTop w:val="0"/>
      <w:marBottom w:val="0"/>
      <w:divBdr>
        <w:top w:val="none" w:sz="0" w:space="0" w:color="auto"/>
        <w:left w:val="none" w:sz="0" w:space="0" w:color="auto"/>
        <w:bottom w:val="none" w:sz="0" w:space="0" w:color="auto"/>
        <w:right w:val="none" w:sz="0" w:space="0" w:color="auto"/>
      </w:divBdr>
    </w:div>
    <w:div w:id="941381374">
      <w:bodyDiv w:val="1"/>
      <w:marLeft w:val="0"/>
      <w:marRight w:val="0"/>
      <w:marTop w:val="0"/>
      <w:marBottom w:val="0"/>
      <w:divBdr>
        <w:top w:val="none" w:sz="0" w:space="0" w:color="auto"/>
        <w:left w:val="none" w:sz="0" w:space="0" w:color="auto"/>
        <w:bottom w:val="none" w:sz="0" w:space="0" w:color="auto"/>
        <w:right w:val="none" w:sz="0" w:space="0" w:color="auto"/>
      </w:divBdr>
    </w:div>
    <w:div w:id="953949690">
      <w:bodyDiv w:val="1"/>
      <w:marLeft w:val="0"/>
      <w:marRight w:val="0"/>
      <w:marTop w:val="0"/>
      <w:marBottom w:val="0"/>
      <w:divBdr>
        <w:top w:val="none" w:sz="0" w:space="0" w:color="auto"/>
        <w:left w:val="none" w:sz="0" w:space="0" w:color="auto"/>
        <w:bottom w:val="none" w:sz="0" w:space="0" w:color="auto"/>
        <w:right w:val="none" w:sz="0" w:space="0" w:color="auto"/>
      </w:divBdr>
    </w:div>
    <w:div w:id="954629643">
      <w:bodyDiv w:val="1"/>
      <w:marLeft w:val="0"/>
      <w:marRight w:val="0"/>
      <w:marTop w:val="0"/>
      <w:marBottom w:val="0"/>
      <w:divBdr>
        <w:top w:val="none" w:sz="0" w:space="0" w:color="auto"/>
        <w:left w:val="none" w:sz="0" w:space="0" w:color="auto"/>
        <w:bottom w:val="none" w:sz="0" w:space="0" w:color="auto"/>
        <w:right w:val="none" w:sz="0" w:space="0" w:color="auto"/>
      </w:divBdr>
    </w:div>
    <w:div w:id="963730469">
      <w:bodyDiv w:val="1"/>
      <w:marLeft w:val="0"/>
      <w:marRight w:val="0"/>
      <w:marTop w:val="0"/>
      <w:marBottom w:val="0"/>
      <w:divBdr>
        <w:top w:val="none" w:sz="0" w:space="0" w:color="auto"/>
        <w:left w:val="none" w:sz="0" w:space="0" w:color="auto"/>
        <w:bottom w:val="none" w:sz="0" w:space="0" w:color="auto"/>
        <w:right w:val="none" w:sz="0" w:space="0" w:color="auto"/>
      </w:divBdr>
    </w:div>
    <w:div w:id="984286366">
      <w:bodyDiv w:val="1"/>
      <w:marLeft w:val="0"/>
      <w:marRight w:val="0"/>
      <w:marTop w:val="0"/>
      <w:marBottom w:val="0"/>
      <w:divBdr>
        <w:top w:val="none" w:sz="0" w:space="0" w:color="auto"/>
        <w:left w:val="none" w:sz="0" w:space="0" w:color="auto"/>
        <w:bottom w:val="none" w:sz="0" w:space="0" w:color="auto"/>
        <w:right w:val="none" w:sz="0" w:space="0" w:color="auto"/>
      </w:divBdr>
    </w:div>
    <w:div w:id="988245742">
      <w:bodyDiv w:val="1"/>
      <w:marLeft w:val="0"/>
      <w:marRight w:val="0"/>
      <w:marTop w:val="0"/>
      <w:marBottom w:val="0"/>
      <w:divBdr>
        <w:top w:val="none" w:sz="0" w:space="0" w:color="auto"/>
        <w:left w:val="none" w:sz="0" w:space="0" w:color="auto"/>
        <w:bottom w:val="none" w:sz="0" w:space="0" w:color="auto"/>
        <w:right w:val="none" w:sz="0" w:space="0" w:color="auto"/>
      </w:divBdr>
    </w:div>
    <w:div w:id="989090556">
      <w:bodyDiv w:val="1"/>
      <w:marLeft w:val="0"/>
      <w:marRight w:val="0"/>
      <w:marTop w:val="0"/>
      <w:marBottom w:val="0"/>
      <w:divBdr>
        <w:top w:val="none" w:sz="0" w:space="0" w:color="auto"/>
        <w:left w:val="none" w:sz="0" w:space="0" w:color="auto"/>
        <w:bottom w:val="none" w:sz="0" w:space="0" w:color="auto"/>
        <w:right w:val="none" w:sz="0" w:space="0" w:color="auto"/>
      </w:divBdr>
    </w:div>
    <w:div w:id="994338812">
      <w:bodyDiv w:val="1"/>
      <w:marLeft w:val="0"/>
      <w:marRight w:val="0"/>
      <w:marTop w:val="0"/>
      <w:marBottom w:val="0"/>
      <w:divBdr>
        <w:top w:val="none" w:sz="0" w:space="0" w:color="auto"/>
        <w:left w:val="none" w:sz="0" w:space="0" w:color="auto"/>
        <w:bottom w:val="none" w:sz="0" w:space="0" w:color="auto"/>
        <w:right w:val="none" w:sz="0" w:space="0" w:color="auto"/>
      </w:divBdr>
    </w:div>
    <w:div w:id="994914599">
      <w:bodyDiv w:val="1"/>
      <w:marLeft w:val="0"/>
      <w:marRight w:val="0"/>
      <w:marTop w:val="0"/>
      <w:marBottom w:val="0"/>
      <w:divBdr>
        <w:top w:val="none" w:sz="0" w:space="0" w:color="auto"/>
        <w:left w:val="none" w:sz="0" w:space="0" w:color="auto"/>
        <w:bottom w:val="none" w:sz="0" w:space="0" w:color="auto"/>
        <w:right w:val="none" w:sz="0" w:space="0" w:color="auto"/>
      </w:divBdr>
    </w:div>
    <w:div w:id="999700547">
      <w:bodyDiv w:val="1"/>
      <w:marLeft w:val="0"/>
      <w:marRight w:val="0"/>
      <w:marTop w:val="0"/>
      <w:marBottom w:val="0"/>
      <w:divBdr>
        <w:top w:val="none" w:sz="0" w:space="0" w:color="auto"/>
        <w:left w:val="none" w:sz="0" w:space="0" w:color="auto"/>
        <w:bottom w:val="none" w:sz="0" w:space="0" w:color="auto"/>
        <w:right w:val="none" w:sz="0" w:space="0" w:color="auto"/>
      </w:divBdr>
    </w:div>
    <w:div w:id="1001548325">
      <w:bodyDiv w:val="1"/>
      <w:marLeft w:val="0"/>
      <w:marRight w:val="0"/>
      <w:marTop w:val="0"/>
      <w:marBottom w:val="0"/>
      <w:divBdr>
        <w:top w:val="none" w:sz="0" w:space="0" w:color="auto"/>
        <w:left w:val="none" w:sz="0" w:space="0" w:color="auto"/>
        <w:bottom w:val="none" w:sz="0" w:space="0" w:color="auto"/>
        <w:right w:val="none" w:sz="0" w:space="0" w:color="auto"/>
      </w:divBdr>
    </w:div>
    <w:div w:id="1005984538">
      <w:bodyDiv w:val="1"/>
      <w:marLeft w:val="0"/>
      <w:marRight w:val="0"/>
      <w:marTop w:val="0"/>
      <w:marBottom w:val="0"/>
      <w:divBdr>
        <w:top w:val="none" w:sz="0" w:space="0" w:color="auto"/>
        <w:left w:val="none" w:sz="0" w:space="0" w:color="auto"/>
        <w:bottom w:val="none" w:sz="0" w:space="0" w:color="auto"/>
        <w:right w:val="none" w:sz="0" w:space="0" w:color="auto"/>
      </w:divBdr>
    </w:div>
    <w:div w:id="1009017751">
      <w:bodyDiv w:val="1"/>
      <w:marLeft w:val="0"/>
      <w:marRight w:val="0"/>
      <w:marTop w:val="0"/>
      <w:marBottom w:val="0"/>
      <w:divBdr>
        <w:top w:val="none" w:sz="0" w:space="0" w:color="auto"/>
        <w:left w:val="none" w:sz="0" w:space="0" w:color="auto"/>
        <w:bottom w:val="none" w:sz="0" w:space="0" w:color="auto"/>
        <w:right w:val="none" w:sz="0" w:space="0" w:color="auto"/>
      </w:divBdr>
    </w:div>
    <w:div w:id="1009717176">
      <w:bodyDiv w:val="1"/>
      <w:marLeft w:val="0"/>
      <w:marRight w:val="0"/>
      <w:marTop w:val="0"/>
      <w:marBottom w:val="0"/>
      <w:divBdr>
        <w:top w:val="none" w:sz="0" w:space="0" w:color="auto"/>
        <w:left w:val="none" w:sz="0" w:space="0" w:color="auto"/>
        <w:bottom w:val="none" w:sz="0" w:space="0" w:color="auto"/>
        <w:right w:val="none" w:sz="0" w:space="0" w:color="auto"/>
      </w:divBdr>
    </w:div>
    <w:div w:id="1010527853">
      <w:bodyDiv w:val="1"/>
      <w:marLeft w:val="0"/>
      <w:marRight w:val="0"/>
      <w:marTop w:val="0"/>
      <w:marBottom w:val="0"/>
      <w:divBdr>
        <w:top w:val="none" w:sz="0" w:space="0" w:color="auto"/>
        <w:left w:val="none" w:sz="0" w:space="0" w:color="auto"/>
        <w:bottom w:val="none" w:sz="0" w:space="0" w:color="auto"/>
        <w:right w:val="none" w:sz="0" w:space="0" w:color="auto"/>
      </w:divBdr>
    </w:div>
    <w:div w:id="1015110833">
      <w:bodyDiv w:val="1"/>
      <w:marLeft w:val="0"/>
      <w:marRight w:val="0"/>
      <w:marTop w:val="0"/>
      <w:marBottom w:val="0"/>
      <w:divBdr>
        <w:top w:val="none" w:sz="0" w:space="0" w:color="auto"/>
        <w:left w:val="none" w:sz="0" w:space="0" w:color="auto"/>
        <w:bottom w:val="none" w:sz="0" w:space="0" w:color="auto"/>
        <w:right w:val="none" w:sz="0" w:space="0" w:color="auto"/>
      </w:divBdr>
    </w:div>
    <w:div w:id="1022629394">
      <w:bodyDiv w:val="1"/>
      <w:marLeft w:val="0"/>
      <w:marRight w:val="0"/>
      <w:marTop w:val="0"/>
      <w:marBottom w:val="0"/>
      <w:divBdr>
        <w:top w:val="none" w:sz="0" w:space="0" w:color="auto"/>
        <w:left w:val="none" w:sz="0" w:space="0" w:color="auto"/>
        <w:bottom w:val="none" w:sz="0" w:space="0" w:color="auto"/>
        <w:right w:val="none" w:sz="0" w:space="0" w:color="auto"/>
      </w:divBdr>
    </w:div>
    <w:div w:id="1027633773">
      <w:bodyDiv w:val="1"/>
      <w:marLeft w:val="0"/>
      <w:marRight w:val="0"/>
      <w:marTop w:val="0"/>
      <w:marBottom w:val="0"/>
      <w:divBdr>
        <w:top w:val="none" w:sz="0" w:space="0" w:color="auto"/>
        <w:left w:val="none" w:sz="0" w:space="0" w:color="auto"/>
        <w:bottom w:val="none" w:sz="0" w:space="0" w:color="auto"/>
        <w:right w:val="none" w:sz="0" w:space="0" w:color="auto"/>
      </w:divBdr>
    </w:div>
    <w:div w:id="1041440251">
      <w:bodyDiv w:val="1"/>
      <w:marLeft w:val="0"/>
      <w:marRight w:val="0"/>
      <w:marTop w:val="0"/>
      <w:marBottom w:val="0"/>
      <w:divBdr>
        <w:top w:val="none" w:sz="0" w:space="0" w:color="auto"/>
        <w:left w:val="none" w:sz="0" w:space="0" w:color="auto"/>
        <w:bottom w:val="none" w:sz="0" w:space="0" w:color="auto"/>
        <w:right w:val="none" w:sz="0" w:space="0" w:color="auto"/>
      </w:divBdr>
    </w:div>
    <w:div w:id="1042679596">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47753973">
      <w:bodyDiv w:val="1"/>
      <w:marLeft w:val="0"/>
      <w:marRight w:val="0"/>
      <w:marTop w:val="0"/>
      <w:marBottom w:val="0"/>
      <w:divBdr>
        <w:top w:val="none" w:sz="0" w:space="0" w:color="auto"/>
        <w:left w:val="none" w:sz="0" w:space="0" w:color="auto"/>
        <w:bottom w:val="none" w:sz="0" w:space="0" w:color="auto"/>
        <w:right w:val="none" w:sz="0" w:space="0" w:color="auto"/>
      </w:divBdr>
    </w:div>
    <w:div w:id="1053307989">
      <w:bodyDiv w:val="1"/>
      <w:marLeft w:val="0"/>
      <w:marRight w:val="0"/>
      <w:marTop w:val="0"/>
      <w:marBottom w:val="0"/>
      <w:divBdr>
        <w:top w:val="none" w:sz="0" w:space="0" w:color="auto"/>
        <w:left w:val="none" w:sz="0" w:space="0" w:color="auto"/>
        <w:bottom w:val="none" w:sz="0" w:space="0" w:color="auto"/>
        <w:right w:val="none" w:sz="0" w:space="0" w:color="auto"/>
      </w:divBdr>
    </w:div>
    <w:div w:id="1053849917">
      <w:bodyDiv w:val="1"/>
      <w:marLeft w:val="0"/>
      <w:marRight w:val="0"/>
      <w:marTop w:val="0"/>
      <w:marBottom w:val="0"/>
      <w:divBdr>
        <w:top w:val="none" w:sz="0" w:space="0" w:color="auto"/>
        <w:left w:val="none" w:sz="0" w:space="0" w:color="auto"/>
        <w:bottom w:val="none" w:sz="0" w:space="0" w:color="auto"/>
        <w:right w:val="none" w:sz="0" w:space="0" w:color="auto"/>
      </w:divBdr>
    </w:div>
    <w:div w:id="1056200332">
      <w:bodyDiv w:val="1"/>
      <w:marLeft w:val="0"/>
      <w:marRight w:val="0"/>
      <w:marTop w:val="0"/>
      <w:marBottom w:val="0"/>
      <w:divBdr>
        <w:top w:val="none" w:sz="0" w:space="0" w:color="auto"/>
        <w:left w:val="none" w:sz="0" w:space="0" w:color="auto"/>
        <w:bottom w:val="none" w:sz="0" w:space="0" w:color="auto"/>
        <w:right w:val="none" w:sz="0" w:space="0" w:color="auto"/>
      </w:divBdr>
    </w:div>
    <w:div w:id="1065959209">
      <w:bodyDiv w:val="1"/>
      <w:marLeft w:val="0"/>
      <w:marRight w:val="0"/>
      <w:marTop w:val="0"/>
      <w:marBottom w:val="0"/>
      <w:divBdr>
        <w:top w:val="none" w:sz="0" w:space="0" w:color="auto"/>
        <w:left w:val="none" w:sz="0" w:space="0" w:color="auto"/>
        <w:bottom w:val="none" w:sz="0" w:space="0" w:color="auto"/>
        <w:right w:val="none" w:sz="0" w:space="0" w:color="auto"/>
      </w:divBdr>
    </w:div>
    <w:div w:id="1068381299">
      <w:bodyDiv w:val="1"/>
      <w:marLeft w:val="0"/>
      <w:marRight w:val="0"/>
      <w:marTop w:val="0"/>
      <w:marBottom w:val="0"/>
      <w:divBdr>
        <w:top w:val="none" w:sz="0" w:space="0" w:color="auto"/>
        <w:left w:val="none" w:sz="0" w:space="0" w:color="auto"/>
        <w:bottom w:val="none" w:sz="0" w:space="0" w:color="auto"/>
        <w:right w:val="none" w:sz="0" w:space="0" w:color="auto"/>
      </w:divBdr>
    </w:div>
    <w:div w:id="1073966195">
      <w:bodyDiv w:val="1"/>
      <w:marLeft w:val="0"/>
      <w:marRight w:val="0"/>
      <w:marTop w:val="0"/>
      <w:marBottom w:val="0"/>
      <w:divBdr>
        <w:top w:val="none" w:sz="0" w:space="0" w:color="auto"/>
        <w:left w:val="none" w:sz="0" w:space="0" w:color="auto"/>
        <w:bottom w:val="none" w:sz="0" w:space="0" w:color="auto"/>
        <w:right w:val="none" w:sz="0" w:space="0" w:color="auto"/>
      </w:divBdr>
    </w:div>
    <w:div w:id="1079448106">
      <w:bodyDiv w:val="1"/>
      <w:marLeft w:val="0"/>
      <w:marRight w:val="0"/>
      <w:marTop w:val="0"/>
      <w:marBottom w:val="0"/>
      <w:divBdr>
        <w:top w:val="none" w:sz="0" w:space="0" w:color="auto"/>
        <w:left w:val="none" w:sz="0" w:space="0" w:color="auto"/>
        <w:bottom w:val="none" w:sz="0" w:space="0" w:color="auto"/>
        <w:right w:val="none" w:sz="0" w:space="0" w:color="auto"/>
      </w:divBdr>
    </w:div>
    <w:div w:id="1084179711">
      <w:bodyDiv w:val="1"/>
      <w:marLeft w:val="0"/>
      <w:marRight w:val="0"/>
      <w:marTop w:val="0"/>
      <w:marBottom w:val="0"/>
      <w:divBdr>
        <w:top w:val="none" w:sz="0" w:space="0" w:color="auto"/>
        <w:left w:val="none" w:sz="0" w:space="0" w:color="auto"/>
        <w:bottom w:val="none" w:sz="0" w:space="0" w:color="auto"/>
        <w:right w:val="none" w:sz="0" w:space="0" w:color="auto"/>
      </w:divBdr>
    </w:div>
    <w:div w:id="1085494036">
      <w:bodyDiv w:val="1"/>
      <w:marLeft w:val="0"/>
      <w:marRight w:val="0"/>
      <w:marTop w:val="0"/>
      <w:marBottom w:val="0"/>
      <w:divBdr>
        <w:top w:val="none" w:sz="0" w:space="0" w:color="auto"/>
        <w:left w:val="none" w:sz="0" w:space="0" w:color="auto"/>
        <w:bottom w:val="none" w:sz="0" w:space="0" w:color="auto"/>
        <w:right w:val="none" w:sz="0" w:space="0" w:color="auto"/>
      </w:divBdr>
    </w:div>
    <w:div w:id="1095133144">
      <w:bodyDiv w:val="1"/>
      <w:marLeft w:val="0"/>
      <w:marRight w:val="0"/>
      <w:marTop w:val="0"/>
      <w:marBottom w:val="0"/>
      <w:divBdr>
        <w:top w:val="none" w:sz="0" w:space="0" w:color="auto"/>
        <w:left w:val="none" w:sz="0" w:space="0" w:color="auto"/>
        <w:bottom w:val="none" w:sz="0" w:space="0" w:color="auto"/>
        <w:right w:val="none" w:sz="0" w:space="0" w:color="auto"/>
      </w:divBdr>
    </w:div>
    <w:div w:id="1098671097">
      <w:bodyDiv w:val="1"/>
      <w:marLeft w:val="0"/>
      <w:marRight w:val="0"/>
      <w:marTop w:val="0"/>
      <w:marBottom w:val="0"/>
      <w:divBdr>
        <w:top w:val="none" w:sz="0" w:space="0" w:color="auto"/>
        <w:left w:val="none" w:sz="0" w:space="0" w:color="auto"/>
        <w:bottom w:val="none" w:sz="0" w:space="0" w:color="auto"/>
        <w:right w:val="none" w:sz="0" w:space="0" w:color="auto"/>
      </w:divBdr>
    </w:div>
    <w:div w:id="1105073094">
      <w:bodyDiv w:val="1"/>
      <w:marLeft w:val="0"/>
      <w:marRight w:val="0"/>
      <w:marTop w:val="0"/>
      <w:marBottom w:val="0"/>
      <w:divBdr>
        <w:top w:val="none" w:sz="0" w:space="0" w:color="auto"/>
        <w:left w:val="none" w:sz="0" w:space="0" w:color="auto"/>
        <w:bottom w:val="none" w:sz="0" w:space="0" w:color="auto"/>
        <w:right w:val="none" w:sz="0" w:space="0" w:color="auto"/>
      </w:divBdr>
    </w:div>
    <w:div w:id="1110122680">
      <w:bodyDiv w:val="1"/>
      <w:marLeft w:val="0"/>
      <w:marRight w:val="0"/>
      <w:marTop w:val="0"/>
      <w:marBottom w:val="0"/>
      <w:divBdr>
        <w:top w:val="none" w:sz="0" w:space="0" w:color="auto"/>
        <w:left w:val="none" w:sz="0" w:space="0" w:color="auto"/>
        <w:bottom w:val="none" w:sz="0" w:space="0" w:color="auto"/>
        <w:right w:val="none" w:sz="0" w:space="0" w:color="auto"/>
      </w:divBdr>
    </w:div>
    <w:div w:id="1110588730">
      <w:bodyDiv w:val="1"/>
      <w:marLeft w:val="0"/>
      <w:marRight w:val="0"/>
      <w:marTop w:val="0"/>
      <w:marBottom w:val="0"/>
      <w:divBdr>
        <w:top w:val="none" w:sz="0" w:space="0" w:color="auto"/>
        <w:left w:val="none" w:sz="0" w:space="0" w:color="auto"/>
        <w:bottom w:val="none" w:sz="0" w:space="0" w:color="auto"/>
        <w:right w:val="none" w:sz="0" w:space="0" w:color="auto"/>
      </w:divBdr>
    </w:div>
    <w:div w:id="1124689659">
      <w:bodyDiv w:val="1"/>
      <w:marLeft w:val="0"/>
      <w:marRight w:val="0"/>
      <w:marTop w:val="0"/>
      <w:marBottom w:val="0"/>
      <w:divBdr>
        <w:top w:val="none" w:sz="0" w:space="0" w:color="auto"/>
        <w:left w:val="none" w:sz="0" w:space="0" w:color="auto"/>
        <w:bottom w:val="none" w:sz="0" w:space="0" w:color="auto"/>
        <w:right w:val="none" w:sz="0" w:space="0" w:color="auto"/>
      </w:divBdr>
    </w:div>
    <w:div w:id="1126655514">
      <w:bodyDiv w:val="1"/>
      <w:marLeft w:val="0"/>
      <w:marRight w:val="0"/>
      <w:marTop w:val="0"/>
      <w:marBottom w:val="0"/>
      <w:divBdr>
        <w:top w:val="none" w:sz="0" w:space="0" w:color="auto"/>
        <w:left w:val="none" w:sz="0" w:space="0" w:color="auto"/>
        <w:bottom w:val="none" w:sz="0" w:space="0" w:color="auto"/>
        <w:right w:val="none" w:sz="0" w:space="0" w:color="auto"/>
      </w:divBdr>
    </w:div>
    <w:div w:id="1129325851">
      <w:bodyDiv w:val="1"/>
      <w:marLeft w:val="0"/>
      <w:marRight w:val="0"/>
      <w:marTop w:val="0"/>
      <w:marBottom w:val="0"/>
      <w:divBdr>
        <w:top w:val="none" w:sz="0" w:space="0" w:color="auto"/>
        <w:left w:val="none" w:sz="0" w:space="0" w:color="auto"/>
        <w:bottom w:val="none" w:sz="0" w:space="0" w:color="auto"/>
        <w:right w:val="none" w:sz="0" w:space="0" w:color="auto"/>
      </w:divBdr>
    </w:div>
    <w:div w:id="1140728899">
      <w:bodyDiv w:val="1"/>
      <w:marLeft w:val="0"/>
      <w:marRight w:val="0"/>
      <w:marTop w:val="0"/>
      <w:marBottom w:val="0"/>
      <w:divBdr>
        <w:top w:val="none" w:sz="0" w:space="0" w:color="auto"/>
        <w:left w:val="none" w:sz="0" w:space="0" w:color="auto"/>
        <w:bottom w:val="none" w:sz="0" w:space="0" w:color="auto"/>
        <w:right w:val="none" w:sz="0" w:space="0" w:color="auto"/>
      </w:divBdr>
    </w:div>
    <w:div w:id="1147548154">
      <w:bodyDiv w:val="1"/>
      <w:marLeft w:val="0"/>
      <w:marRight w:val="0"/>
      <w:marTop w:val="0"/>
      <w:marBottom w:val="0"/>
      <w:divBdr>
        <w:top w:val="none" w:sz="0" w:space="0" w:color="auto"/>
        <w:left w:val="none" w:sz="0" w:space="0" w:color="auto"/>
        <w:bottom w:val="none" w:sz="0" w:space="0" w:color="auto"/>
        <w:right w:val="none" w:sz="0" w:space="0" w:color="auto"/>
      </w:divBdr>
    </w:div>
    <w:div w:id="1149514783">
      <w:bodyDiv w:val="1"/>
      <w:marLeft w:val="0"/>
      <w:marRight w:val="0"/>
      <w:marTop w:val="0"/>
      <w:marBottom w:val="0"/>
      <w:divBdr>
        <w:top w:val="none" w:sz="0" w:space="0" w:color="auto"/>
        <w:left w:val="none" w:sz="0" w:space="0" w:color="auto"/>
        <w:bottom w:val="none" w:sz="0" w:space="0" w:color="auto"/>
        <w:right w:val="none" w:sz="0" w:space="0" w:color="auto"/>
      </w:divBdr>
      <w:divsChild>
        <w:div w:id="54475303">
          <w:marLeft w:val="0"/>
          <w:marRight w:val="0"/>
          <w:marTop w:val="0"/>
          <w:marBottom w:val="0"/>
          <w:divBdr>
            <w:top w:val="none" w:sz="0" w:space="0" w:color="auto"/>
            <w:left w:val="none" w:sz="0" w:space="0" w:color="auto"/>
            <w:bottom w:val="none" w:sz="0" w:space="0" w:color="auto"/>
            <w:right w:val="none" w:sz="0" w:space="0" w:color="auto"/>
          </w:divBdr>
        </w:div>
        <w:div w:id="769083440">
          <w:marLeft w:val="0"/>
          <w:marRight w:val="0"/>
          <w:marTop w:val="0"/>
          <w:marBottom w:val="0"/>
          <w:divBdr>
            <w:top w:val="none" w:sz="0" w:space="0" w:color="auto"/>
            <w:left w:val="none" w:sz="0" w:space="0" w:color="auto"/>
            <w:bottom w:val="none" w:sz="0" w:space="0" w:color="auto"/>
            <w:right w:val="none" w:sz="0" w:space="0" w:color="auto"/>
          </w:divBdr>
        </w:div>
        <w:div w:id="1353456502">
          <w:marLeft w:val="0"/>
          <w:marRight w:val="0"/>
          <w:marTop w:val="0"/>
          <w:marBottom w:val="0"/>
          <w:divBdr>
            <w:top w:val="none" w:sz="0" w:space="0" w:color="auto"/>
            <w:left w:val="none" w:sz="0" w:space="0" w:color="auto"/>
            <w:bottom w:val="none" w:sz="0" w:space="0" w:color="auto"/>
            <w:right w:val="none" w:sz="0" w:space="0" w:color="auto"/>
          </w:divBdr>
        </w:div>
        <w:div w:id="1867790812">
          <w:marLeft w:val="0"/>
          <w:marRight w:val="0"/>
          <w:marTop w:val="0"/>
          <w:marBottom w:val="0"/>
          <w:divBdr>
            <w:top w:val="none" w:sz="0" w:space="0" w:color="auto"/>
            <w:left w:val="none" w:sz="0" w:space="0" w:color="auto"/>
            <w:bottom w:val="none" w:sz="0" w:space="0" w:color="auto"/>
            <w:right w:val="none" w:sz="0" w:space="0" w:color="auto"/>
          </w:divBdr>
        </w:div>
        <w:div w:id="1884830170">
          <w:marLeft w:val="0"/>
          <w:marRight w:val="0"/>
          <w:marTop w:val="0"/>
          <w:marBottom w:val="0"/>
          <w:divBdr>
            <w:top w:val="none" w:sz="0" w:space="0" w:color="auto"/>
            <w:left w:val="none" w:sz="0" w:space="0" w:color="auto"/>
            <w:bottom w:val="none" w:sz="0" w:space="0" w:color="auto"/>
            <w:right w:val="none" w:sz="0" w:space="0" w:color="auto"/>
          </w:divBdr>
        </w:div>
        <w:div w:id="1958490795">
          <w:marLeft w:val="0"/>
          <w:marRight w:val="0"/>
          <w:marTop w:val="0"/>
          <w:marBottom w:val="0"/>
          <w:divBdr>
            <w:top w:val="none" w:sz="0" w:space="0" w:color="auto"/>
            <w:left w:val="none" w:sz="0" w:space="0" w:color="auto"/>
            <w:bottom w:val="none" w:sz="0" w:space="0" w:color="auto"/>
            <w:right w:val="none" w:sz="0" w:space="0" w:color="auto"/>
          </w:divBdr>
        </w:div>
        <w:div w:id="2003582855">
          <w:marLeft w:val="0"/>
          <w:marRight w:val="0"/>
          <w:marTop w:val="0"/>
          <w:marBottom w:val="0"/>
          <w:divBdr>
            <w:top w:val="none" w:sz="0" w:space="0" w:color="auto"/>
            <w:left w:val="none" w:sz="0" w:space="0" w:color="auto"/>
            <w:bottom w:val="none" w:sz="0" w:space="0" w:color="auto"/>
            <w:right w:val="none" w:sz="0" w:space="0" w:color="auto"/>
          </w:divBdr>
        </w:div>
      </w:divsChild>
    </w:div>
    <w:div w:id="1150824413">
      <w:bodyDiv w:val="1"/>
      <w:marLeft w:val="0"/>
      <w:marRight w:val="0"/>
      <w:marTop w:val="0"/>
      <w:marBottom w:val="0"/>
      <w:divBdr>
        <w:top w:val="none" w:sz="0" w:space="0" w:color="auto"/>
        <w:left w:val="none" w:sz="0" w:space="0" w:color="auto"/>
        <w:bottom w:val="none" w:sz="0" w:space="0" w:color="auto"/>
        <w:right w:val="none" w:sz="0" w:space="0" w:color="auto"/>
      </w:divBdr>
    </w:div>
    <w:div w:id="1152525153">
      <w:bodyDiv w:val="1"/>
      <w:marLeft w:val="0"/>
      <w:marRight w:val="0"/>
      <w:marTop w:val="0"/>
      <w:marBottom w:val="0"/>
      <w:divBdr>
        <w:top w:val="none" w:sz="0" w:space="0" w:color="auto"/>
        <w:left w:val="none" w:sz="0" w:space="0" w:color="auto"/>
        <w:bottom w:val="none" w:sz="0" w:space="0" w:color="auto"/>
        <w:right w:val="none" w:sz="0" w:space="0" w:color="auto"/>
      </w:divBdr>
    </w:div>
    <w:div w:id="1169490609">
      <w:bodyDiv w:val="1"/>
      <w:marLeft w:val="0"/>
      <w:marRight w:val="0"/>
      <w:marTop w:val="0"/>
      <w:marBottom w:val="0"/>
      <w:divBdr>
        <w:top w:val="none" w:sz="0" w:space="0" w:color="auto"/>
        <w:left w:val="none" w:sz="0" w:space="0" w:color="auto"/>
        <w:bottom w:val="none" w:sz="0" w:space="0" w:color="auto"/>
        <w:right w:val="none" w:sz="0" w:space="0" w:color="auto"/>
      </w:divBdr>
      <w:divsChild>
        <w:div w:id="7145941">
          <w:marLeft w:val="0"/>
          <w:marRight w:val="0"/>
          <w:marTop w:val="0"/>
          <w:marBottom w:val="0"/>
          <w:divBdr>
            <w:top w:val="none" w:sz="0" w:space="0" w:color="auto"/>
            <w:left w:val="none" w:sz="0" w:space="0" w:color="auto"/>
            <w:bottom w:val="none" w:sz="0" w:space="0" w:color="auto"/>
            <w:right w:val="none" w:sz="0" w:space="0" w:color="auto"/>
          </w:divBdr>
        </w:div>
        <w:div w:id="628366528">
          <w:marLeft w:val="0"/>
          <w:marRight w:val="0"/>
          <w:marTop w:val="0"/>
          <w:marBottom w:val="0"/>
          <w:divBdr>
            <w:top w:val="none" w:sz="0" w:space="0" w:color="auto"/>
            <w:left w:val="none" w:sz="0" w:space="0" w:color="auto"/>
            <w:bottom w:val="none" w:sz="0" w:space="0" w:color="auto"/>
            <w:right w:val="none" w:sz="0" w:space="0" w:color="auto"/>
          </w:divBdr>
        </w:div>
        <w:div w:id="739716137">
          <w:marLeft w:val="0"/>
          <w:marRight w:val="0"/>
          <w:marTop w:val="0"/>
          <w:marBottom w:val="0"/>
          <w:divBdr>
            <w:top w:val="none" w:sz="0" w:space="0" w:color="auto"/>
            <w:left w:val="none" w:sz="0" w:space="0" w:color="auto"/>
            <w:bottom w:val="none" w:sz="0" w:space="0" w:color="auto"/>
            <w:right w:val="none" w:sz="0" w:space="0" w:color="auto"/>
          </w:divBdr>
        </w:div>
      </w:divsChild>
    </w:div>
    <w:div w:id="1171065544">
      <w:bodyDiv w:val="1"/>
      <w:marLeft w:val="0"/>
      <w:marRight w:val="0"/>
      <w:marTop w:val="0"/>
      <w:marBottom w:val="0"/>
      <w:divBdr>
        <w:top w:val="none" w:sz="0" w:space="0" w:color="auto"/>
        <w:left w:val="none" w:sz="0" w:space="0" w:color="auto"/>
        <w:bottom w:val="none" w:sz="0" w:space="0" w:color="auto"/>
        <w:right w:val="none" w:sz="0" w:space="0" w:color="auto"/>
      </w:divBdr>
    </w:div>
    <w:div w:id="1175534998">
      <w:bodyDiv w:val="1"/>
      <w:marLeft w:val="0"/>
      <w:marRight w:val="0"/>
      <w:marTop w:val="0"/>
      <w:marBottom w:val="0"/>
      <w:divBdr>
        <w:top w:val="none" w:sz="0" w:space="0" w:color="auto"/>
        <w:left w:val="none" w:sz="0" w:space="0" w:color="auto"/>
        <w:bottom w:val="none" w:sz="0" w:space="0" w:color="auto"/>
        <w:right w:val="none" w:sz="0" w:space="0" w:color="auto"/>
      </w:divBdr>
    </w:div>
    <w:div w:id="1179080418">
      <w:bodyDiv w:val="1"/>
      <w:marLeft w:val="0"/>
      <w:marRight w:val="0"/>
      <w:marTop w:val="0"/>
      <w:marBottom w:val="0"/>
      <w:divBdr>
        <w:top w:val="none" w:sz="0" w:space="0" w:color="auto"/>
        <w:left w:val="none" w:sz="0" w:space="0" w:color="auto"/>
        <w:bottom w:val="none" w:sz="0" w:space="0" w:color="auto"/>
        <w:right w:val="none" w:sz="0" w:space="0" w:color="auto"/>
      </w:divBdr>
    </w:div>
    <w:div w:id="1181698251">
      <w:bodyDiv w:val="1"/>
      <w:marLeft w:val="0"/>
      <w:marRight w:val="0"/>
      <w:marTop w:val="0"/>
      <w:marBottom w:val="0"/>
      <w:divBdr>
        <w:top w:val="none" w:sz="0" w:space="0" w:color="auto"/>
        <w:left w:val="none" w:sz="0" w:space="0" w:color="auto"/>
        <w:bottom w:val="none" w:sz="0" w:space="0" w:color="auto"/>
        <w:right w:val="none" w:sz="0" w:space="0" w:color="auto"/>
      </w:divBdr>
    </w:div>
    <w:div w:id="1184707134">
      <w:bodyDiv w:val="1"/>
      <w:marLeft w:val="0"/>
      <w:marRight w:val="0"/>
      <w:marTop w:val="0"/>
      <w:marBottom w:val="0"/>
      <w:divBdr>
        <w:top w:val="none" w:sz="0" w:space="0" w:color="auto"/>
        <w:left w:val="none" w:sz="0" w:space="0" w:color="auto"/>
        <w:bottom w:val="none" w:sz="0" w:space="0" w:color="auto"/>
        <w:right w:val="none" w:sz="0" w:space="0" w:color="auto"/>
      </w:divBdr>
    </w:div>
    <w:div w:id="1191068716">
      <w:bodyDiv w:val="1"/>
      <w:marLeft w:val="0"/>
      <w:marRight w:val="0"/>
      <w:marTop w:val="0"/>
      <w:marBottom w:val="0"/>
      <w:divBdr>
        <w:top w:val="none" w:sz="0" w:space="0" w:color="auto"/>
        <w:left w:val="none" w:sz="0" w:space="0" w:color="auto"/>
        <w:bottom w:val="none" w:sz="0" w:space="0" w:color="auto"/>
        <w:right w:val="none" w:sz="0" w:space="0" w:color="auto"/>
      </w:divBdr>
    </w:div>
    <w:div w:id="1192373930">
      <w:bodyDiv w:val="1"/>
      <w:marLeft w:val="0"/>
      <w:marRight w:val="0"/>
      <w:marTop w:val="0"/>
      <w:marBottom w:val="0"/>
      <w:divBdr>
        <w:top w:val="none" w:sz="0" w:space="0" w:color="auto"/>
        <w:left w:val="none" w:sz="0" w:space="0" w:color="auto"/>
        <w:bottom w:val="none" w:sz="0" w:space="0" w:color="auto"/>
        <w:right w:val="none" w:sz="0" w:space="0" w:color="auto"/>
      </w:divBdr>
    </w:div>
    <w:div w:id="1199274632">
      <w:bodyDiv w:val="1"/>
      <w:marLeft w:val="0"/>
      <w:marRight w:val="0"/>
      <w:marTop w:val="0"/>
      <w:marBottom w:val="0"/>
      <w:divBdr>
        <w:top w:val="none" w:sz="0" w:space="0" w:color="auto"/>
        <w:left w:val="none" w:sz="0" w:space="0" w:color="auto"/>
        <w:bottom w:val="none" w:sz="0" w:space="0" w:color="auto"/>
        <w:right w:val="none" w:sz="0" w:space="0" w:color="auto"/>
      </w:divBdr>
    </w:div>
    <w:div w:id="1213034359">
      <w:bodyDiv w:val="1"/>
      <w:marLeft w:val="0"/>
      <w:marRight w:val="0"/>
      <w:marTop w:val="0"/>
      <w:marBottom w:val="0"/>
      <w:divBdr>
        <w:top w:val="none" w:sz="0" w:space="0" w:color="auto"/>
        <w:left w:val="none" w:sz="0" w:space="0" w:color="auto"/>
        <w:bottom w:val="none" w:sz="0" w:space="0" w:color="auto"/>
        <w:right w:val="none" w:sz="0" w:space="0" w:color="auto"/>
      </w:divBdr>
    </w:div>
    <w:div w:id="1213732748">
      <w:bodyDiv w:val="1"/>
      <w:marLeft w:val="0"/>
      <w:marRight w:val="0"/>
      <w:marTop w:val="0"/>
      <w:marBottom w:val="0"/>
      <w:divBdr>
        <w:top w:val="none" w:sz="0" w:space="0" w:color="auto"/>
        <w:left w:val="none" w:sz="0" w:space="0" w:color="auto"/>
        <w:bottom w:val="none" w:sz="0" w:space="0" w:color="auto"/>
        <w:right w:val="none" w:sz="0" w:space="0" w:color="auto"/>
      </w:divBdr>
    </w:div>
    <w:div w:id="1227178550">
      <w:bodyDiv w:val="1"/>
      <w:marLeft w:val="0"/>
      <w:marRight w:val="0"/>
      <w:marTop w:val="0"/>
      <w:marBottom w:val="0"/>
      <w:divBdr>
        <w:top w:val="none" w:sz="0" w:space="0" w:color="auto"/>
        <w:left w:val="none" w:sz="0" w:space="0" w:color="auto"/>
        <w:bottom w:val="none" w:sz="0" w:space="0" w:color="auto"/>
        <w:right w:val="none" w:sz="0" w:space="0" w:color="auto"/>
      </w:divBdr>
    </w:div>
    <w:div w:id="1227258035">
      <w:bodyDiv w:val="1"/>
      <w:marLeft w:val="0"/>
      <w:marRight w:val="0"/>
      <w:marTop w:val="0"/>
      <w:marBottom w:val="0"/>
      <w:divBdr>
        <w:top w:val="none" w:sz="0" w:space="0" w:color="auto"/>
        <w:left w:val="none" w:sz="0" w:space="0" w:color="auto"/>
        <w:bottom w:val="none" w:sz="0" w:space="0" w:color="auto"/>
        <w:right w:val="none" w:sz="0" w:space="0" w:color="auto"/>
      </w:divBdr>
    </w:div>
    <w:div w:id="1228150319">
      <w:bodyDiv w:val="1"/>
      <w:marLeft w:val="0"/>
      <w:marRight w:val="0"/>
      <w:marTop w:val="0"/>
      <w:marBottom w:val="0"/>
      <w:divBdr>
        <w:top w:val="none" w:sz="0" w:space="0" w:color="auto"/>
        <w:left w:val="none" w:sz="0" w:space="0" w:color="auto"/>
        <w:bottom w:val="none" w:sz="0" w:space="0" w:color="auto"/>
        <w:right w:val="none" w:sz="0" w:space="0" w:color="auto"/>
      </w:divBdr>
    </w:div>
    <w:div w:id="1244560287">
      <w:bodyDiv w:val="1"/>
      <w:marLeft w:val="0"/>
      <w:marRight w:val="0"/>
      <w:marTop w:val="0"/>
      <w:marBottom w:val="0"/>
      <w:divBdr>
        <w:top w:val="none" w:sz="0" w:space="0" w:color="auto"/>
        <w:left w:val="none" w:sz="0" w:space="0" w:color="auto"/>
        <w:bottom w:val="none" w:sz="0" w:space="0" w:color="auto"/>
        <w:right w:val="none" w:sz="0" w:space="0" w:color="auto"/>
      </w:divBdr>
    </w:div>
    <w:div w:id="1247038905">
      <w:bodyDiv w:val="1"/>
      <w:marLeft w:val="0"/>
      <w:marRight w:val="0"/>
      <w:marTop w:val="0"/>
      <w:marBottom w:val="0"/>
      <w:divBdr>
        <w:top w:val="none" w:sz="0" w:space="0" w:color="auto"/>
        <w:left w:val="none" w:sz="0" w:space="0" w:color="auto"/>
        <w:bottom w:val="none" w:sz="0" w:space="0" w:color="auto"/>
        <w:right w:val="none" w:sz="0" w:space="0" w:color="auto"/>
      </w:divBdr>
    </w:div>
    <w:div w:id="1250190626">
      <w:bodyDiv w:val="1"/>
      <w:marLeft w:val="0"/>
      <w:marRight w:val="0"/>
      <w:marTop w:val="0"/>
      <w:marBottom w:val="0"/>
      <w:divBdr>
        <w:top w:val="none" w:sz="0" w:space="0" w:color="auto"/>
        <w:left w:val="none" w:sz="0" w:space="0" w:color="auto"/>
        <w:bottom w:val="none" w:sz="0" w:space="0" w:color="auto"/>
        <w:right w:val="none" w:sz="0" w:space="0" w:color="auto"/>
      </w:divBdr>
      <w:divsChild>
        <w:div w:id="1479610471">
          <w:marLeft w:val="0"/>
          <w:marRight w:val="0"/>
          <w:marTop w:val="0"/>
          <w:marBottom w:val="0"/>
          <w:divBdr>
            <w:top w:val="none" w:sz="0" w:space="0" w:color="auto"/>
            <w:left w:val="none" w:sz="0" w:space="0" w:color="auto"/>
            <w:bottom w:val="none" w:sz="0" w:space="0" w:color="auto"/>
            <w:right w:val="none" w:sz="0" w:space="0" w:color="auto"/>
          </w:divBdr>
        </w:div>
      </w:divsChild>
    </w:div>
    <w:div w:id="1251164048">
      <w:bodyDiv w:val="1"/>
      <w:marLeft w:val="0"/>
      <w:marRight w:val="0"/>
      <w:marTop w:val="0"/>
      <w:marBottom w:val="0"/>
      <w:divBdr>
        <w:top w:val="none" w:sz="0" w:space="0" w:color="auto"/>
        <w:left w:val="none" w:sz="0" w:space="0" w:color="auto"/>
        <w:bottom w:val="none" w:sz="0" w:space="0" w:color="auto"/>
        <w:right w:val="none" w:sz="0" w:space="0" w:color="auto"/>
      </w:divBdr>
    </w:div>
    <w:div w:id="1256477029">
      <w:bodyDiv w:val="1"/>
      <w:marLeft w:val="0"/>
      <w:marRight w:val="0"/>
      <w:marTop w:val="0"/>
      <w:marBottom w:val="0"/>
      <w:divBdr>
        <w:top w:val="none" w:sz="0" w:space="0" w:color="auto"/>
        <w:left w:val="none" w:sz="0" w:space="0" w:color="auto"/>
        <w:bottom w:val="none" w:sz="0" w:space="0" w:color="auto"/>
        <w:right w:val="none" w:sz="0" w:space="0" w:color="auto"/>
      </w:divBdr>
    </w:div>
    <w:div w:id="1257206549">
      <w:bodyDiv w:val="1"/>
      <w:marLeft w:val="0"/>
      <w:marRight w:val="0"/>
      <w:marTop w:val="0"/>
      <w:marBottom w:val="0"/>
      <w:divBdr>
        <w:top w:val="none" w:sz="0" w:space="0" w:color="auto"/>
        <w:left w:val="none" w:sz="0" w:space="0" w:color="auto"/>
        <w:bottom w:val="none" w:sz="0" w:space="0" w:color="auto"/>
        <w:right w:val="none" w:sz="0" w:space="0" w:color="auto"/>
      </w:divBdr>
    </w:div>
    <w:div w:id="1257708687">
      <w:bodyDiv w:val="1"/>
      <w:marLeft w:val="0"/>
      <w:marRight w:val="0"/>
      <w:marTop w:val="0"/>
      <w:marBottom w:val="0"/>
      <w:divBdr>
        <w:top w:val="none" w:sz="0" w:space="0" w:color="auto"/>
        <w:left w:val="none" w:sz="0" w:space="0" w:color="auto"/>
        <w:bottom w:val="none" w:sz="0" w:space="0" w:color="auto"/>
        <w:right w:val="none" w:sz="0" w:space="0" w:color="auto"/>
      </w:divBdr>
    </w:div>
    <w:div w:id="1258294651">
      <w:bodyDiv w:val="1"/>
      <w:marLeft w:val="0"/>
      <w:marRight w:val="0"/>
      <w:marTop w:val="0"/>
      <w:marBottom w:val="0"/>
      <w:divBdr>
        <w:top w:val="none" w:sz="0" w:space="0" w:color="auto"/>
        <w:left w:val="none" w:sz="0" w:space="0" w:color="auto"/>
        <w:bottom w:val="none" w:sz="0" w:space="0" w:color="auto"/>
        <w:right w:val="none" w:sz="0" w:space="0" w:color="auto"/>
      </w:divBdr>
    </w:div>
    <w:div w:id="1264607836">
      <w:bodyDiv w:val="1"/>
      <w:marLeft w:val="0"/>
      <w:marRight w:val="0"/>
      <w:marTop w:val="0"/>
      <w:marBottom w:val="0"/>
      <w:divBdr>
        <w:top w:val="none" w:sz="0" w:space="0" w:color="auto"/>
        <w:left w:val="none" w:sz="0" w:space="0" w:color="auto"/>
        <w:bottom w:val="none" w:sz="0" w:space="0" w:color="auto"/>
        <w:right w:val="none" w:sz="0" w:space="0" w:color="auto"/>
      </w:divBdr>
    </w:div>
    <w:div w:id="1266570184">
      <w:bodyDiv w:val="1"/>
      <w:marLeft w:val="0"/>
      <w:marRight w:val="0"/>
      <w:marTop w:val="0"/>
      <w:marBottom w:val="0"/>
      <w:divBdr>
        <w:top w:val="none" w:sz="0" w:space="0" w:color="auto"/>
        <w:left w:val="none" w:sz="0" w:space="0" w:color="auto"/>
        <w:bottom w:val="none" w:sz="0" w:space="0" w:color="auto"/>
        <w:right w:val="none" w:sz="0" w:space="0" w:color="auto"/>
      </w:divBdr>
    </w:div>
    <w:div w:id="1267084144">
      <w:bodyDiv w:val="1"/>
      <w:marLeft w:val="0"/>
      <w:marRight w:val="0"/>
      <w:marTop w:val="0"/>
      <w:marBottom w:val="0"/>
      <w:divBdr>
        <w:top w:val="none" w:sz="0" w:space="0" w:color="auto"/>
        <w:left w:val="none" w:sz="0" w:space="0" w:color="auto"/>
        <w:bottom w:val="none" w:sz="0" w:space="0" w:color="auto"/>
        <w:right w:val="none" w:sz="0" w:space="0" w:color="auto"/>
      </w:divBdr>
    </w:div>
    <w:div w:id="1269585623">
      <w:bodyDiv w:val="1"/>
      <w:marLeft w:val="0"/>
      <w:marRight w:val="0"/>
      <w:marTop w:val="0"/>
      <w:marBottom w:val="0"/>
      <w:divBdr>
        <w:top w:val="none" w:sz="0" w:space="0" w:color="auto"/>
        <w:left w:val="none" w:sz="0" w:space="0" w:color="auto"/>
        <w:bottom w:val="none" w:sz="0" w:space="0" w:color="auto"/>
        <w:right w:val="none" w:sz="0" w:space="0" w:color="auto"/>
      </w:divBdr>
    </w:div>
    <w:div w:id="1270047812">
      <w:bodyDiv w:val="1"/>
      <w:marLeft w:val="0"/>
      <w:marRight w:val="0"/>
      <w:marTop w:val="0"/>
      <w:marBottom w:val="0"/>
      <w:divBdr>
        <w:top w:val="none" w:sz="0" w:space="0" w:color="auto"/>
        <w:left w:val="none" w:sz="0" w:space="0" w:color="auto"/>
        <w:bottom w:val="none" w:sz="0" w:space="0" w:color="auto"/>
        <w:right w:val="none" w:sz="0" w:space="0" w:color="auto"/>
      </w:divBdr>
    </w:div>
    <w:div w:id="1287931886">
      <w:bodyDiv w:val="1"/>
      <w:marLeft w:val="0"/>
      <w:marRight w:val="0"/>
      <w:marTop w:val="0"/>
      <w:marBottom w:val="0"/>
      <w:divBdr>
        <w:top w:val="none" w:sz="0" w:space="0" w:color="auto"/>
        <w:left w:val="none" w:sz="0" w:space="0" w:color="auto"/>
        <w:bottom w:val="none" w:sz="0" w:space="0" w:color="auto"/>
        <w:right w:val="none" w:sz="0" w:space="0" w:color="auto"/>
      </w:divBdr>
    </w:div>
    <w:div w:id="1292783872">
      <w:bodyDiv w:val="1"/>
      <w:marLeft w:val="0"/>
      <w:marRight w:val="0"/>
      <w:marTop w:val="0"/>
      <w:marBottom w:val="0"/>
      <w:divBdr>
        <w:top w:val="none" w:sz="0" w:space="0" w:color="auto"/>
        <w:left w:val="none" w:sz="0" w:space="0" w:color="auto"/>
        <w:bottom w:val="none" w:sz="0" w:space="0" w:color="auto"/>
        <w:right w:val="none" w:sz="0" w:space="0" w:color="auto"/>
      </w:divBdr>
    </w:div>
    <w:div w:id="1294871185">
      <w:bodyDiv w:val="1"/>
      <w:marLeft w:val="0"/>
      <w:marRight w:val="0"/>
      <w:marTop w:val="0"/>
      <w:marBottom w:val="0"/>
      <w:divBdr>
        <w:top w:val="none" w:sz="0" w:space="0" w:color="auto"/>
        <w:left w:val="none" w:sz="0" w:space="0" w:color="auto"/>
        <w:bottom w:val="none" w:sz="0" w:space="0" w:color="auto"/>
        <w:right w:val="none" w:sz="0" w:space="0" w:color="auto"/>
      </w:divBdr>
    </w:div>
    <w:div w:id="1319727514">
      <w:bodyDiv w:val="1"/>
      <w:marLeft w:val="0"/>
      <w:marRight w:val="0"/>
      <w:marTop w:val="0"/>
      <w:marBottom w:val="0"/>
      <w:divBdr>
        <w:top w:val="none" w:sz="0" w:space="0" w:color="auto"/>
        <w:left w:val="none" w:sz="0" w:space="0" w:color="auto"/>
        <w:bottom w:val="none" w:sz="0" w:space="0" w:color="auto"/>
        <w:right w:val="none" w:sz="0" w:space="0" w:color="auto"/>
      </w:divBdr>
    </w:div>
    <w:div w:id="1320689206">
      <w:bodyDiv w:val="1"/>
      <w:marLeft w:val="0"/>
      <w:marRight w:val="0"/>
      <w:marTop w:val="0"/>
      <w:marBottom w:val="0"/>
      <w:divBdr>
        <w:top w:val="none" w:sz="0" w:space="0" w:color="auto"/>
        <w:left w:val="none" w:sz="0" w:space="0" w:color="auto"/>
        <w:bottom w:val="none" w:sz="0" w:space="0" w:color="auto"/>
        <w:right w:val="none" w:sz="0" w:space="0" w:color="auto"/>
      </w:divBdr>
    </w:div>
    <w:div w:id="1322002711">
      <w:bodyDiv w:val="1"/>
      <w:marLeft w:val="0"/>
      <w:marRight w:val="0"/>
      <w:marTop w:val="0"/>
      <w:marBottom w:val="0"/>
      <w:divBdr>
        <w:top w:val="none" w:sz="0" w:space="0" w:color="auto"/>
        <w:left w:val="none" w:sz="0" w:space="0" w:color="auto"/>
        <w:bottom w:val="none" w:sz="0" w:space="0" w:color="auto"/>
        <w:right w:val="none" w:sz="0" w:space="0" w:color="auto"/>
      </w:divBdr>
    </w:div>
    <w:div w:id="1361052680">
      <w:bodyDiv w:val="1"/>
      <w:marLeft w:val="0"/>
      <w:marRight w:val="0"/>
      <w:marTop w:val="0"/>
      <w:marBottom w:val="0"/>
      <w:divBdr>
        <w:top w:val="none" w:sz="0" w:space="0" w:color="auto"/>
        <w:left w:val="none" w:sz="0" w:space="0" w:color="auto"/>
        <w:bottom w:val="none" w:sz="0" w:space="0" w:color="auto"/>
        <w:right w:val="none" w:sz="0" w:space="0" w:color="auto"/>
      </w:divBdr>
    </w:div>
    <w:div w:id="1371222877">
      <w:bodyDiv w:val="1"/>
      <w:marLeft w:val="0"/>
      <w:marRight w:val="0"/>
      <w:marTop w:val="0"/>
      <w:marBottom w:val="0"/>
      <w:divBdr>
        <w:top w:val="none" w:sz="0" w:space="0" w:color="auto"/>
        <w:left w:val="none" w:sz="0" w:space="0" w:color="auto"/>
        <w:bottom w:val="none" w:sz="0" w:space="0" w:color="auto"/>
        <w:right w:val="none" w:sz="0" w:space="0" w:color="auto"/>
      </w:divBdr>
    </w:div>
    <w:div w:id="1379160313">
      <w:bodyDiv w:val="1"/>
      <w:marLeft w:val="0"/>
      <w:marRight w:val="0"/>
      <w:marTop w:val="0"/>
      <w:marBottom w:val="0"/>
      <w:divBdr>
        <w:top w:val="none" w:sz="0" w:space="0" w:color="auto"/>
        <w:left w:val="none" w:sz="0" w:space="0" w:color="auto"/>
        <w:bottom w:val="none" w:sz="0" w:space="0" w:color="auto"/>
        <w:right w:val="none" w:sz="0" w:space="0" w:color="auto"/>
      </w:divBdr>
    </w:div>
    <w:div w:id="1410343888">
      <w:bodyDiv w:val="1"/>
      <w:marLeft w:val="0"/>
      <w:marRight w:val="0"/>
      <w:marTop w:val="0"/>
      <w:marBottom w:val="0"/>
      <w:divBdr>
        <w:top w:val="none" w:sz="0" w:space="0" w:color="auto"/>
        <w:left w:val="none" w:sz="0" w:space="0" w:color="auto"/>
        <w:bottom w:val="none" w:sz="0" w:space="0" w:color="auto"/>
        <w:right w:val="none" w:sz="0" w:space="0" w:color="auto"/>
      </w:divBdr>
    </w:div>
    <w:div w:id="1430276348">
      <w:bodyDiv w:val="1"/>
      <w:marLeft w:val="0"/>
      <w:marRight w:val="0"/>
      <w:marTop w:val="0"/>
      <w:marBottom w:val="0"/>
      <w:divBdr>
        <w:top w:val="none" w:sz="0" w:space="0" w:color="auto"/>
        <w:left w:val="none" w:sz="0" w:space="0" w:color="auto"/>
        <w:bottom w:val="none" w:sz="0" w:space="0" w:color="auto"/>
        <w:right w:val="none" w:sz="0" w:space="0" w:color="auto"/>
      </w:divBdr>
    </w:div>
    <w:div w:id="1432044142">
      <w:bodyDiv w:val="1"/>
      <w:marLeft w:val="0"/>
      <w:marRight w:val="0"/>
      <w:marTop w:val="0"/>
      <w:marBottom w:val="0"/>
      <w:divBdr>
        <w:top w:val="none" w:sz="0" w:space="0" w:color="auto"/>
        <w:left w:val="none" w:sz="0" w:space="0" w:color="auto"/>
        <w:bottom w:val="none" w:sz="0" w:space="0" w:color="auto"/>
        <w:right w:val="none" w:sz="0" w:space="0" w:color="auto"/>
      </w:divBdr>
    </w:div>
    <w:div w:id="1433739306">
      <w:bodyDiv w:val="1"/>
      <w:marLeft w:val="0"/>
      <w:marRight w:val="0"/>
      <w:marTop w:val="0"/>
      <w:marBottom w:val="0"/>
      <w:divBdr>
        <w:top w:val="none" w:sz="0" w:space="0" w:color="auto"/>
        <w:left w:val="none" w:sz="0" w:space="0" w:color="auto"/>
        <w:bottom w:val="none" w:sz="0" w:space="0" w:color="auto"/>
        <w:right w:val="none" w:sz="0" w:space="0" w:color="auto"/>
      </w:divBdr>
    </w:div>
    <w:div w:id="1435203627">
      <w:bodyDiv w:val="1"/>
      <w:marLeft w:val="0"/>
      <w:marRight w:val="0"/>
      <w:marTop w:val="0"/>
      <w:marBottom w:val="0"/>
      <w:divBdr>
        <w:top w:val="none" w:sz="0" w:space="0" w:color="auto"/>
        <w:left w:val="none" w:sz="0" w:space="0" w:color="auto"/>
        <w:bottom w:val="none" w:sz="0" w:space="0" w:color="auto"/>
        <w:right w:val="none" w:sz="0" w:space="0" w:color="auto"/>
      </w:divBdr>
    </w:div>
    <w:div w:id="1440680062">
      <w:bodyDiv w:val="1"/>
      <w:marLeft w:val="0"/>
      <w:marRight w:val="0"/>
      <w:marTop w:val="0"/>
      <w:marBottom w:val="0"/>
      <w:divBdr>
        <w:top w:val="none" w:sz="0" w:space="0" w:color="auto"/>
        <w:left w:val="none" w:sz="0" w:space="0" w:color="auto"/>
        <w:bottom w:val="none" w:sz="0" w:space="0" w:color="auto"/>
        <w:right w:val="none" w:sz="0" w:space="0" w:color="auto"/>
      </w:divBdr>
    </w:div>
    <w:div w:id="1442453179">
      <w:bodyDiv w:val="1"/>
      <w:marLeft w:val="0"/>
      <w:marRight w:val="0"/>
      <w:marTop w:val="0"/>
      <w:marBottom w:val="0"/>
      <w:divBdr>
        <w:top w:val="none" w:sz="0" w:space="0" w:color="auto"/>
        <w:left w:val="none" w:sz="0" w:space="0" w:color="auto"/>
        <w:bottom w:val="none" w:sz="0" w:space="0" w:color="auto"/>
        <w:right w:val="none" w:sz="0" w:space="0" w:color="auto"/>
      </w:divBdr>
    </w:div>
    <w:div w:id="1447311285">
      <w:bodyDiv w:val="1"/>
      <w:marLeft w:val="0"/>
      <w:marRight w:val="0"/>
      <w:marTop w:val="0"/>
      <w:marBottom w:val="0"/>
      <w:divBdr>
        <w:top w:val="none" w:sz="0" w:space="0" w:color="auto"/>
        <w:left w:val="none" w:sz="0" w:space="0" w:color="auto"/>
        <w:bottom w:val="none" w:sz="0" w:space="0" w:color="auto"/>
        <w:right w:val="none" w:sz="0" w:space="0" w:color="auto"/>
      </w:divBdr>
    </w:div>
    <w:div w:id="1449004759">
      <w:bodyDiv w:val="1"/>
      <w:marLeft w:val="0"/>
      <w:marRight w:val="0"/>
      <w:marTop w:val="0"/>
      <w:marBottom w:val="0"/>
      <w:divBdr>
        <w:top w:val="none" w:sz="0" w:space="0" w:color="auto"/>
        <w:left w:val="none" w:sz="0" w:space="0" w:color="auto"/>
        <w:bottom w:val="none" w:sz="0" w:space="0" w:color="auto"/>
        <w:right w:val="none" w:sz="0" w:space="0" w:color="auto"/>
      </w:divBdr>
    </w:div>
    <w:div w:id="1450734716">
      <w:bodyDiv w:val="1"/>
      <w:marLeft w:val="0"/>
      <w:marRight w:val="0"/>
      <w:marTop w:val="0"/>
      <w:marBottom w:val="0"/>
      <w:divBdr>
        <w:top w:val="none" w:sz="0" w:space="0" w:color="auto"/>
        <w:left w:val="none" w:sz="0" w:space="0" w:color="auto"/>
        <w:bottom w:val="none" w:sz="0" w:space="0" w:color="auto"/>
        <w:right w:val="none" w:sz="0" w:space="0" w:color="auto"/>
      </w:divBdr>
    </w:div>
    <w:div w:id="1451313136">
      <w:bodyDiv w:val="1"/>
      <w:marLeft w:val="0"/>
      <w:marRight w:val="0"/>
      <w:marTop w:val="0"/>
      <w:marBottom w:val="0"/>
      <w:divBdr>
        <w:top w:val="none" w:sz="0" w:space="0" w:color="auto"/>
        <w:left w:val="none" w:sz="0" w:space="0" w:color="auto"/>
        <w:bottom w:val="none" w:sz="0" w:space="0" w:color="auto"/>
        <w:right w:val="none" w:sz="0" w:space="0" w:color="auto"/>
      </w:divBdr>
    </w:div>
    <w:div w:id="1451823083">
      <w:bodyDiv w:val="1"/>
      <w:marLeft w:val="0"/>
      <w:marRight w:val="0"/>
      <w:marTop w:val="0"/>
      <w:marBottom w:val="0"/>
      <w:divBdr>
        <w:top w:val="none" w:sz="0" w:space="0" w:color="auto"/>
        <w:left w:val="none" w:sz="0" w:space="0" w:color="auto"/>
        <w:bottom w:val="none" w:sz="0" w:space="0" w:color="auto"/>
        <w:right w:val="none" w:sz="0" w:space="0" w:color="auto"/>
      </w:divBdr>
    </w:div>
    <w:div w:id="1462504173">
      <w:bodyDiv w:val="1"/>
      <w:marLeft w:val="0"/>
      <w:marRight w:val="0"/>
      <w:marTop w:val="0"/>
      <w:marBottom w:val="0"/>
      <w:divBdr>
        <w:top w:val="none" w:sz="0" w:space="0" w:color="auto"/>
        <w:left w:val="none" w:sz="0" w:space="0" w:color="auto"/>
        <w:bottom w:val="none" w:sz="0" w:space="0" w:color="auto"/>
        <w:right w:val="none" w:sz="0" w:space="0" w:color="auto"/>
      </w:divBdr>
    </w:div>
    <w:div w:id="1479541962">
      <w:bodyDiv w:val="1"/>
      <w:marLeft w:val="0"/>
      <w:marRight w:val="0"/>
      <w:marTop w:val="0"/>
      <w:marBottom w:val="0"/>
      <w:divBdr>
        <w:top w:val="none" w:sz="0" w:space="0" w:color="auto"/>
        <w:left w:val="none" w:sz="0" w:space="0" w:color="auto"/>
        <w:bottom w:val="none" w:sz="0" w:space="0" w:color="auto"/>
        <w:right w:val="none" w:sz="0" w:space="0" w:color="auto"/>
      </w:divBdr>
    </w:div>
    <w:div w:id="1482577809">
      <w:bodyDiv w:val="1"/>
      <w:marLeft w:val="0"/>
      <w:marRight w:val="0"/>
      <w:marTop w:val="0"/>
      <w:marBottom w:val="0"/>
      <w:divBdr>
        <w:top w:val="none" w:sz="0" w:space="0" w:color="auto"/>
        <w:left w:val="none" w:sz="0" w:space="0" w:color="auto"/>
        <w:bottom w:val="none" w:sz="0" w:space="0" w:color="auto"/>
        <w:right w:val="none" w:sz="0" w:space="0" w:color="auto"/>
      </w:divBdr>
    </w:div>
    <w:div w:id="1487432722">
      <w:bodyDiv w:val="1"/>
      <w:marLeft w:val="0"/>
      <w:marRight w:val="0"/>
      <w:marTop w:val="0"/>
      <w:marBottom w:val="0"/>
      <w:divBdr>
        <w:top w:val="none" w:sz="0" w:space="0" w:color="auto"/>
        <w:left w:val="none" w:sz="0" w:space="0" w:color="auto"/>
        <w:bottom w:val="none" w:sz="0" w:space="0" w:color="auto"/>
        <w:right w:val="none" w:sz="0" w:space="0" w:color="auto"/>
      </w:divBdr>
    </w:div>
    <w:div w:id="1490947907">
      <w:bodyDiv w:val="1"/>
      <w:marLeft w:val="0"/>
      <w:marRight w:val="0"/>
      <w:marTop w:val="0"/>
      <w:marBottom w:val="0"/>
      <w:divBdr>
        <w:top w:val="none" w:sz="0" w:space="0" w:color="auto"/>
        <w:left w:val="none" w:sz="0" w:space="0" w:color="auto"/>
        <w:bottom w:val="none" w:sz="0" w:space="0" w:color="auto"/>
        <w:right w:val="none" w:sz="0" w:space="0" w:color="auto"/>
      </w:divBdr>
    </w:div>
    <w:div w:id="1495799890">
      <w:bodyDiv w:val="1"/>
      <w:marLeft w:val="0"/>
      <w:marRight w:val="0"/>
      <w:marTop w:val="0"/>
      <w:marBottom w:val="0"/>
      <w:divBdr>
        <w:top w:val="none" w:sz="0" w:space="0" w:color="auto"/>
        <w:left w:val="none" w:sz="0" w:space="0" w:color="auto"/>
        <w:bottom w:val="none" w:sz="0" w:space="0" w:color="auto"/>
        <w:right w:val="none" w:sz="0" w:space="0" w:color="auto"/>
      </w:divBdr>
    </w:div>
    <w:div w:id="1497379644">
      <w:bodyDiv w:val="1"/>
      <w:marLeft w:val="0"/>
      <w:marRight w:val="0"/>
      <w:marTop w:val="0"/>
      <w:marBottom w:val="0"/>
      <w:divBdr>
        <w:top w:val="none" w:sz="0" w:space="0" w:color="auto"/>
        <w:left w:val="none" w:sz="0" w:space="0" w:color="auto"/>
        <w:bottom w:val="none" w:sz="0" w:space="0" w:color="auto"/>
        <w:right w:val="none" w:sz="0" w:space="0" w:color="auto"/>
      </w:divBdr>
    </w:div>
    <w:div w:id="1505586840">
      <w:bodyDiv w:val="1"/>
      <w:marLeft w:val="0"/>
      <w:marRight w:val="0"/>
      <w:marTop w:val="0"/>
      <w:marBottom w:val="0"/>
      <w:divBdr>
        <w:top w:val="none" w:sz="0" w:space="0" w:color="auto"/>
        <w:left w:val="none" w:sz="0" w:space="0" w:color="auto"/>
        <w:bottom w:val="none" w:sz="0" w:space="0" w:color="auto"/>
        <w:right w:val="none" w:sz="0" w:space="0" w:color="auto"/>
      </w:divBdr>
    </w:div>
    <w:div w:id="1511214040">
      <w:bodyDiv w:val="1"/>
      <w:marLeft w:val="0"/>
      <w:marRight w:val="0"/>
      <w:marTop w:val="0"/>
      <w:marBottom w:val="0"/>
      <w:divBdr>
        <w:top w:val="none" w:sz="0" w:space="0" w:color="auto"/>
        <w:left w:val="none" w:sz="0" w:space="0" w:color="auto"/>
        <w:bottom w:val="none" w:sz="0" w:space="0" w:color="auto"/>
        <w:right w:val="none" w:sz="0" w:space="0" w:color="auto"/>
      </w:divBdr>
    </w:div>
    <w:div w:id="1523322306">
      <w:bodyDiv w:val="1"/>
      <w:marLeft w:val="0"/>
      <w:marRight w:val="0"/>
      <w:marTop w:val="0"/>
      <w:marBottom w:val="0"/>
      <w:divBdr>
        <w:top w:val="none" w:sz="0" w:space="0" w:color="auto"/>
        <w:left w:val="none" w:sz="0" w:space="0" w:color="auto"/>
        <w:bottom w:val="none" w:sz="0" w:space="0" w:color="auto"/>
        <w:right w:val="none" w:sz="0" w:space="0" w:color="auto"/>
      </w:divBdr>
    </w:div>
    <w:div w:id="1552112011">
      <w:bodyDiv w:val="1"/>
      <w:marLeft w:val="0"/>
      <w:marRight w:val="0"/>
      <w:marTop w:val="0"/>
      <w:marBottom w:val="0"/>
      <w:divBdr>
        <w:top w:val="none" w:sz="0" w:space="0" w:color="auto"/>
        <w:left w:val="none" w:sz="0" w:space="0" w:color="auto"/>
        <w:bottom w:val="none" w:sz="0" w:space="0" w:color="auto"/>
        <w:right w:val="none" w:sz="0" w:space="0" w:color="auto"/>
      </w:divBdr>
    </w:div>
    <w:div w:id="1557931865">
      <w:bodyDiv w:val="1"/>
      <w:marLeft w:val="0"/>
      <w:marRight w:val="0"/>
      <w:marTop w:val="0"/>
      <w:marBottom w:val="0"/>
      <w:divBdr>
        <w:top w:val="none" w:sz="0" w:space="0" w:color="auto"/>
        <w:left w:val="none" w:sz="0" w:space="0" w:color="auto"/>
        <w:bottom w:val="none" w:sz="0" w:space="0" w:color="auto"/>
        <w:right w:val="none" w:sz="0" w:space="0" w:color="auto"/>
      </w:divBdr>
    </w:div>
    <w:div w:id="1563902705">
      <w:bodyDiv w:val="1"/>
      <w:marLeft w:val="0"/>
      <w:marRight w:val="0"/>
      <w:marTop w:val="0"/>
      <w:marBottom w:val="0"/>
      <w:divBdr>
        <w:top w:val="none" w:sz="0" w:space="0" w:color="auto"/>
        <w:left w:val="none" w:sz="0" w:space="0" w:color="auto"/>
        <w:bottom w:val="none" w:sz="0" w:space="0" w:color="auto"/>
        <w:right w:val="none" w:sz="0" w:space="0" w:color="auto"/>
      </w:divBdr>
    </w:div>
    <w:div w:id="1568567711">
      <w:bodyDiv w:val="1"/>
      <w:marLeft w:val="0"/>
      <w:marRight w:val="0"/>
      <w:marTop w:val="0"/>
      <w:marBottom w:val="0"/>
      <w:divBdr>
        <w:top w:val="none" w:sz="0" w:space="0" w:color="auto"/>
        <w:left w:val="none" w:sz="0" w:space="0" w:color="auto"/>
        <w:bottom w:val="none" w:sz="0" w:space="0" w:color="auto"/>
        <w:right w:val="none" w:sz="0" w:space="0" w:color="auto"/>
      </w:divBdr>
    </w:div>
    <w:div w:id="1572499055">
      <w:bodyDiv w:val="1"/>
      <w:marLeft w:val="0"/>
      <w:marRight w:val="0"/>
      <w:marTop w:val="0"/>
      <w:marBottom w:val="0"/>
      <w:divBdr>
        <w:top w:val="none" w:sz="0" w:space="0" w:color="auto"/>
        <w:left w:val="none" w:sz="0" w:space="0" w:color="auto"/>
        <w:bottom w:val="none" w:sz="0" w:space="0" w:color="auto"/>
        <w:right w:val="none" w:sz="0" w:space="0" w:color="auto"/>
      </w:divBdr>
    </w:div>
    <w:div w:id="1573001816">
      <w:bodyDiv w:val="1"/>
      <w:marLeft w:val="0"/>
      <w:marRight w:val="0"/>
      <w:marTop w:val="0"/>
      <w:marBottom w:val="0"/>
      <w:divBdr>
        <w:top w:val="none" w:sz="0" w:space="0" w:color="auto"/>
        <w:left w:val="none" w:sz="0" w:space="0" w:color="auto"/>
        <w:bottom w:val="none" w:sz="0" w:space="0" w:color="auto"/>
        <w:right w:val="none" w:sz="0" w:space="0" w:color="auto"/>
      </w:divBdr>
    </w:div>
    <w:div w:id="1576210259">
      <w:bodyDiv w:val="1"/>
      <w:marLeft w:val="0"/>
      <w:marRight w:val="0"/>
      <w:marTop w:val="0"/>
      <w:marBottom w:val="0"/>
      <w:divBdr>
        <w:top w:val="none" w:sz="0" w:space="0" w:color="auto"/>
        <w:left w:val="none" w:sz="0" w:space="0" w:color="auto"/>
        <w:bottom w:val="none" w:sz="0" w:space="0" w:color="auto"/>
        <w:right w:val="none" w:sz="0" w:space="0" w:color="auto"/>
      </w:divBdr>
    </w:div>
    <w:div w:id="1587617109">
      <w:bodyDiv w:val="1"/>
      <w:marLeft w:val="0"/>
      <w:marRight w:val="0"/>
      <w:marTop w:val="0"/>
      <w:marBottom w:val="0"/>
      <w:divBdr>
        <w:top w:val="none" w:sz="0" w:space="0" w:color="auto"/>
        <w:left w:val="none" w:sz="0" w:space="0" w:color="auto"/>
        <w:bottom w:val="none" w:sz="0" w:space="0" w:color="auto"/>
        <w:right w:val="none" w:sz="0" w:space="0" w:color="auto"/>
      </w:divBdr>
    </w:div>
    <w:div w:id="1589920251">
      <w:bodyDiv w:val="1"/>
      <w:marLeft w:val="0"/>
      <w:marRight w:val="0"/>
      <w:marTop w:val="0"/>
      <w:marBottom w:val="0"/>
      <w:divBdr>
        <w:top w:val="none" w:sz="0" w:space="0" w:color="auto"/>
        <w:left w:val="none" w:sz="0" w:space="0" w:color="auto"/>
        <w:bottom w:val="none" w:sz="0" w:space="0" w:color="auto"/>
        <w:right w:val="none" w:sz="0" w:space="0" w:color="auto"/>
      </w:divBdr>
    </w:div>
    <w:div w:id="1608930589">
      <w:bodyDiv w:val="1"/>
      <w:marLeft w:val="0"/>
      <w:marRight w:val="0"/>
      <w:marTop w:val="0"/>
      <w:marBottom w:val="0"/>
      <w:divBdr>
        <w:top w:val="none" w:sz="0" w:space="0" w:color="auto"/>
        <w:left w:val="none" w:sz="0" w:space="0" w:color="auto"/>
        <w:bottom w:val="none" w:sz="0" w:space="0" w:color="auto"/>
        <w:right w:val="none" w:sz="0" w:space="0" w:color="auto"/>
      </w:divBdr>
    </w:div>
    <w:div w:id="1614551888">
      <w:bodyDiv w:val="1"/>
      <w:marLeft w:val="0"/>
      <w:marRight w:val="0"/>
      <w:marTop w:val="0"/>
      <w:marBottom w:val="0"/>
      <w:divBdr>
        <w:top w:val="none" w:sz="0" w:space="0" w:color="auto"/>
        <w:left w:val="none" w:sz="0" w:space="0" w:color="auto"/>
        <w:bottom w:val="none" w:sz="0" w:space="0" w:color="auto"/>
        <w:right w:val="none" w:sz="0" w:space="0" w:color="auto"/>
      </w:divBdr>
    </w:div>
    <w:div w:id="1616405098">
      <w:bodyDiv w:val="1"/>
      <w:marLeft w:val="0"/>
      <w:marRight w:val="0"/>
      <w:marTop w:val="0"/>
      <w:marBottom w:val="0"/>
      <w:divBdr>
        <w:top w:val="none" w:sz="0" w:space="0" w:color="auto"/>
        <w:left w:val="none" w:sz="0" w:space="0" w:color="auto"/>
        <w:bottom w:val="none" w:sz="0" w:space="0" w:color="auto"/>
        <w:right w:val="none" w:sz="0" w:space="0" w:color="auto"/>
      </w:divBdr>
    </w:div>
    <w:div w:id="1625652542">
      <w:bodyDiv w:val="1"/>
      <w:marLeft w:val="0"/>
      <w:marRight w:val="0"/>
      <w:marTop w:val="0"/>
      <w:marBottom w:val="0"/>
      <w:divBdr>
        <w:top w:val="none" w:sz="0" w:space="0" w:color="auto"/>
        <w:left w:val="none" w:sz="0" w:space="0" w:color="auto"/>
        <w:bottom w:val="none" w:sz="0" w:space="0" w:color="auto"/>
        <w:right w:val="none" w:sz="0" w:space="0" w:color="auto"/>
      </w:divBdr>
    </w:div>
    <w:div w:id="1637179924">
      <w:bodyDiv w:val="1"/>
      <w:marLeft w:val="0"/>
      <w:marRight w:val="0"/>
      <w:marTop w:val="0"/>
      <w:marBottom w:val="0"/>
      <w:divBdr>
        <w:top w:val="none" w:sz="0" w:space="0" w:color="auto"/>
        <w:left w:val="none" w:sz="0" w:space="0" w:color="auto"/>
        <w:bottom w:val="none" w:sz="0" w:space="0" w:color="auto"/>
        <w:right w:val="none" w:sz="0" w:space="0" w:color="auto"/>
      </w:divBdr>
    </w:div>
    <w:div w:id="1651010456">
      <w:bodyDiv w:val="1"/>
      <w:marLeft w:val="0"/>
      <w:marRight w:val="0"/>
      <w:marTop w:val="0"/>
      <w:marBottom w:val="0"/>
      <w:divBdr>
        <w:top w:val="none" w:sz="0" w:space="0" w:color="auto"/>
        <w:left w:val="none" w:sz="0" w:space="0" w:color="auto"/>
        <w:bottom w:val="none" w:sz="0" w:space="0" w:color="auto"/>
        <w:right w:val="none" w:sz="0" w:space="0" w:color="auto"/>
      </w:divBdr>
    </w:div>
    <w:div w:id="1656908980">
      <w:bodyDiv w:val="1"/>
      <w:marLeft w:val="0"/>
      <w:marRight w:val="0"/>
      <w:marTop w:val="0"/>
      <w:marBottom w:val="0"/>
      <w:divBdr>
        <w:top w:val="none" w:sz="0" w:space="0" w:color="auto"/>
        <w:left w:val="none" w:sz="0" w:space="0" w:color="auto"/>
        <w:bottom w:val="none" w:sz="0" w:space="0" w:color="auto"/>
        <w:right w:val="none" w:sz="0" w:space="0" w:color="auto"/>
      </w:divBdr>
    </w:div>
    <w:div w:id="1683848864">
      <w:bodyDiv w:val="1"/>
      <w:marLeft w:val="0"/>
      <w:marRight w:val="0"/>
      <w:marTop w:val="0"/>
      <w:marBottom w:val="0"/>
      <w:divBdr>
        <w:top w:val="none" w:sz="0" w:space="0" w:color="auto"/>
        <w:left w:val="none" w:sz="0" w:space="0" w:color="auto"/>
        <w:bottom w:val="none" w:sz="0" w:space="0" w:color="auto"/>
        <w:right w:val="none" w:sz="0" w:space="0" w:color="auto"/>
      </w:divBdr>
    </w:div>
    <w:div w:id="1684015790">
      <w:bodyDiv w:val="1"/>
      <w:marLeft w:val="0"/>
      <w:marRight w:val="0"/>
      <w:marTop w:val="0"/>
      <w:marBottom w:val="0"/>
      <w:divBdr>
        <w:top w:val="none" w:sz="0" w:space="0" w:color="auto"/>
        <w:left w:val="none" w:sz="0" w:space="0" w:color="auto"/>
        <w:bottom w:val="none" w:sz="0" w:space="0" w:color="auto"/>
        <w:right w:val="none" w:sz="0" w:space="0" w:color="auto"/>
      </w:divBdr>
    </w:div>
    <w:div w:id="1685478516">
      <w:bodyDiv w:val="1"/>
      <w:marLeft w:val="0"/>
      <w:marRight w:val="0"/>
      <w:marTop w:val="0"/>
      <w:marBottom w:val="0"/>
      <w:divBdr>
        <w:top w:val="none" w:sz="0" w:space="0" w:color="auto"/>
        <w:left w:val="none" w:sz="0" w:space="0" w:color="auto"/>
        <w:bottom w:val="none" w:sz="0" w:space="0" w:color="auto"/>
        <w:right w:val="none" w:sz="0" w:space="0" w:color="auto"/>
      </w:divBdr>
    </w:div>
    <w:div w:id="1693218916">
      <w:bodyDiv w:val="1"/>
      <w:marLeft w:val="0"/>
      <w:marRight w:val="0"/>
      <w:marTop w:val="0"/>
      <w:marBottom w:val="0"/>
      <w:divBdr>
        <w:top w:val="none" w:sz="0" w:space="0" w:color="auto"/>
        <w:left w:val="none" w:sz="0" w:space="0" w:color="auto"/>
        <w:bottom w:val="none" w:sz="0" w:space="0" w:color="auto"/>
        <w:right w:val="none" w:sz="0" w:space="0" w:color="auto"/>
      </w:divBdr>
    </w:div>
    <w:div w:id="1698852222">
      <w:bodyDiv w:val="1"/>
      <w:marLeft w:val="0"/>
      <w:marRight w:val="0"/>
      <w:marTop w:val="0"/>
      <w:marBottom w:val="0"/>
      <w:divBdr>
        <w:top w:val="none" w:sz="0" w:space="0" w:color="auto"/>
        <w:left w:val="none" w:sz="0" w:space="0" w:color="auto"/>
        <w:bottom w:val="none" w:sz="0" w:space="0" w:color="auto"/>
        <w:right w:val="none" w:sz="0" w:space="0" w:color="auto"/>
      </w:divBdr>
    </w:div>
    <w:div w:id="1703744807">
      <w:bodyDiv w:val="1"/>
      <w:marLeft w:val="0"/>
      <w:marRight w:val="0"/>
      <w:marTop w:val="0"/>
      <w:marBottom w:val="0"/>
      <w:divBdr>
        <w:top w:val="none" w:sz="0" w:space="0" w:color="auto"/>
        <w:left w:val="none" w:sz="0" w:space="0" w:color="auto"/>
        <w:bottom w:val="none" w:sz="0" w:space="0" w:color="auto"/>
        <w:right w:val="none" w:sz="0" w:space="0" w:color="auto"/>
      </w:divBdr>
    </w:div>
    <w:div w:id="1704591501">
      <w:bodyDiv w:val="1"/>
      <w:marLeft w:val="0"/>
      <w:marRight w:val="0"/>
      <w:marTop w:val="0"/>
      <w:marBottom w:val="0"/>
      <w:divBdr>
        <w:top w:val="none" w:sz="0" w:space="0" w:color="auto"/>
        <w:left w:val="none" w:sz="0" w:space="0" w:color="auto"/>
        <w:bottom w:val="none" w:sz="0" w:space="0" w:color="auto"/>
        <w:right w:val="none" w:sz="0" w:space="0" w:color="auto"/>
      </w:divBdr>
    </w:div>
    <w:div w:id="1707171781">
      <w:bodyDiv w:val="1"/>
      <w:marLeft w:val="0"/>
      <w:marRight w:val="0"/>
      <w:marTop w:val="0"/>
      <w:marBottom w:val="0"/>
      <w:divBdr>
        <w:top w:val="none" w:sz="0" w:space="0" w:color="auto"/>
        <w:left w:val="none" w:sz="0" w:space="0" w:color="auto"/>
        <w:bottom w:val="none" w:sz="0" w:space="0" w:color="auto"/>
        <w:right w:val="none" w:sz="0" w:space="0" w:color="auto"/>
      </w:divBdr>
    </w:div>
    <w:div w:id="1707755970">
      <w:bodyDiv w:val="1"/>
      <w:marLeft w:val="0"/>
      <w:marRight w:val="0"/>
      <w:marTop w:val="0"/>
      <w:marBottom w:val="0"/>
      <w:divBdr>
        <w:top w:val="none" w:sz="0" w:space="0" w:color="auto"/>
        <w:left w:val="none" w:sz="0" w:space="0" w:color="auto"/>
        <w:bottom w:val="none" w:sz="0" w:space="0" w:color="auto"/>
        <w:right w:val="none" w:sz="0" w:space="0" w:color="auto"/>
      </w:divBdr>
    </w:div>
    <w:div w:id="1708330578">
      <w:bodyDiv w:val="1"/>
      <w:marLeft w:val="0"/>
      <w:marRight w:val="0"/>
      <w:marTop w:val="0"/>
      <w:marBottom w:val="0"/>
      <w:divBdr>
        <w:top w:val="none" w:sz="0" w:space="0" w:color="auto"/>
        <w:left w:val="none" w:sz="0" w:space="0" w:color="auto"/>
        <w:bottom w:val="none" w:sz="0" w:space="0" w:color="auto"/>
        <w:right w:val="none" w:sz="0" w:space="0" w:color="auto"/>
      </w:divBdr>
    </w:div>
    <w:div w:id="1718581539">
      <w:bodyDiv w:val="1"/>
      <w:marLeft w:val="0"/>
      <w:marRight w:val="0"/>
      <w:marTop w:val="0"/>
      <w:marBottom w:val="0"/>
      <w:divBdr>
        <w:top w:val="none" w:sz="0" w:space="0" w:color="auto"/>
        <w:left w:val="none" w:sz="0" w:space="0" w:color="auto"/>
        <w:bottom w:val="none" w:sz="0" w:space="0" w:color="auto"/>
        <w:right w:val="none" w:sz="0" w:space="0" w:color="auto"/>
      </w:divBdr>
    </w:div>
    <w:div w:id="1721785613">
      <w:bodyDiv w:val="1"/>
      <w:marLeft w:val="0"/>
      <w:marRight w:val="0"/>
      <w:marTop w:val="0"/>
      <w:marBottom w:val="0"/>
      <w:divBdr>
        <w:top w:val="none" w:sz="0" w:space="0" w:color="auto"/>
        <w:left w:val="none" w:sz="0" w:space="0" w:color="auto"/>
        <w:bottom w:val="none" w:sz="0" w:space="0" w:color="auto"/>
        <w:right w:val="none" w:sz="0" w:space="0" w:color="auto"/>
      </w:divBdr>
    </w:div>
    <w:div w:id="1722316736">
      <w:bodyDiv w:val="1"/>
      <w:marLeft w:val="0"/>
      <w:marRight w:val="0"/>
      <w:marTop w:val="0"/>
      <w:marBottom w:val="0"/>
      <w:divBdr>
        <w:top w:val="none" w:sz="0" w:space="0" w:color="auto"/>
        <w:left w:val="none" w:sz="0" w:space="0" w:color="auto"/>
        <w:bottom w:val="none" w:sz="0" w:space="0" w:color="auto"/>
        <w:right w:val="none" w:sz="0" w:space="0" w:color="auto"/>
      </w:divBdr>
    </w:div>
    <w:div w:id="1723017896">
      <w:bodyDiv w:val="1"/>
      <w:marLeft w:val="0"/>
      <w:marRight w:val="0"/>
      <w:marTop w:val="0"/>
      <w:marBottom w:val="0"/>
      <w:divBdr>
        <w:top w:val="none" w:sz="0" w:space="0" w:color="auto"/>
        <w:left w:val="none" w:sz="0" w:space="0" w:color="auto"/>
        <w:bottom w:val="none" w:sz="0" w:space="0" w:color="auto"/>
        <w:right w:val="none" w:sz="0" w:space="0" w:color="auto"/>
      </w:divBdr>
    </w:div>
    <w:div w:id="1729759974">
      <w:bodyDiv w:val="1"/>
      <w:marLeft w:val="0"/>
      <w:marRight w:val="0"/>
      <w:marTop w:val="0"/>
      <w:marBottom w:val="0"/>
      <w:divBdr>
        <w:top w:val="none" w:sz="0" w:space="0" w:color="auto"/>
        <w:left w:val="none" w:sz="0" w:space="0" w:color="auto"/>
        <w:bottom w:val="none" w:sz="0" w:space="0" w:color="auto"/>
        <w:right w:val="none" w:sz="0" w:space="0" w:color="auto"/>
      </w:divBdr>
    </w:div>
    <w:div w:id="1733695883">
      <w:bodyDiv w:val="1"/>
      <w:marLeft w:val="0"/>
      <w:marRight w:val="0"/>
      <w:marTop w:val="0"/>
      <w:marBottom w:val="0"/>
      <w:divBdr>
        <w:top w:val="none" w:sz="0" w:space="0" w:color="auto"/>
        <w:left w:val="none" w:sz="0" w:space="0" w:color="auto"/>
        <w:bottom w:val="none" w:sz="0" w:space="0" w:color="auto"/>
        <w:right w:val="none" w:sz="0" w:space="0" w:color="auto"/>
      </w:divBdr>
    </w:div>
    <w:div w:id="1735156986">
      <w:bodyDiv w:val="1"/>
      <w:marLeft w:val="0"/>
      <w:marRight w:val="0"/>
      <w:marTop w:val="0"/>
      <w:marBottom w:val="0"/>
      <w:divBdr>
        <w:top w:val="none" w:sz="0" w:space="0" w:color="auto"/>
        <w:left w:val="none" w:sz="0" w:space="0" w:color="auto"/>
        <w:bottom w:val="none" w:sz="0" w:space="0" w:color="auto"/>
        <w:right w:val="none" w:sz="0" w:space="0" w:color="auto"/>
      </w:divBdr>
    </w:div>
    <w:div w:id="1735200220">
      <w:bodyDiv w:val="1"/>
      <w:marLeft w:val="0"/>
      <w:marRight w:val="0"/>
      <w:marTop w:val="0"/>
      <w:marBottom w:val="0"/>
      <w:divBdr>
        <w:top w:val="none" w:sz="0" w:space="0" w:color="auto"/>
        <w:left w:val="none" w:sz="0" w:space="0" w:color="auto"/>
        <w:bottom w:val="none" w:sz="0" w:space="0" w:color="auto"/>
        <w:right w:val="none" w:sz="0" w:space="0" w:color="auto"/>
      </w:divBdr>
    </w:div>
    <w:div w:id="1736660536">
      <w:bodyDiv w:val="1"/>
      <w:marLeft w:val="0"/>
      <w:marRight w:val="0"/>
      <w:marTop w:val="0"/>
      <w:marBottom w:val="0"/>
      <w:divBdr>
        <w:top w:val="none" w:sz="0" w:space="0" w:color="auto"/>
        <w:left w:val="none" w:sz="0" w:space="0" w:color="auto"/>
        <w:bottom w:val="none" w:sz="0" w:space="0" w:color="auto"/>
        <w:right w:val="none" w:sz="0" w:space="0" w:color="auto"/>
      </w:divBdr>
    </w:div>
    <w:div w:id="1743672874">
      <w:bodyDiv w:val="1"/>
      <w:marLeft w:val="0"/>
      <w:marRight w:val="0"/>
      <w:marTop w:val="0"/>
      <w:marBottom w:val="0"/>
      <w:divBdr>
        <w:top w:val="none" w:sz="0" w:space="0" w:color="auto"/>
        <w:left w:val="none" w:sz="0" w:space="0" w:color="auto"/>
        <w:bottom w:val="none" w:sz="0" w:space="0" w:color="auto"/>
        <w:right w:val="none" w:sz="0" w:space="0" w:color="auto"/>
      </w:divBdr>
    </w:div>
    <w:div w:id="1746951879">
      <w:bodyDiv w:val="1"/>
      <w:marLeft w:val="0"/>
      <w:marRight w:val="0"/>
      <w:marTop w:val="0"/>
      <w:marBottom w:val="0"/>
      <w:divBdr>
        <w:top w:val="none" w:sz="0" w:space="0" w:color="auto"/>
        <w:left w:val="none" w:sz="0" w:space="0" w:color="auto"/>
        <w:bottom w:val="none" w:sz="0" w:space="0" w:color="auto"/>
        <w:right w:val="none" w:sz="0" w:space="0" w:color="auto"/>
      </w:divBdr>
    </w:div>
    <w:div w:id="1750156463">
      <w:bodyDiv w:val="1"/>
      <w:marLeft w:val="0"/>
      <w:marRight w:val="0"/>
      <w:marTop w:val="0"/>
      <w:marBottom w:val="0"/>
      <w:divBdr>
        <w:top w:val="none" w:sz="0" w:space="0" w:color="auto"/>
        <w:left w:val="none" w:sz="0" w:space="0" w:color="auto"/>
        <w:bottom w:val="none" w:sz="0" w:space="0" w:color="auto"/>
        <w:right w:val="none" w:sz="0" w:space="0" w:color="auto"/>
      </w:divBdr>
    </w:div>
    <w:div w:id="1757627773">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
    <w:div w:id="1761561680">
      <w:bodyDiv w:val="1"/>
      <w:marLeft w:val="0"/>
      <w:marRight w:val="0"/>
      <w:marTop w:val="0"/>
      <w:marBottom w:val="0"/>
      <w:divBdr>
        <w:top w:val="none" w:sz="0" w:space="0" w:color="auto"/>
        <w:left w:val="none" w:sz="0" w:space="0" w:color="auto"/>
        <w:bottom w:val="none" w:sz="0" w:space="0" w:color="auto"/>
        <w:right w:val="none" w:sz="0" w:space="0" w:color="auto"/>
      </w:divBdr>
    </w:div>
    <w:div w:id="1777866814">
      <w:bodyDiv w:val="1"/>
      <w:marLeft w:val="0"/>
      <w:marRight w:val="0"/>
      <w:marTop w:val="0"/>
      <w:marBottom w:val="0"/>
      <w:divBdr>
        <w:top w:val="none" w:sz="0" w:space="0" w:color="auto"/>
        <w:left w:val="none" w:sz="0" w:space="0" w:color="auto"/>
        <w:bottom w:val="none" w:sz="0" w:space="0" w:color="auto"/>
        <w:right w:val="none" w:sz="0" w:space="0" w:color="auto"/>
      </w:divBdr>
    </w:div>
    <w:div w:id="1786001350">
      <w:bodyDiv w:val="1"/>
      <w:marLeft w:val="0"/>
      <w:marRight w:val="0"/>
      <w:marTop w:val="0"/>
      <w:marBottom w:val="0"/>
      <w:divBdr>
        <w:top w:val="none" w:sz="0" w:space="0" w:color="auto"/>
        <w:left w:val="none" w:sz="0" w:space="0" w:color="auto"/>
        <w:bottom w:val="none" w:sz="0" w:space="0" w:color="auto"/>
        <w:right w:val="none" w:sz="0" w:space="0" w:color="auto"/>
      </w:divBdr>
    </w:div>
    <w:div w:id="1791972227">
      <w:bodyDiv w:val="1"/>
      <w:marLeft w:val="0"/>
      <w:marRight w:val="0"/>
      <w:marTop w:val="0"/>
      <w:marBottom w:val="0"/>
      <w:divBdr>
        <w:top w:val="none" w:sz="0" w:space="0" w:color="auto"/>
        <w:left w:val="none" w:sz="0" w:space="0" w:color="auto"/>
        <w:bottom w:val="none" w:sz="0" w:space="0" w:color="auto"/>
        <w:right w:val="none" w:sz="0" w:space="0" w:color="auto"/>
      </w:divBdr>
    </w:div>
    <w:div w:id="1815294590">
      <w:bodyDiv w:val="1"/>
      <w:marLeft w:val="0"/>
      <w:marRight w:val="0"/>
      <w:marTop w:val="0"/>
      <w:marBottom w:val="0"/>
      <w:divBdr>
        <w:top w:val="none" w:sz="0" w:space="0" w:color="auto"/>
        <w:left w:val="none" w:sz="0" w:space="0" w:color="auto"/>
        <w:bottom w:val="none" w:sz="0" w:space="0" w:color="auto"/>
        <w:right w:val="none" w:sz="0" w:space="0" w:color="auto"/>
      </w:divBdr>
    </w:div>
    <w:div w:id="1816408480">
      <w:bodyDiv w:val="1"/>
      <w:marLeft w:val="0"/>
      <w:marRight w:val="0"/>
      <w:marTop w:val="0"/>
      <w:marBottom w:val="0"/>
      <w:divBdr>
        <w:top w:val="none" w:sz="0" w:space="0" w:color="auto"/>
        <w:left w:val="none" w:sz="0" w:space="0" w:color="auto"/>
        <w:bottom w:val="none" w:sz="0" w:space="0" w:color="auto"/>
        <w:right w:val="none" w:sz="0" w:space="0" w:color="auto"/>
      </w:divBdr>
    </w:div>
    <w:div w:id="1816486882">
      <w:bodyDiv w:val="1"/>
      <w:marLeft w:val="0"/>
      <w:marRight w:val="0"/>
      <w:marTop w:val="0"/>
      <w:marBottom w:val="0"/>
      <w:divBdr>
        <w:top w:val="none" w:sz="0" w:space="0" w:color="auto"/>
        <w:left w:val="none" w:sz="0" w:space="0" w:color="auto"/>
        <w:bottom w:val="none" w:sz="0" w:space="0" w:color="auto"/>
        <w:right w:val="none" w:sz="0" w:space="0" w:color="auto"/>
      </w:divBdr>
    </w:div>
    <w:div w:id="1819374643">
      <w:bodyDiv w:val="1"/>
      <w:marLeft w:val="0"/>
      <w:marRight w:val="0"/>
      <w:marTop w:val="0"/>
      <w:marBottom w:val="0"/>
      <w:divBdr>
        <w:top w:val="none" w:sz="0" w:space="0" w:color="auto"/>
        <w:left w:val="none" w:sz="0" w:space="0" w:color="auto"/>
        <w:bottom w:val="none" w:sz="0" w:space="0" w:color="auto"/>
        <w:right w:val="none" w:sz="0" w:space="0" w:color="auto"/>
      </w:divBdr>
    </w:div>
    <w:div w:id="1820531910">
      <w:bodyDiv w:val="1"/>
      <w:marLeft w:val="0"/>
      <w:marRight w:val="0"/>
      <w:marTop w:val="0"/>
      <w:marBottom w:val="0"/>
      <w:divBdr>
        <w:top w:val="none" w:sz="0" w:space="0" w:color="auto"/>
        <w:left w:val="none" w:sz="0" w:space="0" w:color="auto"/>
        <w:bottom w:val="none" w:sz="0" w:space="0" w:color="auto"/>
        <w:right w:val="none" w:sz="0" w:space="0" w:color="auto"/>
      </w:divBdr>
      <w:divsChild>
        <w:div w:id="1332634714">
          <w:marLeft w:val="0"/>
          <w:marRight w:val="0"/>
          <w:marTop w:val="0"/>
          <w:marBottom w:val="0"/>
          <w:divBdr>
            <w:top w:val="none" w:sz="0" w:space="0" w:color="auto"/>
            <w:left w:val="none" w:sz="0" w:space="0" w:color="auto"/>
            <w:bottom w:val="none" w:sz="0" w:space="0" w:color="auto"/>
            <w:right w:val="none" w:sz="0" w:space="0" w:color="auto"/>
          </w:divBdr>
        </w:div>
      </w:divsChild>
    </w:div>
    <w:div w:id="1832024235">
      <w:bodyDiv w:val="1"/>
      <w:marLeft w:val="0"/>
      <w:marRight w:val="0"/>
      <w:marTop w:val="0"/>
      <w:marBottom w:val="0"/>
      <w:divBdr>
        <w:top w:val="none" w:sz="0" w:space="0" w:color="auto"/>
        <w:left w:val="none" w:sz="0" w:space="0" w:color="auto"/>
        <w:bottom w:val="none" w:sz="0" w:space="0" w:color="auto"/>
        <w:right w:val="none" w:sz="0" w:space="0" w:color="auto"/>
      </w:divBdr>
    </w:div>
    <w:div w:id="1835104766">
      <w:bodyDiv w:val="1"/>
      <w:marLeft w:val="0"/>
      <w:marRight w:val="0"/>
      <w:marTop w:val="0"/>
      <w:marBottom w:val="0"/>
      <w:divBdr>
        <w:top w:val="none" w:sz="0" w:space="0" w:color="auto"/>
        <w:left w:val="none" w:sz="0" w:space="0" w:color="auto"/>
        <w:bottom w:val="none" w:sz="0" w:space="0" w:color="auto"/>
        <w:right w:val="none" w:sz="0" w:space="0" w:color="auto"/>
      </w:divBdr>
    </w:div>
    <w:div w:id="1838032959">
      <w:bodyDiv w:val="1"/>
      <w:marLeft w:val="0"/>
      <w:marRight w:val="0"/>
      <w:marTop w:val="0"/>
      <w:marBottom w:val="0"/>
      <w:divBdr>
        <w:top w:val="none" w:sz="0" w:space="0" w:color="auto"/>
        <w:left w:val="none" w:sz="0" w:space="0" w:color="auto"/>
        <w:bottom w:val="none" w:sz="0" w:space="0" w:color="auto"/>
        <w:right w:val="none" w:sz="0" w:space="0" w:color="auto"/>
      </w:divBdr>
    </w:div>
    <w:div w:id="1855415202">
      <w:bodyDiv w:val="1"/>
      <w:marLeft w:val="0"/>
      <w:marRight w:val="0"/>
      <w:marTop w:val="0"/>
      <w:marBottom w:val="0"/>
      <w:divBdr>
        <w:top w:val="none" w:sz="0" w:space="0" w:color="auto"/>
        <w:left w:val="none" w:sz="0" w:space="0" w:color="auto"/>
        <w:bottom w:val="none" w:sz="0" w:space="0" w:color="auto"/>
        <w:right w:val="none" w:sz="0" w:space="0" w:color="auto"/>
      </w:divBdr>
    </w:div>
    <w:div w:id="1858880852">
      <w:bodyDiv w:val="1"/>
      <w:marLeft w:val="0"/>
      <w:marRight w:val="0"/>
      <w:marTop w:val="0"/>
      <w:marBottom w:val="0"/>
      <w:divBdr>
        <w:top w:val="none" w:sz="0" w:space="0" w:color="auto"/>
        <w:left w:val="none" w:sz="0" w:space="0" w:color="auto"/>
        <w:bottom w:val="none" w:sz="0" w:space="0" w:color="auto"/>
        <w:right w:val="none" w:sz="0" w:space="0" w:color="auto"/>
      </w:divBdr>
    </w:div>
    <w:div w:id="1859922483">
      <w:bodyDiv w:val="1"/>
      <w:marLeft w:val="0"/>
      <w:marRight w:val="0"/>
      <w:marTop w:val="0"/>
      <w:marBottom w:val="0"/>
      <w:divBdr>
        <w:top w:val="none" w:sz="0" w:space="0" w:color="auto"/>
        <w:left w:val="none" w:sz="0" w:space="0" w:color="auto"/>
        <w:bottom w:val="none" w:sz="0" w:space="0" w:color="auto"/>
        <w:right w:val="none" w:sz="0" w:space="0" w:color="auto"/>
      </w:divBdr>
    </w:div>
    <w:div w:id="1869642446">
      <w:bodyDiv w:val="1"/>
      <w:marLeft w:val="0"/>
      <w:marRight w:val="0"/>
      <w:marTop w:val="0"/>
      <w:marBottom w:val="0"/>
      <w:divBdr>
        <w:top w:val="none" w:sz="0" w:space="0" w:color="auto"/>
        <w:left w:val="none" w:sz="0" w:space="0" w:color="auto"/>
        <w:bottom w:val="none" w:sz="0" w:space="0" w:color="auto"/>
        <w:right w:val="none" w:sz="0" w:space="0" w:color="auto"/>
      </w:divBdr>
    </w:div>
    <w:div w:id="1869947195">
      <w:bodyDiv w:val="1"/>
      <w:marLeft w:val="0"/>
      <w:marRight w:val="0"/>
      <w:marTop w:val="0"/>
      <w:marBottom w:val="0"/>
      <w:divBdr>
        <w:top w:val="none" w:sz="0" w:space="0" w:color="auto"/>
        <w:left w:val="none" w:sz="0" w:space="0" w:color="auto"/>
        <w:bottom w:val="none" w:sz="0" w:space="0" w:color="auto"/>
        <w:right w:val="none" w:sz="0" w:space="0" w:color="auto"/>
      </w:divBdr>
    </w:div>
    <w:div w:id="1874221602">
      <w:bodyDiv w:val="1"/>
      <w:marLeft w:val="0"/>
      <w:marRight w:val="0"/>
      <w:marTop w:val="0"/>
      <w:marBottom w:val="0"/>
      <w:divBdr>
        <w:top w:val="none" w:sz="0" w:space="0" w:color="auto"/>
        <w:left w:val="none" w:sz="0" w:space="0" w:color="auto"/>
        <w:bottom w:val="none" w:sz="0" w:space="0" w:color="auto"/>
        <w:right w:val="none" w:sz="0" w:space="0" w:color="auto"/>
      </w:divBdr>
    </w:div>
    <w:div w:id="1886141294">
      <w:bodyDiv w:val="1"/>
      <w:marLeft w:val="0"/>
      <w:marRight w:val="0"/>
      <w:marTop w:val="0"/>
      <w:marBottom w:val="0"/>
      <w:divBdr>
        <w:top w:val="none" w:sz="0" w:space="0" w:color="auto"/>
        <w:left w:val="none" w:sz="0" w:space="0" w:color="auto"/>
        <w:bottom w:val="none" w:sz="0" w:space="0" w:color="auto"/>
        <w:right w:val="none" w:sz="0" w:space="0" w:color="auto"/>
      </w:divBdr>
    </w:div>
    <w:div w:id="1896430971">
      <w:bodyDiv w:val="1"/>
      <w:marLeft w:val="0"/>
      <w:marRight w:val="0"/>
      <w:marTop w:val="0"/>
      <w:marBottom w:val="0"/>
      <w:divBdr>
        <w:top w:val="none" w:sz="0" w:space="0" w:color="auto"/>
        <w:left w:val="none" w:sz="0" w:space="0" w:color="auto"/>
        <w:bottom w:val="none" w:sz="0" w:space="0" w:color="auto"/>
        <w:right w:val="none" w:sz="0" w:space="0" w:color="auto"/>
      </w:divBdr>
    </w:div>
    <w:div w:id="1899126117">
      <w:bodyDiv w:val="1"/>
      <w:marLeft w:val="0"/>
      <w:marRight w:val="0"/>
      <w:marTop w:val="0"/>
      <w:marBottom w:val="0"/>
      <w:divBdr>
        <w:top w:val="none" w:sz="0" w:space="0" w:color="auto"/>
        <w:left w:val="none" w:sz="0" w:space="0" w:color="auto"/>
        <w:bottom w:val="none" w:sz="0" w:space="0" w:color="auto"/>
        <w:right w:val="none" w:sz="0" w:space="0" w:color="auto"/>
      </w:divBdr>
    </w:div>
    <w:div w:id="1899979060">
      <w:bodyDiv w:val="1"/>
      <w:marLeft w:val="0"/>
      <w:marRight w:val="0"/>
      <w:marTop w:val="0"/>
      <w:marBottom w:val="0"/>
      <w:divBdr>
        <w:top w:val="none" w:sz="0" w:space="0" w:color="auto"/>
        <w:left w:val="none" w:sz="0" w:space="0" w:color="auto"/>
        <w:bottom w:val="none" w:sz="0" w:space="0" w:color="auto"/>
        <w:right w:val="none" w:sz="0" w:space="0" w:color="auto"/>
      </w:divBdr>
    </w:div>
    <w:div w:id="1905874536">
      <w:bodyDiv w:val="1"/>
      <w:marLeft w:val="0"/>
      <w:marRight w:val="0"/>
      <w:marTop w:val="0"/>
      <w:marBottom w:val="0"/>
      <w:divBdr>
        <w:top w:val="none" w:sz="0" w:space="0" w:color="auto"/>
        <w:left w:val="none" w:sz="0" w:space="0" w:color="auto"/>
        <w:bottom w:val="none" w:sz="0" w:space="0" w:color="auto"/>
        <w:right w:val="none" w:sz="0" w:space="0" w:color="auto"/>
      </w:divBdr>
    </w:div>
    <w:div w:id="1906842077">
      <w:bodyDiv w:val="1"/>
      <w:marLeft w:val="0"/>
      <w:marRight w:val="0"/>
      <w:marTop w:val="0"/>
      <w:marBottom w:val="0"/>
      <w:divBdr>
        <w:top w:val="none" w:sz="0" w:space="0" w:color="auto"/>
        <w:left w:val="none" w:sz="0" w:space="0" w:color="auto"/>
        <w:bottom w:val="none" w:sz="0" w:space="0" w:color="auto"/>
        <w:right w:val="none" w:sz="0" w:space="0" w:color="auto"/>
      </w:divBdr>
    </w:div>
    <w:div w:id="1915503991">
      <w:bodyDiv w:val="1"/>
      <w:marLeft w:val="0"/>
      <w:marRight w:val="0"/>
      <w:marTop w:val="0"/>
      <w:marBottom w:val="0"/>
      <w:divBdr>
        <w:top w:val="none" w:sz="0" w:space="0" w:color="auto"/>
        <w:left w:val="none" w:sz="0" w:space="0" w:color="auto"/>
        <w:bottom w:val="none" w:sz="0" w:space="0" w:color="auto"/>
        <w:right w:val="none" w:sz="0" w:space="0" w:color="auto"/>
      </w:divBdr>
      <w:divsChild>
        <w:div w:id="160707086">
          <w:marLeft w:val="0"/>
          <w:marRight w:val="0"/>
          <w:marTop w:val="0"/>
          <w:marBottom w:val="0"/>
          <w:divBdr>
            <w:top w:val="none" w:sz="0" w:space="0" w:color="auto"/>
            <w:left w:val="none" w:sz="0" w:space="0" w:color="auto"/>
            <w:bottom w:val="none" w:sz="0" w:space="0" w:color="auto"/>
            <w:right w:val="none" w:sz="0" w:space="0" w:color="auto"/>
          </w:divBdr>
          <w:divsChild>
            <w:div w:id="769813452">
              <w:marLeft w:val="0"/>
              <w:marRight w:val="0"/>
              <w:marTop w:val="0"/>
              <w:marBottom w:val="0"/>
              <w:divBdr>
                <w:top w:val="none" w:sz="0" w:space="0" w:color="auto"/>
                <w:left w:val="none" w:sz="0" w:space="0" w:color="auto"/>
                <w:bottom w:val="none" w:sz="0" w:space="0" w:color="auto"/>
                <w:right w:val="none" w:sz="0" w:space="0" w:color="auto"/>
              </w:divBdr>
            </w:div>
          </w:divsChild>
        </w:div>
        <w:div w:id="208345971">
          <w:marLeft w:val="0"/>
          <w:marRight w:val="0"/>
          <w:marTop w:val="0"/>
          <w:marBottom w:val="0"/>
          <w:divBdr>
            <w:top w:val="none" w:sz="0" w:space="0" w:color="auto"/>
            <w:left w:val="none" w:sz="0" w:space="0" w:color="auto"/>
            <w:bottom w:val="none" w:sz="0" w:space="0" w:color="auto"/>
            <w:right w:val="none" w:sz="0" w:space="0" w:color="auto"/>
          </w:divBdr>
          <w:divsChild>
            <w:div w:id="1040982205">
              <w:marLeft w:val="0"/>
              <w:marRight w:val="0"/>
              <w:marTop w:val="0"/>
              <w:marBottom w:val="0"/>
              <w:divBdr>
                <w:top w:val="none" w:sz="0" w:space="0" w:color="auto"/>
                <w:left w:val="none" w:sz="0" w:space="0" w:color="auto"/>
                <w:bottom w:val="none" w:sz="0" w:space="0" w:color="auto"/>
                <w:right w:val="none" w:sz="0" w:space="0" w:color="auto"/>
              </w:divBdr>
            </w:div>
          </w:divsChild>
        </w:div>
        <w:div w:id="218975459">
          <w:marLeft w:val="0"/>
          <w:marRight w:val="0"/>
          <w:marTop w:val="0"/>
          <w:marBottom w:val="0"/>
          <w:divBdr>
            <w:top w:val="none" w:sz="0" w:space="0" w:color="auto"/>
            <w:left w:val="none" w:sz="0" w:space="0" w:color="auto"/>
            <w:bottom w:val="none" w:sz="0" w:space="0" w:color="auto"/>
            <w:right w:val="none" w:sz="0" w:space="0" w:color="auto"/>
          </w:divBdr>
          <w:divsChild>
            <w:div w:id="104859682">
              <w:marLeft w:val="0"/>
              <w:marRight w:val="0"/>
              <w:marTop w:val="0"/>
              <w:marBottom w:val="0"/>
              <w:divBdr>
                <w:top w:val="none" w:sz="0" w:space="0" w:color="auto"/>
                <w:left w:val="none" w:sz="0" w:space="0" w:color="auto"/>
                <w:bottom w:val="none" w:sz="0" w:space="0" w:color="auto"/>
                <w:right w:val="none" w:sz="0" w:space="0" w:color="auto"/>
              </w:divBdr>
            </w:div>
          </w:divsChild>
        </w:div>
        <w:div w:id="396708927">
          <w:marLeft w:val="0"/>
          <w:marRight w:val="0"/>
          <w:marTop w:val="0"/>
          <w:marBottom w:val="0"/>
          <w:divBdr>
            <w:top w:val="none" w:sz="0" w:space="0" w:color="auto"/>
            <w:left w:val="none" w:sz="0" w:space="0" w:color="auto"/>
            <w:bottom w:val="none" w:sz="0" w:space="0" w:color="auto"/>
            <w:right w:val="none" w:sz="0" w:space="0" w:color="auto"/>
          </w:divBdr>
          <w:divsChild>
            <w:div w:id="390545033">
              <w:marLeft w:val="0"/>
              <w:marRight w:val="0"/>
              <w:marTop w:val="0"/>
              <w:marBottom w:val="0"/>
              <w:divBdr>
                <w:top w:val="none" w:sz="0" w:space="0" w:color="auto"/>
                <w:left w:val="none" w:sz="0" w:space="0" w:color="auto"/>
                <w:bottom w:val="none" w:sz="0" w:space="0" w:color="auto"/>
                <w:right w:val="none" w:sz="0" w:space="0" w:color="auto"/>
              </w:divBdr>
            </w:div>
          </w:divsChild>
        </w:div>
        <w:div w:id="492719897">
          <w:marLeft w:val="0"/>
          <w:marRight w:val="0"/>
          <w:marTop w:val="0"/>
          <w:marBottom w:val="0"/>
          <w:divBdr>
            <w:top w:val="none" w:sz="0" w:space="0" w:color="auto"/>
            <w:left w:val="none" w:sz="0" w:space="0" w:color="auto"/>
            <w:bottom w:val="none" w:sz="0" w:space="0" w:color="auto"/>
            <w:right w:val="none" w:sz="0" w:space="0" w:color="auto"/>
          </w:divBdr>
          <w:divsChild>
            <w:div w:id="267085658">
              <w:marLeft w:val="0"/>
              <w:marRight w:val="0"/>
              <w:marTop w:val="0"/>
              <w:marBottom w:val="0"/>
              <w:divBdr>
                <w:top w:val="none" w:sz="0" w:space="0" w:color="auto"/>
                <w:left w:val="none" w:sz="0" w:space="0" w:color="auto"/>
                <w:bottom w:val="none" w:sz="0" w:space="0" w:color="auto"/>
                <w:right w:val="none" w:sz="0" w:space="0" w:color="auto"/>
              </w:divBdr>
            </w:div>
          </w:divsChild>
        </w:div>
        <w:div w:id="595481855">
          <w:marLeft w:val="0"/>
          <w:marRight w:val="0"/>
          <w:marTop w:val="0"/>
          <w:marBottom w:val="0"/>
          <w:divBdr>
            <w:top w:val="none" w:sz="0" w:space="0" w:color="auto"/>
            <w:left w:val="none" w:sz="0" w:space="0" w:color="auto"/>
            <w:bottom w:val="none" w:sz="0" w:space="0" w:color="auto"/>
            <w:right w:val="none" w:sz="0" w:space="0" w:color="auto"/>
          </w:divBdr>
          <w:divsChild>
            <w:div w:id="1696232510">
              <w:marLeft w:val="0"/>
              <w:marRight w:val="0"/>
              <w:marTop w:val="0"/>
              <w:marBottom w:val="0"/>
              <w:divBdr>
                <w:top w:val="none" w:sz="0" w:space="0" w:color="auto"/>
                <w:left w:val="none" w:sz="0" w:space="0" w:color="auto"/>
                <w:bottom w:val="none" w:sz="0" w:space="0" w:color="auto"/>
                <w:right w:val="none" w:sz="0" w:space="0" w:color="auto"/>
              </w:divBdr>
            </w:div>
          </w:divsChild>
        </w:div>
        <w:div w:id="709493073">
          <w:marLeft w:val="0"/>
          <w:marRight w:val="0"/>
          <w:marTop w:val="0"/>
          <w:marBottom w:val="0"/>
          <w:divBdr>
            <w:top w:val="none" w:sz="0" w:space="0" w:color="auto"/>
            <w:left w:val="none" w:sz="0" w:space="0" w:color="auto"/>
            <w:bottom w:val="none" w:sz="0" w:space="0" w:color="auto"/>
            <w:right w:val="none" w:sz="0" w:space="0" w:color="auto"/>
          </w:divBdr>
          <w:divsChild>
            <w:div w:id="1898586832">
              <w:marLeft w:val="0"/>
              <w:marRight w:val="0"/>
              <w:marTop w:val="0"/>
              <w:marBottom w:val="0"/>
              <w:divBdr>
                <w:top w:val="none" w:sz="0" w:space="0" w:color="auto"/>
                <w:left w:val="none" w:sz="0" w:space="0" w:color="auto"/>
                <w:bottom w:val="none" w:sz="0" w:space="0" w:color="auto"/>
                <w:right w:val="none" w:sz="0" w:space="0" w:color="auto"/>
              </w:divBdr>
            </w:div>
          </w:divsChild>
        </w:div>
        <w:div w:id="763722303">
          <w:marLeft w:val="0"/>
          <w:marRight w:val="0"/>
          <w:marTop w:val="0"/>
          <w:marBottom w:val="0"/>
          <w:divBdr>
            <w:top w:val="none" w:sz="0" w:space="0" w:color="auto"/>
            <w:left w:val="none" w:sz="0" w:space="0" w:color="auto"/>
            <w:bottom w:val="none" w:sz="0" w:space="0" w:color="auto"/>
            <w:right w:val="none" w:sz="0" w:space="0" w:color="auto"/>
          </w:divBdr>
          <w:divsChild>
            <w:div w:id="1609461469">
              <w:marLeft w:val="0"/>
              <w:marRight w:val="0"/>
              <w:marTop w:val="0"/>
              <w:marBottom w:val="0"/>
              <w:divBdr>
                <w:top w:val="none" w:sz="0" w:space="0" w:color="auto"/>
                <w:left w:val="none" w:sz="0" w:space="0" w:color="auto"/>
                <w:bottom w:val="none" w:sz="0" w:space="0" w:color="auto"/>
                <w:right w:val="none" w:sz="0" w:space="0" w:color="auto"/>
              </w:divBdr>
            </w:div>
          </w:divsChild>
        </w:div>
        <w:div w:id="1139416802">
          <w:marLeft w:val="0"/>
          <w:marRight w:val="0"/>
          <w:marTop w:val="0"/>
          <w:marBottom w:val="0"/>
          <w:divBdr>
            <w:top w:val="none" w:sz="0" w:space="0" w:color="auto"/>
            <w:left w:val="none" w:sz="0" w:space="0" w:color="auto"/>
            <w:bottom w:val="none" w:sz="0" w:space="0" w:color="auto"/>
            <w:right w:val="none" w:sz="0" w:space="0" w:color="auto"/>
          </w:divBdr>
          <w:divsChild>
            <w:div w:id="858592382">
              <w:marLeft w:val="0"/>
              <w:marRight w:val="0"/>
              <w:marTop w:val="0"/>
              <w:marBottom w:val="0"/>
              <w:divBdr>
                <w:top w:val="none" w:sz="0" w:space="0" w:color="auto"/>
                <w:left w:val="none" w:sz="0" w:space="0" w:color="auto"/>
                <w:bottom w:val="none" w:sz="0" w:space="0" w:color="auto"/>
                <w:right w:val="none" w:sz="0" w:space="0" w:color="auto"/>
              </w:divBdr>
            </w:div>
          </w:divsChild>
        </w:div>
        <w:div w:id="1144542063">
          <w:marLeft w:val="0"/>
          <w:marRight w:val="0"/>
          <w:marTop w:val="0"/>
          <w:marBottom w:val="0"/>
          <w:divBdr>
            <w:top w:val="none" w:sz="0" w:space="0" w:color="auto"/>
            <w:left w:val="none" w:sz="0" w:space="0" w:color="auto"/>
            <w:bottom w:val="none" w:sz="0" w:space="0" w:color="auto"/>
            <w:right w:val="none" w:sz="0" w:space="0" w:color="auto"/>
          </w:divBdr>
          <w:divsChild>
            <w:div w:id="904678020">
              <w:marLeft w:val="0"/>
              <w:marRight w:val="0"/>
              <w:marTop w:val="0"/>
              <w:marBottom w:val="0"/>
              <w:divBdr>
                <w:top w:val="none" w:sz="0" w:space="0" w:color="auto"/>
                <w:left w:val="none" w:sz="0" w:space="0" w:color="auto"/>
                <w:bottom w:val="none" w:sz="0" w:space="0" w:color="auto"/>
                <w:right w:val="none" w:sz="0" w:space="0" w:color="auto"/>
              </w:divBdr>
            </w:div>
          </w:divsChild>
        </w:div>
        <w:div w:id="1333024245">
          <w:marLeft w:val="0"/>
          <w:marRight w:val="0"/>
          <w:marTop w:val="0"/>
          <w:marBottom w:val="0"/>
          <w:divBdr>
            <w:top w:val="none" w:sz="0" w:space="0" w:color="auto"/>
            <w:left w:val="none" w:sz="0" w:space="0" w:color="auto"/>
            <w:bottom w:val="none" w:sz="0" w:space="0" w:color="auto"/>
            <w:right w:val="none" w:sz="0" w:space="0" w:color="auto"/>
          </w:divBdr>
          <w:divsChild>
            <w:div w:id="742722813">
              <w:marLeft w:val="0"/>
              <w:marRight w:val="0"/>
              <w:marTop w:val="0"/>
              <w:marBottom w:val="0"/>
              <w:divBdr>
                <w:top w:val="none" w:sz="0" w:space="0" w:color="auto"/>
                <w:left w:val="none" w:sz="0" w:space="0" w:color="auto"/>
                <w:bottom w:val="none" w:sz="0" w:space="0" w:color="auto"/>
                <w:right w:val="none" w:sz="0" w:space="0" w:color="auto"/>
              </w:divBdr>
            </w:div>
          </w:divsChild>
        </w:div>
        <w:div w:id="1403914428">
          <w:marLeft w:val="0"/>
          <w:marRight w:val="0"/>
          <w:marTop w:val="0"/>
          <w:marBottom w:val="0"/>
          <w:divBdr>
            <w:top w:val="none" w:sz="0" w:space="0" w:color="auto"/>
            <w:left w:val="none" w:sz="0" w:space="0" w:color="auto"/>
            <w:bottom w:val="none" w:sz="0" w:space="0" w:color="auto"/>
            <w:right w:val="none" w:sz="0" w:space="0" w:color="auto"/>
          </w:divBdr>
          <w:divsChild>
            <w:div w:id="1616207977">
              <w:marLeft w:val="0"/>
              <w:marRight w:val="0"/>
              <w:marTop w:val="0"/>
              <w:marBottom w:val="0"/>
              <w:divBdr>
                <w:top w:val="none" w:sz="0" w:space="0" w:color="auto"/>
                <w:left w:val="none" w:sz="0" w:space="0" w:color="auto"/>
                <w:bottom w:val="none" w:sz="0" w:space="0" w:color="auto"/>
                <w:right w:val="none" w:sz="0" w:space="0" w:color="auto"/>
              </w:divBdr>
            </w:div>
          </w:divsChild>
        </w:div>
        <w:div w:id="1512526749">
          <w:marLeft w:val="0"/>
          <w:marRight w:val="0"/>
          <w:marTop w:val="0"/>
          <w:marBottom w:val="0"/>
          <w:divBdr>
            <w:top w:val="none" w:sz="0" w:space="0" w:color="auto"/>
            <w:left w:val="none" w:sz="0" w:space="0" w:color="auto"/>
            <w:bottom w:val="none" w:sz="0" w:space="0" w:color="auto"/>
            <w:right w:val="none" w:sz="0" w:space="0" w:color="auto"/>
          </w:divBdr>
          <w:divsChild>
            <w:div w:id="1814634334">
              <w:marLeft w:val="0"/>
              <w:marRight w:val="0"/>
              <w:marTop w:val="0"/>
              <w:marBottom w:val="0"/>
              <w:divBdr>
                <w:top w:val="none" w:sz="0" w:space="0" w:color="auto"/>
                <w:left w:val="none" w:sz="0" w:space="0" w:color="auto"/>
                <w:bottom w:val="none" w:sz="0" w:space="0" w:color="auto"/>
                <w:right w:val="none" w:sz="0" w:space="0" w:color="auto"/>
              </w:divBdr>
            </w:div>
          </w:divsChild>
        </w:div>
        <w:div w:id="1569342147">
          <w:marLeft w:val="0"/>
          <w:marRight w:val="0"/>
          <w:marTop w:val="0"/>
          <w:marBottom w:val="0"/>
          <w:divBdr>
            <w:top w:val="none" w:sz="0" w:space="0" w:color="auto"/>
            <w:left w:val="none" w:sz="0" w:space="0" w:color="auto"/>
            <w:bottom w:val="none" w:sz="0" w:space="0" w:color="auto"/>
            <w:right w:val="none" w:sz="0" w:space="0" w:color="auto"/>
          </w:divBdr>
          <w:divsChild>
            <w:div w:id="1585147550">
              <w:marLeft w:val="0"/>
              <w:marRight w:val="0"/>
              <w:marTop w:val="0"/>
              <w:marBottom w:val="0"/>
              <w:divBdr>
                <w:top w:val="none" w:sz="0" w:space="0" w:color="auto"/>
                <w:left w:val="none" w:sz="0" w:space="0" w:color="auto"/>
                <w:bottom w:val="none" w:sz="0" w:space="0" w:color="auto"/>
                <w:right w:val="none" w:sz="0" w:space="0" w:color="auto"/>
              </w:divBdr>
            </w:div>
          </w:divsChild>
        </w:div>
        <w:div w:id="1825313536">
          <w:marLeft w:val="0"/>
          <w:marRight w:val="0"/>
          <w:marTop w:val="0"/>
          <w:marBottom w:val="0"/>
          <w:divBdr>
            <w:top w:val="none" w:sz="0" w:space="0" w:color="auto"/>
            <w:left w:val="none" w:sz="0" w:space="0" w:color="auto"/>
            <w:bottom w:val="none" w:sz="0" w:space="0" w:color="auto"/>
            <w:right w:val="none" w:sz="0" w:space="0" w:color="auto"/>
          </w:divBdr>
          <w:divsChild>
            <w:div w:id="449588347">
              <w:marLeft w:val="0"/>
              <w:marRight w:val="0"/>
              <w:marTop w:val="0"/>
              <w:marBottom w:val="0"/>
              <w:divBdr>
                <w:top w:val="none" w:sz="0" w:space="0" w:color="auto"/>
                <w:left w:val="none" w:sz="0" w:space="0" w:color="auto"/>
                <w:bottom w:val="none" w:sz="0" w:space="0" w:color="auto"/>
                <w:right w:val="none" w:sz="0" w:space="0" w:color="auto"/>
              </w:divBdr>
            </w:div>
          </w:divsChild>
        </w:div>
        <w:div w:id="1861048080">
          <w:marLeft w:val="0"/>
          <w:marRight w:val="0"/>
          <w:marTop w:val="0"/>
          <w:marBottom w:val="0"/>
          <w:divBdr>
            <w:top w:val="none" w:sz="0" w:space="0" w:color="auto"/>
            <w:left w:val="none" w:sz="0" w:space="0" w:color="auto"/>
            <w:bottom w:val="none" w:sz="0" w:space="0" w:color="auto"/>
            <w:right w:val="none" w:sz="0" w:space="0" w:color="auto"/>
          </w:divBdr>
          <w:divsChild>
            <w:div w:id="21066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37384">
      <w:bodyDiv w:val="1"/>
      <w:marLeft w:val="0"/>
      <w:marRight w:val="0"/>
      <w:marTop w:val="0"/>
      <w:marBottom w:val="0"/>
      <w:divBdr>
        <w:top w:val="none" w:sz="0" w:space="0" w:color="auto"/>
        <w:left w:val="none" w:sz="0" w:space="0" w:color="auto"/>
        <w:bottom w:val="none" w:sz="0" w:space="0" w:color="auto"/>
        <w:right w:val="none" w:sz="0" w:space="0" w:color="auto"/>
      </w:divBdr>
    </w:div>
    <w:div w:id="1922717568">
      <w:bodyDiv w:val="1"/>
      <w:marLeft w:val="0"/>
      <w:marRight w:val="0"/>
      <w:marTop w:val="0"/>
      <w:marBottom w:val="0"/>
      <w:divBdr>
        <w:top w:val="none" w:sz="0" w:space="0" w:color="auto"/>
        <w:left w:val="none" w:sz="0" w:space="0" w:color="auto"/>
        <w:bottom w:val="none" w:sz="0" w:space="0" w:color="auto"/>
        <w:right w:val="none" w:sz="0" w:space="0" w:color="auto"/>
      </w:divBdr>
    </w:div>
    <w:div w:id="1934237140">
      <w:bodyDiv w:val="1"/>
      <w:marLeft w:val="0"/>
      <w:marRight w:val="0"/>
      <w:marTop w:val="0"/>
      <w:marBottom w:val="0"/>
      <w:divBdr>
        <w:top w:val="none" w:sz="0" w:space="0" w:color="auto"/>
        <w:left w:val="none" w:sz="0" w:space="0" w:color="auto"/>
        <w:bottom w:val="none" w:sz="0" w:space="0" w:color="auto"/>
        <w:right w:val="none" w:sz="0" w:space="0" w:color="auto"/>
      </w:divBdr>
      <w:divsChild>
        <w:div w:id="1590236107">
          <w:marLeft w:val="0"/>
          <w:marRight w:val="0"/>
          <w:marTop w:val="0"/>
          <w:marBottom w:val="0"/>
          <w:divBdr>
            <w:top w:val="none" w:sz="0" w:space="0" w:color="auto"/>
            <w:left w:val="none" w:sz="0" w:space="0" w:color="auto"/>
            <w:bottom w:val="none" w:sz="0" w:space="0" w:color="auto"/>
            <w:right w:val="none" w:sz="0" w:space="0" w:color="auto"/>
          </w:divBdr>
        </w:div>
      </w:divsChild>
    </w:div>
    <w:div w:id="1936744218">
      <w:bodyDiv w:val="1"/>
      <w:marLeft w:val="0"/>
      <w:marRight w:val="0"/>
      <w:marTop w:val="0"/>
      <w:marBottom w:val="0"/>
      <w:divBdr>
        <w:top w:val="none" w:sz="0" w:space="0" w:color="auto"/>
        <w:left w:val="none" w:sz="0" w:space="0" w:color="auto"/>
        <w:bottom w:val="none" w:sz="0" w:space="0" w:color="auto"/>
        <w:right w:val="none" w:sz="0" w:space="0" w:color="auto"/>
      </w:divBdr>
    </w:div>
    <w:div w:id="1937903149">
      <w:bodyDiv w:val="1"/>
      <w:marLeft w:val="0"/>
      <w:marRight w:val="0"/>
      <w:marTop w:val="0"/>
      <w:marBottom w:val="0"/>
      <w:divBdr>
        <w:top w:val="none" w:sz="0" w:space="0" w:color="auto"/>
        <w:left w:val="none" w:sz="0" w:space="0" w:color="auto"/>
        <w:bottom w:val="none" w:sz="0" w:space="0" w:color="auto"/>
        <w:right w:val="none" w:sz="0" w:space="0" w:color="auto"/>
      </w:divBdr>
    </w:div>
    <w:div w:id="1956012897">
      <w:bodyDiv w:val="1"/>
      <w:marLeft w:val="0"/>
      <w:marRight w:val="0"/>
      <w:marTop w:val="0"/>
      <w:marBottom w:val="0"/>
      <w:divBdr>
        <w:top w:val="none" w:sz="0" w:space="0" w:color="auto"/>
        <w:left w:val="none" w:sz="0" w:space="0" w:color="auto"/>
        <w:bottom w:val="none" w:sz="0" w:space="0" w:color="auto"/>
        <w:right w:val="none" w:sz="0" w:space="0" w:color="auto"/>
      </w:divBdr>
    </w:div>
    <w:div w:id="1958676700">
      <w:bodyDiv w:val="1"/>
      <w:marLeft w:val="0"/>
      <w:marRight w:val="0"/>
      <w:marTop w:val="0"/>
      <w:marBottom w:val="0"/>
      <w:divBdr>
        <w:top w:val="none" w:sz="0" w:space="0" w:color="auto"/>
        <w:left w:val="none" w:sz="0" w:space="0" w:color="auto"/>
        <w:bottom w:val="none" w:sz="0" w:space="0" w:color="auto"/>
        <w:right w:val="none" w:sz="0" w:space="0" w:color="auto"/>
      </w:divBdr>
    </w:div>
    <w:div w:id="1967587379">
      <w:bodyDiv w:val="1"/>
      <w:marLeft w:val="0"/>
      <w:marRight w:val="0"/>
      <w:marTop w:val="0"/>
      <w:marBottom w:val="0"/>
      <w:divBdr>
        <w:top w:val="none" w:sz="0" w:space="0" w:color="auto"/>
        <w:left w:val="none" w:sz="0" w:space="0" w:color="auto"/>
        <w:bottom w:val="none" w:sz="0" w:space="0" w:color="auto"/>
        <w:right w:val="none" w:sz="0" w:space="0" w:color="auto"/>
      </w:divBdr>
    </w:div>
    <w:div w:id="1977837245">
      <w:bodyDiv w:val="1"/>
      <w:marLeft w:val="0"/>
      <w:marRight w:val="0"/>
      <w:marTop w:val="0"/>
      <w:marBottom w:val="0"/>
      <w:divBdr>
        <w:top w:val="none" w:sz="0" w:space="0" w:color="auto"/>
        <w:left w:val="none" w:sz="0" w:space="0" w:color="auto"/>
        <w:bottom w:val="none" w:sz="0" w:space="0" w:color="auto"/>
        <w:right w:val="none" w:sz="0" w:space="0" w:color="auto"/>
      </w:divBdr>
    </w:div>
    <w:div w:id="1995795310">
      <w:bodyDiv w:val="1"/>
      <w:marLeft w:val="0"/>
      <w:marRight w:val="0"/>
      <w:marTop w:val="0"/>
      <w:marBottom w:val="0"/>
      <w:divBdr>
        <w:top w:val="none" w:sz="0" w:space="0" w:color="auto"/>
        <w:left w:val="none" w:sz="0" w:space="0" w:color="auto"/>
        <w:bottom w:val="none" w:sz="0" w:space="0" w:color="auto"/>
        <w:right w:val="none" w:sz="0" w:space="0" w:color="auto"/>
      </w:divBdr>
    </w:div>
    <w:div w:id="2000232907">
      <w:bodyDiv w:val="1"/>
      <w:marLeft w:val="0"/>
      <w:marRight w:val="0"/>
      <w:marTop w:val="0"/>
      <w:marBottom w:val="0"/>
      <w:divBdr>
        <w:top w:val="none" w:sz="0" w:space="0" w:color="auto"/>
        <w:left w:val="none" w:sz="0" w:space="0" w:color="auto"/>
        <w:bottom w:val="none" w:sz="0" w:space="0" w:color="auto"/>
        <w:right w:val="none" w:sz="0" w:space="0" w:color="auto"/>
      </w:divBdr>
    </w:div>
    <w:div w:id="2005813741">
      <w:bodyDiv w:val="1"/>
      <w:marLeft w:val="0"/>
      <w:marRight w:val="0"/>
      <w:marTop w:val="0"/>
      <w:marBottom w:val="0"/>
      <w:divBdr>
        <w:top w:val="none" w:sz="0" w:space="0" w:color="auto"/>
        <w:left w:val="none" w:sz="0" w:space="0" w:color="auto"/>
        <w:bottom w:val="none" w:sz="0" w:space="0" w:color="auto"/>
        <w:right w:val="none" w:sz="0" w:space="0" w:color="auto"/>
      </w:divBdr>
    </w:div>
    <w:div w:id="2011790014">
      <w:bodyDiv w:val="1"/>
      <w:marLeft w:val="0"/>
      <w:marRight w:val="0"/>
      <w:marTop w:val="0"/>
      <w:marBottom w:val="0"/>
      <w:divBdr>
        <w:top w:val="none" w:sz="0" w:space="0" w:color="auto"/>
        <w:left w:val="none" w:sz="0" w:space="0" w:color="auto"/>
        <w:bottom w:val="none" w:sz="0" w:space="0" w:color="auto"/>
        <w:right w:val="none" w:sz="0" w:space="0" w:color="auto"/>
      </w:divBdr>
    </w:div>
    <w:div w:id="2012557912">
      <w:bodyDiv w:val="1"/>
      <w:marLeft w:val="0"/>
      <w:marRight w:val="0"/>
      <w:marTop w:val="0"/>
      <w:marBottom w:val="0"/>
      <w:divBdr>
        <w:top w:val="none" w:sz="0" w:space="0" w:color="auto"/>
        <w:left w:val="none" w:sz="0" w:space="0" w:color="auto"/>
        <w:bottom w:val="none" w:sz="0" w:space="0" w:color="auto"/>
        <w:right w:val="none" w:sz="0" w:space="0" w:color="auto"/>
      </w:divBdr>
    </w:div>
    <w:div w:id="2014187999">
      <w:bodyDiv w:val="1"/>
      <w:marLeft w:val="0"/>
      <w:marRight w:val="0"/>
      <w:marTop w:val="0"/>
      <w:marBottom w:val="0"/>
      <w:divBdr>
        <w:top w:val="none" w:sz="0" w:space="0" w:color="auto"/>
        <w:left w:val="none" w:sz="0" w:space="0" w:color="auto"/>
        <w:bottom w:val="none" w:sz="0" w:space="0" w:color="auto"/>
        <w:right w:val="none" w:sz="0" w:space="0" w:color="auto"/>
      </w:divBdr>
    </w:div>
    <w:div w:id="2019499501">
      <w:bodyDiv w:val="1"/>
      <w:marLeft w:val="0"/>
      <w:marRight w:val="0"/>
      <w:marTop w:val="0"/>
      <w:marBottom w:val="0"/>
      <w:divBdr>
        <w:top w:val="none" w:sz="0" w:space="0" w:color="auto"/>
        <w:left w:val="none" w:sz="0" w:space="0" w:color="auto"/>
        <w:bottom w:val="none" w:sz="0" w:space="0" w:color="auto"/>
        <w:right w:val="none" w:sz="0" w:space="0" w:color="auto"/>
      </w:divBdr>
    </w:div>
    <w:div w:id="2022967670">
      <w:bodyDiv w:val="1"/>
      <w:marLeft w:val="0"/>
      <w:marRight w:val="0"/>
      <w:marTop w:val="0"/>
      <w:marBottom w:val="0"/>
      <w:divBdr>
        <w:top w:val="none" w:sz="0" w:space="0" w:color="auto"/>
        <w:left w:val="none" w:sz="0" w:space="0" w:color="auto"/>
        <w:bottom w:val="none" w:sz="0" w:space="0" w:color="auto"/>
        <w:right w:val="none" w:sz="0" w:space="0" w:color="auto"/>
      </w:divBdr>
    </w:div>
    <w:div w:id="2027633140">
      <w:bodyDiv w:val="1"/>
      <w:marLeft w:val="0"/>
      <w:marRight w:val="0"/>
      <w:marTop w:val="0"/>
      <w:marBottom w:val="0"/>
      <w:divBdr>
        <w:top w:val="none" w:sz="0" w:space="0" w:color="auto"/>
        <w:left w:val="none" w:sz="0" w:space="0" w:color="auto"/>
        <w:bottom w:val="none" w:sz="0" w:space="0" w:color="auto"/>
        <w:right w:val="none" w:sz="0" w:space="0" w:color="auto"/>
      </w:divBdr>
    </w:div>
    <w:div w:id="2032761859">
      <w:bodyDiv w:val="1"/>
      <w:marLeft w:val="0"/>
      <w:marRight w:val="0"/>
      <w:marTop w:val="0"/>
      <w:marBottom w:val="0"/>
      <w:divBdr>
        <w:top w:val="none" w:sz="0" w:space="0" w:color="auto"/>
        <w:left w:val="none" w:sz="0" w:space="0" w:color="auto"/>
        <w:bottom w:val="none" w:sz="0" w:space="0" w:color="auto"/>
        <w:right w:val="none" w:sz="0" w:space="0" w:color="auto"/>
      </w:divBdr>
    </w:div>
    <w:div w:id="2037658910">
      <w:bodyDiv w:val="1"/>
      <w:marLeft w:val="0"/>
      <w:marRight w:val="0"/>
      <w:marTop w:val="0"/>
      <w:marBottom w:val="0"/>
      <w:divBdr>
        <w:top w:val="none" w:sz="0" w:space="0" w:color="auto"/>
        <w:left w:val="none" w:sz="0" w:space="0" w:color="auto"/>
        <w:bottom w:val="none" w:sz="0" w:space="0" w:color="auto"/>
        <w:right w:val="none" w:sz="0" w:space="0" w:color="auto"/>
      </w:divBdr>
    </w:div>
    <w:div w:id="2038846180">
      <w:bodyDiv w:val="1"/>
      <w:marLeft w:val="0"/>
      <w:marRight w:val="0"/>
      <w:marTop w:val="0"/>
      <w:marBottom w:val="0"/>
      <w:divBdr>
        <w:top w:val="none" w:sz="0" w:space="0" w:color="auto"/>
        <w:left w:val="none" w:sz="0" w:space="0" w:color="auto"/>
        <w:bottom w:val="none" w:sz="0" w:space="0" w:color="auto"/>
        <w:right w:val="none" w:sz="0" w:space="0" w:color="auto"/>
      </w:divBdr>
    </w:div>
    <w:div w:id="2046709455">
      <w:bodyDiv w:val="1"/>
      <w:marLeft w:val="0"/>
      <w:marRight w:val="0"/>
      <w:marTop w:val="0"/>
      <w:marBottom w:val="0"/>
      <w:divBdr>
        <w:top w:val="none" w:sz="0" w:space="0" w:color="auto"/>
        <w:left w:val="none" w:sz="0" w:space="0" w:color="auto"/>
        <w:bottom w:val="none" w:sz="0" w:space="0" w:color="auto"/>
        <w:right w:val="none" w:sz="0" w:space="0" w:color="auto"/>
      </w:divBdr>
    </w:div>
    <w:div w:id="2051956744">
      <w:bodyDiv w:val="1"/>
      <w:marLeft w:val="0"/>
      <w:marRight w:val="0"/>
      <w:marTop w:val="0"/>
      <w:marBottom w:val="0"/>
      <w:divBdr>
        <w:top w:val="none" w:sz="0" w:space="0" w:color="auto"/>
        <w:left w:val="none" w:sz="0" w:space="0" w:color="auto"/>
        <w:bottom w:val="none" w:sz="0" w:space="0" w:color="auto"/>
        <w:right w:val="none" w:sz="0" w:space="0" w:color="auto"/>
      </w:divBdr>
    </w:div>
    <w:div w:id="2057047476">
      <w:bodyDiv w:val="1"/>
      <w:marLeft w:val="0"/>
      <w:marRight w:val="0"/>
      <w:marTop w:val="0"/>
      <w:marBottom w:val="0"/>
      <w:divBdr>
        <w:top w:val="none" w:sz="0" w:space="0" w:color="auto"/>
        <w:left w:val="none" w:sz="0" w:space="0" w:color="auto"/>
        <w:bottom w:val="none" w:sz="0" w:space="0" w:color="auto"/>
        <w:right w:val="none" w:sz="0" w:space="0" w:color="auto"/>
      </w:divBdr>
    </w:div>
    <w:div w:id="2061317779">
      <w:bodyDiv w:val="1"/>
      <w:marLeft w:val="0"/>
      <w:marRight w:val="0"/>
      <w:marTop w:val="0"/>
      <w:marBottom w:val="0"/>
      <w:divBdr>
        <w:top w:val="none" w:sz="0" w:space="0" w:color="auto"/>
        <w:left w:val="none" w:sz="0" w:space="0" w:color="auto"/>
        <w:bottom w:val="none" w:sz="0" w:space="0" w:color="auto"/>
        <w:right w:val="none" w:sz="0" w:space="0" w:color="auto"/>
      </w:divBdr>
    </w:div>
    <w:div w:id="2065789894">
      <w:bodyDiv w:val="1"/>
      <w:marLeft w:val="0"/>
      <w:marRight w:val="0"/>
      <w:marTop w:val="0"/>
      <w:marBottom w:val="0"/>
      <w:divBdr>
        <w:top w:val="none" w:sz="0" w:space="0" w:color="auto"/>
        <w:left w:val="none" w:sz="0" w:space="0" w:color="auto"/>
        <w:bottom w:val="none" w:sz="0" w:space="0" w:color="auto"/>
        <w:right w:val="none" w:sz="0" w:space="0" w:color="auto"/>
      </w:divBdr>
    </w:div>
    <w:div w:id="2079548035">
      <w:bodyDiv w:val="1"/>
      <w:marLeft w:val="0"/>
      <w:marRight w:val="0"/>
      <w:marTop w:val="0"/>
      <w:marBottom w:val="0"/>
      <w:divBdr>
        <w:top w:val="none" w:sz="0" w:space="0" w:color="auto"/>
        <w:left w:val="none" w:sz="0" w:space="0" w:color="auto"/>
        <w:bottom w:val="none" w:sz="0" w:space="0" w:color="auto"/>
        <w:right w:val="none" w:sz="0" w:space="0" w:color="auto"/>
      </w:divBdr>
    </w:div>
    <w:div w:id="2086031661">
      <w:bodyDiv w:val="1"/>
      <w:marLeft w:val="0"/>
      <w:marRight w:val="0"/>
      <w:marTop w:val="0"/>
      <w:marBottom w:val="0"/>
      <w:divBdr>
        <w:top w:val="none" w:sz="0" w:space="0" w:color="auto"/>
        <w:left w:val="none" w:sz="0" w:space="0" w:color="auto"/>
        <w:bottom w:val="none" w:sz="0" w:space="0" w:color="auto"/>
        <w:right w:val="none" w:sz="0" w:space="0" w:color="auto"/>
      </w:divBdr>
    </w:div>
    <w:div w:id="2095348566">
      <w:bodyDiv w:val="1"/>
      <w:marLeft w:val="0"/>
      <w:marRight w:val="0"/>
      <w:marTop w:val="0"/>
      <w:marBottom w:val="0"/>
      <w:divBdr>
        <w:top w:val="none" w:sz="0" w:space="0" w:color="auto"/>
        <w:left w:val="none" w:sz="0" w:space="0" w:color="auto"/>
        <w:bottom w:val="none" w:sz="0" w:space="0" w:color="auto"/>
        <w:right w:val="none" w:sz="0" w:space="0" w:color="auto"/>
      </w:divBdr>
    </w:div>
    <w:div w:id="2095777825">
      <w:bodyDiv w:val="1"/>
      <w:marLeft w:val="0"/>
      <w:marRight w:val="0"/>
      <w:marTop w:val="0"/>
      <w:marBottom w:val="0"/>
      <w:divBdr>
        <w:top w:val="none" w:sz="0" w:space="0" w:color="auto"/>
        <w:left w:val="none" w:sz="0" w:space="0" w:color="auto"/>
        <w:bottom w:val="none" w:sz="0" w:space="0" w:color="auto"/>
        <w:right w:val="none" w:sz="0" w:space="0" w:color="auto"/>
      </w:divBdr>
    </w:div>
    <w:div w:id="2096314553">
      <w:bodyDiv w:val="1"/>
      <w:marLeft w:val="0"/>
      <w:marRight w:val="0"/>
      <w:marTop w:val="0"/>
      <w:marBottom w:val="0"/>
      <w:divBdr>
        <w:top w:val="none" w:sz="0" w:space="0" w:color="auto"/>
        <w:left w:val="none" w:sz="0" w:space="0" w:color="auto"/>
        <w:bottom w:val="none" w:sz="0" w:space="0" w:color="auto"/>
        <w:right w:val="none" w:sz="0" w:space="0" w:color="auto"/>
      </w:divBdr>
    </w:div>
    <w:div w:id="2099128477">
      <w:bodyDiv w:val="1"/>
      <w:marLeft w:val="0"/>
      <w:marRight w:val="0"/>
      <w:marTop w:val="0"/>
      <w:marBottom w:val="0"/>
      <w:divBdr>
        <w:top w:val="none" w:sz="0" w:space="0" w:color="auto"/>
        <w:left w:val="none" w:sz="0" w:space="0" w:color="auto"/>
        <w:bottom w:val="none" w:sz="0" w:space="0" w:color="auto"/>
        <w:right w:val="none" w:sz="0" w:space="0" w:color="auto"/>
      </w:divBdr>
    </w:div>
    <w:div w:id="2108038960">
      <w:bodyDiv w:val="1"/>
      <w:marLeft w:val="0"/>
      <w:marRight w:val="0"/>
      <w:marTop w:val="0"/>
      <w:marBottom w:val="0"/>
      <w:divBdr>
        <w:top w:val="none" w:sz="0" w:space="0" w:color="auto"/>
        <w:left w:val="none" w:sz="0" w:space="0" w:color="auto"/>
        <w:bottom w:val="none" w:sz="0" w:space="0" w:color="auto"/>
        <w:right w:val="none" w:sz="0" w:space="0" w:color="auto"/>
      </w:divBdr>
    </w:div>
    <w:div w:id="2109234884">
      <w:bodyDiv w:val="1"/>
      <w:marLeft w:val="0"/>
      <w:marRight w:val="0"/>
      <w:marTop w:val="0"/>
      <w:marBottom w:val="0"/>
      <w:divBdr>
        <w:top w:val="none" w:sz="0" w:space="0" w:color="auto"/>
        <w:left w:val="none" w:sz="0" w:space="0" w:color="auto"/>
        <w:bottom w:val="none" w:sz="0" w:space="0" w:color="auto"/>
        <w:right w:val="none" w:sz="0" w:space="0" w:color="auto"/>
      </w:divBdr>
    </w:div>
    <w:div w:id="2112821090">
      <w:bodyDiv w:val="1"/>
      <w:marLeft w:val="0"/>
      <w:marRight w:val="0"/>
      <w:marTop w:val="0"/>
      <w:marBottom w:val="0"/>
      <w:divBdr>
        <w:top w:val="none" w:sz="0" w:space="0" w:color="auto"/>
        <w:left w:val="none" w:sz="0" w:space="0" w:color="auto"/>
        <w:bottom w:val="none" w:sz="0" w:space="0" w:color="auto"/>
        <w:right w:val="none" w:sz="0" w:space="0" w:color="auto"/>
      </w:divBdr>
    </w:div>
    <w:div w:id="2116628021">
      <w:bodyDiv w:val="1"/>
      <w:marLeft w:val="0"/>
      <w:marRight w:val="0"/>
      <w:marTop w:val="0"/>
      <w:marBottom w:val="0"/>
      <w:divBdr>
        <w:top w:val="none" w:sz="0" w:space="0" w:color="auto"/>
        <w:left w:val="none" w:sz="0" w:space="0" w:color="auto"/>
        <w:bottom w:val="none" w:sz="0" w:space="0" w:color="auto"/>
        <w:right w:val="none" w:sz="0" w:space="0" w:color="auto"/>
      </w:divBdr>
    </w:div>
    <w:div w:id="2117626919">
      <w:bodyDiv w:val="1"/>
      <w:marLeft w:val="0"/>
      <w:marRight w:val="0"/>
      <w:marTop w:val="0"/>
      <w:marBottom w:val="0"/>
      <w:divBdr>
        <w:top w:val="none" w:sz="0" w:space="0" w:color="auto"/>
        <w:left w:val="none" w:sz="0" w:space="0" w:color="auto"/>
        <w:bottom w:val="none" w:sz="0" w:space="0" w:color="auto"/>
        <w:right w:val="none" w:sz="0" w:space="0" w:color="auto"/>
      </w:divBdr>
    </w:div>
    <w:div w:id="2121214440">
      <w:bodyDiv w:val="1"/>
      <w:marLeft w:val="0"/>
      <w:marRight w:val="0"/>
      <w:marTop w:val="0"/>
      <w:marBottom w:val="0"/>
      <w:divBdr>
        <w:top w:val="none" w:sz="0" w:space="0" w:color="auto"/>
        <w:left w:val="none" w:sz="0" w:space="0" w:color="auto"/>
        <w:bottom w:val="none" w:sz="0" w:space="0" w:color="auto"/>
        <w:right w:val="none" w:sz="0" w:space="0" w:color="auto"/>
      </w:divBdr>
    </w:div>
    <w:div w:id="2121531699">
      <w:bodyDiv w:val="1"/>
      <w:marLeft w:val="0"/>
      <w:marRight w:val="0"/>
      <w:marTop w:val="0"/>
      <w:marBottom w:val="0"/>
      <w:divBdr>
        <w:top w:val="none" w:sz="0" w:space="0" w:color="auto"/>
        <w:left w:val="none" w:sz="0" w:space="0" w:color="auto"/>
        <w:bottom w:val="none" w:sz="0" w:space="0" w:color="auto"/>
        <w:right w:val="none" w:sz="0" w:space="0" w:color="auto"/>
      </w:divBdr>
    </w:div>
    <w:div w:id="2122449538">
      <w:bodyDiv w:val="1"/>
      <w:marLeft w:val="0"/>
      <w:marRight w:val="0"/>
      <w:marTop w:val="0"/>
      <w:marBottom w:val="0"/>
      <w:divBdr>
        <w:top w:val="none" w:sz="0" w:space="0" w:color="auto"/>
        <w:left w:val="none" w:sz="0" w:space="0" w:color="auto"/>
        <w:bottom w:val="none" w:sz="0" w:space="0" w:color="auto"/>
        <w:right w:val="none" w:sz="0" w:space="0" w:color="auto"/>
      </w:divBdr>
    </w:div>
    <w:div w:id="2125491737">
      <w:bodyDiv w:val="1"/>
      <w:marLeft w:val="0"/>
      <w:marRight w:val="0"/>
      <w:marTop w:val="0"/>
      <w:marBottom w:val="0"/>
      <w:divBdr>
        <w:top w:val="none" w:sz="0" w:space="0" w:color="auto"/>
        <w:left w:val="none" w:sz="0" w:space="0" w:color="auto"/>
        <w:bottom w:val="none" w:sz="0" w:space="0" w:color="auto"/>
        <w:right w:val="none" w:sz="0" w:space="0" w:color="auto"/>
      </w:divBdr>
    </w:div>
    <w:div w:id="2130472229">
      <w:bodyDiv w:val="1"/>
      <w:marLeft w:val="0"/>
      <w:marRight w:val="0"/>
      <w:marTop w:val="0"/>
      <w:marBottom w:val="0"/>
      <w:divBdr>
        <w:top w:val="none" w:sz="0" w:space="0" w:color="auto"/>
        <w:left w:val="none" w:sz="0" w:space="0" w:color="auto"/>
        <w:bottom w:val="none" w:sz="0" w:space="0" w:color="auto"/>
        <w:right w:val="none" w:sz="0" w:space="0" w:color="auto"/>
      </w:divBdr>
    </w:div>
    <w:div w:id="214311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inance.gov.au/government/climate-action-government-operations/commonwealth-emission-reporting/australian-public-service-net-zero-emissions-reporting-framework" TargetMode="External"/><Relationship Id="rId21" Type="http://schemas.openxmlformats.org/officeDocument/2006/relationships/header" Target="header4.xml"/><Relationship Id="rId42" Type="http://schemas.openxmlformats.org/officeDocument/2006/relationships/image" Target="media/image15.svg"/><Relationship Id="rId63" Type="http://schemas.openxmlformats.org/officeDocument/2006/relationships/header" Target="header16.xml"/><Relationship Id="rId84" Type="http://schemas.openxmlformats.org/officeDocument/2006/relationships/header" Target="header22.xml"/><Relationship Id="rId138" Type="http://schemas.openxmlformats.org/officeDocument/2006/relationships/header" Target="header35.xml"/><Relationship Id="rId107" Type="http://schemas.openxmlformats.org/officeDocument/2006/relationships/header" Target="header31.xml"/><Relationship Id="rId11" Type="http://schemas.openxmlformats.org/officeDocument/2006/relationships/header" Target="header1.xml"/><Relationship Id="rId32" Type="http://schemas.openxmlformats.org/officeDocument/2006/relationships/header" Target="header8.xml"/><Relationship Id="rId53" Type="http://schemas.openxmlformats.org/officeDocument/2006/relationships/header" Target="header13.xml"/><Relationship Id="rId74" Type="http://schemas.openxmlformats.org/officeDocument/2006/relationships/header" Target="header17.xml"/><Relationship Id="rId128" Type="http://schemas.openxmlformats.org/officeDocument/2006/relationships/hyperlink" Target="https://www.dcceew.gov.au/sites/default/files/documents/climate-risk-management-organisation-application-guide.pdf" TargetMode="External"/><Relationship Id="rId149" Type="http://schemas.openxmlformats.org/officeDocument/2006/relationships/footer" Target="footer34.xml"/><Relationship Id="rId5" Type="http://schemas.openxmlformats.org/officeDocument/2006/relationships/numbering" Target="numbering.xml"/><Relationship Id="rId95" Type="http://schemas.openxmlformats.org/officeDocument/2006/relationships/header" Target="header26.xml"/><Relationship Id="rId22" Type="http://schemas.openxmlformats.org/officeDocument/2006/relationships/footer" Target="footer3.xml"/><Relationship Id="rId27" Type="http://schemas.openxmlformats.org/officeDocument/2006/relationships/image" Target="media/image7.png"/><Relationship Id="rId43" Type="http://schemas.openxmlformats.org/officeDocument/2006/relationships/image" Target="media/image16.png"/><Relationship Id="rId48" Type="http://schemas.openxmlformats.org/officeDocument/2006/relationships/image" Target="media/image21.svg"/><Relationship Id="rId64" Type="http://schemas.openxmlformats.org/officeDocument/2006/relationships/footer" Target="footer13.xml"/><Relationship Id="rId69" Type="http://schemas.openxmlformats.org/officeDocument/2006/relationships/image" Target="media/image28.png"/><Relationship Id="rId113" Type="http://schemas.openxmlformats.org/officeDocument/2006/relationships/hyperlink" Target="http://www.tenders.gov.au" TargetMode="External"/><Relationship Id="rId118" Type="http://schemas.openxmlformats.org/officeDocument/2006/relationships/hyperlink" Target="http://www.finance.gov.au/government/aps-net-zero-emissions-2030" TargetMode="External"/><Relationship Id="rId134" Type="http://schemas.openxmlformats.org/officeDocument/2006/relationships/hyperlink" Target="https://www.finance.gov.au/sites/default/files/2025-02/APS-Net-Zero-2030-Target-Factsheet.docx" TargetMode="External"/><Relationship Id="rId139" Type="http://schemas.openxmlformats.org/officeDocument/2006/relationships/footer" Target="footer31.xml"/><Relationship Id="rId80" Type="http://schemas.openxmlformats.org/officeDocument/2006/relationships/footer" Target="footer16.xml"/><Relationship Id="rId85" Type="http://schemas.openxmlformats.org/officeDocument/2006/relationships/header" Target="header23.xml"/><Relationship Id="rId150" Type="http://schemas.openxmlformats.org/officeDocument/2006/relationships/footer" Target="footer35.xml"/><Relationship Id="rId12" Type="http://schemas.openxmlformats.org/officeDocument/2006/relationships/footer" Target="footer1.xml"/><Relationship Id="rId17" Type="http://schemas.openxmlformats.org/officeDocument/2006/relationships/hyperlink" Target="http://www.pmc.gov.au/government/commonwealth-coat-arms" TargetMode="External"/><Relationship Id="rId33" Type="http://schemas.openxmlformats.org/officeDocument/2006/relationships/header" Target="header9.xml"/><Relationship Id="rId38" Type="http://schemas.openxmlformats.org/officeDocument/2006/relationships/image" Target="media/image11.jpeg"/><Relationship Id="rId59" Type="http://schemas.openxmlformats.org/officeDocument/2006/relationships/hyperlink" Target="http://www.aofm.gov.au" TargetMode="External"/><Relationship Id="rId103" Type="http://schemas.openxmlformats.org/officeDocument/2006/relationships/header" Target="header29.xml"/><Relationship Id="rId108" Type="http://schemas.openxmlformats.org/officeDocument/2006/relationships/footer" Target="footer27.xml"/><Relationship Id="rId124" Type="http://schemas.openxmlformats.org/officeDocument/2006/relationships/hyperlink" Target="https://www.dcceew.gov.au/climate-change/policy/adaptation/climate-risk-opportunity-management-program" TargetMode="External"/><Relationship Id="rId129" Type="http://schemas.openxmlformats.org/officeDocument/2006/relationships/hyperlink" Target="https://www.dcceew.gov.au/sites/default/files/documents/australias-long-term-emissions-reduction-plan-modelling.pdf" TargetMode="External"/><Relationship Id="rId54" Type="http://schemas.openxmlformats.org/officeDocument/2006/relationships/footer" Target="footer11.xml"/><Relationship Id="rId70" Type="http://schemas.openxmlformats.org/officeDocument/2006/relationships/image" Target="media/image29.png"/><Relationship Id="rId75" Type="http://schemas.openxmlformats.org/officeDocument/2006/relationships/footer" Target="footer14.xml"/><Relationship Id="rId91" Type="http://schemas.openxmlformats.org/officeDocument/2006/relationships/image" Target="media/image34.jpeg"/><Relationship Id="rId96" Type="http://schemas.openxmlformats.org/officeDocument/2006/relationships/footer" Target="footer22.xml"/><Relationship Id="rId140" Type="http://schemas.openxmlformats.org/officeDocument/2006/relationships/header" Target="header36.xml"/><Relationship Id="rId145"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4.xml"/><Relationship Id="rId28" Type="http://schemas.openxmlformats.org/officeDocument/2006/relationships/image" Target="media/image8.svg"/><Relationship Id="rId49" Type="http://schemas.openxmlformats.org/officeDocument/2006/relationships/header" Target="header11.xml"/><Relationship Id="rId114" Type="http://schemas.openxmlformats.org/officeDocument/2006/relationships/hyperlink" Target="https://www.finance.gov.au/government/procurement/statistics-australian-government-procurement-contracts-" TargetMode="External"/><Relationship Id="rId119" Type="http://schemas.openxmlformats.org/officeDocument/2006/relationships/hyperlink" Target="https://www.aofm.gov.au/publications/emissions-reduction-plan" TargetMode="External"/><Relationship Id="rId44" Type="http://schemas.openxmlformats.org/officeDocument/2006/relationships/image" Target="media/image17.svg"/><Relationship Id="rId60" Type="http://schemas.openxmlformats.org/officeDocument/2006/relationships/header" Target="header14.xml"/><Relationship Id="rId65" Type="http://schemas.openxmlformats.org/officeDocument/2006/relationships/image" Target="media/image24.png"/><Relationship Id="rId81" Type="http://schemas.openxmlformats.org/officeDocument/2006/relationships/image" Target="media/image33.png"/><Relationship Id="rId86" Type="http://schemas.openxmlformats.org/officeDocument/2006/relationships/footer" Target="footer18.xml"/><Relationship Id="rId130" Type="http://schemas.openxmlformats.org/officeDocument/2006/relationships/hyperlink" Target="https://www.lseg.com/content/dam/ftse-russell/en_us/documents/research/sustainable-investment-anticipating-the-climate-change-risks-for-sovereign-bonds.pdf" TargetMode="External"/><Relationship Id="rId135" Type="http://schemas.openxmlformats.org/officeDocument/2006/relationships/footer" Target="footer30.xml"/><Relationship Id="rId151"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hyperlink" Target="mailto:enquiries@aofm.gov.au" TargetMode="External"/><Relationship Id="rId39" Type="http://schemas.openxmlformats.org/officeDocument/2006/relationships/image" Target="media/image12.png"/><Relationship Id="rId109" Type="http://schemas.openxmlformats.org/officeDocument/2006/relationships/hyperlink" Target="https://www.disabilitygateway.gov.au/ads" TargetMode="External"/><Relationship Id="rId34" Type="http://schemas.openxmlformats.org/officeDocument/2006/relationships/footer" Target="footer6.xml"/><Relationship Id="rId50" Type="http://schemas.openxmlformats.org/officeDocument/2006/relationships/header" Target="header12.xml"/><Relationship Id="rId55" Type="http://schemas.openxmlformats.org/officeDocument/2006/relationships/customXml" Target="ink/ink1.xml"/><Relationship Id="rId76" Type="http://schemas.openxmlformats.org/officeDocument/2006/relationships/header" Target="header18.xml"/><Relationship Id="rId97" Type="http://schemas.openxmlformats.org/officeDocument/2006/relationships/header" Target="header27.xml"/><Relationship Id="rId104" Type="http://schemas.openxmlformats.org/officeDocument/2006/relationships/header" Target="header30.xml"/><Relationship Id="rId120" Type="http://schemas.openxmlformats.org/officeDocument/2006/relationships/header" Target="header32.xml"/><Relationship Id="rId125" Type="http://schemas.openxmlformats.org/officeDocument/2006/relationships/hyperlink" Target="https://www.finance.gov.au/government/climate-action-government-operations/commonwealth-climate-disclosure-requirements" TargetMode="External"/><Relationship Id="rId141" Type="http://schemas.openxmlformats.org/officeDocument/2006/relationships/footer" Target="footer32.xml"/><Relationship Id="rId146"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image" Target="media/image30.png"/><Relationship Id="rId92"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eader" Target="header5.xml"/><Relationship Id="rId40" Type="http://schemas.openxmlformats.org/officeDocument/2006/relationships/image" Target="media/image13.svg"/><Relationship Id="rId45" Type="http://schemas.openxmlformats.org/officeDocument/2006/relationships/image" Target="media/image18.png"/><Relationship Id="rId66" Type="http://schemas.openxmlformats.org/officeDocument/2006/relationships/image" Target="media/image25.png"/><Relationship Id="rId87" Type="http://schemas.openxmlformats.org/officeDocument/2006/relationships/footer" Target="footer19.xml"/><Relationship Id="rId110" Type="http://schemas.openxmlformats.org/officeDocument/2006/relationships/hyperlink" Target="http://www.apsc.gov.au" TargetMode="External"/><Relationship Id="rId115" Type="http://schemas.openxmlformats.org/officeDocument/2006/relationships/hyperlink" Target="https://austreasury.sharepoint.com/sites/t-aofm-ar/Shared%20Documents/General/Final%20formatting/treasury.gov.au" TargetMode="External"/><Relationship Id="rId131" Type="http://schemas.openxmlformats.org/officeDocument/2006/relationships/hyperlink" Target="https://www.finance.gov.au/sites/default/files/2025-02/APS-Net-Zero-2030-Target-Factsheet.docx" TargetMode="External"/><Relationship Id="rId136" Type="http://schemas.openxmlformats.org/officeDocument/2006/relationships/header" Target="header34.xml"/><Relationship Id="rId61" Type="http://schemas.openxmlformats.org/officeDocument/2006/relationships/header" Target="header15.xml"/><Relationship Id="rId82" Type="http://schemas.openxmlformats.org/officeDocument/2006/relationships/header" Target="header21.xml"/><Relationship Id="rId152" Type="http://schemas.openxmlformats.org/officeDocument/2006/relationships/theme" Target="theme/theme1.xml"/><Relationship Id="rId19" Type="http://schemas.openxmlformats.org/officeDocument/2006/relationships/image" Target="media/image3.png"/><Relationship Id="rId14" Type="http://schemas.openxmlformats.org/officeDocument/2006/relationships/footer" Target="footer2.xml"/><Relationship Id="rId30" Type="http://schemas.openxmlformats.org/officeDocument/2006/relationships/image" Target="media/image9.png"/><Relationship Id="rId35" Type="http://schemas.openxmlformats.org/officeDocument/2006/relationships/footer" Target="footer7.xml"/><Relationship Id="rId77" Type="http://schemas.openxmlformats.org/officeDocument/2006/relationships/header" Target="header19.xml"/><Relationship Id="rId100" Type="http://schemas.openxmlformats.org/officeDocument/2006/relationships/footer" Target="footer24.xml"/><Relationship Id="rId105" Type="http://schemas.openxmlformats.org/officeDocument/2006/relationships/footer" Target="footer25.xml"/><Relationship Id="rId126" Type="http://schemas.openxmlformats.org/officeDocument/2006/relationships/hyperlink" Target="https://www.aofm.gov.au/publications/emissions-reduction-plan" TargetMode="External"/><Relationship Id="rId147" Type="http://schemas.openxmlformats.org/officeDocument/2006/relationships/header" Target="header38.xml"/><Relationship Id="rId8" Type="http://schemas.openxmlformats.org/officeDocument/2006/relationships/webSettings" Target="webSettings.xml"/><Relationship Id="rId51" Type="http://schemas.openxmlformats.org/officeDocument/2006/relationships/footer" Target="footer9.xml"/><Relationship Id="rId72" Type="http://schemas.openxmlformats.org/officeDocument/2006/relationships/image" Target="media/image31.png"/><Relationship Id="rId93" Type="http://schemas.openxmlformats.org/officeDocument/2006/relationships/header" Target="header25.xml"/><Relationship Id="rId98" Type="http://schemas.openxmlformats.org/officeDocument/2006/relationships/footer" Target="footer23.xml"/><Relationship Id="rId121" Type="http://schemas.openxmlformats.org/officeDocument/2006/relationships/header" Target="header33.xml"/><Relationship Id="rId142" Type="http://schemas.openxmlformats.org/officeDocument/2006/relationships/header" Target="header37.xm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image" Target="media/image19.svg"/><Relationship Id="rId67" Type="http://schemas.openxmlformats.org/officeDocument/2006/relationships/image" Target="media/image26.png"/><Relationship Id="rId116" Type="http://schemas.openxmlformats.org/officeDocument/2006/relationships/hyperlink" Target="https://www.aofm.gov.au/about/access-information/information-publication-scheme" TargetMode="External"/><Relationship Id="rId137" Type="http://schemas.openxmlformats.org/officeDocument/2006/relationships/image" Target="media/image38.jpeg"/><Relationship Id="rId20" Type="http://schemas.openxmlformats.org/officeDocument/2006/relationships/header" Target="header3.xml"/><Relationship Id="rId41" Type="http://schemas.openxmlformats.org/officeDocument/2006/relationships/image" Target="media/image14.png"/><Relationship Id="rId62" Type="http://schemas.openxmlformats.org/officeDocument/2006/relationships/footer" Target="footer12.xml"/><Relationship Id="rId83" Type="http://schemas.openxmlformats.org/officeDocument/2006/relationships/footer" Target="footer17.xml"/><Relationship Id="rId88" Type="http://schemas.openxmlformats.org/officeDocument/2006/relationships/header" Target="header24.xml"/><Relationship Id="rId111" Type="http://schemas.openxmlformats.org/officeDocument/2006/relationships/hyperlink" Target="http://www.tenders.gov.au" TargetMode="External"/><Relationship Id="rId132" Type="http://schemas.openxmlformats.org/officeDocument/2006/relationships/hyperlink" Target="https://www.finance.gov.au/sites/default/files/2025-02/APS-Net-Zero-2030-Target-Factsheet.docx" TargetMode="External"/><Relationship Id="rId15" Type="http://schemas.openxmlformats.org/officeDocument/2006/relationships/hyperlink" Target="http://www.aofm.gov.au" TargetMode="External"/><Relationship Id="rId36" Type="http://schemas.openxmlformats.org/officeDocument/2006/relationships/header" Target="header10.xml"/><Relationship Id="rId106" Type="http://schemas.openxmlformats.org/officeDocument/2006/relationships/footer" Target="footer26.xml"/><Relationship Id="rId127" Type="http://schemas.openxmlformats.org/officeDocument/2006/relationships/hyperlink" Target="https://www.finance.gov.au/government/climate-action-government-operations/aps-net-zero-emissions-2030" TargetMode="External"/><Relationship Id="rId10" Type="http://schemas.openxmlformats.org/officeDocument/2006/relationships/endnotes" Target="endnotes.xml"/><Relationship Id="rId31" Type="http://schemas.openxmlformats.org/officeDocument/2006/relationships/image" Target="media/image10.svg"/><Relationship Id="rId52" Type="http://schemas.openxmlformats.org/officeDocument/2006/relationships/footer" Target="footer10.xml"/><Relationship Id="rId73" Type="http://schemas.openxmlformats.org/officeDocument/2006/relationships/image" Target="media/image32.png"/><Relationship Id="rId78" Type="http://schemas.openxmlformats.org/officeDocument/2006/relationships/footer" Target="footer15.xml"/><Relationship Id="rId94" Type="http://schemas.openxmlformats.org/officeDocument/2006/relationships/footer" Target="footer21.xml"/><Relationship Id="rId99" Type="http://schemas.openxmlformats.org/officeDocument/2006/relationships/header" Target="header28.xml"/><Relationship Id="rId101" Type="http://schemas.openxmlformats.org/officeDocument/2006/relationships/hyperlink" Target="http://www.aofm.gov.au/about/compliance-reports/audit-and-risk-committee-charter" TargetMode="External"/><Relationship Id="rId122" Type="http://schemas.openxmlformats.org/officeDocument/2006/relationships/footer" Target="footer28.xml"/><Relationship Id="rId143" Type="http://schemas.openxmlformats.org/officeDocument/2006/relationships/footer" Target="footer33.xml"/><Relationship Id="rId148" Type="http://schemas.openxmlformats.org/officeDocument/2006/relationships/header" Target="header3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5.xml"/><Relationship Id="rId47" Type="http://schemas.openxmlformats.org/officeDocument/2006/relationships/image" Target="media/image20.png"/><Relationship Id="rId68" Type="http://schemas.openxmlformats.org/officeDocument/2006/relationships/image" Target="media/image27.png"/><Relationship Id="rId89" Type="http://schemas.openxmlformats.org/officeDocument/2006/relationships/footer" Target="footer20.xml"/><Relationship Id="rId112" Type="http://schemas.openxmlformats.org/officeDocument/2006/relationships/hyperlink" Target="http://www.tenders.gov.au" TargetMode="External"/><Relationship Id="rId133" Type="http://schemas.openxmlformats.org/officeDocument/2006/relationships/hyperlink" Target="https://www.finance.gov.au/sites/default/files/2025-02/APS-Net-Zero-2030-Target-Factsheet.docx" TargetMode="External"/><Relationship Id="rId16" Type="http://schemas.openxmlformats.org/officeDocument/2006/relationships/image" Target="media/image2.png"/><Relationship Id="rId37" Type="http://schemas.openxmlformats.org/officeDocument/2006/relationships/footer" Target="footer8.xml"/><Relationship Id="rId58" Type="http://schemas.openxmlformats.org/officeDocument/2006/relationships/image" Target="media/image22.png"/><Relationship Id="rId79" Type="http://schemas.openxmlformats.org/officeDocument/2006/relationships/header" Target="header20.xml"/><Relationship Id="rId102" Type="http://schemas.openxmlformats.org/officeDocument/2006/relationships/hyperlink" Target="https://www.aofm.gov.au/sites/default/files/2024-04-12/AOFM%20Enterprise%20Agreement%202024-2027.pdf" TargetMode="External"/><Relationship Id="rId123" Type="http://schemas.openxmlformats.org/officeDocument/2006/relationships/footer" Target="footer29.xml"/><Relationship Id="rId144" Type="http://schemas.openxmlformats.org/officeDocument/2006/relationships/image" Target="media/image40.png"/><Relationship Id="rId90" Type="http://schemas.openxmlformats.org/officeDocument/2006/relationships/hyperlink" Target="https://www.aofm.gov.au/investors/wholesale-investors/investor-insight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0.xml.rels><?xml version="1.0" encoding="UTF-8" standalone="yes"?>
<Relationships xmlns="http://schemas.openxmlformats.org/package/2006/relationships"><Relationship Id="rId1" Type="http://schemas.openxmlformats.org/officeDocument/2006/relationships/image" Target="media/image6.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12.xml.rels><?xml version="1.0" encoding="UTF-8" standalone="yes"?>
<Relationships xmlns="http://schemas.openxmlformats.org/package/2006/relationships"><Relationship Id="rId1" Type="http://schemas.openxmlformats.org/officeDocument/2006/relationships/image" Target="media/image5.png"/></Relationships>
</file>

<file path=word/_rels/footer13.xml.rels><?xml version="1.0" encoding="UTF-8" standalone="yes"?>
<Relationships xmlns="http://schemas.openxmlformats.org/package/2006/relationships"><Relationship Id="rId1" Type="http://schemas.openxmlformats.org/officeDocument/2006/relationships/image" Target="media/image23.png"/></Relationships>
</file>

<file path=word/_rels/footer14.xml.rels><?xml version="1.0" encoding="UTF-8" standalone="yes"?>
<Relationships xmlns="http://schemas.openxmlformats.org/package/2006/relationships"><Relationship Id="rId1" Type="http://schemas.openxmlformats.org/officeDocument/2006/relationships/image" Target="media/image6.png"/></Relationships>
</file>

<file path=word/_rels/footer15.xml.rels><?xml version="1.0" encoding="UTF-8" standalone="yes"?>
<Relationships xmlns="http://schemas.openxmlformats.org/package/2006/relationships"><Relationship Id="rId1" Type="http://schemas.openxmlformats.org/officeDocument/2006/relationships/image" Target="media/image5.png"/></Relationships>
</file>

<file path=word/_rels/footer16.xml.rels><?xml version="1.0" encoding="UTF-8" standalone="yes"?>
<Relationships xmlns="http://schemas.openxmlformats.org/package/2006/relationships"><Relationship Id="rId1" Type="http://schemas.openxmlformats.org/officeDocument/2006/relationships/image" Target="media/image23.png"/></Relationships>
</file>

<file path=word/_rels/footer17.xml.rels><?xml version="1.0" encoding="UTF-8" standalone="yes"?>
<Relationships xmlns="http://schemas.openxmlformats.org/package/2006/relationships"><Relationship Id="rId1" Type="http://schemas.openxmlformats.org/officeDocument/2006/relationships/image" Target="media/image6.png"/></Relationships>
</file>

<file path=word/_rels/footer18.xml.rels><?xml version="1.0" encoding="UTF-8" standalone="yes"?>
<Relationships xmlns="http://schemas.openxmlformats.org/package/2006/relationships"><Relationship Id="rId1" Type="http://schemas.openxmlformats.org/officeDocument/2006/relationships/image" Target="media/image5.png"/></Relationships>
</file>

<file path=word/_rels/footer19.xml.rels><?xml version="1.0" encoding="UTF-8" standalone="yes"?>
<Relationships xmlns="http://schemas.openxmlformats.org/package/2006/relationships"><Relationship Id="rId1" Type="http://schemas.openxmlformats.org/officeDocument/2006/relationships/image" Target="media/image6.png"/></Relationships>
</file>

<file path=word/_rels/footer20.xml.rels><?xml version="1.0" encoding="UTF-8" standalone="yes"?>
<Relationships xmlns="http://schemas.openxmlformats.org/package/2006/relationships"><Relationship Id="rId1" Type="http://schemas.openxmlformats.org/officeDocument/2006/relationships/image" Target="media/image23.png"/></Relationships>
</file>

<file path=word/_rels/footer21.xml.rels><?xml version="1.0" encoding="UTF-8" standalone="yes"?>
<Relationships xmlns="http://schemas.openxmlformats.org/package/2006/relationships"><Relationship Id="rId1" Type="http://schemas.openxmlformats.org/officeDocument/2006/relationships/image" Target="media/image6.png"/></Relationships>
</file>

<file path=word/_rels/footer22.xml.rels><?xml version="1.0" encoding="UTF-8" standalone="yes"?>
<Relationships xmlns="http://schemas.openxmlformats.org/package/2006/relationships"><Relationship Id="rId1" Type="http://schemas.openxmlformats.org/officeDocument/2006/relationships/image" Target="media/image5.png"/></Relationships>
</file>

<file path=word/_rels/footer23.xml.rels><?xml version="1.0" encoding="UTF-8" standalone="yes"?>
<Relationships xmlns="http://schemas.openxmlformats.org/package/2006/relationships"><Relationship Id="rId1" Type="http://schemas.openxmlformats.org/officeDocument/2006/relationships/image" Target="media/image23.png"/></Relationships>
</file>

<file path=word/_rels/footer24.xml.rels><?xml version="1.0" encoding="UTF-8" standalone="yes"?>
<Relationships xmlns="http://schemas.openxmlformats.org/package/2006/relationships"><Relationship Id="rId1" Type="http://schemas.openxmlformats.org/officeDocument/2006/relationships/image" Target="media/image6.png"/></Relationships>
</file>

<file path=word/_rels/footer26.xml.rels><?xml version="1.0" encoding="UTF-8" standalone="yes"?>
<Relationships xmlns="http://schemas.openxmlformats.org/package/2006/relationships"><Relationship Id="rId1" Type="http://schemas.openxmlformats.org/officeDocument/2006/relationships/image" Target="media/image36.png"/></Relationships>
</file>

<file path=word/_rels/footer27.xml.rels><?xml version="1.0" encoding="UTF-8" standalone="yes"?>
<Relationships xmlns="http://schemas.openxmlformats.org/package/2006/relationships"><Relationship Id="rId1" Type="http://schemas.openxmlformats.org/officeDocument/2006/relationships/image" Target="media/image37.png"/></Relationships>
</file>

<file path=word/_rels/footer28.xml.rels><?xml version="1.0" encoding="UTF-8" standalone="yes"?>
<Relationships xmlns="http://schemas.openxmlformats.org/package/2006/relationships"><Relationship Id="rId1" Type="http://schemas.openxmlformats.org/officeDocument/2006/relationships/image" Target="media/image5.png"/></Relationships>
</file>

<file path=word/_rels/footer29.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30.xml.rels><?xml version="1.0" encoding="UTF-8" standalone="yes"?>
<Relationships xmlns="http://schemas.openxmlformats.org/package/2006/relationships"><Relationship Id="rId1" Type="http://schemas.openxmlformats.org/officeDocument/2006/relationships/image" Target="media/image6.png"/></Relationships>
</file>

<file path=word/_rels/footer31.xml.rels><?xml version="1.0" encoding="UTF-8" standalone="yes"?>
<Relationships xmlns="http://schemas.openxmlformats.org/package/2006/relationships"><Relationship Id="rId1" Type="http://schemas.openxmlformats.org/officeDocument/2006/relationships/image" Target="media/image36.png"/></Relationships>
</file>

<file path=word/_rels/footer32.xml.rels><?xml version="1.0" encoding="UTF-8" standalone="yes"?>
<Relationships xmlns="http://schemas.openxmlformats.org/package/2006/relationships"><Relationship Id="rId1" Type="http://schemas.openxmlformats.org/officeDocument/2006/relationships/image" Target="media/image39.png"/></Relationships>
</file>

<file path=word/_rels/footer34.xml.rels><?xml version="1.0" encoding="UTF-8" standalone="yes"?>
<Relationships xmlns="http://schemas.openxmlformats.org/package/2006/relationships"><Relationship Id="rId1" Type="http://schemas.openxmlformats.org/officeDocument/2006/relationships/image" Target="media/image5.png"/></Relationships>
</file>

<file path=word/_rels/footer35.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www.tenders.gov.au" TargetMode="External"/><Relationship Id="rId13" Type="http://schemas.openxmlformats.org/officeDocument/2006/relationships/hyperlink" Target="http://www.aofm.gov.au/publications/emissions-reduction-plan" TargetMode="External"/><Relationship Id="rId18" Type="http://schemas.openxmlformats.org/officeDocument/2006/relationships/hyperlink" Target="https://www.lseg.com/content/dam/ftse-russell/en_us/documents/research/sustainable-investment-anticipating-the-climate-change-risks-for-sovereign-bonds.pdf" TargetMode="External"/><Relationship Id="rId3" Type="http://schemas.openxmlformats.org/officeDocument/2006/relationships/hyperlink" Target="https://www.aofm.gov.au/sites/default/files/2024%2004%2012/AOFM%20Enterprise%20Agreement%202024%202027.pdf" TargetMode="External"/><Relationship Id="rId7" Type="http://schemas.openxmlformats.org/officeDocument/2006/relationships/hyperlink" Target="http://www.tenders.gov.au" TargetMode="External"/><Relationship Id="rId12" Type="http://schemas.openxmlformats.org/officeDocument/2006/relationships/hyperlink" Target="http://www.finance.gov.au/government/aps-net-zero-emissions-2030" TargetMode="External"/><Relationship Id="rId17" Type="http://schemas.openxmlformats.org/officeDocument/2006/relationships/hyperlink" Target="https://www.dcceew.gov.au/sites/default/files/documents/australias-long-term-emissions-reduction-plan-modelling.pdf" TargetMode="External"/><Relationship Id="rId2" Type="http://schemas.openxmlformats.org/officeDocument/2006/relationships/hyperlink" Target="http://aofm.gov.au/about/compliance-reports/audit-and-risk-committee-charter" TargetMode="External"/><Relationship Id="rId16" Type="http://schemas.openxmlformats.org/officeDocument/2006/relationships/hyperlink" Target="https://www.dcceew.gov.au/sites/default/files/documents/climate-risk-management-organisation-application-guide.pdf" TargetMode="External"/><Relationship Id="rId1" Type="http://schemas.openxmlformats.org/officeDocument/2006/relationships/hyperlink" Target="http://www.aofm.gov.au/investors/wholesale-investors/investor-insights" TargetMode="External"/><Relationship Id="rId6" Type="http://schemas.openxmlformats.org/officeDocument/2006/relationships/hyperlink" Target="http://www.tenders.gov.au" TargetMode="External"/><Relationship Id="rId11" Type="http://schemas.openxmlformats.org/officeDocument/2006/relationships/hyperlink" Target="http://www.aofm.gov.au/about/access-information/information-publication-scheme" TargetMode="External"/><Relationship Id="rId5" Type="http://schemas.openxmlformats.org/officeDocument/2006/relationships/hyperlink" Target="http://www.apsc.gov.au/" TargetMode="External"/><Relationship Id="rId15" Type="http://schemas.openxmlformats.org/officeDocument/2006/relationships/hyperlink" Target="http://www.finance.gov.au/government/climate-action-government-operations/commonwealth-climate-disclosure-requirements" TargetMode="External"/><Relationship Id="rId10" Type="http://schemas.openxmlformats.org/officeDocument/2006/relationships/hyperlink" Target="http://www.treasury.gov.au" TargetMode="External"/><Relationship Id="rId19" Type="http://schemas.openxmlformats.org/officeDocument/2006/relationships/hyperlink" Target="http://www.finance.gov.au/sites/default/files/2025-02/APS-Net-Zero-2030-Target-Factsheet.docx" TargetMode="External"/><Relationship Id="rId4" Type="http://schemas.openxmlformats.org/officeDocument/2006/relationships/hyperlink" Target="http://www.disabilitygateway.gov.au/ads" TargetMode="External"/><Relationship Id="rId9" Type="http://schemas.openxmlformats.org/officeDocument/2006/relationships/hyperlink" Target="https://www.finance.gov.au/government/procurement/statistics-australian-government-procurement-contracts" TargetMode="External"/><Relationship Id="rId14" Type="http://schemas.openxmlformats.org/officeDocument/2006/relationships/hyperlink" Target="http://www.dcceew.gov.au/climate-change/policy/adaptation/climate-risk-opportunity-management-progr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5.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H:\MCD\Publishing\Graphic%20Design%20Services%20Team\Projects\2025\AOFM%20Annual%20Report%202024-25\AOFM%20Annual%20Report%202024-2025.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8-29T08:58:39.972"/>
    </inkml:context>
    <inkml:brush xml:id="br0">
      <inkml:brushProperty name="width" value="0.035" units="cm"/>
      <inkml:brushProperty name="height" value="0.035" units="cm"/>
    </inkml:brush>
  </inkml:definitions>
  <inkml:trace contextRef="#ctx0" brushRef="#br0">503 152 360 0 0,'0'0'-36'0'0,"0"0"-238"0"0,1-1 232 0 0,1-4 65 0 0,-1-3 87 0 0,1-1 72 0 0,0-4 180 0 0,-1-12 419 0 0,7 8-449 0 0,8 3 2102 0 0,-15 14-2229 0 0,-1 0 0 0 0,2-2 0 0 0,-1 2 0 0 0,-1 0 0 0 0,2-1 1 0 0,-2 1-1 0 0,2 0 0 0 0,-1-2 0 0 0,-1 2 0 0 0,2-2 0 0 0,-2 2 0 0 0,1-1 1 0 0,-1 1-1 0 0,0-2 0 0 0,2 1 0 0 0,-2 1 0 0 0,1-2 0 0 0,-1 2 0 0 0,0-1 0 0 0,0-1 1 0 0,2 2-1 0 0,-2-2 0 0 0,0 1 0 0 0,0 1 0 0 0,0-2 0 0 0,0 1 0 0 0,0-1 1 0 0,0 2-1 0 0,0-1 0 0 0,0-1 0 0 0,0 2 0 0 0,0-2 0 0 0,0 1 0 0 0,0 1 1 0 0,0-2-1 0 0,-2 1 0 0 0,2 1 0 0 0,0-2 0 0 0,0 1 0 0 0,-1 1 0 0 0,1-2 0 0 0,0 0 1 0 0,-2 2-1 0 0,1-1 0 0 0,-1-1-180 0 0,1 1 1 0 0,-1-1-1 0 0,0 1 1 0 0,1-1-1 0 0,-1 0 1 0 0,1 1-1 0 0,-1 1 0 0 0,-1-2 1 0 0,1 1-1 0 0,1 1 1 0 0,-1-2-1 0 0,-1 2 1 0 0,2-1-1 0 0,-1 1 1 0 0,-1 0-1 0 0,1 0 0 0 0,-2-2 1 0 0,-47 5 622 0 0,46-3-647 0 0,-7 3 18 0 0,-1 2 1 0 0,1 0-1 0 0,1-1 1 0 0,-2 3-1 0 0,2-1 1 0 0,0 0-1 0 0,0 1 1 0 0,-11 10-1 0 0,-12 6-9 0 0,5-1-9 0 0,1 0 1 0 0,1 2-1 0 0,0 3 0 0 0,-24 29 0 0 0,43-48-2 0 0,-3 8-6 0 0,0 0 0 0 0,1-1 0 0 0,1 1 0 0 0,-1 1 0 0 0,2 1-1 0 0,1-1 1 0 0,0 0 0 0 0,-5 27 0 0 0,-1 0-13 0 0,-1-11 9 0 0,11-25 8 0 0,0 0 0 0 0,0 0 0 0 0,-1 0 0 0 0,3-1 0 0 0,-1 3 1 0 0,1-2-1 0 0,-2 11 0 0 0,3-5-2 0 0,-2-2 1 0 0,2 1-1 0 0,0-1 1 0 0,2 21 0 0 0,-1-31 4 0 0,-1 0 0 0 0,0 1 0 0 0,0-2 1 0 0,0 1-1 0 0,2-1 0 0 0,-2 1 0 0 0,0 0 0 0 0,1-1 0 0 0,-1 1 1 0 0,2-1-1 0 0,-2 1 0 0 0,1-1 0 0 0,1 1 0 0 0,-2 0 1 0 0,2-1-1 0 0,-1 1 0 0 0,1-1 0 0 0,-1-1 0 0 0,1 2 0 0 0,-1-1 1 0 0,-1 1-1 0 0,2-2 0 0 0,0 2 0 0 0,-1-2 0 0 0,2 1 1 0 0,-1-1-1 0 0,-1 2 0 0 0,1-2 0 0 0,0 0 0 0 0,-1 0 0 0 0,1 1 1 0 0,2-1-1 0 0,1-1 4 0 0,-2 1 0 0 0,2-2 0 0 0,-2 1 0 0 0,0-1 0 0 0,2 0 0 0 0,-2 1 0 0 0,0-1 0 0 0,0 1 0 0 0,1-2 0 0 0,-1 1 0 0 0,0-1 0 0 0,0 1 0 0 0,0-1 0 0 0,4-5 0 0 0,35-42 25 0 0,-9 4-9 0 0,5 2 0 0 0,-1 4 0 0 0,47-41 0 0 0,-76 74-11 0 0,0-1-1 0 0,-2 0 1 0 0,2 0 0 0 0,-2 0-1 0 0,-1-1 1 0 0,1-1-1 0 0,-1 2 1 0 0,-1-1-1 0 0,1-2 1 0 0,0 2 0 0 0,-2-1-1 0 0,0-1 1 0 0,0 2-1 0 0,-1-2 1 0 0,1-13 0 0 0,-1 18-7 0 0,-2 0 0 0 0,1-1 0 0 0,1 1 0 0 0,-1 0 0 0 0,2-1 0 0 0,5-10 0 0 0,6-22 0 0 0,-12 36 1 0 0,0 0 1 0 0,-1-1 0 0 0,-1 1 0 0 0,2 0 0 0 0,1 0 0 0 0,-2 0 0 0 0,1 0 0 0 0,4-5 0 0 0,10-16 7 0 0,-16 21-11 0 0,0 3 2 0 0,0-1 3 0 0,3-15 548 0 0,-17 30-383 0 0,8-6-134 0 0,-1 0 0 0 0,3 1 0 0 0,-3-1 0 0 0,3 1-1 0 0,-1 1 1 0 0,0-2 0 0 0,-3 12 0 0 0,2-4-37 0 0,-19 34-9 0 0,-58 88-1 0 0,56-97 13 0 0,2 2 0 0 0,0-1 0 0 0,-21 59 0 0 0,38-86 11 0 0,3 1 67 0 0,23-32-25 0 0,161-175-47 0 0,-152 161-16 0 0,25-36 0 0 0,-37 44 3 0 0,3 0 0 0 0,-1 1 1 0 0,0 3-1 0 0,2-1 1 0 0,25-19-1 0 0,-20 21-7 0 0,1-1 0 0 0,-1 3 1 0 0,2 1-1 0 0,-1-1 0 0 0,2 3 0 0 0,49-16 0 0 0,10 4 212 0 0,-113 48 81 0 0,-10 2-99 0 0,-67 32 0 0 0,8-3-194 0 0,63-33-7 0 0,-57 44 1 0 0,79-55 13 0 0,0 0 1 0 0,0 0-1 0 0,2 0 1 0 0,-1 2-1 0 0,1 0 0 0 0,1 1 1 0 0,-12 20-1 0 0,13-20-3 0 0,-5 19-36 0 0,18-25 22 0 0,18-11 8 0 0,2-8 4 0 0,3 0-1 0 0,27-17 1 0 0,15-7-5 0 0,12-10 15 0 0,-81 45-8 0 0,-41 34-88 0 0,-46 37 43 0 0,67-58 40 0 0,3-1-1 0 0,-3 1 1 0 0,4 1 0 0 0,-1 2 0 0 0,0-1-1 0 0,-22 32 1 0 0,-58 110-16 0 0,94-157 27 0 0,1 2-1 0 0,-2-2 1 0 0,2 2 0 0 0,0-2 0 0 0,-1 1 0 0 0,1-1-1 0 0,0 2 1 0 0,0-1 0 0 0,0-1 0 0 0,-2 2 0 0 0,2-2-1 0 0,0 1 1 0 0,0 1 0 0 0,0-2 0 0 0,0 2 0 0 0,0-1 0 0 0,0-1-1 0 0,0 2 1 0 0,0-1 0 0 0,0-1 0 0 0,0 2 0 0 0,2-2-1 0 0,-2 1 1 0 0,0 1 0 0 0,0-2 0 0 0,1 2 0 0 0,-1-2-1 0 0,0 1 1 0 0,0-1 0 0 0,2 2 0 0 0,-2-2 0 0 0,1 1-1 0 0,1 1 1 0 0,-1-1-3 0 0,3 1 1 0 0,-1 0-1 0 0,0-1 0 0 0,0-1 0 0 0,0 2 0 0 0,-1-2 0 0 0,1 1 0 0 0,0-1 1 0 0,0 2-1 0 0,0-2 0 0 0,5 0 0 0 0,5 0-5 0 0,1 0 1 0 0,-2-2-1 0 0,3 1 0 0 0,19-7 0 0 0,40-9-133 0 0,-52 13-830 0 0,2-2 0 0 0,37-14 0 0 0,-45 14-874 0 0</inkml:trace>
  <inkml:trace contextRef="#ctx0" brushRef="#br0" timeOffset="752.94">1188 42 4745 0 0,'0'0'3090'0'0,"16"18"-252"0"0,-95 285-207 0 0,-32-26-2347 0 0,84-205-434 0 0,27-71-79 0 0,8-2-2474 0 0</inkml:trace>
  <inkml:trace contextRef="#ctx0" brushRef="#br0" timeOffset="1237.31">1514 44 3857 0 0,'0'0'61'0'0,"0"0"1"0"0,0 0-1 0 0,0 2 1 0 0,0-2 0 0 0,0 0-1 0 0,0 0 1 0 0,0 0-1 0 0,0 0 1 0 0,1 0-1 0 0,-1 1 1 0 0,0-1-1 0 0,0 0 1 0 0,0 0-1 0 0,0 0 1 0 0,0 0-1 0 0,0 0 1 0 0,2 0-1 0 0,-2 0 1 0 0,0 2 0 0 0,0-2-1 0 0,0 0 1 0 0,0 0-1 0 0,0 0 1 0 0,2 0-1 0 0,-2 0 1 0 0,0 0-1 0 0,0 0 1 0 0,0 0-1 0 0,0 0 1 0 0,1 0-1 0 0,-1 0 1 0 0,0 0 0 0 0,0 0-1 0 0,0 0 1 0 0,0 0-1 0 0,2 0 1 0 0,-2 0-1 0 0,0 0 1 0 0,0 0-1 0 0,0 0 1 0 0,0 0-1 0 0,1 0 1 0 0,-1 0-1 0 0,0-2 1 0 0,0 2-1 0 0,0 0 1 0 0,0 0 0 0 0,0 0-1 0 0,0 0 1 0 0,2 0-1 0 0,-2 0 1 0 0,0 0-1 0 0,0-1 1 0 0,0 1-1 0 0,0 0 1 0 0,0 0-1 0 0,0 0 1 0 0,0 0-1 0 0,0-2 1 0 0,0 2 0 0 0,0 0-1 0 0,1 0 1 0 0,-1 0-1 0 0,0 0 1 0 0,0-2-1 0 0,0 2 1 0 0,0 0 16 0 0,0 2 0 0 0,2-2-1 0 0,-2 2 1 0 0,2-1 0 0 0,-2-1 0 0 0,0 2 0 0 0,1-2 0 0 0,-1 1 0 0 0,0 1 0 0 0,0-2 0 0 0,0 1 0 0 0,2-1 0 0 0,-2 2 0 0 0,0 0 0 0 0,0-2 0 0 0,0 1-1 0 0,0 1 1 0 0,0-2 0 0 0,0 1 0 0 0,0 1 0 0 0,0-2 0 0 0,0 1 0 0 0,-2 1 0 0 0,2-2 0 0 0,0 2 0 0 0,0-1 0 0 0,0-1 0 0 0,-1 3 0 0 0,-4 7 419 0 0,0-1 0 0 0,0 2 1 0 0,2-1-1 0 0,-3 15 1 0 0,-8 22-185 0 0,-93 226 41 0 0,85-191-330 0 0,17-63-560 0 0,0 1 1 0 0,-1-1-1 0 0,0 2 1 0 0,-2-3-1 0 0,-17 33 1 0 0,20-45-556 0 0</inkml:trace>
  <inkml:trace contextRef="#ctx0" brushRef="#br0" timeOffset="1947.16">1085 552 3041 0 0,'1'-2'166'0'0,"2"0"-1"0"0,-1 1 1 0 0,1-1 0 0 0,-1 1 0 0 0,1-1 0 0 0,-2 1 0 0 0,2 1 0 0 0,-1-2 0 0 0,1 0 0 0 0,0 2 0 0 0,-1-1 0 0 0,1 1 0 0 0,0 0 0 0 0,-1-2-1 0 0,1 2 1 0 0,0 0 0 0 0,0 0 0 0 0,-1 0 0 0 0,6 2 0 0 0,59 9 1133 0 0,-54-10-743 0 0,-1 4-405 0 0,1-3 1 0 0,0 1 0 0 0,-1-2 0 0 0,1 1-1 0 0,-1-2 1 0 0,1 0 0 0 0,-1 0-1 0 0,1-2 1 0 0,0 1 0 0 0,-1-2-1 0 0,1 1 1 0 0,-1-1 0 0 0,1-2 0 0 0,-2 1-1 0 0,19-9 1 0 0,1-4 64 0 0,1-2 1 0 0,46-38-1 0 0,-49 40 286 0 0,-20 20 58 0 0,-10 16-64 0 0,-48 146 651 0 0,49-148-1083 0 0,11-18 43 0 0,16-20 2 0 0,-15 4-95 0 0,2 1 1 0 0,21-20-1 0 0,-30 31-14 0 0,-1 1 0 0 0,3 1 0 0 0,-3-2 0 0 0,1 2-1 0 0,1 0 1 0 0,1-2 0 0 0,-3 3 0 0 0,3-1 0 0 0,-1 0 0 0 0,0 1 0 0 0,11-2-1 0 0,-15 4 3 0 0,-2 0-1 0 0,2 0 1 0 0,-1 0-1 0 0,-1 0 1 0 0,2 1-1 0 0,-1-1 1 0 0,-1 0-1 0 0,2 0 0 0 0,0 2 1 0 0,-2-2-1 0 0,1 0 1 0 0,1 1-1 0 0,-2-1 1 0 0,1 0-1 0 0,-1 2 1 0 0,2-2-1 0 0,-2 2 0 0 0,1-2 1 0 0,-1 1-1 0 0,2-1 1 0 0,-2 2-1 0 0,0-1 1 0 0,2-1-1 0 0,-2 2 1 0 0,0-2-1 0 0,1 1 0 0 0,-1 1 1 0 0,0-2-1 0 0,0 2 1 0 0,0-1-1 0 0,2-1 1 0 0,-2 2-1 0 0,0-1 1 0 0,0 1-1 0 0,0-2 0 0 0,0 1 1 0 0,0 1-1 0 0,0-2 1 0 0,-2 2-1 0 0,2-1 1 0 0,0 1-1 0 0,-8 59 58 0 0,5-47-53 0 0,3-11-74 0 0,-5 40 253 0 0,5-43-237 0 0,0 1 1 0 0,0 1-1 0 0,0-1 0 0 0,0-1 1 0 0,0 2-1 0 0,0 0 0 0 0,0-1 1 0 0,0-1-1 0 0,0 2 0 0 0,0-1 1 0 0,0 1-1 0 0,2-2 1 0 0,-2 1-1 0 0,0 1 0 0 0,2-2 1 0 0,-2 2-1 0 0,0-1 0 0 0,1-1 1 0 0,-1 2-1 0 0,2-2 0 0 0,-2 1 1 0 0,1-1-1 0 0,-1 2 0 0 0,2-1 1 0 0,-2-1-1 0 0,1 0 0 0 0,-1 2 1 0 0,2-2-1 0 0,1 2 0 0 0,0-2-794 0 0,2-4-475 0 0</inkml:trace>
  <inkml:trace contextRef="#ctx0" brushRef="#br0" timeOffset="2690.28">2127 462 728 0 0,'0'0'144'0'0,"0"0"0"0"0,2-2 0 0 0,-2 2 0 0 0,0 0-1 0 0,1 0 1 0 0,-1 0 0 0 0,0 0 0 0 0,2 0 0 0 0,-2 0 0 0 0,0-1-1 0 0,0 1 1 0 0,2 0 0 0 0,-2 0 0 0 0,0 0 0 0 0,0-2 0 0 0,1 2 0 0 0,-1 0-1 0 0,0 0 1 0 0,0-1 0 0 0,2 1 0 0 0,-2 0 0 0 0,0 0 0 0 0,0-2 0 0 0,0 2-1 0 0,0 0 1 0 0,0-1 0 0 0,1 1 0 0 0,-1 0 0 0 0,0-2 0 0 0,0 2-1 0 0,-14-6 1977 0 0,-25 6-13 0 0,29 1-2023 0 0,2 1 1 0 0,1 1-1 0 0,-3-1 0 0 0,2 1 0 0 0,0 1 1 0 0,1 0-1 0 0,-1 0 0 0 0,0 1 1 0 0,0 0-1 0 0,2-1 0 0 0,-2 3 0 0 0,2-3 1 0 0,-7 11-1 0 0,0-4-39 0 0,2 1-1 0 0,2 1 1 0 0,-2-1-1 0 0,1 2 1 0 0,3 1 0 0 0,-12 19-1 0 0,19-34-36 0 0,0 2-1 0 0,-2-2 0 0 0,2 1 1 0 0,-1 1-1 0 0,1-2 0 0 0,0 1 0 0 0,0 1 1 0 0,-2-2-1 0 0,2 2 0 0 0,0-1 1 0 0,0 1-1 0 0,0-2 0 0 0,0 1 0 0 0,0 1 1 0 0,0-2-1 0 0,0 1 0 0 0,0 1 1 0 0,0 0-1 0 0,0-2 0 0 0,0 1 0 0 0,2 1 1 0 0,-2-2-1 0 0,0 1 0 0 0,1 2 1 0 0,1-3 4 0 0,-2 0 0 0 0,1 2 0 0 0,-1-2 0 0 0,2 0 0 0 0,-1 0 0 0 0,-1 2 1 0 0,2-2-1 0 0,0 0 0 0 0,-1 0 0 0 0,-1 0 0 0 0,2 0 0 0 0,-1 0 0 0 0,-1 0 0 0 0,2 0 1 0 0,-1 0-1 0 0,1 0 0 0 0,-2 0 0 0 0,2-2 0 0 0,1 2 0 0 0,50-25 398 0 0,-32 11-142 0 0,-1-2 1 0 0,-1-1-1 0 0,33-37 0 0 0,-16 17 129 0 0,-23 22-248 0 0,-9 11 625 0 0,-11 21-425 0 0,0-1-301 0 0,2-1 0 0 0,1 1 0 0 0,-1 1 0 0 0,2 1 0 0 0,-2 23 0 0 0,-12 50 304 0 0,7-60-172 0 0,-1 0 1 0 0,-1 1-1 0 0,-1-2 0 0 0,-29 47 0 0 0,36-68-135 0 0,-2 2 0 0 0,0-1 0 0 0,0-1 1 0 0,0-1-1 0 0,0 1 0 0 0,-1-1 0 0 0,-1 0 0 0 0,1-2 0 0 0,-2 1 0 0 0,1-1 1 0 0,-1 0-1 0 0,0 0 0 0 0,0-1 0 0 0,0 0 0 0 0,-23 4 0 0 0,21-6-95 0 0,1-1 1 0 0,1 0-1 0 0,-2-1 0 0 0,-1-1 0 0 0,1 0 1 0 0,-12-1-1 0 0,22 1-66 0 0,1 0-1 0 0,-1 0 1 0 0,0-2 0 0 0,2 2 0 0 0,-3 0-1 0 0,3-2 1 0 0,-2 2 0 0 0,1-1 0 0 0,-1 1 0 0 0,1-2-1 0 0,-1 1 1 0 0,2-1 0 0 0,-1 1 0 0 0,-1-1-1 0 0,1 0 1 0 0,1 1 0 0 0,-1-1 0 0 0,1 1-1 0 0,-2-1 1 0 0,1 1 0 0 0,0-3 0 0 0,2 3 0 0 0,-1-1-1 0 0,-1-1 1 0 0,1 2 0 0 0,1-3 0 0 0,-2 3-1 0 0,1-2 1 0 0,1 1 0 0 0,-2-1 0 0 0,2 1-1 0 0,0-1 1 0 0,0 2 0 0 0,0-2 0 0 0,0-1-1 0 0,0-2 1 0 0,2-10-1099 0 0</inkml:trace>
  <inkml:trace contextRef="#ctx0" brushRef="#br0" timeOffset="3621.1">2415 20 4169 0 0,'2'2'3921'0'0,"-9"14"-1853"0"0,-8 9-1092 0 0,5-14-842 0 0,2-2-1 0 0,0 2 1 0 0,2 0-1 0 0,0 0 1 0 0,0 0-1 0 0,-1 2 1 0 0,3-1-1 0 0,-1-1 1 0 0,2 2-1 0 0,-5 23 1 0 0,-11 24 88 0 0,-41 72 193 0 0,44-104-328 0 0,2 0 0 0 0,0 2 1 0 0,3 0-1 0 0,0 0 0 0 0,2 1 1 0 0,-5 32-1 0 0,14-60-79 0 0,0-1 1 0 0,-2 1-1 0 0,2-1 0 0 0,0 1 1 0 0,0-2-1 0 0,0 3 1 0 0,0-3-1 0 0,0 2 0 0 0,0 0 1 0 0,0-1-1 0 0,2 1 0 0 0,-2-1 1 0 0,0 1-1 0 0,1-2 1 0 0,-1 3-1 0 0,2-3 0 0 0,-1 1 1 0 0,1 1-1 0 0,-2-2 0 0 0,1 1 1 0 0,1 1-1 0 0,0-1 1 0 0,-1-1-1 0 0,1 1 0 0 0,-1-1 1 0 0,2 1-1 0 0,-1 0 0 0 0,0-1 1 0 0,-1 1-1 0 0,5 1 0 0 0,-1-2 5 0 0,0-1 0 0 0,0 2 0 0 0,-1-2 0 0 0,1 0-1 0 0,0 0 1 0 0,-1 0 0 0 0,1 0 0 0 0,0 0 0 0 0,0-2-1 0 0,-1 1 1 0 0,1 1 0 0 0,-2-2 0 0 0,2 1-1 0 0,0-1 1 0 0,4-3 0 0 0,0 1-4 0 0,1-3 0 0 0,-2 3 0 0 0,1-3 0 0 0,-1 1 0 0 0,0 0 0 0 0,0 0 0 0 0,0-2 0 0 0,-2 1 0 0 0,11-15 0 0 0,1-3 24 0 0,24-53 0 0 0,-20 35 4 0 0,-22 42-37 0 0,0 1-1 0 0,0 0 1 0 0,0 0-1 0 0,2 0 1 0 0,-2-2-1 0 0,0 2 1 0 0,0 0-1 0 0,0 0 1 0 0,0-1-1 0 0,1 1 1 0 0,-1 0-1 0 0,0-2 1 0 0,0 2-1 0 0,0 0 1 0 0,0 0-1 0 0,0-2 0 0 0,0 2 1 0 0,0 0-1 0 0,0-1 1 0 0,0 1-1 0 0,0 0 1 0 0,0-2-1 0 0,0 2 1 0 0,0 0-1 0 0,0 0 1 0 0,0-1-1 0 0,0 1 1 0 0,-1 0-1 0 0,1-2 1 0 0,0 2-1 0 0,0 0 1 0 0,0 0-1 0 0,0-1 1 0 0,0 1-1 0 0,-2 0 0 0 0,-17 0-66 0 0,-20 18-25 0 0,34-11 87 0 0,-1-1 0 0 0,1 0 0 0 0,0 1 0 0 0,1-1 0 0 0,-1 2 0 0 0,2 0 1 0 0,-2-2-1 0 0,2 2 0 0 0,-3 12 0 0 0,3-14 9 0 0,1 1 0 0 0,0-1 0 0 0,2 0 0 0 0,-1 1 0 0 0,-1-3 0 0 0,2 3 0 0 0,0-1 0 0 0,0 0 0 0 0,0 0 0 0 0,2 1 1 0 0,-2-1-1 0 0,1 0 0 0 0,4 10 0 0 0,-5-14-7 0 0,2-1 1 0 0,-1 2-1 0 0,1-1 1 0 0,-1-1-1 0 0,1 1 1 0 0,0 0-1 0 0,-1 1 1 0 0,1-2 0 0 0,-1 1-1 0 0,1-2 1 0 0,1 1-1 0 0,-1 1 1 0 0,-1 0-1 0 0,2-1 1 0 0,-1-1-1 0 0,-1 2 1 0 0,3-2-1 0 0,-3 1 1 0 0,2-1-1 0 0,-1 2 1 0 0,1-2-1 0 0,-1 0 1 0 0,1 0-1 0 0,-2 0 1 0 0,2 0 0 0 0,-1 0-1 0 0,1 0 1 0 0,2 0-1 0 0,7-2-562 0 0,-1-1 1 0 0,0 2-1 0 0,0-3 0 0 0,16-7 0 0 0,-13 5-899 0 0</inkml:trace>
  <inkml:trace contextRef="#ctx0" brushRef="#br0" timeOffset="4284.55">2838 465 5073 0 0,'0'-1'175'0'0,"2"1"0"0"0,-1-2-1 0 0,-1 2 1 0 0,2-2 0 0 0,-1 1-1 0 0,-1 1 1 0 0,2-2 0 0 0,-2 1 0 0 0,1 1-1 0 0,-1-2 1 0 0,2 1 0 0 0,-2-1 0 0 0,0 2-1 0 0,2-2 1 0 0,-2 1 0 0 0,0-1 0 0 0,0 1-1 0 0,1 1 1 0 0,-1-2 0 0 0,0 1-1 0 0,0-1 1 0 0,0 0 0 0 0,0 1 0 0 0,0-1-1 0 0,0 2 1 0 0,0-1 0 0 0,-1-1 0 0 0,1 1-1 0 0,0-3 1 0 0,-2 3-51 0 0,0-1 0 0 0,1 1 1 0 0,-1 1-1 0 0,-1-2 0 0 0,2 1 0 0 0,-1 1 0 0 0,0-2 0 0 0,1 2 1 0 0,-2-2-1 0 0,1 2 0 0 0,1 0 0 0 0,-1-1 0 0 0,-1 1 0 0 0,1 0 1 0 0,1 0-1 0 0,-2 0 0 0 0,1 0 0 0 0,0 0 0 0 0,-1 0 0 0 0,2 0 1 0 0,-4 1-1 0 0,-12 1-49 0 0,-2 1 1 0 0,2 0-1 0 0,-1 2 1 0 0,1 0-1 0 0,0 1 1 0 0,1 2-1 0 0,-30 14 1 0 0,10-11-76 0 0,36-11 0 0 0,0 1 0 0 0,0-1 0 0 0,0 0 0 0 0,0 2 0 0 0,0-2 0 0 0,0 0 0 0 0,0 2 0 0 0,0-2 0 0 0,2 0 0 0 0,-2 0 0 0 0,0 1 0 0 0,0-1 0 0 0,0 0 0 0 0,0 0 0 0 0,1 2 0 0 0,-1-2 0 0 0,0 0 0 0 0,0 0 0 0 0,0 0 0 0 0,2 1 0 0 0,-2-1 0 0 0,0 0 0 0 0,0 0 0 0 0,1 0 0 0 0,-1 0 0 0 0,0 0 0 0 0,2 0 0 0 0,-2 2 0 0 0,0-2 0 0 0,0 0 0 0 0,2 0 0 0 0,-2 0 0 0 0,0 0 0 0 0,1 0 0 0 0,-1 0 0 0 0,2 0 0 0 0,20 9 1 0 0,14-2 33 0 0,27 5-42 0 0,-60-10 32 0 0,0-2 0 0 0,0 1 0 0 0,0 1 0 0 0,1-1 0 0 0,-1 1 0 0 0,0 0 0 0 0,0-1 0 0 0,0 1 0 0 0,-1-1 0 0 0,1 1 0 0 0,0 1 0 0 0,-1-1 0 0 0,1 1 0 0 0,1 3 0 0 0,-4-3 47 0 0,2-1 1 0 0,-2 1 0 0 0,0-2-1 0 0,0 1 1 0 0,0 1 0 0 0,0-1-1 0 0,-2 1 1 0 0,2-2 0 0 0,0 3-1 0 0,-1-3 1 0 0,1 1 0 0 0,-2 1-1 0 0,2-2 1 0 0,-1 1 0 0 0,-1 1-1 0 0,2-1 1 0 0,-1-1-1 0 0,-1 1 1 0 0,0 1 0 0 0,1-1-1 0 0,-1-1 1 0 0,1 1 0 0 0,-2 1-1 0 0,-45 36 666 0 0,41-34-775 0 0,-1-2 1 0 0,-2 0-1 0 0,2 0 0 0 0,-1 0 0 0 0,1-1 1 0 0,-1 0-1 0 0,-1-1 0 0 0,2-1 0 0 0,-1 2 1 0 0,-1-2-1 0 0,1-2 0 0 0,1 2 0 0 0,-1-1 1 0 0,-1-1-1 0 0,2 0 0 0 0,-1 1 0 0 0,1-2 0 0 0,-11-5 1 0 0</inkml:trace>
</inkml:ink>
</file>

<file path=word/theme/theme1.xml><?xml version="1.0" encoding="utf-8"?>
<a:theme xmlns:a="http://schemas.openxmlformats.org/drawingml/2006/main" name="AOFM Annual Report theme">
  <a:themeElements>
    <a:clrScheme name="AOFM corporate">
      <a:dk1>
        <a:sysClr val="windowText" lastClr="000000"/>
      </a:dk1>
      <a:lt1>
        <a:sysClr val="window" lastClr="FFFFFF"/>
      </a:lt1>
      <a:dk2>
        <a:srgbClr val="29114B"/>
      </a:dk2>
      <a:lt2>
        <a:srgbClr val="E7E6E6"/>
      </a:lt2>
      <a:accent1>
        <a:srgbClr val="472978"/>
      </a:accent1>
      <a:accent2>
        <a:srgbClr val="CC4051"/>
      </a:accent2>
      <a:accent3>
        <a:srgbClr val="247699"/>
      </a:accent3>
      <a:accent4>
        <a:srgbClr val="353535"/>
      </a:accent4>
      <a:accent5>
        <a:srgbClr val="3B7F61"/>
      </a:accent5>
      <a:accent6>
        <a:srgbClr val="7A722E"/>
      </a:accent6>
      <a:hlink>
        <a:srgbClr val="29114B"/>
      </a:hlink>
      <a:folHlink>
        <a:srgbClr val="4729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OFM Annual Report theme" id="{4B5F3D31-DD36-9043-ADA0-32EE25F6EC40}" vid="{62221528-0839-174F-A9D3-25AD1C9E3A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98afbc-df66-4e36-98ac-bc70573e2ec8">
      <Terms xmlns="http://schemas.microsoft.com/office/infopath/2007/PartnerControls"/>
    </lcf76f155ced4ddcb4097134ff3c332f>
    <TaxCatchAll xmlns="38bdd987-22c8-4e6e-b32e-07300f8810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225F24BB07F64391FC42D0FE25EA98" ma:contentTypeVersion="10" ma:contentTypeDescription="Create a new document." ma:contentTypeScope="" ma:versionID="dd449e04ec8c87236f804cc98ec5f9bb">
  <xsd:schema xmlns:xsd="http://www.w3.org/2001/XMLSchema" xmlns:xs="http://www.w3.org/2001/XMLSchema" xmlns:p="http://schemas.microsoft.com/office/2006/metadata/properties" xmlns:ns2="db98afbc-df66-4e36-98ac-bc70573e2ec8" xmlns:ns3="38bdd987-22c8-4e6e-b32e-07300f881067" targetNamespace="http://schemas.microsoft.com/office/2006/metadata/properties" ma:root="true" ma:fieldsID="2fb6e1ec7bb6f82f14ecf5467853bdfd" ns2:_="" ns3:_="">
    <xsd:import namespace="db98afbc-df66-4e36-98ac-bc70573e2ec8"/>
    <xsd:import namespace="38bdd987-22c8-4e6e-b32e-07300f8810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8afbc-df66-4e36-98ac-bc70573e2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bdd987-22c8-4e6e-b32e-07300f88106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00b744-ba5e-4f1f-9de1-377a707924ea}" ma:internalName="TaxCatchAll" ma:showField="CatchAllData" ma:web="38bdd987-22c8-4e6e-b32e-07300f8810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A33D5-0D1D-443A-9474-F3BCC4C63E9D}">
  <ds:schemaRefs>
    <ds:schemaRef ds:uri="http://schemas.openxmlformats.org/officeDocument/2006/bibliography"/>
  </ds:schemaRefs>
</ds:datastoreItem>
</file>

<file path=customXml/itemProps2.xml><?xml version="1.0" encoding="utf-8"?>
<ds:datastoreItem xmlns:ds="http://schemas.openxmlformats.org/officeDocument/2006/customXml" ds:itemID="{71A50C20-02AD-481D-A0E3-1FC0022410A5}">
  <ds:schemaRefs>
    <ds:schemaRef ds:uri="http://schemas.microsoft.com/sharepoint/v3/contenttype/forms"/>
  </ds:schemaRefs>
</ds:datastoreItem>
</file>

<file path=customXml/itemProps3.xml><?xml version="1.0" encoding="utf-8"?>
<ds:datastoreItem xmlns:ds="http://schemas.openxmlformats.org/officeDocument/2006/customXml" ds:itemID="{2218BAA5-D2E4-466C-B8E9-2BAFE5A75822}">
  <ds:schemaRef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db98afbc-df66-4e36-98ac-bc70573e2ec8"/>
    <ds:schemaRef ds:uri="38bdd987-22c8-4e6e-b32e-07300f881067"/>
    <ds:schemaRef ds:uri="http://schemas.microsoft.com/office/2006/metadata/properties"/>
  </ds:schemaRefs>
</ds:datastoreItem>
</file>

<file path=customXml/itemProps4.xml><?xml version="1.0" encoding="utf-8"?>
<ds:datastoreItem xmlns:ds="http://schemas.openxmlformats.org/officeDocument/2006/customXml" ds:itemID="{EABAE5F1-5347-4B98-A06F-F3E5B3647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8afbc-df66-4e36-98ac-bc70573e2ec8"/>
    <ds:schemaRef ds:uri="38bdd987-22c8-4e6e-b32e-07300f881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AOFM Annual Report 2024-2025.dotx</Template>
  <TotalTime>322</TotalTime>
  <Pages>207</Pages>
  <Words>37701</Words>
  <Characters>214899</Characters>
  <Application>Microsoft Office Word</Application>
  <DocSecurity>0</DocSecurity>
  <Lines>1790</Lines>
  <Paragraphs>504</Paragraphs>
  <ScaleCrop>false</ScaleCrop>
  <HeadingPairs>
    <vt:vector size="2" baseType="variant">
      <vt:variant>
        <vt:lpstr>Title</vt:lpstr>
      </vt:variant>
      <vt:variant>
        <vt:i4>1</vt:i4>
      </vt:variant>
    </vt:vector>
  </HeadingPairs>
  <TitlesOfParts>
    <vt:vector size="1" baseType="lpstr">
      <vt:lpstr>AOFM Annual Report 2024-25</vt:lpstr>
    </vt:vector>
  </TitlesOfParts>
  <Manager/>
  <Company/>
  <LinksUpToDate>false</LinksUpToDate>
  <CharactersWithSpaces>252096</CharactersWithSpaces>
  <SharedDoc>false</SharedDoc>
  <HyperlinkBase/>
  <HLinks>
    <vt:vector size="510" baseType="variant">
      <vt:variant>
        <vt:i4>1310773</vt:i4>
      </vt:variant>
      <vt:variant>
        <vt:i4>326</vt:i4>
      </vt:variant>
      <vt:variant>
        <vt:i4>0</vt:i4>
      </vt:variant>
      <vt:variant>
        <vt:i4>5</vt:i4>
      </vt:variant>
      <vt:variant>
        <vt:lpwstr/>
      </vt:variant>
      <vt:variant>
        <vt:lpwstr>_Toc207792966</vt:lpwstr>
      </vt:variant>
      <vt:variant>
        <vt:i4>1310773</vt:i4>
      </vt:variant>
      <vt:variant>
        <vt:i4>320</vt:i4>
      </vt:variant>
      <vt:variant>
        <vt:i4>0</vt:i4>
      </vt:variant>
      <vt:variant>
        <vt:i4>5</vt:i4>
      </vt:variant>
      <vt:variant>
        <vt:lpwstr/>
      </vt:variant>
      <vt:variant>
        <vt:lpwstr>_Toc207792965</vt:lpwstr>
      </vt:variant>
      <vt:variant>
        <vt:i4>1310773</vt:i4>
      </vt:variant>
      <vt:variant>
        <vt:i4>314</vt:i4>
      </vt:variant>
      <vt:variant>
        <vt:i4>0</vt:i4>
      </vt:variant>
      <vt:variant>
        <vt:i4>5</vt:i4>
      </vt:variant>
      <vt:variant>
        <vt:lpwstr/>
      </vt:variant>
      <vt:variant>
        <vt:lpwstr>_Toc207792964</vt:lpwstr>
      </vt:variant>
      <vt:variant>
        <vt:i4>4784173</vt:i4>
      </vt:variant>
      <vt:variant>
        <vt:i4>309</vt:i4>
      </vt:variant>
      <vt:variant>
        <vt:i4>0</vt:i4>
      </vt:variant>
      <vt:variant>
        <vt:i4>5</vt:i4>
      </vt:variant>
      <vt:variant>
        <vt:lpwstr/>
      </vt:variant>
      <vt:variant>
        <vt:lpwstr>_Note_10:_Securities</vt:lpwstr>
      </vt:variant>
      <vt:variant>
        <vt:i4>262183</vt:i4>
      </vt:variant>
      <vt:variant>
        <vt:i4>306</vt:i4>
      </vt:variant>
      <vt:variant>
        <vt:i4>0</vt:i4>
      </vt:variant>
      <vt:variant>
        <vt:i4>5</vt:i4>
      </vt:variant>
      <vt:variant>
        <vt:lpwstr/>
      </vt:variant>
      <vt:variant>
        <vt:lpwstr>_Note_9:_Budgetary</vt:lpwstr>
      </vt:variant>
      <vt:variant>
        <vt:i4>1376306</vt:i4>
      </vt:variant>
      <vt:variant>
        <vt:i4>303</vt:i4>
      </vt:variant>
      <vt:variant>
        <vt:i4>0</vt:i4>
      </vt:variant>
      <vt:variant>
        <vt:i4>5</vt:i4>
      </vt:variant>
      <vt:variant>
        <vt:lpwstr/>
      </vt:variant>
      <vt:variant>
        <vt:lpwstr>_Note_8:_Appropriations</vt:lpwstr>
      </vt:variant>
      <vt:variant>
        <vt:i4>1966141</vt:i4>
      </vt:variant>
      <vt:variant>
        <vt:i4>296</vt:i4>
      </vt:variant>
      <vt:variant>
        <vt:i4>0</vt:i4>
      </vt:variant>
      <vt:variant>
        <vt:i4>5</vt:i4>
      </vt:variant>
      <vt:variant>
        <vt:lpwstr/>
      </vt:variant>
      <vt:variant>
        <vt:lpwstr>_Toc207796180</vt:lpwstr>
      </vt:variant>
      <vt:variant>
        <vt:i4>1114173</vt:i4>
      </vt:variant>
      <vt:variant>
        <vt:i4>290</vt:i4>
      </vt:variant>
      <vt:variant>
        <vt:i4>0</vt:i4>
      </vt:variant>
      <vt:variant>
        <vt:i4>5</vt:i4>
      </vt:variant>
      <vt:variant>
        <vt:lpwstr/>
      </vt:variant>
      <vt:variant>
        <vt:lpwstr>_Toc207796170</vt:lpwstr>
      </vt:variant>
      <vt:variant>
        <vt:i4>1245245</vt:i4>
      </vt:variant>
      <vt:variant>
        <vt:i4>284</vt:i4>
      </vt:variant>
      <vt:variant>
        <vt:i4>0</vt:i4>
      </vt:variant>
      <vt:variant>
        <vt:i4>5</vt:i4>
      </vt:variant>
      <vt:variant>
        <vt:lpwstr/>
      </vt:variant>
      <vt:variant>
        <vt:lpwstr>_Toc207796157</vt:lpwstr>
      </vt:variant>
      <vt:variant>
        <vt:i4>1245245</vt:i4>
      </vt:variant>
      <vt:variant>
        <vt:i4>278</vt:i4>
      </vt:variant>
      <vt:variant>
        <vt:i4>0</vt:i4>
      </vt:variant>
      <vt:variant>
        <vt:i4>5</vt:i4>
      </vt:variant>
      <vt:variant>
        <vt:lpwstr/>
      </vt:variant>
      <vt:variant>
        <vt:lpwstr>_Toc207796152</vt:lpwstr>
      </vt:variant>
      <vt:variant>
        <vt:i4>1310781</vt:i4>
      </vt:variant>
      <vt:variant>
        <vt:i4>272</vt:i4>
      </vt:variant>
      <vt:variant>
        <vt:i4>0</vt:i4>
      </vt:variant>
      <vt:variant>
        <vt:i4>5</vt:i4>
      </vt:variant>
      <vt:variant>
        <vt:lpwstr/>
      </vt:variant>
      <vt:variant>
        <vt:lpwstr>_Toc207796121</vt:lpwstr>
      </vt:variant>
      <vt:variant>
        <vt:i4>1310781</vt:i4>
      </vt:variant>
      <vt:variant>
        <vt:i4>266</vt:i4>
      </vt:variant>
      <vt:variant>
        <vt:i4>0</vt:i4>
      </vt:variant>
      <vt:variant>
        <vt:i4>5</vt:i4>
      </vt:variant>
      <vt:variant>
        <vt:lpwstr/>
      </vt:variant>
      <vt:variant>
        <vt:lpwstr>_Toc207796120</vt:lpwstr>
      </vt:variant>
      <vt:variant>
        <vt:i4>6946912</vt:i4>
      </vt:variant>
      <vt:variant>
        <vt:i4>261</vt:i4>
      </vt:variant>
      <vt:variant>
        <vt:i4>0</vt:i4>
      </vt:variant>
      <vt:variant>
        <vt:i4>5</vt:i4>
      </vt:variant>
      <vt:variant>
        <vt:lpwstr>https://www.finance.gov.au/sites/default/files/2025-02/APS-Net-Zero-2030-Target-Factsheet.docx</vt:lpwstr>
      </vt:variant>
      <vt:variant>
        <vt:lpwstr/>
      </vt:variant>
      <vt:variant>
        <vt:i4>6946912</vt:i4>
      </vt:variant>
      <vt:variant>
        <vt:i4>258</vt:i4>
      </vt:variant>
      <vt:variant>
        <vt:i4>0</vt:i4>
      </vt:variant>
      <vt:variant>
        <vt:i4>5</vt:i4>
      </vt:variant>
      <vt:variant>
        <vt:lpwstr>https://www.finance.gov.au/sites/default/files/2025-02/APS-Net-Zero-2030-Target-Factsheet.docx</vt:lpwstr>
      </vt:variant>
      <vt:variant>
        <vt:lpwstr/>
      </vt:variant>
      <vt:variant>
        <vt:i4>6946912</vt:i4>
      </vt:variant>
      <vt:variant>
        <vt:i4>255</vt:i4>
      </vt:variant>
      <vt:variant>
        <vt:i4>0</vt:i4>
      </vt:variant>
      <vt:variant>
        <vt:i4>5</vt:i4>
      </vt:variant>
      <vt:variant>
        <vt:lpwstr>https://www.finance.gov.au/sites/default/files/2025-02/APS-Net-Zero-2030-Target-Factsheet.docx</vt:lpwstr>
      </vt:variant>
      <vt:variant>
        <vt:lpwstr/>
      </vt:variant>
      <vt:variant>
        <vt:i4>6946912</vt:i4>
      </vt:variant>
      <vt:variant>
        <vt:i4>252</vt:i4>
      </vt:variant>
      <vt:variant>
        <vt:i4>0</vt:i4>
      </vt:variant>
      <vt:variant>
        <vt:i4>5</vt:i4>
      </vt:variant>
      <vt:variant>
        <vt:lpwstr>https://www.finance.gov.au/sites/default/files/2025-02/APS-Net-Zero-2030-Target-Factsheet.docx</vt:lpwstr>
      </vt:variant>
      <vt:variant>
        <vt:lpwstr/>
      </vt:variant>
      <vt:variant>
        <vt:i4>2424904</vt:i4>
      </vt:variant>
      <vt:variant>
        <vt:i4>249</vt:i4>
      </vt:variant>
      <vt:variant>
        <vt:i4>0</vt:i4>
      </vt:variant>
      <vt:variant>
        <vt:i4>5</vt:i4>
      </vt:variant>
      <vt:variant>
        <vt:lpwstr>https://www.lseg.com/content/dam/ftse-russell/en_us/documents/research/sustainable-investment-anticipating-the-climate-change-risks-for-sovereign-bonds.pdf</vt:lpwstr>
      </vt:variant>
      <vt:variant>
        <vt:lpwstr/>
      </vt:variant>
      <vt:variant>
        <vt:i4>3604521</vt:i4>
      </vt:variant>
      <vt:variant>
        <vt:i4>246</vt:i4>
      </vt:variant>
      <vt:variant>
        <vt:i4>0</vt:i4>
      </vt:variant>
      <vt:variant>
        <vt:i4>5</vt:i4>
      </vt:variant>
      <vt:variant>
        <vt:lpwstr>https://www.dcceew.gov.au/sites/default/files/documents/australias-long-term-emissions-reduction-plan-modelling.pdf</vt:lpwstr>
      </vt:variant>
      <vt:variant>
        <vt:lpwstr/>
      </vt:variant>
      <vt:variant>
        <vt:i4>6946854</vt:i4>
      </vt:variant>
      <vt:variant>
        <vt:i4>243</vt:i4>
      </vt:variant>
      <vt:variant>
        <vt:i4>0</vt:i4>
      </vt:variant>
      <vt:variant>
        <vt:i4>5</vt:i4>
      </vt:variant>
      <vt:variant>
        <vt:lpwstr>https://www.dcceew.gov.au/sites/default/files/documents/climate-risk-management-organisation-application-guide.pdf</vt:lpwstr>
      </vt:variant>
      <vt:variant>
        <vt:lpwstr/>
      </vt:variant>
      <vt:variant>
        <vt:i4>7602299</vt:i4>
      </vt:variant>
      <vt:variant>
        <vt:i4>240</vt:i4>
      </vt:variant>
      <vt:variant>
        <vt:i4>0</vt:i4>
      </vt:variant>
      <vt:variant>
        <vt:i4>5</vt:i4>
      </vt:variant>
      <vt:variant>
        <vt:lpwstr>https://www.finance.gov.au/government/climate-action-government-operations/aps-net-zero-emissions-2030</vt:lpwstr>
      </vt:variant>
      <vt:variant>
        <vt:lpwstr/>
      </vt:variant>
      <vt:variant>
        <vt:i4>458769</vt:i4>
      </vt:variant>
      <vt:variant>
        <vt:i4>237</vt:i4>
      </vt:variant>
      <vt:variant>
        <vt:i4>0</vt:i4>
      </vt:variant>
      <vt:variant>
        <vt:i4>5</vt:i4>
      </vt:variant>
      <vt:variant>
        <vt:lpwstr>https://www.aofm.gov.au/publications/emissions-reduction-plan</vt:lpwstr>
      </vt:variant>
      <vt:variant>
        <vt:lpwstr/>
      </vt:variant>
      <vt:variant>
        <vt:i4>7340083</vt:i4>
      </vt:variant>
      <vt:variant>
        <vt:i4>234</vt:i4>
      </vt:variant>
      <vt:variant>
        <vt:i4>0</vt:i4>
      </vt:variant>
      <vt:variant>
        <vt:i4>5</vt:i4>
      </vt:variant>
      <vt:variant>
        <vt:lpwstr>https://www.finance.gov.au/government/climate-action-government-operations/commonwealth-climate-disclosure-requirements</vt:lpwstr>
      </vt:variant>
      <vt:variant>
        <vt:lpwstr/>
      </vt:variant>
      <vt:variant>
        <vt:i4>7667759</vt:i4>
      </vt:variant>
      <vt:variant>
        <vt:i4>231</vt:i4>
      </vt:variant>
      <vt:variant>
        <vt:i4>0</vt:i4>
      </vt:variant>
      <vt:variant>
        <vt:i4>5</vt:i4>
      </vt:variant>
      <vt:variant>
        <vt:lpwstr>https://www.dcceew.gov.au/climate-change/policy/adaptation/climate-risk-opportunity-management-program</vt:lpwstr>
      </vt:variant>
      <vt:variant>
        <vt:lpwstr/>
      </vt:variant>
      <vt:variant>
        <vt:i4>458769</vt:i4>
      </vt:variant>
      <vt:variant>
        <vt:i4>228</vt:i4>
      </vt:variant>
      <vt:variant>
        <vt:i4>0</vt:i4>
      </vt:variant>
      <vt:variant>
        <vt:i4>5</vt:i4>
      </vt:variant>
      <vt:variant>
        <vt:lpwstr>https://www.aofm.gov.au/publications/emissions-reduction-plan</vt:lpwstr>
      </vt:variant>
      <vt:variant>
        <vt:lpwstr/>
      </vt:variant>
      <vt:variant>
        <vt:i4>1769491</vt:i4>
      </vt:variant>
      <vt:variant>
        <vt:i4>225</vt:i4>
      </vt:variant>
      <vt:variant>
        <vt:i4>0</vt:i4>
      </vt:variant>
      <vt:variant>
        <vt:i4>5</vt:i4>
      </vt:variant>
      <vt:variant>
        <vt:lpwstr>http://www.finance.gov.au/government/aps-net-zero-emissions-2030</vt:lpwstr>
      </vt:variant>
      <vt:variant>
        <vt:lpwstr/>
      </vt:variant>
      <vt:variant>
        <vt:i4>4128823</vt:i4>
      </vt:variant>
      <vt:variant>
        <vt:i4>222</vt:i4>
      </vt:variant>
      <vt:variant>
        <vt:i4>0</vt:i4>
      </vt:variant>
      <vt:variant>
        <vt:i4>5</vt:i4>
      </vt:variant>
      <vt:variant>
        <vt:lpwstr>https://www.finance.gov.au/government/climate-action-government-operations/commonwealth-emission-reporting/australian-public-service-net-zero-emissions-reporting-framework</vt:lpwstr>
      </vt:variant>
      <vt:variant>
        <vt:lpwstr/>
      </vt:variant>
      <vt:variant>
        <vt:i4>3342387</vt:i4>
      </vt:variant>
      <vt:variant>
        <vt:i4>219</vt:i4>
      </vt:variant>
      <vt:variant>
        <vt:i4>0</vt:i4>
      </vt:variant>
      <vt:variant>
        <vt:i4>5</vt:i4>
      </vt:variant>
      <vt:variant>
        <vt:lpwstr>https://www.aofm.gov.au/about/access-information/information-publication-scheme</vt:lpwstr>
      </vt:variant>
      <vt:variant>
        <vt:lpwstr/>
      </vt:variant>
      <vt:variant>
        <vt:i4>7864377</vt:i4>
      </vt:variant>
      <vt:variant>
        <vt:i4>216</vt:i4>
      </vt:variant>
      <vt:variant>
        <vt:i4>0</vt:i4>
      </vt:variant>
      <vt:variant>
        <vt:i4>5</vt:i4>
      </vt:variant>
      <vt:variant>
        <vt:lpwstr>http://www.tenders.gov.au/</vt:lpwstr>
      </vt:variant>
      <vt:variant>
        <vt:lpwstr/>
      </vt:variant>
      <vt:variant>
        <vt:i4>7864377</vt:i4>
      </vt:variant>
      <vt:variant>
        <vt:i4>213</vt:i4>
      </vt:variant>
      <vt:variant>
        <vt:i4>0</vt:i4>
      </vt:variant>
      <vt:variant>
        <vt:i4>5</vt:i4>
      </vt:variant>
      <vt:variant>
        <vt:lpwstr>http://www.tenders.gov.au/</vt:lpwstr>
      </vt:variant>
      <vt:variant>
        <vt:lpwstr/>
      </vt:variant>
      <vt:variant>
        <vt:i4>2293811</vt:i4>
      </vt:variant>
      <vt:variant>
        <vt:i4>210</vt:i4>
      </vt:variant>
      <vt:variant>
        <vt:i4>0</vt:i4>
      </vt:variant>
      <vt:variant>
        <vt:i4>5</vt:i4>
      </vt:variant>
      <vt:variant>
        <vt:lpwstr>http://www.apsc.gov.au/</vt:lpwstr>
      </vt:variant>
      <vt:variant>
        <vt:lpwstr/>
      </vt:variant>
      <vt:variant>
        <vt:i4>5505035</vt:i4>
      </vt:variant>
      <vt:variant>
        <vt:i4>207</vt:i4>
      </vt:variant>
      <vt:variant>
        <vt:i4>0</vt:i4>
      </vt:variant>
      <vt:variant>
        <vt:i4>5</vt:i4>
      </vt:variant>
      <vt:variant>
        <vt:lpwstr>https://www.disabilitygateway.gov.au/ads</vt:lpwstr>
      </vt:variant>
      <vt:variant>
        <vt:lpwstr/>
      </vt:variant>
      <vt:variant>
        <vt:i4>7471227</vt:i4>
      </vt:variant>
      <vt:variant>
        <vt:i4>204</vt:i4>
      </vt:variant>
      <vt:variant>
        <vt:i4>0</vt:i4>
      </vt:variant>
      <vt:variant>
        <vt:i4>5</vt:i4>
      </vt:variant>
      <vt:variant>
        <vt:lpwstr>https://www.aofm.gov.au/sites/default/files/2024-04-12/AOFM Enterprise Agreement 2024-2027.pdf</vt:lpwstr>
      </vt:variant>
      <vt:variant>
        <vt:lpwstr/>
      </vt:variant>
      <vt:variant>
        <vt:i4>5374034</vt:i4>
      </vt:variant>
      <vt:variant>
        <vt:i4>201</vt:i4>
      </vt:variant>
      <vt:variant>
        <vt:i4>0</vt:i4>
      </vt:variant>
      <vt:variant>
        <vt:i4>5</vt:i4>
      </vt:variant>
      <vt:variant>
        <vt:lpwstr>http://www.aofm.gov.au/about/compliance-reports/audit-and-risk-committee-charter</vt:lpwstr>
      </vt:variant>
      <vt:variant>
        <vt:lpwstr/>
      </vt:variant>
      <vt:variant>
        <vt:i4>1638455</vt:i4>
      </vt:variant>
      <vt:variant>
        <vt:i4>195</vt:i4>
      </vt:variant>
      <vt:variant>
        <vt:i4>0</vt:i4>
      </vt:variant>
      <vt:variant>
        <vt:i4>5</vt:i4>
      </vt:variant>
      <vt:variant>
        <vt:lpwstr/>
      </vt:variant>
      <vt:variant>
        <vt:lpwstr>_Toc207800267</vt:lpwstr>
      </vt:variant>
      <vt:variant>
        <vt:i4>1638455</vt:i4>
      </vt:variant>
      <vt:variant>
        <vt:i4>189</vt:i4>
      </vt:variant>
      <vt:variant>
        <vt:i4>0</vt:i4>
      </vt:variant>
      <vt:variant>
        <vt:i4>5</vt:i4>
      </vt:variant>
      <vt:variant>
        <vt:lpwstr/>
      </vt:variant>
      <vt:variant>
        <vt:lpwstr>_Toc207800264</vt:lpwstr>
      </vt:variant>
      <vt:variant>
        <vt:i4>1638455</vt:i4>
      </vt:variant>
      <vt:variant>
        <vt:i4>183</vt:i4>
      </vt:variant>
      <vt:variant>
        <vt:i4>0</vt:i4>
      </vt:variant>
      <vt:variant>
        <vt:i4>5</vt:i4>
      </vt:variant>
      <vt:variant>
        <vt:lpwstr/>
      </vt:variant>
      <vt:variant>
        <vt:lpwstr>_Toc207800263</vt:lpwstr>
      </vt:variant>
      <vt:variant>
        <vt:i4>1703991</vt:i4>
      </vt:variant>
      <vt:variant>
        <vt:i4>177</vt:i4>
      </vt:variant>
      <vt:variant>
        <vt:i4>0</vt:i4>
      </vt:variant>
      <vt:variant>
        <vt:i4>5</vt:i4>
      </vt:variant>
      <vt:variant>
        <vt:lpwstr/>
      </vt:variant>
      <vt:variant>
        <vt:lpwstr>_Toc207800255</vt:lpwstr>
      </vt:variant>
      <vt:variant>
        <vt:i4>1703991</vt:i4>
      </vt:variant>
      <vt:variant>
        <vt:i4>171</vt:i4>
      </vt:variant>
      <vt:variant>
        <vt:i4>0</vt:i4>
      </vt:variant>
      <vt:variant>
        <vt:i4>5</vt:i4>
      </vt:variant>
      <vt:variant>
        <vt:lpwstr/>
      </vt:variant>
      <vt:variant>
        <vt:lpwstr>_Toc207800250</vt:lpwstr>
      </vt:variant>
      <vt:variant>
        <vt:i4>1769527</vt:i4>
      </vt:variant>
      <vt:variant>
        <vt:i4>165</vt:i4>
      </vt:variant>
      <vt:variant>
        <vt:i4>0</vt:i4>
      </vt:variant>
      <vt:variant>
        <vt:i4>5</vt:i4>
      </vt:variant>
      <vt:variant>
        <vt:lpwstr/>
      </vt:variant>
      <vt:variant>
        <vt:lpwstr>_Toc207800246</vt:lpwstr>
      </vt:variant>
      <vt:variant>
        <vt:i4>2556005</vt:i4>
      </vt:variant>
      <vt:variant>
        <vt:i4>159</vt:i4>
      </vt:variant>
      <vt:variant>
        <vt:i4>0</vt:i4>
      </vt:variant>
      <vt:variant>
        <vt:i4>5</vt:i4>
      </vt:variant>
      <vt:variant>
        <vt:lpwstr>https://www.aofm.gov.au/investors/wholesale-investors/investor-insights</vt:lpwstr>
      </vt:variant>
      <vt:variant>
        <vt:lpwstr/>
      </vt:variant>
      <vt:variant>
        <vt:i4>3538978</vt:i4>
      </vt:variant>
      <vt:variant>
        <vt:i4>156</vt:i4>
      </vt:variant>
      <vt:variant>
        <vt:i4>0</vt:i4>
      </vt:variant>
      <vt:variant>
        <vt:i4>5</vt:i4>
      </vt:variant>
      <vt:variant>
        <vt:lpwstr>http://www.aofm.gov.au/</vt:lpwstr>
      </vt:variant>
      <vt:variant>
        <vt:lpwstr/>
      </vt:variant>
      <vt:variant>
        <vt:i4>1507391</vt:i4>
      </vt:variant>
      <vt:variant>
        <vt:i4>149</vt:i4>
      </vt:variant>
      <vt:variant>
        <vt:i4>0</vt:i4>
      </vt:variant>
      <vt:variant>
        <vt:i4>5</vt:i4>
      </vt:variant>
      <vt:variant>
        <vt:lpwstr/>
      </vt:variant>
      <vt:variant>
        <vt:lpwstr>_Toc207797301</vt:lpwstr>
      </vt:variant>
      <vt:variant>
        <vt:i4>1966142</vt:i4>
      </vt:variant>
      <vt:variant>
        <vt:i4>143</vt:i4>
      </vt:variant>
      <vt:variant>
        <vt:i4>0</vt:i4>
      </vt:variant>
      <vt:variant>
        <vt:i4>5</vt:i4>
      </vt:variant>
      <vt:variant>
        <vt:lpwstr/>
      </vt:variant>
      <vt:variant>
        <vt:lpwstr>_Toc207797299</vt:lpwstr>
      </vt:variant>
      <vt:variant>
        <vt:i4>1966142</vt:i4>
      </vt:variant>
      <vt:variant>
        <vt:i4>137</vt:i4>
      </vt:variant>
      <vt:variant>
        <vt:i4>0</vt:i4>
      </vt:variant>
      <vt:variant>
        <vt:i4>5</vt:i4>
      </vt:variant>
      <vt:variant>
        <vt:lpwstr/>
      </vt:variant>
      <vt:variant>
        <vt:lpwstr>_Toc207797297</vt:lpwstr>
      </vt:variant>
      <vt:variant>
        <vt:i4>1966142</vt:i4>
      </vt:variant>
      <vt:variant>
        <vt:i4>131</vt:i4>
      </vt:variant>
      <vt:variant>
        <vt:i4>0</vt:i4>
      </vt:variant>
      <vt:variant>
        <vt:i4>5</vt:i4>
      </vt:variant>
      <vt:variant>
        <vt:lpwstr/>
      </vt:variant>
      <vt:variant>
        <vt:lpwstr>_Toc207797295</vt:lpwstr>
      </vt:variant>
      <vt:variant>
        <vt:i4>1966142</vt:i4>
      </vt:variant>
      <vt:variant>
        <vt:i4>125</vt:i4>
      </vt:variant>
      <vt:variant>
        <vt:i4>0</vt:i4>
      </vt:variant>
      <vt:variant>
        <vt:i4>5</vt:i4>
      </vt:variant>
      <vt:variant>
        <vt:lpwstr/>
      </vt:variant>
      <vt:variant>
        <vt:lpwstr>_Toc207797294</vt:lpwstr>
      </vt:variant>
      <vt:variant>
        <vt:i4>1966142</vt:i4>
      </vt:variant>
      <vt:variant>
        <vt:i4>119</vt:i4>
      </vt:variant>
      <vt:variant>
        <vt:i4>0</vt:i4>
      </vt:variant>
      <vt:variant>
        <vt:i4>5</vt:i4>
      </vt:variant>
      <vt:variant>
        <vt:lpwstr/>
      </vt:variant>
      <vt:variant>
        <vt:lpwstr>_Toc207797293</vt:lpwstr>
      </vt:variant>
      <vt:variant>
        <vt:i4>1966142</vt:i4>
      </vt:variant>
      <vt:variant>
        <vt:i4>113</vt:i4>
      </vt:variant>
      <vt:variant>
        <vt:i4>0</vt:i4>
      </vt:variant>
      <vt:variant>
        <vt:i4>5</vt:i4>
      </vt:variant>
      <vt:variant>
        <vt:lpwstr/>
      </vt:variant>
      <vt:variant>
        <vt:lpwstr>_Toc207797292</vt:lpwstr>
      </vt:variant>
      <vt:variant>
        <vt:i4>1966142</vt:i4>
      </vt:variant>
      <vt:variant>
        <vt:i4>107</vt:i4>
      </vt:variant>
      <vt:variant>
        <vt:i4>0</vt:i4>
      </vt:variant>
      <vt:variant>
        <vt:i4>5</vt:i4>
      </vt:variant>
      <vt:variant>
        <vt:lpwstr/>
      </vt:variant>
      <vt:variant>
        <vt:lpwstr>_Toc207797291</vt:lpwstr>
      </vt:variant>
      <vt:variant>
        <vt:i4>1507381</vt:i4>
      </vt:variant>
      <vt:variant>
        <vt:i4>98</vt:i4>
      </vt:variant>
      <vt:variant>
        <vt:i4>0</vt:i4>
      </vt:variant>
      <vt:variant>
        <vt:i4>5</vt:i4>
      </vt:variant>
      <vt:variant>
        <vt:lpwstr/>
      </vt:variant>
      <vt:variant>
        <vt:lpwstr>_Toc207796916</vt:lpwstr>
      </vt:variant>
      <vt:variant>
        <vt:i4>1507381</vt:i4>
      </vt:variant>
      <vt:variant>
        <vt:i4>92</vt:i4>
      </vt:variant>
      <vt:variant>
        <vt:i4>0</vt:i4>
      </vt:variant>
      <vt:variant>
        <vt:i4>5</vt:i4>
      </vt:variant>
      <vt:variant>
        <vt:lpwstr/>
      </vt:variant>
      <vt:variant>
        <vt:lpwstr>_Toc207796912</vt:lpwstr>
      </vt:variant>
      <vt:variant>
        <vt:i4>1507381</vt:i4>
      </vt:variant>
      <vt:variant>
        <vt:i4>86</vt:i4>
      </vt:variant>
      <vt:variant>
        <vt:i4>0</vt:i4>
      </vt:variant>
      <vt:variant>
        <vt:i4>5</vt:i4>
      </vt:variant>
      <vt:variant>
        <vt:lpwstr/>
      </vt:variant>
      <vt:variant>
        <vt:lpwstr>_Toc207796911</vt:lpwstr>
      </vt:variant>
      <vt:variant>
        <vt:i4>1507388</vt:i4>
      </vt:variant>
      <vt:variant>
        <vt:i4>77</vt:i4>
      </vt:variant>
      <vt:variant>
        <vt:i4>0</vt:i4>
      </vt:variant>
      <vt:variant>
        <vt:i4>5</vt:i4>
      </vt:variant>
      <vt:variant>
        <vt:lpwstr/>
      </vt:variant>
      <vt:variant>
        <vt:lpwstr>_Toc207810889</vt:lpwstr>
      </vt:variant>
      <vt:variant>
        <vt:i4>1507388</vt:i4>
      </vt:variant>
      <vt:variant>
        <vt:i4>71</vt:i4>
      </vt:variant>
      <vt:variant>
        <vt:i4>0</vt:i4>
      </vt:variant>
      <vt:variant>
        <vt:i4>5</vt:i4>
      </vt:variant>
      <vt:variant>
        <vt:lpwstr/>
      </vt:variant>
      <vt:variant>
        <vt:lpwstr>_Toc207810888</vt:lpwstr>
      </vt:variant>
      <vt:variant>
        <vt:i4>1769532</vt:i4>
      </vt:variant>
      <vt:variant>
        <vt:i4>65</vt:i4>
      </vt:variant>
      <vt:variant>
        <vt:i4>0</vt:i4>
      </vt:variant>
      <vt:variant>
        <vt:i4>5</vt:i4>
      </vt:variant>
      <vt:variant>
        <vt:lpwstr/>
      </vt:variant>
      <vt:variant>
        <vt:lpwstr>_Toc207810848</vt:lpwstr>
      </vt:variant>
      <vt:variant>
        <vt:i4>1900604</vt:i4>
      </vt:variant>
      <vt:variant>
        <vt:i4>59</vt:i4>
      </vt:variant>
      <vt:variant>
        <vt:i4>0</vt:i4>
      </vt:variant>
      <vt:variant>
        <vt:i4>5</vt:i4>
      </vt:variant>
      <vt:variant>
        <vt:lpwstr/>
      </vt:variant>
      <vt:variant>
        <vt:lpwstr>_Toc207810823</vt:lpwstr>
      </vt:variant>
      <vt:variant>
        <vt:i4>1966140</vt:i4>
      </vt:variant>
      <vt:variant>
        <vt:i4>53</vt:i4>
      </vt:variant>
      <vt:variant>
        <vt:i4>0</vt:i4>
      </vt:variant>
      <vt:variant>
        <vt:i4>5</vt:i4>
      </vt:variant>
      <vt:variant>
        <vt:lpwstr/>
      </vt:variant>
      <vt:variant>
        <vt:lpwstr>_Toc207810817</vt:lpwstr>
      </vt:variant>
      <vt:variant>
        <vt:i4>1966140</vt:i4>
      </vt:variant>
      <vt:variant>
        <vt:i4>47</vt:i4>
      </vt:variant>
      <vt:variant>
        <vt:i4>0</vt:i4>
      </vt:variant>
      <vt:variant>
        <vt:i4>5</vt:i4>
      </vt:variant>
      <vt:variant>
        <vt:lpwstr/>
      </vt:variant>
      <vt:variant>
        <vt:lpwstr>_Toc207810813</vt:lpwstr>
      </vt:variant>
      <vt:variant>
        <vt:i4>1966140</vt:i4>
      </vt:variant>
      <vt:variant>
        <vt:i4>41</vt:i4>
      </vt:variant>
      <vt:variant>
        <vt:i4>0</vt:i4>
      </vt:variant>
      <vt:variant>
        <vt:i4>5</vt:i4>
      </vt:variant>
      <vt:variant>
        <vt:lpwstr/>
      </vt:variant>
      <vt:variant>
        <vt:lpwstr>_Toc207810810</vt:lpwstr>
      </vt:variant>
      <vt:variant>
        <vt:i4>2031676</vt:i4>
      </vt:variant>
      <vt:variant>
        <vt:i4>35</vt:i4>
      </vt:variant>
      <vt:variant>
        <vt:i4>0</vt:i4>
      </vt:variant>
      <vt:variant>
        <vt:i4>5</vt:i4>
      </vt:variant>
      <vt:variant>
        <vt:lpwstr/>
      </vt:variant>
      <vt:variant>
        <vt:lpwstr>_Toc207810806</vt:lpwstr>
      </vt:variant>
      <vt:variant>
        <vt:i4>1441843</vt:i4>
      </vt:variant>
      <vt:variant>
        <vt:i4>29</vt:i4>
      </vt:variant>
      <vt:variant>
        <vt:i4>0</vt:i4>
      </vt:variant>
      <vt:variant>
        <vt:i4>5</vt:i4>
      </vt:variant>
      <vt:variant>
        <vt:lpwstr/>
      </vt:variant>
      <vt:variant>
        <vt:lpwstr>_Toc207810799</vt:lpwstr>
      </vt:variant>
      <vt:variant>
        <vt:i4>1507379</vt:i4>
      </vt:variant>
      <vt:variant>
        <vt:i4>23</vt:i4>
      </vt:variant>
      <vt:variant>
        <vt:i4>0</vt:i4>
      </vt:variant>
      <vt:variant>
        <vt:i4>5</vt:i4>
      </vt:variant>
      <vt:variant>
        <vt:lpwstr/>
      </vt:variant>
      <vt:variant>
        <vt:lpwstr>_Toc207810788</vt:lpwstr>
      </vt:variant>
      <vt:variant>
        <vt:i4>1507379</vt:i4>
      </vt:variant>
      <vt:variant>
        <vt:i4>17</vt:i4>
      </vt:variant>
      <vt:variant>
        <vt:i4>0</vt:i4>
      </vt:variant>
      <vt:variant>
        <vt:i4>5</vt:i4>
      </vt:variant>
      <vt:variant>
        <vt:lpwstr/>
      </vt:variant>
      <vt:variant>
        <vt:lpwstr>_Toc207810787</vt:lpwstr>
      </vt:variant>
      <vt:variant>
        <vt:i4>1507379</vt:i4>
      </vt:variant>
      <vt:variant>
        <vt:i4>11</vt:i4>
      </vt:variant>
      <vt:variant>
        <vt:i4>0</vt:i4>
      </vt:variant>
      <vt:variant>
        <vt:i4>5</vt:i4>
      </vt:variant>
      <vt:variant>
        <vt:lpwstr/>
      </vt:variant>
      <vt:variant>
        <vt:lpwstr>_Toc207810786</vt:lpwstr>
      </vt:variant>
      <vt:variant>
        <vt:i4>1572980</vt:i4>
      </vt:variant>
      <vt:variant>
        <vt:i4>6</vt:i4>
      </vt:variant>
      <vt:variant>
        <vt:i4>0</vt:i4>
      </vt:variant>
      <vt:variant>
        <vt:i4>5</vt:i4>
      </vt:variant>
      <vt:variant>
        <vt:lpwstr>mailto:enquiries@aofm.gov.au</vt:lpwstr>
      </vt:variant>
      <vt:variant>
        <vt:lpwstr/>
      </vt:variant>
      <vt:variant>
        <vt:i4>2818104</vt:i4>
      </vt:variant>
      <vt:variant>
        <vt:i4>3</vt:i4>
      </vt:variant>
      <vt:variant>
        <vt:i4>0</vt:i4>
      </vt:variant>
      <vt:variant>
        <vt:i4>5</vt:i4>
      </vt:variant>
      <vt:variant>
        <vt:lpwstr>http://www.pmc.gov.au/government/commonwealth-coat-arms</vt:lpwstr>
      </vt:variant>
      <vt:variant>
        <vt:lpwstr/>
      </vt:variant>
      <vt:variant>
        <vt:i4>3538978</vt:i4>
      </vt:variant>
      <vt:variant>
        <vt:i4>0</vt:i4>
      </vt:variant>
      <vt:variant>
        <vt:i4>0</vt:i4>
      </vt:variant>
      <vt:variant>
        <vt:i4>5</vt:i4>
      </vt:variant>
      <vt:variant>
        <vt:lpwstr>http://www.aofm.gov.au/</vt:lpwstr>
      </vt:variant>
      <vt:variant>
        <vt:lpwstr/>
      </vt:variant>
      <vt:variant>
        <vt:i4>720906</vt:i4>
      </vt:variant>
      <vt:variant>
        <vt:i4>51</vt:i4>
      </vt:variant>
      <vt:variant>
        <vt:i4>0</vt:i4>
      </vt:variant>
      <vt:variant>
        <vt:i4>5</vt:i4>
      </vt:variant>
      <vt:variant>
        <vt:lpwstr>http://www.finance.gov.au/sites/default/files/2025-02/APS-Net-Zero-2030-Target-Factsheet.docx</vt:lpwstr>
      </vt:variant>
      <vt:variant>
        <vt:lpwstr/>
      </vt:variant>
      <vt:variant>
        <vt:i4>2424904</vt:i4>
      </vt:variant>
      <vt:variant>
        <vt:i4>48</vt:i4>
      </vt:variant>
      <vt:variant>
        <vt:i4>0</vt:i4>
      </vt:variant>
      <vt:variant>
        <vt:i4>5</vt:i4>
      </vt:variant>
      <vt:variant>
        <vt:lpwstr>https://www.lseg.com/content/dam/ftse-russell/en_us/documents/research/sustainable-investment-anticipating-the-climate-change-risks-for-sovereign-bonds.pdf</vt:lpwstr>
      </vt:variant>
      <vt:variant>
        <vt:lpwstr/>
      </vt:variant>
      <vt:variant>
        <vt:i4>3604521</vt:i4>
      </vt:variant>
      <vt:variant>
        <vt:i4>45</vt:i4>
      </vt:variant>
      <vt:variant>
        <vt:i4>0</vt:i4>
      </vt:variant>
      <vt:variant>
        <vt:i4>5</vt:i4>
      </vt:variant>
      <vt:variant>
        <vt:lpwstr>https://www.dcceew.gov.au/sites/default/files/documents/australias-long-term-emissions-reduction-plan-modelling.pdf</vt:lpwstr>
      </vt:variant>
      <vt:variant>
        <vt:lpwstr/>
      </vt:variant>
      <vt:variant>
        <vt:i4>6946854</vt:i4>
      </vt:variant>
      <vt:variant>
        <vt:i4>42</vt:i4>
      </vt:variant>
      <vt:variant>
        <vt:i4>0</vt:i4>
      </vt:variant>
      <vt:variant>
        <vt:i4>5</vt:i4>
      </vt:variant>
      <vt:variant>
        <vt:lpwstr>https://www.dcceew.gov.au/sites/default/files/documents/climate-risk-management-organisation-application-guide.pdf</vt:lpwstr>
      </vt:variant>
      <vt:variant>
        <vt:lpwstr/>
      </vt:variant>
      <vt:variant>
        <vt:i4>2818152</vt:i4>
      </vt:variant>
      <vt:variant>
        <vt:i4>39</vt:i4>
      </vt:variant>
      <vt:variant>
        <vt:i4>0</vt:i4>
      </vt:variant>
      <vt:variant>
        <vt:i4>5</vt:i4>
      </vt:variant>
      <vt:variant>
        <vt:lpwstr>http://www.finance.gov.au/government/climate-action-government-operations/commonwealth-climate-disclosure-requirements</vt:lpwstr>
      </vt:variant>
      <vt:variant>
        <vt:lpwstr/>
      </vt:variant>
      <vt:variant>
        <vt:i4>4456448</vt:i4>
      </vt:variant>
      <vt:variant>
        <vt:i4>36</vt:i4>
      </vt:variant>
      <vt:variant>
        <vt:i4>0</vt:i4>
      </vt:variant>
      <vt:variant>
        <vt:i4>5</vt:i4>
      </vt:variant>
      <vt:variant>
        <vt:lpwstr>http://www.dcceew.gov.au/climate-change/policy/adaptation/climate-risk-opportunity-management-program</vt:lpwstr>
      </vt:variant>
      <vt:variant>
        <vt:lpwstr/>
      </vt:variant>
      <vt:variant>
        <vt:i4>1310751</vt:i4>
      </vt:variant>
      <vt:variant>
        <vt:i4>33</vt:i4>
      </vt:variant>
      <vt:variant>
        <vt:i4>0</vt:i4>
      </vt:variant>
      <vt:variant>
        <vt:i4>5</vt:i4>
      </vt:variant>
      <vt:variant>
        <vt:lpwstr>http://www.aofm.gov.au/publications/emissions-reduction-plan</vt:lpwstr>
      </vt:variant>
      <vt:variant>
        <vt:lpwstr/>
      </vt:variant>
      <vt:variant>
        <vt:i4>1769491</vt:i4>
      </vt:variant>
      <vt:variant>
        <vt:i4>30</vt:i4>
      </vt:variant>
      <vt:variant>
        <vt:i4>0</vt:i4>
      </vt:variant>
      <vt:variant>
        <vt:i4>5</vt:i4>
      </vt:variant>
      <vt:variant>
        <vt:lpwstr>http://www.finance.gov.au/government/aps-net-zero-emissions-2030</vt:lpwstr>
      </vt:variant>
      <vt:variant>
        <vt:lpwstr/>
      </vt:variant>
      <vt:variant>
        <vt:i4>3997739</vt:i4>
      </vt:variant>
      <vt:variant>
        <vt:i4>27</vt:i4>
      </vt:variant>
      <vt:variant>
        <vt:i4>0</vt:i4>
      </vt:variant>
      <vt:variant>
        <vt:i4>5</vt:i4>
      </vt:variant>
      <vt:variant>
        <vt:lpwstr>http://www.aofm.gov.au/about/access-information/information-publication-scheme</vt:lpwstr>
      </vt:variant>
      <vt:variant>
        <vt:lpwstr/>
      </vt:variant>
      <vt:variant>
        <vt:i4>2162751</vt:i4>
      </vt:variant>
      <vt:variant>
        <vt:i4>24</vt:i4>
      </vt:variant>
      <vt:variant>
        <vt:i4>0</vt:i4>
      </vt:variant>
      <vt:variant>
        <vt:i4>5</vt:i4>
      </vt:variant>
      <vt:variant>
        <vt:lpwstr>http://www.treasury.gov.au/</vt:lpwstr>
      </vt:variant>
      <vt:variant>
        <vt:lpwstr/>
      </vt:variant>
      <vt:variant>
        <vt:i4>1310815</vt:i4>
      </vt:variant>
      <vt:variant>
        <vt:i4>21</vt:i4>
      </vt:variant>
      <vt:variant>
        <vt:i4>0</vt:i4>
      </vt:variant>
      <vt:variant>
        <vt:i4>5</vt:i4>
      </vt:variant>
      <vt:variant>
        <vt:lpwstr>https://www.finance.gov.au/government/procurement/statistics-australian-government-procurement-contracts</vt:lpwstr>
      </vt:variant>
      <vt:variant>
        <vt:lpwstr/>
      </vt:variant>
      <vt:variant>
        <vt:i4>7864377</vt:i4>
      </vt:variant>
      <vt:variant>
        <vt:i4>18</vt:i4>
      </vt:variant>
      <vt:variant>
        <vt:i4>0</vt:i4>
      </vt:variant>
      <vt:variant>
        <vt:i4>5</vt:i4>
      </vt:variant>
      <vt:variant>
        <vt:lpwstr>http://www.tenders.gov.au/</vt:lpwstr>
      </vt:variant>
      <vt:variant>
        <vt:lpwstr/>
      </vt:variant>
      <vt:variant>
        <vt:i4>7864377</vt:i4>
      </vt:variant>
      <vt:variant>
        <vt:i4>15</vt:i4>
      </vt:variant>
      <vt:variant>
        <vt:i4>0</vt:i4>
      </vt:variant>
      <vt:variant>
        <vt:i4>5</vt:i4>
      </vt:variant>
      <vt:variant>
        <vt:lpwstr>http://www.tenders.gov.au/</vt:lpwstr>
      </vt:variant>
      <vt:variant>
        <vt:lpwstr/>
      </vt:variant>
      <vt:variant>
        <vt:i4>7864377</vt:i4>
      </vt:variant>
      <vt:variant>
        <vt:i4>12</vt:i4>
      </vt:variant>
      <vt:variant>
        <vt:i4>0</vt:i4>
      </vt:variant>
      <vt:variant>
        <vt:i4>5</vt:i4>
      </vt:variant>
      <vt:variant>
        <vt:lpwstr>http://www.tenders.gov.au/</vt:lpwstr>
      </vt:variant>
      <vt:variant>
        <vt:lpwstr/>
      </vt:variant>
      <vt:variant>
        <vt:i4>2293811</vt:i4>
      </vt:variant>
      <vt:variant>
        <vt:i4>9</vt:i4>
      </vt:variant>
      <vt:variant>
        <vt:i4>0</vt:i4>
      </vt:variant>
      <vt:variant>
        <vt:i4>5</vt:i4>
      </vt:variant>
      <vt:variant>
        <vt:lpwstr>http://www.apsc.gov.au/</vt:lpwstr>
      </vt:variant>
      <vt:variant>
        <vt:lpwstr/>
      </vt:variant>
      <vt:variant>
        <vt:i4>6291519</vt:i4>
      </vt:variant>
      <vt:variant>
        <vt:i4>6</vt:i4>
      </vt:variant>
      <vt:variant>
        <vt:i4>0</vt:i4>
      </vt:variant>
      <vt:variant>
        <vt:i4>5</vt:i4>
      </vt:variant>
      <vt:variant>
        <vt:lpwstr>http://www.disabilitygateway.gov.au/ads</vt:lpwstr>
      </vt:variant>
      <vt:variant>
        <vt:lpwstr/>
      </vt:variant>
      <vt:variant>
        <vt:i4>5373963</vt:i4>
      </vt:variant>
      <vt:variant>
        <vt:i4>3</vt:i4>
      </vt:variant>
      <vt:variant>
        <vt:i4>0</vt:i4>
      </vt:variant>
      <vt:variant>
        <vt:i4>5</vt:i4>
      </vt:variant>
      <vt:variant>
        <vt:lpwstr>http://aofm.gov.au/about/compliance-reports/audit-and-risk-committee-charter</vt:lpwstr>
      </vt:variant>
      <vt:variant>
        <vt:lpwstr/>
      </vt:variant>
      <vt:variant>
        <vt:i4>8192063</vt:i4>
      </vt:variant>
      <vt:variant>
        <vt:i4>0</vt:i4>
      </vt:variant>
      <vt:variant>
        <vt:i4>0</vt:i4>
      </vt:variant>
      <vt:variant>
        <vt:i4>5</vt:i4>
      </vt:variant>
      <vt:variant>
        <vt:lpwstr>http://www.aofm.gov.au/investors/wholesale-investors/investor-insights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AOFM Annual Report 2024-25</dc:title>
  <dc:subject>Annual Report 2024-25</dc:subject>
  <dc:creator>Australian Government</dc:creator>
  <cp:keywords/>
  <dc:description/>
  <cp:lastModifiedBy>Anthes, Natalie</cp:lastModifiedBy>
  <cp:revision>50</cp:revision>
  <cp:lastPrinted>2025-10-02T02:17:00Z</cp:lastPrinted>
  <dcterms:created xsi:type="dcterms:W3CDTF">2025-09-21T09:50:00Z</dcterms:created>
  <dcterms:modified xsi:type="dcterms:W3CDTF">2025-10-02T03:10:00Z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f932d64-9ab1-4d9b-81d2-a3a8b82dd47d_Enabled">
    <vt:lpwstr>true</vt:lpwstr>
  </property>
  <property fmtid="{D5CDD505-2E9C-101B-9397-08002B2CF9AE}" pid="4" name="MSIP_Label_4f932d64-9ab1-4d9b-81d2-a3a8b82dd47d_SetDate">
    <vt:lpwstr>2025-06-27T04:11:20Z</vt:lpwstr>
  </property>
  <property fmtid="{D5CDD505-2E9C-101B-9397-08002B2CF9AE}" pid="5" name="MSIP_Label_4f932d64-9ab1-4d9b-81d2-a3a8b82dd47d_Method">
    <vt:lpwstr>Privileged</vt:lpwstr>
  </property>
  <property fmtid="{D5CDD505-2E9C-101B-9397-08002B2CF9AE}" pid="6" name="MSIP_Label_4f932d64-9ab1-4d9b-81d2-a3a8b82dd47d_Name">
    <vt:lpwstr>OFFICIAL No Visual Marking</vt:lpwstr>
  </property>
  <property fmtid="{D5CDD505-2E9C-101B-9397-08002B2CF9AE}" pid="7" name="MSIP_Label_4f932d64-9ab1-4d9b-81d2-a3a8b82dd47d_SiteId">
    <vt:lpwstr>214f1646-2021-47cc-8397-e3d3a7ba7d9d</vt:lpwstr>
  </property>
  <property fmtid="{D5CDD505-2E9C-101B-9397-08002B2CF9AE}" pid="8" name="MSIP_Label_4f932d64-9ab1-4d9b-81d2-a3a8b82dd47d_ActionId">
    <vt:lpwstr>1e174654-ac3a-4acd-a0c7-a469254a4249</vt:lpwstr>
  </property>
  <property fmtid="{D5CDD505-2E9C-101B-9397-08002B2CF9AE}" pid="9" name="MSIP_Label_4f932d64-9ab1-4d9b-81d2-a3a8b82dd47d_ContentBits">
    <vt:lpwstr>0</vt:lpwstr>
  </property>
  <property fmtid="{D5CDD505-2E9C-101B-9397-08002B2CF9AE}" pid="10" name="ContentTypeId">
    <vt:lpwstr>0x0101007D225F24BB07F64391FC42D0FE25EA98</vt:lpwstr>
  </property>
</Properties>
</file>